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Pemikiran Filsafat Studi atas Filsafat Pengetahuan Filsafat Wujud dan Filsafat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88523_653776707">
            <w:r>
              <w:rPr>
                <w:webHidden/>
                <w:rStyle w:val="IndexLink"/>
              </w:rPr>
              <w:t>BOOK ID</w:t>
              <w:tab/>
              <w:t>6</w:t>
            </w:r>
          </w:hyperlink>
        </w:p>
        <w:p>
          <w:pPr>
            <w:pStyle w:val="Contents2"/>
            <w:tabs>
              <w:tab w:val="clear" w:pos="8743"/>
              <w:tab w:val="right" w:pos="9026" w:leader="dot"/>
            </w:tabs>
            <w:bidi w:val="0"/>
            <w:rPr/>
          </w:pPr>
          <w:hyperlink w:anchor="__RefHeading___Toc688525_653776707">
            <w:r>
              <w:rPr>
                <w:webHidden/>
                <w:rStyle w:val="IndexLink"/>
              </w:rPr>
              <w:t>Point</w:t>
              <w:tab/>
              <w:t>6</w:t>
            </w:r>
          </w:hyperlink>
        </w:p>
        <w:p>
          <w:pPr>
            <w:pStyle w:val="Contents2"/>
            <w:tabs>
              <w:tab w:val="clear" w:pos="8743"/>
              <w:tab w:val="right" w:pos="9026" w:leader="dot"/>
            </w:tabs>
            <w:bidi w:val="0"/>
            <w:rPr/>
          </w:pPr>
          <w:hyperlink w:anchor="__RefHeading___Toc688527_653776707">
            <w:r>
              <w:rPr>
                <w:webHidden/>
                <w:rStyle w:val="IndexLink"/>
              </w:rPr>
              <w:t>DAFTAR ISI</w:t>
              <w:tab/>
              <w:t>10</w:t>
            </w:r>
          </w:hyperlink>
        </w:p>
        <w:p>
          <w:pPr>
            <w:pStyle w:val="Contents2"/>
            <w:tabs>
              <w:tab w:val="clear" w:pos="8743"/>
              <w:tab w:val="right" w:pos="9026" w:leader="dot"/>
            </w:tabs>
            <w:bidi w:val="0"/>
            <w:rPr/>
          </w:pPr>
          <w:hyperlink w:anchor="__RefHeading___Toc688529_653776707">
            <w:r>
              <w:rPr>
                <w:webHidden/>
                <w:rStyle w:val="IndexLink"/>
              </w:rPr>
              <w:t>PROLOG 1: PROFIL PEMIKIRAN PROF. M.T. MISHBAH YAZDI</w:t>
              <w:tab/>
              <w:t>17</w:t>
            </w:r>
          </w:hyperlink>
        </w:p>
        <w:p>
          <w:pPr>
            <w:pStyle w:val="Contents2"/>
            <w:tabs>
              <w:tab w:val="clear" w:pos="8743"/>
              <w:tab w:val="right" w:pos="9026" w:leader="dot"/>
            </w:tabs>
            <w:bidi w:val="0"/>
            <w:rPr/>
          </w:pPr>
          <w:hyperlink w:anchor="__RefHeading___Toc688531_653776707">
            <w:r>
              <w:rPr>
                <w:webHidden/>
                <w:rStyle w:val="IndexLink"/>
              </w:rPr>
              <w:t>PROLOG 2: PRAKATA PROF. M.T. MISHBAH YAZDI</w:t>
              <w:tab/>
              <w:t>27</w:t>
            </w:r>
          </w:hyperlink>
        </w:p>
        <w:p>
          <w:pPr>
            <w:pStyle w:val="Contents2"/>
            <w:tabs>
              <w:tab w:val="clear" w:pos="8743"/>
              <w:tab w:val="right" w:pos="9026" w:leader="dot"/>
            </w:tabs>
            <w:bidi w:val="0"/>
            <w:rPr/>
          </w:pPr>
          <w:hyperlink w:anchor="__RefHeading___Toc688533_653776707">
            <w:r>
              <w:rPr>
                <w:webHidden/>
                <w:rStyle w:val="IndexLink"/>
              </w:rPr>
              <w:t>KATA PENGANTAR</w:t>
              <w:tab/>
              <w:t>31</w:t>
            </w:r>
          </w:hyperlink>
        </w:p>
        <w:p>
          <w:pPr>
            <w:pStyle w:val="Contents2"/>
            <w:tabs>
              <w:tab w:val="clear" w:pos="8743"/>
              <w:tab w:val="right" w:pos="9026" w:leader="dot"/>
            </w:tabs>
            <w:bidi w:val="0"/>
            <w:rPr/>
          </w:pPr>
          <w:hyperlink w:anchor="__RefHeading___Toc688535_653776707">
            <w:r>
              <w:rPr>
                <w:webHidden/>
                <w:rStyle w:val="IndexLink"/>
              </w:rPr>
              <w:t>BAB I: PENDAHULUAN</w:t>
              <w:tab/>
              <w:t>33</w:t>
            </w:r>
          </w:hyperlink>
        </w:p>
        <w:p>
          <w:pPr>
            <w:pStyle w:val="Contents2"/>
            <w:tabs>
              <w:tab w:val="clear" w:pos="8743"/>
              <w:tab w:val="right" w:pos="9026" w:leader="dot"/>
            </w:tabs>
            <w:bidi w:val="0"/>
            <w:rPr/>
          </w:pPr>
          <w:hyperlink w:anchor="__RefHeading___Toc688537_653776707">
            <w:r>
              <w:rPr>
                <w:webHidden/>
                <w:rStyle w:val="IndexLink"/>
              </w:rPr>
              <w:t>BAB II: LATAR BELAKANG STUDI FILSAFAT DI HAWZAH ILMIYAH QOM</w:t>
              <w:tab/>
              <w:t>37</w:t>
            </w:r>
          </w:hyperlink>
        </w:p>
        <w:p>
          <w:pPr>
            <w:pStyle w:val="Contents3"/>
            <w:tabs>
              <w:tab w:val="clear" w:pos="8459"/>
              <w:tab w:val="right" w:pos="9026" w:leader="dot"/>
            </w:tabs>
            <w:bidi w:val="0"/>
            <w:rPr/>
          </w:pPr>
          <w:hyperlink w:anchor="__RefHeading___Toc688539_653776707">
            <w:r>
              <w:rPr>
                <w:webHidden/>
                <w:rStyle w:val="IndexLink"/>
              </w:rPr>
              <w:t>A. Perkembangan Filsafat Islam</w:t>
              <w:tab/>
              <w:t>37</w:t>
            </w:r>
          </w:hyperlink>
        </w:p>
        <w:p>
          <w:pPr>
            <w:pStyle w:val="Contents3"/>
            <w:tabs>
              <w:tab w:val="clear" w:pos="8459"/>
              <w:tab w:val="right" w:pos="9026" w:leader="dot"/>
            </w:tabs>
            <w:bidi w:val="0"/>
            <w:rPr/>
          </w:pPr>
          <w:hyperlink w:anchor="__RefHeading___Toc688541_653776707">
            <w:r>
              <w:rPr>
                <w:webHidden/>
                <w:rStyle w:val="IndexLink"/>
              </w:rPr>
              <w:t>B. Perkembangan Filsafat Islam di Dunia Syi'ah</w:t>
              <w:tab/>
              <w:t>43</w:t>
            </w:r>
          </w:hyperlink>
        </w:p>
        <w:p>
          <w:pPr>
            <w:pStyle w:val="Contents3"/>
            <w:tabs>
              <w:tab w:val="clear" w:pos="8459"/>
              <w:tab w:val="right" w:pos="9026" w:leader="dot"/>
            </w:tabs>
            <w:bidi w:val="0"/>
            <w:rPr/>
          </w:pPr>
          <w:hyperlink w:anchor="__RefHeading___Toc688543_653776707">
            <w:r>
              <w:rPr>
                <w:webHidden/>
                <w:rStyle w:val="IndexLink"/>
              </w:rPr>
              <w:t>C. Kedudukan Filsafat di Hawzah-Hawzah Ilmiyah</w:t>
              <w:tab/>
              <w:t>54</w:t>
            </w:r>
          </w:hyperlink>
        </w:p>
        <w:p>
          <w:pPr>
            <w:pStyle w:val="Contents3"/>
            <w:tabs>
              <w:tab w:val="clear" w:pos="8459"/>
              <w:tab w:val="right" w:pos="9026" w:leader="dot"/>
            </w:tabs>
            <w:bidi w:val="0"/>
            <w:rPr/>
          </w:pPr>
          <w:hyperlink w:anchor="__RefHeading___Toc688545_653776707">
            <w:r>
              <w:rPr>
                <w:webHidden/>
                <w:rStyle w:val="IndexLink"/>
              </w:rPr>
              <w:t>D. Filsafat di Hawzah 'Ilmiyah Qom</w:t>
              <w:tab/>
              <w:t>56</w:t>
            </w:r>
          </w:hyperlink>
        </w:p>
        <w:p>
          <w:pPr>
            <w:pStyle w:val="Contents4"/>
            <w:tabs>
              <w:tab w:val="clear" w:pos="8176"/>
              <w:tab w:val="right" w:pos="9026" w:leader="dot"/>
            </w:tabs>
            <w:bidi w:val="0"/>
            <w:rPr/>
          </w:pPr>
          <w:hyperlink w:anchor="__RefHeading___Toc688547_653776707">
            <w:r>
              <w:rPr>
                <w:webHidden/>
                <w:rStyle w:val="IndexLink"/>
              </w:rPr>
              <w:t>Point</w:t>
              <w:tab/>
              <w:t>56</w:t>
            </w:r>
          </w:hyperlink>
        </w:p>
        <w:p>
          <w:pPr>
            <w:pStyle w:val="Contents4"/>
            <w:tabs>
              <w:tab w:val="clear" w:pos="8176"/>
              <w:tab w:val="right" w:pos="9026" w:leader="dot"/>
            </w:tabs>
            <w:bidi w:val="0"/>
            <w:rPr/>
          </w:pPr>
          <w:hyperlink w:anchor="__RefHeading___Toc688549_653776707">
            <w:r>
              <w:rPr>
                <w:webHidden/>
                <w:rStyle w:val="IndexLink"/>
              </w:rPr>
              <w:t>1. Periode Qazwînî</w:t>
              <w:tab/>
              <w:t>57</w:t>
            </w:r>
          </w:hyperlink>
        </w:p>
        <w:p>
          <w:pPr>
            <w:pStyle w:val="Contents4"/>
            <w:tabs>
              <w:tab w:val="clear" w:pos="8176"/>
              <w:tab w:val="right" w:pos="9026" w:leader="dot"/>
            </w:tabs>
            <w:bidi w:val="0"/>
            <w:rPr/>
          </w:pPr>
          <w:hyperlink w:anchor="__RefHeading___Toc688551_653776707">
            <w:r>
              <w:rPr>
                <w:webHidden/>
                <w:rStyle w:val="IndexLink"/>
              </w:rPr>
              <w:t>2. Periode Karaki</w:t>
              <w:tab/>
              <w:t>58</w:t>
            </w:r>
          </w:hyperlink>
        </w:p>
        <w:p>
          <w:pPr>
            <w:pStyle w:val="Contents4"/>
            <w:tabs>
              <w:tab w:val="clear" w:pos="8176"/>
              <w:tab w:val="right" w:pos="9026" w:leader="dot"/>
            </w:tabs>
            <w:bidi w:val="0"/>
            <w:rPr/>
          </w:pPr>
          <w:hyperlink w:anchor="__RefHeading___Toc688553_653776707">
            <w:r>
              <w:rPr>
                <w:webHidden/>
                <w:rStyle w:val="IndexLink"/>
              </w:rPr>
              <w:t>3. Periode `Abd al-Karîm Hâ'eri Yazdî</w:t>
              <w:tab/>
              <w:t>62</w:t>
            </w:r>
          </w:hyperlink>
        </w:p>
        <w:p>
          <w:pPr>
            <w:pStyle w:val="Contents4"/>
            <w:tabs>
              <w:tab w:val="clear" w:pos="8176"/>
              <w:tab w:val="right" w:pos="9026" w:leader="dot"/>
            </w:tabs>
            <w:bidi w:val="0"/>
            <w:rPr/>
          </w:pPr>
          <w:hyperlink w:anchor="__RefHeading___Toc688555_653776707">
            <w:r>
              <w:rPr>
                <w:webHidden/>
                <w:rStyle w:val="IndexLink"/>
              </w:rPr>
              <w:t>4. Periode Khomeini dan Thabâthabâ’î</w:t>
              <w:tab/>
              <w:t>70</w:t>
            </w:r>
          </w:hyperlink>
        </w:p>
        <w:p>
          <w:pPr>
            <w:pStyle w:val="Contents4"/>
            <w:tabs>
              <w:tab w:val="clear" w:pos="8176"/>
              <w:tab w:val="right" w:pos="9026" w:leader="dot"/>
            </w:tabs>
            <w:bidi w:val="0"/>
            <w:rPr/>
          </w:pPr>
          <w:hyperlink w:anchor="__RefHeading___Toc688557_653776707">
            <w:r>
              <w:rPr>
                <w:webHidden/>
                <w:rStyle w:val="IndexLink"/>
              </w:rPr>
              <w:t>5. Periode Muthahhari</w:t>
              <w:tab/>
              <w:t>73</w:t>
            </w:r>
          </w:hyperlink>
        </w:p>
        <w:p>
          <w:pPr>
            <w:pStyle w:val="Contents4"/>
            <w:tabs>
              <w:tab w:val="clear" w:pos="8176"/>
              <w:tab w:val="right" w:pos="9026" w:leader="dot"/>
            </w:tabs>
            <w:bidi w:val="0"/>
            <w:rPr/>
          </w:pPr>
          <w:hyperlink w:anchor="__RefHeading___Toc688559_653776707">
            <w:r>
              <w:rPr>
                <w:webHidden/>
                <w:rStyle w:val="IndexLink"/>
              </w:rPr>
              <w:t>6. Periode Muhammad Taqi Mishbâh Yazdî</w:t>
              <w:tab/>
              <w:t>77</w:t>
            </w:r>
          </w:hyperlink>
        </w:p>
        <w:p>
          <w:pPr>
            <w:pStyle w:val="Contents2"/>
            <w:tabs>
              <w:tab w:val="clear" w:pos="8743"/>
              <w:tab w:val="right" w:pos="9026" w:leader="dot"/>
            </w:tabs>
            <w:bidi w:val="0"/>
            <w:rPr/>
          </w:pPr>
          <w:hyperlink w:anchor="__RefHeading___Toc688561_653776707">
            <w:r>
              <w:rPr>
                <w:webHidden/>
                <w:rStyle w:val="IndexLink"/>
              </w:rPr>
              <w:t>BAB III: PROFIL MUHAMMAD TAQÎ MISHBÂH YAZDI</w:t>
              <w:tab/>
              <w:t>79</w:t>
            </w:r>
          </w:hyperlink>
        </w:p>
        <w:p>
          <w:pPr>
            <w:pStyle w:val="Contents3"/>
            <w:tabs>
              <w:tab w:val="clear" w:pos="8459"/>
              <w:tab w:val="right" w:pos="9026" w:leader="dot"/>
            </w:tabs>
            <w:bidi w:val="0"/>
            <w:rPr/>
          </w:pPr>
          <w:hyperlink w:anchor="__RefHeading___Toc688563_653776707">
            <w:r>
              <w:rPr>
                <w:webHidden/>
                <w:rStyle w:val="IndexLink"/>
              </w:rPr>
              <w:t>A. Biografi</w:t>
              <w:tab/>
              <w:t>79</w:t>
            </w:r>
          </w:hyperlink>
        </w:p>
        <w:p>
          <w:pPr>
            <w:pStyle w:val="Contents3"/>
            <w:tabs>
              <w:tab w:val="clear" w:pos="8459"/>
              <w:tab w:val="right" w:pos="9026" w:leader="dot"/>
            </w:tabs>
            <w:bidi w:val="0"/>
            <w:rPr/>
          </w:pPr>
          <w:hyperlink w:anchor="__RefHeading___Toc688565_653776707">
            <w:r>
              <w:rPr>
                <w:webHidden/>
                <w:rStyle w:val="IndexLink"/>
              </w:rPr>
              <w:t>B. Pendidikan</w:t>
              <w:tab/>
              <w:t>81</w:t>
            </w:r>
          </w:hyperlink>
        </w:p>
        <w:p>
          <w:pPr>
            <w:pStyle w:val="Contents4"/>
            <w:tabs>
              <w:tab w:val="clear" w:pos="8176"/>
              <w:tab w:val="right" w:pos="9026" w:leader="dot"/>
            </w:tabs>
            <w:bidi w:val="0"/>
            <w:rPr/>
          </w:pPr>
          <w:hyperlink w:anchor="__RefHeading___Toc688567_653776707">
            <w:r>
              <w:rPr>
                <w:webHidden/>
                <w:rStyle w:val="IndexLink"/>
              </w:rPr>
              <w:t>1. Jenjang Muqaddimat</w:t>
              <w:tab/>
              <w:t>81</w:t>
            </w:r>
          </w:hyperlink>
        </w:p>
        <w:p>
          <w:pPr>
            <w:pStyle w:val="Contents4"/>
            <w:tabs>
              <w:tab w:val="clear" w:pos="8176"/>
              <w:tab w:val="right" w:pos="9026" w:leader="dot"/>
            </w:tabs>
            <w:bidi w:val="0"/>
            <w:rPr/>
          </w:pPr>
          <w:hyperlink w:anchor="__RefHeading___Toc688569_653776707">
            <w:r>
              <w:rPr>
                <w:webHidden/>
                <w:rStyle w:val="IndexLink"/>
              </w:rPr>
              <w:t>2. Jenjang Suthuh</w:t>
              <w:tab/>
              <w:t>83</w:t>
            </w:r>
          </w:hyperlink>
        </w:p>
        <w:p>
          <w:pPr>
            <w:pStyle w:val="Contents4"/>
            <w:tabs>
              <w:tab w:val="clear" w:pos="8176"/>
              <w:tab w:val="right" w:pos="9026" w:leader="dot"/>
            </w:tabs>
            <w:bidi w:val="0"/>
            <w:rPr/>
          </w:pPr>
          <w:hyperlink w:anchor="__RefHeading___Toc688571_653776707">
            <w:r>
              <w:rPr>
                <w:webHidden/>
                <w:rStyle w:val="IndexLink"/>
              </w:rPr>
              <w:t>3. Jenjang Kharij</w:t>
              <w:tab/>
              <w:t>86</w:t>
            </w:r>
          </w:hyperlink>
        </w:p>
        <w:p>
          <w:pPr>
            <w:pStyle w:val="Contents3"/>
            <w:tabs>
              <w:tab w:val="clear" w:pos="8459"/>
              <w:tab w:val="right" w:pos="9026" w:leader="dot"/>
            </w:tabs>
            <w:bidi w:val="0"/>
            <w:rPr/>
          </w:pPr>
          <w:hyperlink w:anchor="__RefHeading___Toc688573_653776707">
            <w:r>
              <w:rPr>
                <w:webHidden/>
                <w:rStyle w:val="IndexLink"/>
              </w:rPr>
              <w:t>C. Kiprah dalam Pendidikan</w:t>
              <w:tab/>
              <w:t>89</w:t>
            </w:r>
          </w:hyperlink>
        </w:p>
        <w:p>
          <w:pPr>
            <w:pStyle w:val="Contents4"/>
            <w:tabs>
              <w:tab w:val="clear" w:pos="8176"/>
              <w:tab w:val="right" w:pos="9026" w:leader="dot"/>
            </w:tabs>
            <w:bidi w:val="0"/>
            <w:rPr/>
          </w:pPr>
          <w:hyperlink w:anchor="__RefHeading___Toc688575_653776707">
            <w:r>
              <w:rPr>
                <w:webHidden/>
                <w:rStyle w:val="IndexLink"/>
              </w:rPr>
              <w:t>Point</w:t>
              <w:tab/>
              <w:t>89</w:t>
            </w:r>
          </w:hyperlink>
        </w:p>
        <w:p>
          <w:pPr>
            <w:pStyle w:val="Contents4"/>
            <w:tabs>
              <w:tab w:val="clear" w:pos="8176"/>
              <w:tab w:val="right" w:pos="9026" w:leader="dot"/>
            </w:tabs>
            <w:bidi w:val="0"/>
            <w:rPr/>
          </w:pPr>
          <w:hyperlink w:anchor="__RefHeading___Toc688577_653776707">
            <w:r>
              <w:rPr>
                <w:webHidden/>
                <w:rStyle w:val="IndexLink"/>
              </w:rPr>
              <w:t>1. Bekerja sama dengan Behesyti dan Qudusi di Madrasah</w:t>
              <w:tab/>
              <w:t>98</w:t>
            </w:r>
          </w:hyperlink>
        </w:p>
        <w:p>
          <w:pPr>
            <w:pStyle w:val="Contents4"/>
            <w:tabs>
              <w:tab w:val="clear" w:pos="8176"/>
              <w:tab w:val="right" w:pos="9026" w:leader="dot"/>
            </w:tabs>
            <w:bidi w:val="0"/>
            <w:rPr/>
          </w:pPr>
          <w:hyperlink w:anchor="__RefHeading___Toc688579_653776707">
            <w:r>
              <w:rPr>
                <w:webHidden/>
                <w:rStyle w:val="IndexLink"/>
              </w:rPr>
              <w:t>2. Mendirikan Divisi Pendidikan di Yayasan Rahe Haq</w:t>
              <w:tab/>
              <w:t>99</w:t>
            </w:r>
          </w:hyperlink>
        </w:p>
        <w:p>
          <w:pPr>
            <w:pStyle w:val="Contents4"/>
            <w:tabs>
              <w:tab w:val="clear" w:pos="8176"/>
              <w:tab w:val="right" w:pos="9026" w:leader="dot"/>
            </w:tabs>
            <w:bidi w:val="0"/>
            <w:rPr/>
          </w:pPr>
          <w:hyperlink w:anchor="__RefHeading___Toc688581_653776707">
            <w:r>
              <w:rPr>
                <w:webHidden/>
                <w:rStyle w:val="IndexLink"/>
              </w:rPr>
              <w:t>3. Mendirikan Biro Kerjasama Hawzah dan Universitas</w:t>
              <w:tab/>
              <w:t>100</w:t>
            </w:r>
          </w:hyperlink>
        </w:p>
        <w:p>
          <w:pPr>
            <w:pStyle w:val="Contents4"/>
            <w:tabs>
              <w:tab w:val="clear" w:pos="8176"/>
              <w:tab w:val="right" w:pos="9026" w:leader="dot"/>
            </w:tabs>
            <w:bidi w:val="0"/>
            <w:rPr/>
          </w:pPr>
          <w:hyperlink w:anchor="__RefHeading___Toc688583_653776707">
            <w:r>
              <w:rPr>
                <w:webHidden/>
                <w:rStyle w:val="IndexLink"/>
              </w:rPr>
              <w:t>4. Mendirikan Institut Cultural Baqir Ulum</w:t>
              <w:tab/>
              <w:t>101</w:t>
            </w:r>
          </w:hyperlink>
        </w:p>
        <w:p>
          <w:pPr>
            <w:pStyle w:val="Contents4"/>
            <w:tabs>
              <w:tab w:val="clear" w:pos="8176"/>
              <w:tab w:val="right" w:pos="9026" w:leader="dot"/>
            </w:tabs>
            <w:bidi w:val="0"/>
            <w:rPr/>
          </w:pPr>
          <w:hyperlink w:anchor="__RefHeading___Toc688585_653776707">
            <w:r>
              <w:rPr>
                <w:webHidden/>
                <w:rStyle w:val="IndexLink"/>
              </w:rPr>
              <w:t>5. Mendirikan Pusat Pendidikan dan Penelitian Imam Khomeini</w:t>
              <w:tab/>
              <w:t>101</w:t>
            </w:r>
          </w:hyperlink>
        </w:p>
        <w:p>
          <w:pPr>
            <w:pStyle w:val="Contents3"/>
            <w:tabs>
              <w:tab w:val="clear" w:pos="8459"/>
              <w:tab w:val="right" w:pos="9026" w:leader="dot"/>
            </w:tabs>
            <w:bidi w:val="0"/>
            <w:rPr/>
          </w:pPr>
          <w:hyperlink w:anchor="__RefHeading___Toc688587_653776707">
            <w:r>
              <w:rPr>
                <w:webHidden/>
                <w:rStyle w:val="IndexLink"/>
              </w:rPr>
              <w:t>D. Kiprah dalam penelitian dan Pengembangan Metodologi</w:t>
              <w:tab/>
              <w:t>101</w:t>
            </w:r>
          </w:hyperlink>
        </w:p>
        <w:p>
          <w:pPr>
            <w:pStyle w:val="Contents4"/>
            <w:tabs>
              <w:tab w:val="clear" w:pos="8176"/>
              <w:tab w:val="right" w:pos="9026" w:leader="dot"/>
            </w:tabs>
            <w:bidi w:val="0"/>
            <w:rPr/>
          </w:pPr>
          <w:hyperlink w:anchor="__RefHeading___Toc688589_653776707">
            <w:r>
              <w:rPr>
                <w:webHidden/>
                <w:rStyle w:val="IndexLink"/>
              </w:rPr>
              <w:t>Point</w:t>
              <w:tab/>
              <w:t>101</w:t>
            </w:r>
          </w:hyperlink>
        </w:p>
        <w:p>
          <w:pPr>
            <w:pStyle w:val="Contents4"/>
            <w:tabs>
              <w:tab w:val="clear" w:pos="8176"/>
              <w:tab w:val="right" w:pos="9026" w:leader="dot"/>
            </w:tabs>
            <w:bidi w:val="0"/>
            <w:rPr/>
          </w:pPr>
          <w:hyperlink w:anchor="__RefHeading___Toc688591_653776707">
            <w:r>
              <w:rPr>
                <w:webHidden/>
                <w:rStyle w:val="IndexLink"/>
              </w:rPr>
              <w:t>1. Fiqh dan Ushul Fiqh</w:t>
              <w:tab/>
              <w:t>101</w:t>
            </w:r>
          </w:hyperlink>
        </w:p>
        <w:p>
          <w:pPr>
            <w:pStyle w:val="Contents4"/>
            <w:tabs>
              <w:tab w:val="clear" w:pos="8176"/>
              <w:tab w:val="right" w:pos="9026" w:leader="dot"/>
            </w:tabs>
            <w:bidi w:val="0"/>
            <w:rPr/>
          </w:pPr>
          <w:hyperlink w:anchor="__RefHeading___Toc688593_653776707">
            <w:r>
              <w:rPr>
                <w:webHidden/>
                <w:rStyle w:val="IndexLink"/>
              </w:rPr>
              <w:t>2. Tafsir</w:t>
              <w:tab/>
              <w:t>102</w:t>
            </w:r>
          </w:hyperlink>
        </w:p>
        <w:p>
          <w:pPr>
            <w:pStyle w:val="Contents4"/>
            <w:tabs>
              <w:tab w:val="clear" w:pos="8176"/>
              <w:tab w:val="right" w:pos="9026" w:leader="dot"/>
            </w:tabs>
            <w:bidi w:val="0"/>
            <w:rPr/>
          </w:pPr>
          <w:hyperlink w:anchor="__RefHeading___Toc688595_653776707">
            <w:r>
              <w:rPr>
                <w:webHidden/>
                <w:rStyle w:val="IndexLink"/>
              </w:rPr>
              <w:t>3. Filsafat</w:t>
              <w:tab/>
              <w:t>104</w:t>
            </w:r>
          </w:hyperlink>
        </w:p>
        <w:p>
          <w:pPr>
            <w:pStyle w:val="Contents3"/>
            <w:tabs>
              <w:tab w:val="clear" w:pos="8459"/>
              <w:tab w:val="right" w:pos="9026" w:leader="dot"/>
            </w:tabs>
            <w:bidi w:val="0"/>
            <w:rPr/>
          </w:pPr>
          <w:hyperlink w:anchor="__RefHeading___Toc688597_653776707">
            <w:r>
              <w:rPr>
                <w:webHidden/>
                <w:rStyle w:val="IndexLink"/>
              </w:rPr>
              <w:t>E. Guru-gurunya</w:t>
              <w:tab/>
              <w:t>107</w:t>
            </w:r>
          </w:hyperlink>
        </w:p>
        <w:p>
          <w:pPr>
            <w:pStyle w:val="Contents4"/>
            <w:tabs>
              <w:tab w:val="clear" w:pos="8176"/>
              <w:tab w:val="right" w:pos="9026" w:leader="dot"/>
            </w:tabs>
            <w:bidi w:val="0"/>
            <w:rPr/>
          </w:pPr>
          <w:hyperlink w:anchor="__RefHeading___Toc688599_653776707">
            <w:r>
              <w:rPr>
                <w:webHidden/>
                <w:rStyle w:val="IndexLink"/>
              </w:rPr>
              <w:t>Point</w:t>
              <w:tab/>
              <w:t>107</w:t>
            </w:r>
          </w:hyperlink>
        </w:p>
        <w:p>
          <w:pPr>
            <w:pStyle w:val="Contents4"/>
            <w:tabs>
              <w:tab w:val="clear" w:pos="8176"/>
              <w:tab w:val="right" w:pos="9026" w:leader="dot"/>
            </w:tabs>
            <w:bidi w:val="0"/>
            <w:rPr/>
          </w:pPr>
          <w:hyperlink w:anchor="__RefHeading___Toc688601_653776707">
            <w:r>
              <w:rPr>
                <w:webHidden/>
                <w:rStyle w:val="IndexLink"/>
              </w:rPr>
              <w:t>1.Thabâthabâ'i</w:t>
              <w:tab/>
              <w:t>107</w:t>
            </w:r>
          </w:hyperlink>
        </w:p>
        <w:p>
          <w:pPr>
            <w:pStyle w:val="Contents4"/>
            <w:tabs>
              <w:tab w:val="clear" w:pos="8176"/>
              <w:tab w:val="right" w:pos="9026" w:leader="dot"/>
            </w:tabs>
            <w:bidi w:val="0"/>
            <w:rPr/>
          </w:pPr>
          <w:hyperlink w:anchor="__RefHeading___Toc688603_653776707">
            <w:r>
              <w:rPr>
                <w:webHidden/>
                <w:rStyle w:val="IndexLink"/>
              </w:rPr>
              <w:t>2. Khomeini</w:t>
              <w:tab/>
              <w:t>109</w:t>
            </w:r>
          </w:hyperlink>
        </w:p>
        <w:p>
          <w:pPr>
            <w:pStyle w:val="Contents3"/>
            <w:tabs>
              <w:tab w:val="clear" w:pos="8459"/>
              <w:tab w:val="right" w:pos="9026" w:leader="dot"/>
            </w:tabs>
            <w:bidi w:val="0"/>
            <w:rPr/>
          </w:pPr>
          <w:hyperlink w:anchor="__RefHeading___Toc688605_653776707">
            <w:r>
              <w:rPr>
                <w:webHidden/>
                <w:rStyle w:val="IndexLink"/>
              </w:rPr>
              <w:t>F. Murid-muridnya</w:t>
              <w:tab/>
              <w:t>111</w:t>
            </w:r>
          </w:hyperlink>
        </w:p>
        <w:p>
          <w:pPr>
            <w:pStyle w:val="Contents3"/>
            <w:tabs>
              <w:tab w:val="clear" w:pos="8459"/>
              <w:tab w:val="right" w:pos="9026" w:leader="dot"/>
            </w:tabs>
            <w:bidi w:val="0"/>
            <w:rPr/>
          </w:pPr>
          <w:hyperlink w:anchor="__RefHeading___Toc688607_653776707">
            <w:r>
              <w:rPr>
                <w:webHidden/>
                <w:rStyle w:val="IndexLink"/>
              </w:rPr>
              <w:t>G. Muhammad Taqi Mishbâh Yazdî dan Para Pemikir Hawzah</w:t>
              <w:tab/>
              <w:t>112</w:t>
            </w:r>
          </w:hyperlink>
        </w:p>
        <w:p>
          <w:pPr>
            <w:pStyle w:val="Contents4"/>
            <w:tabs>
              <w:tab w:val="clear" w:pos="8176"/>
              <w:tab w:val="right" w:pos="9026" w:leader="dot"/>
            </w:tabs>
            <w:bidi w:val="0"/>
            <w:rPr/>
          </w:pPr>
          <w:hyperlink w:anchor="__RefHeading___Toc688609_653776707">
            <w:r>
              <w:rPr>
                <w:webHidden/>
                <w:rStyle w:val="IndexLink"/>
              </w:rPr>
              <w:t>Point</w:t>
              <w:tab/>
              <w:t>112</w:t>
            </w:r>
          </w:hyperlink>
        </w:p>
        <w:p>
          <w:pPr>
            <w:pStyle w:val="Contents4"/>
            <w:tabs>
              <w:tab w:val="clear" w:pos="8176"/>
              <w:tab w:val="right" w:pos="9026" w:leader="dot"/>
            </w:tabs>
            <w:bidi w:val="0"/>
            <w:rPr/>
          </w:pPr>
          <w:hyperlink w:anchor="__RefHeading___Toc688611_653776707">
            <w:r>
              <w:rPr>
                <w:webHidden/>
                <w:rStyle w:val="IndexLink"/>
              </w:rPr>
              <w:t>1. Muthahhri dan Muhammad Taqi Mishbâh Yazdî</w:t>
              <w:tab/>
              <w:t>113</w:t>
            </w:r>
          </w:hyperlink>
        </w:p>
        <w:p>
          <w:pPr>
            <w:pStyle w:val="Contents4"/>
            <w:tabs>
              <w:tab w:val="clear" w:pos="8176"/>
              <w:tab w:val="right" w:pos="9026" w:leader="dot"/>
            </w:tabs>
            <w:bidi w:val="0"/>
            <w:rPr/>
          </w:pPr>
          <w:hyperlink w:anchor="__RefHeading___Toc688613_653776707">
            <w:r>
              <w:rPr>
                <w:webHidden/>
                <w:rStyle w:val="IndexLink"/>
              </w:rPr>
              <w:t>2. Jawadi Âmulî dan Muhammad Taqi Mishbâh Yazdî</w:t>
              <w:tab/>
              <w:t>117</w:t>
            </w:r>
          </w:hyperlink>
        </w:p>
        <w:p>
          <w:pPr>
            <w:pStyle w:val="Contents2"/>
            <w:tabs>
              <w:tab w:val="clear" w:pos="8743"/>
              <w:tab w:val="right" w:pos="9026" w:leader="dot"/>
            </w:tabs>
            <w:bidi w:val="0"/>
            <w:rPr/>
          </w:pPr>
          <w:hyperlink w:anchor="__RefHeading___Toc688615_653776707">
            <w:r>
              <w:rPr>
                <w:webHidden/>
                <w:rStyle w:val="IndexLink"/>
              </w:rPr>
              <w:t>BAB IV: PEMIKIRAN FILSAFAT MUHAMMAD TAQI MISHBAH YAZDI</w:t>
              <w:tab/>
              <w:t>125</w:t>
            </w:r>
          </w:hyperlink>
        </w:p>
        <w:p>
          <w:pPr>
            <w:pStyle w:val="Contents3"/>
            <w:tabs>
              <w:tab w:val="clear" w:pos="8459"/>
              <w:tab w:val="right" w:pos="9026" w:leader="dot"/>
            </w:tabs>
            <w:bidi w:val="0"/>
            <w:rPr/>
          </w:pPr>
          <w:hyperlink w:anchor="__RefHeading___Toc688617_653776707">
            <w:r>
              <w:rPr>
                <w:webHidden/>
                <w:rStyle w:val="IndexLink"/>
              </w:rPr>
              <w:t>Point</w:t>
              <w:tab/>
              <w:t>125</w:t>
            </w:r>
          </w:hyperlink>
        </w:p>
        <w:p>
          <w:pPr>
            <w:pStyle w:val="Contents3"/>
            <w:tabs>
              <w:tab w:val="clear" w:pos="8459"/>
              <w:tab w:val="right" w:pos="9026" w:leader="dot"/>
            </w:tabs>
            <w:bidi w:val="0"/>
            <w:rPr/>
          </w:pPr>
          <w:hyperlink w:anchor="__RefHeading___Toc688619_653776707">
            <w:r>
              <w:rPr>
                <w:webHidden/>
                <w:rStyle w:val="IndexLink"/>
              </w:rPr>
              <w:t>A. Pengertian, Subjek, dan Tujuan Studi Filsafat dalam Tradisi Hawzah</w:t>
              <w:tab/>
              <w:t>128</w:t>
            </w:r>
          </w:hyperlink>
        </w:p>
        <w:p>
          <w:pPr>
            <w:pStyle w:val="Contents3"/>
            <w:tabs>
              <w:tab w:val="clear" w:pos="8459"/>
              <w:tab w:val="right" w:pos="9026" w:leader="dot"/>
            </w:tabs>
            <w:bidi w:val="0"/>
            <w:rPr/>
          </w:pPr>
          <w:hyperlink w:anchor="__RefHeading___Toc688621_653776707">
            <w:r>
              <w:rPr>
                <w:webHidden/>
                <w:rStyle w:val="IndexLink"/>
              </w:rPr>
              <w:t>B. Anatomi Filsafat dan Ilmu</w:t>
              <w:tab/>
              <w:t>134</w:t>
            </w:r>
          </w:hyperlink>
        </w:p>
        <w:p>
          <w:pPr>
            <w:pStyle w:val="Contents3"/>
            <w:tabs>
              <w:tab w:val="clear" w:pos="8459"/>
              <w:tab w:val="right" w:pos="9026" w:leader="dot"/>
            </w:tabs>
            <w:bidi w:val="0"/>
            <w:rPr/>
          </w:pPr>
          <w:hyperlink w:anchor="__RefHeading___Toc688623_653776707">
            <w:r>
              <w:rPr>
                <w:webHidden/>
                <w:rStyle w:val="IndexLink"/>
              </w:rPr>
              <w:t>C. Klarifikasi tentang Homonimitas dalam Pembahasan Filsafat</w:t>
              <w:tab/>
              <w:t>141</w:t>
            </w:r>
          </w:hyperlink>
        </w:p>
        <w:p>
          <w:pPr>
            <w:pStyle w:val="Contents3"/>
            <w:tabs>
              <w:tab w:val="clear" w:pos="8459"/>
              <w:tab w:val="right" w:pos="9026" w:leader="dot"/>
            </w:tabs>
            <w:bidi w:val="0"/>
            <w:rPr/>
          </w:pPr>
          <w:hyperlink w:anchor="__RefHeading___Toc688625_653776707">
            <w:r>
              <w:rPr>
                <w:webHidden/>
                <w:rStyle w:val="IndexLink"/>
              </w:rPr>
              <w:t>D. Klarifikasi seputar Konsep-konsep Universal</w:t>
              <w:tab/>
              <w:t>146</w:t>
            </w:r>
          </w:hyperlink>
        </w:p>
        <w:p>
          <w:pPr>
            <w:pStyle w:val="Contents2"/>
            <w:tabs>
              <w:tab w:val="clear" w:pos="8743"/>
              <w:tab w:val="right" w:pos="9026" w:leader="dot"/>
            </w:tabs>
            <w:bidi w:val="0"/>
            <w:rPr/>
          </w:pPr>
          <w:hyperlink w:anchor="__RefHeading___Toc688627_653776707">
            <w:r>
              <w:rPr>
                <w:webHidden/>
                <w:rStyle w:val="IndexLink"/>
              </w:rPr>
              <w:t>BAB V: PEMIKIRAN EPISTEMOLOGI MUHAMMAD TAQÎ MISHBÂH YAZDÎ</w:t>
              <w:tab/>
              <w:t>155</w:t>
            </w:r>
          </w:hyperlink>
        </w:p>
        <w:p>
          <w:pPr>
            <w:pStyle w:val="Contents3"/>
            <w:tabs>
              <w:tab w:val="clear" w:pos="8459"/>
              <w:tab w:val="right" w:pos="9026" w:leader="dot"/>
            </w:tabs>
            <w:bidi w:val="0"/>
            <w:rPr/>
          </w:pPr>
          <w:hyperlink w:anchor="__RefHeading___Toc688629_653776707">
            <w:r>
              <w:rPr>
                <w:webHidden/>
                <w:rStyle w:val="IndexLink"/>
              </w:rPr>
              <w:t>A. Pengertian</w:t>
              <w:tab/>
              <w:t>155</w:t>
            </w:r>
          </w:hyperlink>
        </w:p>
        <w:p>
          <w:pPr>
            <w:pStyle w:val="Contents3"/>
            <w:tabs>
              <w:tab w:val="clear" w:pos="8459"/>
              <w:tab w:val="right" w:pos="9026" w:leader="dot"/>
            </w:tabs>
            <w:bidi w:val="0"/>
            <w:rPr/>
          </w:pPr>
          <w:hyperlink w:anchor="__RefHeading___Toc688631_653776707">
            <w:r>
              <w:rPr>
                <w:webHidden/>
                <w:rStyle w:val="IndexLink"/>
              </w:rPr>
              <w:t>B. Relasi Epistemologi dan Ontologi</w:t>
              <w:tab/>
              <w:t>159</w:t>
            </w:r>
          </w:hyperlink>
        </w:p>
        <w:p>
          <w:pPr>
            <w:pStyle w:val="Contents3"/>
            <w:tabs>
              <w:tab w:val="clear" w:pos="8459"/>
              <w:tab w:val="right" w:pos="9026" w:leader="dot"/>
            </w:tabs>
            <w:bidi w:val="0"/>
            <w:rPr/>
          </w:pPr>
          <w:hyperlink w:anchor="__RefHeading___Toc688633_653776707">
            <w:r>
              <w:rPr>
                <w:webHidden/>
                <w:rStyle w:val="IndexLink"/>
              </w:rPr>
              <w:t>C. Filsafat dan Ilmu</w:t>
              <w:tab/>
              <w:t>164</w:t>
            </w:r>
          </w:hyperlink>
        </w:p>
        <w:p>
          <w:pPr>
            <w:pStyle w:val="Contents3"/>
            <w:tabs>
              <w:tab w:val="clear" w:pos="8459"/>
              <w:tab w:val="right" w:pos="9026" w:leader="dot"/>
            </w:tabs>
            <w:bidi w:val="0"/>
            <w:rPr/>
          </w:pPr>
          <w:hyperlink w:anchor="__RefHeading___Toc688635_653776707">
            <w:r>
              <w:rPr>
                <w:webHidden/>
                <w:rStyle w:val="IndexLink"/>
              </w:rPr>
              <w:t>D. Ragam dan Hakikat Ilmu</w:t>
              <w:tab/>
              <w:t>170</w:t>
            </w:r>
          </w:hyperlink>
        </w:p>
        <w:p>
          <w:pPr>
            <w:pStyle w:val="Contents3"/>
            <w:tabs>
              <w:tab w:val="clear" w:pos="8459"/>
              <w:tab w:val="right" w:pos="9026" w:leader="dot"/>
            </w:tabs>
            <w:bidi w:val="0"/>
            <w:rPr/>
          </w:pPr>
          <w:hyperlink w:anchor="__RefHeading___Toc688637_653776707">
            <w:r>
              <w:rPr>
                <w:webHidden/>
                <w:rStyle w:val="IndexLink"/>
              </w:rPr>
              <w:t>E. Prinisp Hudhûr</w:t>
              <w:tab/>
              <w:t>174</w:t>
            </w:r>
          </w:hyperlink>
        </w:p>
        <w:p>
          <w:pPr>
            <w:pStyle w:val="Contents4"/>
            <w:tabs>
              <w:tab w:val="clear" w:pos="8176"/>
              <w:tab w:val="right" w:pos="9026" w:leader="dot"/>
            </w:tabs>
            <w:bidi w:val="0"/>
            <w:rPr/>
          </w:pPr>
          <w:hyperlink w:anchor="__RefHeading___Toc688639_653776707">
            <w:r>
              <w:rPr>
                <w:webHidden/>
                <w:rStyle w:val="IndexLink"/>
              </w:rPr>
              <w:t>Point</w:t>
              <w:tab/>
              <w:t>174</w:t>
            </w:r>
          </w:hyperlink>
        </w:p>
        <w:p>
          <w:pPr>
            <w:pStyle w:val="Contents4"/>
            <w:tabs>
              <w:tab w:val="clear" w:pos="8176"/>
              <w:tab w:val="right" w:pos="9026" w:leader="dot"/>
            </w:tabs>
            <w:bidi w:val="0"/>
            <w:rPr/>
          </w:pPr>
          <w:hyperlink w:anchor="__RefHeading___Toc688641_653776707">
            <w:r>
              <w:rPr>
                <w:webHidden/>
                <w:rStyle w:val="IndexLink"/>
              </w:rPr>
              <w:t>1. Objek Aksidental dan Substansial</w:t>
              <w:tab/>
              <w:t>178</w:t>
            </w:r>
          </w:hyperlink>
        </w:p>
        <w:p>
          <w:pPr>
            <w:pStyle w:val="Contents4"/>
            <w:tabs>
              <w:tab w:val="clear" w:pos="8176"/>
              <w:tab w:val="right" w:pos="9026" w:leader="dot"/>
            </w:tabs>
            <w:bidi w:val="0"/>
            <w:rPr/>
          </w:pPr>
          <w:hyperlink w:anchor="__RefHeading___Toc688643_653776707">
            <w:r>
              <w:rPr>
                <w:webHidden/>
                <w:rStyle w:val="IndexLink"/>
              </w:rPr>
              <w:t>2. Kebersatuan Subjek dan Objek Pengetahuan</w:t>
              <w:tab/>
              <w:t>183</w:t>
            </w:r>
          </w:hyperlink>
        </w:p>
        <w:p>
          <w:pPr>
            <w:pStyle w:val="Contents4"/>
            <w:tabs>
              <w:tab w:val="clear" w:pos="8176"/>
              <w:tab w:val="right" w:pos="9026" w:leader="dot"/>
            </w:tabs>
            <w:bidi w:val="0"/>
            <w:rPr/>
          </w:pPr>
          <w:hyperlink w:anchor="__RefHeading___Toc688645_653776707">
            <w:r>
              <w:rPr>
                <w:webHidden/>
                <w:rStyle w:val="IndexLink"/>
              </w:rPr>
              <w:t>3. Pengetahuan Maujud Abstrak terhadap Maujud</w:t>
              <w:tab/>
              <w:t>185</w:t>
            </w:r>
          </w:hyperlink>
        </w:p>
        <w:p>
          <w:pPr>
            <w:pStyle w:val="Contents3"/>
            <w:tabs>
              <w:tab w:val="clear" w:pos="8459"/>
              <w:tab w:val="right" w:pos="9026" w:leader="dot"/>
            </w:tabs>
            <w:bidi w:val="0"/>
            <w:rPr/>
          </w:pPr>
          <w:hyperlink w:anchor="__RefHeading___Toc688647_653776707">
            <w:r>
              <w:rPr>
                <w:webHidden/>
                <w:rStyle w:val="IndexLink"/>
              </w:rPr>
              <w:t>F. Prinsip Badâhah</w:t>
              <w:tab/>
              <w:t>187</w:t>
            </w:r>
          </w:hyperlink>
        </w:p>
        <w:p>
          <w:pPr>
            <w:pStyle w:val="Contents4"/>
            <w:tabs>
              <w:tab w:val="clear" w:pos="8176"/>
              <w:tab w:val="right" w:pos="9026" w:leader="dot"/>
            </w:tabs>
            <w:bidi w:val="0"/>
            <w:rPr/>
          </w:pPr>
          <w:hyperlink w:anchor="__RefHeading___Toc688649_653776707">
            <w:r>
              <w:rPr>
                <w:webHidden/>
                <w:rStyle w:val="IndexLink"/>
              </w:rPr>
              <w:t>Point</w:t>
              <w:tab/>
              <w:t>187</w:t>
            </w:r>
          </w:hyperlink>
        </w:p>
        <w:p>
          <w:pPr>
            <w:pStyle w:val="Contents4"/>
            <w:tabs>
              <w:tab w:val="clear" w:pos="8176"/>
              <w:tab w:val="right" w:pos="9026" w:leader="dot"/>
            </w:tabs>
            <w:bidi w:val="0"/>
            <w:rPr/>
          </w:pPr>
          <w:hyperlink w:anchor="__RefHeading___Toc688651_653776707">
            <w:r>
              <w:rPr>
                <w:webHidden/>
                <w:rStyle w:val="IndexLink"/>
              </w:rPr>
              <w:t>1. Badîhî Awwali</w:t>
              <w:tab/>
              <w:t>201</w:t>
            </w:r>
          </w:hyperlink>
        </w:p>
        <w:p>
          <w:pPr>
            <w:pStyle w:val="Contents4"/>
            <w:tabs>
              <w:tab w:val="clear" w:pos="8176"/>
              <w:tab w:val="right" w:pos="9026" w:leader="dot"/>
            </w:tabs>
            <w:bidi w:val="0"/>
            <w:rPr/>
          </w:pPr>
          <w:hyperlink w:anchor="__RefHeading___Toc688653_653776707">
            <w:r>
              <w:rPr>
                <w:webHidden/>
                <w:rStyle w:val="IndexLink"/>
              </w:rPr>
              <w:t>2. Badîhî Tsanawi</w:t>
              <w:tab/>
              <w:t>202</w:t>
            </w:r>
          </w:hyperlink>
        </w:p>
        <w:p>
          <w:pPr>
            <w:pStyle w:val="Contents2"/>
            <w:tabs>
              <w:tab w:val="clear" w:pos="8743"/>
              <w:tab w:val="right" w:pos="9026" w:leader="dot"/>
            </w:tabs>
            <w:bidi w:val="0"/>
            <w:rPr/>
          </w:pPr>
          <w:hyperlink w:anchor="__RefHeading___Toc688655_653776707">
            <w:r>
              <w:rPr>
                <w:webHidden/>
                <w:rStyle w:val="IndexLink"/>
              </w:rPr>
              <w:t>BAB VI: PEMIKIRAN ONTOLOGI MUHAMMAD TAQÎ MISHBÂH YAZDÎ</w:t>
              <w:tab/>
              <w:t>205</w:t>
            </w:r>
          </w:hyperlink>
        </w:p>
        <w:p>
          <w:pPr>
            <w:pStyle w:val="Contents3"/>
            <w:tabs>
              <w:tab w:val="clear" w:pos="8459"/>
              <w:tab w:val="right" w:pos="9026" w:leader="dot"/>
            </w:tabs>
            <w:bidi w:val="0"/>
            <w:rPr/>
          </w:pPr>
          <w:hyperlink w:anchor="__RefHeading___Toc688657_653776707">
            <w:r>
              <w:rPr>
                <w:webHidden/>
                <w:rStyle w:val="IndexLink"/>
              </w:rPr>
              <w:t>Point</w:t>
              <w:tab/>
              <w:t>205</w:t>
            </w:r>
          </w:hyperlink>
        </w:p>
        <w:p>
          <w:pPr>
            <w:pStyle w:val="Contents3"/>
            <w:tabs>
              <w:tab w:val="clear" w:pos="8459"/>
              <w:tab w:val="right" w:pos="9026" w:leader="dot"/>
            </w:tabs>
            <w:bidi w:val="0"/>
            <w:rPr/>
          </w:pPr>
          <w:hyperlink w:anchor="__RefHeading___Toc688659_653776707">
            <w:r>
              <w:rPr>
                <w:webHidden/>
                <w:rStyle w:val="IndexLink"/>
              </w:rPr>
              <w:t>A. Wujûd</w:t>
              <w:tab/>
              <w:t>206</w:t>
            </w:r>
          </w:hyperlink>
        </w:p>
        <w:p>
          <w:pPr>
            <w:pStyle w:val="Contents4"/>
            <w:tabs>
              <w:tab w:val="clear" w:pos="8176"/>
              <w:tab w:val="right" w:pos="9026" w:leader="dot"/>
            </w:tabs>
            <w:bidi w:val="0"/>
            <w:rPr/>
          </w:pPr>
          <w:hyperlink w:anchor="__RefHeading___Toc688661_653776707">
            <w:r>
              <w:rPr>
                <w:webHidden/>
                <w:rStyle w:val="IndexLink"/>
              </w:rPr>
              <w:t>Point</w:t>
              <w:tab/>
              <w:t>206</w:t>
            </w:r>
          </w:hyperlink>
        </w:p>
        <w:p>
          <w:pPr>
            <w:pStyle w:val="Contents4"/>
            <w:tabs>
              <w:tab w:val="clear" w:pos="8176"/>
              <w:tab w:val="right" w:pos="9026" w:leader="dot"/>
            </w:tabs>
            <w:bidi w:val="0"/>
            <w:rPr/>
          </w:pPr>
          <w:hyperlink w:anchor="__RefHeading___Toc688663_653776707">
            <w:r>
              <w:rPr>
                <w:webHidden/>
                <w:rStyle w:val="IndexLink"/>
              </w:rPr>
              <w:t>1. Ashâlat al-Wujûd</w:t>
              <w:tab/>
              <w:t>209</w:t>
            </w:r>
          </w:hyperlink>
        </w:p>
        <w:p>
          <w:pPr>
            <w:pStyle w:val="Contents4"/>
            <w:tabs>
              <w:tab w:val="clear" w:pos="8176"/>
              <w:tab w:val="right" w:pos="9026" w:leader="dot"/>
            </w:tabs>
            <w:bidi w:val="0"/>
            <w:rPr/>
          </w:pPr>
          <w:hyperlink w:anchor="__RefHeading___Toc688665_653776707">
            <w:r>
              <w:rPr>
                <w:webHidden/>
                <w:rStyle w:val="IndexLink"/>
              </w:rPr>
              <w:t>2. Wahdat al-Wujûd</w:t>
              <w:tab/>
              <w:t>218</w:t>
            </w:r>
          </w:hyperlink>
        </w:p>
        <w:p>
          <w:pPr>
            <w:pStyle w:val="Contents4"/>
            <w:tabs>
              <w:tab w:val="clear" w:pos="8176"/>
              <w:tab w:val="right" w:pos="9026" w:leader="dot"/>
            </w:tabs>
            <w:bidi w:val="0"/>
            <w:rPr/>
          </w:pPr>
          <w:hyperlink w:anchor="__RefHeading___Toc688667_653776707">
            <w:r>
              <w:rPr>
                <w:webHidden/>
                <w:rStyle w:val="IndexLink"/>
              </w:rPr>
              <w:t>3. Tasykik al-Wujûd</w:t>
              <w:tab/>
              <w:t>231</w:t>
            </w:r>
          </w:hyperlink>
        </w:p>
        <w:p>
          <w:pPr>
            <w:pStyle w:val="Contents4"/>
            <w:tabs>
              <w:tab w:val="clear" w:pos="8176"/>
              <w:tab w:val="right" w:pos="9026" w:leader="dot"/>
            </w:tabs>
            <w:bidi w:val="0"/>
            <w:rPr/>
          </w:pPr>
          <w:hyperlink w:anchor="__RefHeading___Toc688669_653776707">
            <w:r>
              <w:rPr>
                <w:webHidden/>
                <w:rStyle w:val="IndexLink"/>
              </w:rPr>
              <w:t>4. Râbith dan Mustaqil</w:t>
              <w:tab/>
              <w:t>233</w:t>
            </w:r>
          </w:hyperlink>
        </w:p>
        <w:p>
          <w:pPr>
            <w:pStyle w:val="Contents4"/>
            <w:tabs>
              <w:tab w:val="clear" w:pos="8176"/>
              <w:tab w:val="right" w:pos="9026" w:leader="dot"/>
            </w:tabs>
            <w:bidi w:val="0"/>
            <w:rPr/>
          </w:pPr>
          <w:hyperlink w:anchor="__RefHeading___Toc688671_653776707">
            <w:r>
              <w:rPr>
                <w:webHidden/>
                <w:rStyle w:val="IndexLink"/>
              </w:rPr>
              <w:t>5. Wajib dan Mumkin</w:t>
              <w:tab/>
              <w:t>238</w:t>
            </w:r>
          </w:hyperlink>
        </w:p>
        <w:p>
          <w:pPr>
            <w:pStyle w:val="Contents4"/>
            <w:tabs>
              <w:tab w:val="clear" w:pos="8176"/>
              <w:tab w:val="right" w:pos="9026" w:leader="dot"/>
            </w:tabs>
            <w:bidi w:val="0"/>
            <w:rPr/>
          </w:pPr>
          <w:hyperlink w:anchor="__RefHeading___Toc688673_653776707">
            <w:r>
              <w:rPr>
                <w:webHidden/>
                <w:rStyle w:val="IndexLink"/>
              </w:rPr>
              <w:t>6. Illah dan Ma'lûl</w:t>
              <w:tab/>
              <w:t>240</w:t>
            </w:r>
          </w:hyperlink>
        </w:p>
        <w:p>
          <w:pPr>
            <w:pStyle w:val="Contents3"/>
            <w:tabs>
              <w:tab w:val="clear" w:pos="8459"/>
              <w:tab w:val="right" w:pos="9026" w:leader="dot"/>
            </w:tabs>
            <w:bidi w:val="0"/>
            <w:rPr/>
          </w:pPr>
          <w:hyperlink w:anchor="__RefHeading___Toc688675_653776707">
            <w:r>
              <w:rPr>
                <w:webHidden/>
                <w:rStyle w:val="IndexLink"/>
              </w:rPr>
              <w:t>B. Mâhiyyah</w:t>
              <w:tab/>
              <w:t>246</w:t>
            </w:r>
          </w:hyperlink>
        </w:p>
        <w:p>
          <w:pPr>
            <w:pStyle w:val="Contents3"/>
            <w:tabs>
              <w:tab w:val="clear" w:pos="8459"/>
              <w:tab w:val="right" w:pos="9026" w:leader="dot"/>
            </w:tabs>
            <w:bidi w:val="0"/>
            <w:rPr/>
          </w:pPr>
          <w:hyperlink w:anchor="__RefHeading___Toc688677_653776707">
            <w:r>
              <w:rPr>
                <w:webHidden/>
                <w:rStyle w:val="IndexLink"/>
              </w:rPr>
              <w:t>C. Jawhar dan `Aradh</w:t>
              <w:tab/>
              <w:t>250</w:t>
            </w:r>
          </w:hyperlink>
        </w:p>
        <w:p>
          <w:pPr>
            <w:pStyle w:val="Contents3"/>
            <w:tabs>
              <w:tab w:val="clear" w:pos="8459"/>
              <w:tab w:val="right" w:pos="9026" w:leader="dot"/>
            </w:tabs>
            <w:bidi w:val="0"/>
            <w:rPr/>
          </w:pPr>
          <w:hyperlink w:anchor="__RefHeading___Toc688679_653776707">
            <w:r>
              <w:rPr>
                <w:webHidden/>
                <w:rStyle w:val="IndexLink"/>
              </w:rPr>
              <w:t>D. Harakah Jawhariyyah</w:t>
              <w:tab/>
              <w:t>253</w:t>
            </w:r>
          </w:hyperlink>
        </w:p>
        <w:p>
          <w:pPr>
            <w:pStyle w:val="Contents2"/>
            <w:tabs>
              <w:tab w:val="clear" w:pos="8743"/>
              <w:tab w:val="right" w:pos="9026" w:leader="dot"/>
            </w:tabs>
            <w:bidi w:val="0"/>
            <w:rPr/>
          </w:pPr>
          <w:hyperlink w:anchor="__RefHeading___Toc688681_653776707">
            <w:r>
              <w:rPr>
                <w:webHidden/>
                <w:rStyle w:val="IndexLink"/>
              </w:rPr>
              <w:t>BAB VII:PEMIKIRAN TEOLOGI MUHAMMAD TAQÎ MISHBÂH YAZDI</w:t>
              <w:tab/>
              <w:t>259</w:t>
            </w:r>
          </w:hyperlink>
        </w:p>
        <w:p>
          <w:pPr>
            <w:pStyle w:val="Contents3"/>
            <w:tabs>
              <w:tab w:val="clear" w:pos="8459"/>
              <w:tab w:val="right" w:pos="9026" w:leader="dot"/>
            </w:tabs>
            <w:bidi w:val="0"/>
            <w:rPr/>
          </w:pPr>
          <w:hyperlink w:anchor="__RefHeading___Toc688683_653776707">
            <w:r>
              <w:rPr>
                <w:webHidden/>
                <w:rStyle w:val="IndexLink"/>
              </w:rPr>
              <w:t>A. Sistematika Teologi</w:t>
              <w:tab/>
              <w:t>259</w:t>
            </w:r>
          </w:hyperlink>
        </w:p>
        <w:p>
          <w:pPr>
            <w:pStyle w:val="Contents3"/>
            <w:tabs>
              <w:tab w:val="clear" w:pos="8459"/>
              <w:tab w:val="right" w:pos="9026" w:leader="dot"/>
            </w:tabs>
            <w:bidi w:val="0"/>
            <w:rPr/>
          </w:pPr>
          <w:hyperlink w:anchor="__RefHeading___Toc688685_653776707">
            <w:r>
              <w:rPr>
                <w:webHidden/>
                <w:rStyle w:val="IndexLink"/>
              </w:rPr>
              <w:t>B. Kedudukan Teks dalam Teologi</w:t>
              <w:tab/>
              <w:t>262</w:t>
            </w:r>
          </w:hyperlink>
        </w:p>
        <w:p>
          <w:pPr>
            <w:pStyle w:val="Contents3"/>
            <w:tabs>
              <w:tab w:val="clear" w:pos="8459"/>
              <w:tab w:val="right" w:pos="9026" w:leader="dot"/>
            </w:tabs>
            <w:bidi w:val="0"/>
            <w:rPr/>
          </w:pPr>
          <w:hyperlink w:anchor="__RefHeading___Toc688687_653776707">
            <w:r>
              <w:rPr>
                <w:webHidden/>
                <w:rStyle w:val="IndexLink"/>
              </w:rPr>
              <w:t>C. Kedudukan Ilmu Hudhûrî dan Hushûlî dalam Teologi</w:t>
              <w:tab/>
              <w:t>268</w:t>
            </w:r>
          </w:hyperlink>
        </w:p>
        <w:p>
          <w:pPr>
            <w:pStyle w:val="Contents3"/>
            <w:tabs>
              <w:tab w:val="clear" w:pos="8459"/>
              <w:tab w:val="right" w:pos="9026" w:leader="dot"/>
            </w:tabs>
            <w:bidi w:val="0"/>
            <w:rPr/>
          </w:pPr>
          <w:hyperlink w:anchor="__RefHeading___Toc688689_653776707">
            <w:r>
              <w:rPr>
                <w:webHidden/>
                <w:rStyle w:val="IndexLink"/>
              </w:rPr>
              <w:t>D. Mabda'</w:t>
              <w:tab/>
              <w:t>274</w:t>
            </w:r>
          </w:hyperlink>
        </w:p>
        <w:p>
          <w:pPr>
            <w:pStyle w:val="Contents4"/>
            <w:tabs>
              <w:tab w:val="clear" w:pos="8176"/>
              <w:tab w:val="right" w:pos="9026" w:leader="dot"/>
            </w:tabs>
            <w:bidi w:val="0"/>
            <w:rPr/>
          </w:pPr>
          <w:hyperlink w:anchor="__RefHeading___Toc688691_653776707">
            <w:r>
              <w:rPr>
                <w:webHidden/>
                <w:rStyle w:val="IndexLink"/>
              </w:rPr>
              <w:t>Point</w:t>
              <w:tab/>
              <w:t>274</w:t>
            </w:r>
          </w:hyperlink>
        </w:p>
        <w:p>
          <w:pPr>
            <w:pStyle w:val="Contents4"/>
            <w:tabs>
              <w:tab w:val="clear" w:pos="8176"/>
              <w:tab w:val="right" w:pos="9026" w:leader="dot"/>
            </w:tabs>
            <w:bidi w:val="0"/>
            <w:rPr/>
          </w:pPr>
          <w:hyperlink w:anchor="__RefHeading___Toc688693_653776707">
            <w:r>
              <w:rPr>
                <w:webHidden/>
                <w:rStyle w:val="IndexLink"/>
              </w:rPr>
              <w:t>1. Keberadaan dan Keesaan Tuhan</w:t>
              <w:tab/>
              <w:t>275</w:t>
            </w:r>
          </w:hyperlink>
        </w:p>
        <w:p>
          <w:pPr>
            <w:pStyle w:val="Contents4"/>
            <w:tabs>
              <w:tab w:val="clear" w:pos="8176"/>
              <w:tab w:val="right" w:pos="9026" w:leader="dot"/>
            </w:tabs>
            <w:bidi w:val="0"/>
            <w:rPr/>
          </w:pPr>
          <w:hyperlink w:anchor="__RefHeading___Toc688695_653776707">
            <w:r>
              <w:rPr>
                <w:webHidden/>
                <w:rStyle w:val="IndexLink"/>
              </w:rPr>
              <w:t>2. Dua Pola Argumentasi Tauhid</w:t>
              <w:tab/>
              <w:t>279</w:t>
            </w:r>
          </w:hyperlink>
        </w:p>
        <w:p>
          <w:pPr>
            <w:pStyle w:val="Contents4"/>
            <w:tabs>
              <w:tab w:val="clear" w:pos="8176"/>
              <w:tab w:val="right" w:pos="9026" w:leader="dot"/>
            </w:tabs>
            <w:bidi w:val="0"/>
            <w:rPr/>
          </w:pPr>
          <w:hyperlink w:anchor="__RefHeading___Toc688697_653776707">
            <w:r>
              <w:rPr>
                <w:webHidden/>
                <w:rStyle w:val="IndexLink"/>
              </w:rPr>
              <w:t>3. Tiga Dimensi Tauhid</w:t>
              <w:tab/>
              <w:t>283</w:t>
            </w:r>
          </w:hyperlink>
        </w:p>
        <w:p>
          <w:pPr>
            <w:pStyle w:val="Contents4"/>
            <w:tabs>
              <w:tab w:val="clear" w:pos="8176"/>
              <w:tab w:val="right" w:pos="9026" w:leader="dot"/>
            </w:tabs>
            <w:bidi w:val="0"/>
            <w:rPr/>
          </w:pPr>
          <w:hyperlink w:anchor="__RefHeading___Toc688699_653776707">
            <w:r>
              <w:rPr>
                <w:webHidden/>
                <w:rStyle w:val="IndexLink"/>
              </w:rPr>
              <w:t>4. Keadilan Tuhan</w:t>
              <w:tab/>
              <w:t>304</w:t>
            </w:r>
          </w:hyperlink>
        </w:p>
        <w:p>
          <w:pPr>
            <w:pStyle w:val="Contents5"/>
            <w:tabs>
              <w:tab w:val="clear" w:pos="7892"/>
              <w:tab w:val="right" w:pos="9026" w:leader="dot"/>
            </w:tabs>
            <w:bidi w:val="0"/>
            <w:rPr/>
          </w:pPr>
          <w:hyperlink w:anchor="__RefHeading___Toc688701_653776707">
            <w:r>
              <w:rPr>
                <w:webHidden/>
                <w:rStyle w:val="IndexLink"/>
              </w:rPr>
              <w:t>Point</w:t>
              <w:tab/>
              <w:t>304</w:t>
            </w:r>
          </w:hyperlink>
        </w:p>
        <w:p>
          <w:pPr>
            <w:pStyle w:val="Contents5"/>
            <w:tabs>
              <w:tab w:val="clear" w:pos="7892"/>
              <w:tab w:val="right" w:pos="9026" w:leader="dot"/>
            </w:tabs>
            <w:bidi w:val="0"/>
            <w:rPr/>
          </w:pPr>
          <w:hyperlink w:anchor="__RefHeading___Toc688703_653776707">
            <w:r>
              <w:rPr>
                <w:webHidden/>
                <w:rStyle w:val="IndexLink"/>
              </w:rPr>
              <w:t>a. Rasionalitas Baik dan Buruk</w:t>
              <w:tab/>
              <w:t>305</w:t>
            </w:r>
          </w:hyperlink>
        </w:p>
        <w:p>
          <w:pPr>
            <w:pStyle w:val="Contents5"/>
            <w:tabs>
              <w:tab w:val="clear" w:pos="7892"/>
              <w:tab w:val="right" w:pos="9026" w:leader="dot"/>
            </w:tabs>
            <w:bidi w:val="0"/>
            <w:rPr/>
          </w:pPr>
          <w:hyperlink w:anchor="__RefHeading___Toc688705_653776707">
            <w:r>
              <w:rPr>
                <w:webHidden/>
                <w:rStyle w:val="IndexLink"/>
              </w:rPr>
              <w:t>b. Qadha' dan Qadar</w:t>
              <w:tab/>
              <w:t>310</w:t>
            </w:r>
          </w:hyperlink>
        </w:p>
        <w:p>
          <w:pPr>
            <w:pStyle w:val="Contents5"/>
            <w:tabs>
              <w:tab w:val="clear" w:pos="7892"/>
              <w:tab w:val="right" w:pos="9026" w:leader="dot"/>
            </w:tabs>
            <w:bidi w:val="0"/>
            <w:rPr/>
          </w:pPr>
          <w:hyperlink w:anchor="__RefHeading___Toc688707_653776707">
            <w:r>
              <w:rPr>
                <w:webHidden/>
                <w:rStyle w:val="IndexLink"/>
              </w:rPr>
              <w:t>c. Kebebasan dan Pemaksaan (Penentuan)</w:t>
              <w:tab/>
              <w:t>312</w:t>
            </w:r>
          </w:hyperlink>
        </w:p>
        <w:p>
          <w:pPr>
            <w:pStyle w:val="Contents3"/>
            <w:tabs>
              <w:tab w:val="clear" w:pos="8459"/>
              <w:tab w:val="right" w:pos="9026" w:leader="dot"/>
            </w:tabs>
            <w:bidi w:val="0"/>
            <w:rPr/>
          </w:pPr>
          <w:hyperlink w:anchor="__RefHeading___Toc688709_653776707">
            <w:r>
              <w:rPr>
                <w:webHidden/>
                <w:rStyle w:val="IndexLink"/>
              </w:rPr>
              <w:t>E. Ma'âd</w:t>
              <w:tab/>
              <w:t>314</w:t>
            </w:r>
          </w:hyperlink>
        </w:p>
        <w:p>
          <w:pPr>
            <w:pStyle w:val="Contents4"/>
            <w:tabs>
              <w:tab w:val="clear" w:pos="8176"/>
              <w:tab w:val="right" w:pos="9026" w:leader="dot"/>
            </w:tabs>
            <w:bidi w:val="0"/>
            <w:rPr/>
          </w:pPr>
          <w:hyperlink w:anchor="__RefHeading___Toc688711_653776707">
            <w:r>
              <w:rPr>
                <w:webHidden/>
                <w:rStyle w:val="IndexLink"/>
              </w:rPr>
              <w:t>Point</w:t>
              <w:tab/>
              <w:t>314</w:t>
            </w:r>
          </w:hyperlink>
        </w:p>
        <w:p>
          <w:pPr>
            <w:pStyle w:val="Contents4"/>
            <w:tabs>
              <w:tab w:val="clear" w:pos="8176"/>
              <w:tab w:val="right" w:pos="9026" w:leader="dot"/>
            </w:tabs>
            <w:bidi w:val="0"/>
            <w:rPr/>
          </w:pPr>
          <w:hyperlink w:anchor="__RefHeading___Toc688713_653776707">
            <w:r>
              <w:rPr>
                <w:webHidden/>
                <w:rStyle w:val="IndexLink"/>
              </w:rPr>
              <w:t>1. Dalil Hikmah</w:t>
              <w:tab/>
              <w:t>316</w:t>
            </w:r>
          </w:hyperlink>
        </w:p>
        <w:p>
          <w:pPr>
            <w:pStyle w:val="Contents4"/>
            <w:tabs>
              <w:tab w:val="clear" w:pos="8176"/>
              <w:tab w:val="right" w:pos="9026" w:leader="dot"/>
            </w:tabs>
            <w:bidi w:val="0"/>
            <w:rPr/>
          </w:pPr>
          <w:hyperlink w:anchor="__RefHeading___Toc688715_653776707">
            <w:r>
              <w:rPr>
                <w:webHidden/>
                <w:rStyle w:val="IndexLink"/>
              </w:rPr>
              <w:t>2. Dalil Keadilan</w:t>
              <w:tab/>
              <w:t>318</w:t>
            </w:r>
          </w:hyperlink>
        </w:p>
        <w:p>
          <w:pPr>
            <w:pStyle w:val="Contents4"/>
            <w:tabs>
              <w:tab w:val="clear" w:pos="8176"/>
              <w:tab w:val="right" w:pos="9026" w:leader="dot"/>
            </w:tabs>
            <w:bidi w:val="0"/>
            <w:rPr/>
          </w:pPr>
          <w:hyperlink w:anchor="__RefHeading___Toc688717_653776707">
            <w:r>
              <w:rPr>
                <w:webHidden/>
                <w:rStyle w:val="IndexLink"/>
              </w:rPr>
              <w:t>3. Kebangkitan Jasmani dan Rohani</w:t>
              <w:tab/>
              <w:t>320</w:t>
            </w:r>
          </w:hyperlink>
        </w:p>
        <w:p>
          <w:pPr>
            <w:pStyle w:val="Contents2"/>
            <w:tabs>
              <w:tab w:val="clear" w:pos="8743"/>
              <w:tab w:val="right" w:pos="9026" w:leader="dot"/>
            </w:tabs>
            <w:bidi w:val="0"/>
            <w:rPr/>
          </w:pPr>
          <w:hyperlink w:anchor="__RefHeading___Toc688719_653776707">
            <w:r>
              <w:rPr>
                <w:webHidden/>
                <w:rStyle w:val="IndexLink"/>
              </w:rPr>
              <w:t>BAB VIII :PENUTUP</w:t>
              <w:tab/>
              <w:t>324</w:t>
            </w:r>
          </w:hyperlink>
        </w:p>
        <w:p>
          <w:pPr>
            <w:pStyle w:val="Contents3"/>
            <w:tabs>
              <w:tab w:val="clear" w:pos="8459"/>
              <w:tab w:val="right" w:pos="9026" w:leader="dot"/>
            </w:tabs>
            <w:bidi w:val="0"/>
            <w:rPr/>
          </w:pPr>
          <w:hyperlink w:anchor="__RefHeading___Toc688721_653776707">
            <w:r>
              <w:rPr>
                <w:webHidden/>
                <w:rStyle w:val="IndexLink"/>
              </w:rPr>
              <w:t>A. Kesimpulan</w:t>
              <w:tab/>
              <w:t>324</w:t>
            </w:r>
          </w:hyperlink>
        </w:p>
        <w:p>
          <w:pPr>
            <w:pStyle w:val="Contents4"/>
            <w:tabs>
              <w:tab w:val="clear" w:pos="8176"/>
              <w:tab w:val="right" w:pos="9026" w:leader="dot"/>
            </w:tabs>
            <w:bidi w:val="0"/>
            <w:rPr/>
          </w:pPr>
          <w:hyperlink w:anchor="__RefHeading___Toc688723_653776707">
            <w:r>
              <w:rPr>
                <w:webHidden/>
                <w:rStyle w:val="IndexLink"/>
              </w:rPr>
              <w:t>Point</w:t>
              <w:tab/>
              <w:t>324</w:t>
            </w:r>
          </w:hyperlink>
        </w:p>
        <w:p>
          <w:pPr>
            <w:pStyle w:val="Contents4"/>
            <w:tabs>
              <w:tab w:val="clear" w:pos="8176"/>
              <w:tab w:val="right" w:pos="9026" w:leader="dot"/>
            </w:tabs>
            <w:bidi w:val="0"/>
            <w:rPr/>
          </w:pPr>
          <w:hyperlink w:anchor="__RefHeading___Toc688725_653776707">
            <w:r>
              <w:rPr>
                <w:webHidden/>
                <w:rStyle w:val="IndexLink"/>
              </w:rPr>
              <w:t>1. Epistemologi</w:t>
              <w:tab/>
              <w:t>327</w:t>
            </w:r>
          </w:hyperlink>
        </w:p>
        <w:p>
          <w:pPr>
            <w:pStyle w:val="Contents4"/>
            <w:tabs>
              <w:tab w:val="clear" w:pos="8176"/>
              <w:tab w:val="right" w:pos="9026" w:leader="dot"/>
            </w:tabs>
            <w:bidi w:val="0"/>
            <w:rPr/>
          </w:pPr>
          <w:hyperlink w:anchor="__RefHeading___Toc688727_653776707">
            <w:r>
              <w:rPr>
                <w:webHidden/>
                <w:rStyle w:val="IndexLink"/>
              </w:rPr>
              <w:t>2. Ontologi</w:t>
              <w:tab/>
              <w:t>331</w:t>
            </w:r>
          </w:hyperlink>
        </w:p>
        <w:p>
          <w:pPr>
            <w:pStyle w:val="Contents4"/>
            <w:tabs>
              <w:tab w:val="clear" w:pos="8176"/>
              <w:tab w:val="right" w:pos="9026" w:leader="dot"/>
            </w:tabs>
            <w:bidi w:val="0"/>
            <w:rPr/>
          </w:pPr>
          <w:hyperlink w:anchor="__RefHeading___Toc688729_653776707">
            <w:r>
              <w:rPr>
                <w:webHidden/>
                <w:rStyle w:val="IndexLink"/>
              </w:rPr>
              <w:t>3. Teologi</w:t>
              <w:tab/>
              <w:t>336</w:t>
            </w:r>
          </w:hyperlink>
        </w:p>
        <w:p>
          <w:pPr>
            <w:pStyle w:val="Contents3"/>
            <w:tabs>
              <w:tab w:val="clear" w:pos="8459"/>
              <w:tab w:val="right" w:pos="9026" w:leader="dot"/>
            </w:tabs>
            <w:bidi w:val="0"/>
            <w:rPr/>
          </w:pPr>
          <w:hyperlink w:anchor="__RefHeading___Toc688731_653776707">
            <w:r>
              <w:rPr>
                <w:webHidden/>
                <w:rStyle w:val="IndexLink"/>
              </w:rPr>
              <w:t>B. Saran-saran</w:t>
              <w:tab/>
              <w:t>339</w:t>
            </w:r>
          </w:hyperlink>
        </w:p>
        <w:p>
          <w:pPr>
            <w:pStyle w:val="Contents2"/>
            <w:tabs>
              <w:tab w:val="clear" w:pos="8743"/>
              <w:tab w:val="right" w:pos="9026" w:leader="dot"/>
            </w:tabs>
            <w:bidi w:val="0"/>
            <w:rPr/>
          </w:pPr>
          <w:hyperlink w:anchor="__RefHeading___Toc688733_653776707">
            <w:r>
              <w:rPr>
                <w:webHidden/>
                <w:rStyle w:val="IndexLink"/>
              </w:rPr>
              <w:t>DAFTAR PUSTAKA</w:t>
              <w:tab/>
              <w:t>343</w:t>
            </w:r>
          </w:hyperlink>
        </w:p>
        <w:p>
          <w:pPr>
            <w:pStyle w:val="Contents2"/>
            <w:tabs>
              <w:tab w:val="clear" w:pos="8743"/>
              <w:tab w:val="right" w:pos="9026" w:leader="dot"/>
            </w:tabs>
            <w:bidi w:val="0"/>
            <w:rPr/>
          </w:pPr>
          <w:hyperlink w:anchor="__RefHeading___Toc688735_653776707">
            <w:r>
              <w:rPr>
                <w:webHidden/>
                <w:rStyle w:val="IndexLink"/>
              </w:rPr>
              <w:t>INDEKS</w:t>
              <w:tab/>
              <w:t>351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422_44495"/>
      <w:bookmarkStart w:id="1" w:name="pg6422_44495"/>
      <w:bookmarkEnd w:id="1"/>
    </w:p>
    <w:p>
      <w:pPr>
        <w:pStyle w:val="Heading2"/>
        <w:numPr>
          <w:ilvl w:val="1"/>
          <w:numId w:val="1"/>
        </w:numPr>
        <w:bidi w:val="0"/>
        <w:jc w:val="left"/>
        <w:rPr/>
      </w:pPr>
      <w:bookmarkStart w:id="2" w:name="pg6422_44495"/>
      <w:bookmarkStart w:id="3" w:name="__RefHeading___Toc688523_653776707"/>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 محسن</w:t>
      </w:r>
    </w:p>
    <w:p>
      <w:pPr>
        <w:pStyle w:val="BookText"/>
        <w:bidi w:val="0"/>
        <w:jc w:val="both"/>
        <w:rPr/>
      </w:pPr>
      <w:r>
        <w:rPr>
          <w:rFonts w:eastAsia="Times New Roman" w:cs="Times New Roman" w:ascii="Times New Roman" w:hAnsi="Times New Roman"/>
          <w:color w:val="111111"/>
          <w:sz w:val="28"/>
          <w:szCs w:val="28"/>
          <w:lang w:val="en-US"/>
        </w:rPr>
        <w:t>Labib, Muhsin</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Pemikiran Filsafat Ayatullah M.t. Mishbah Yazdi (Filsuf Iran Kontemporer) Studi atas Filsafat Pengetahuan, Filsafat Wujud dan Filsafat Ketuhanan[Book]‏</w:t>
      </w:r>
      <w:r>
        <w:rPr>
          <w:rFonts w:eastAsia="Times New Roman" w:cs="Times New Roman" w:ascii="Times New Roman" w:hAnsi="Times New Roman"/>
          <w:color w:val="111111"/>
          <w:sz w:val="28"/>
          <w:szCs w:val="28"/>
          <w:lang w:val="en-US"/>
        </w:rPr>
        <w:t>‫‭/ Muhsin Labib.</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w:t>
      </w:r>
      <w:r>
        <w:rPr>
          <w:rFonts w:eastAsia="Times New Roman" w:cs="Times New Roman" w:ascii="Times New Roman" w:hAnsi="Times New Roman"/>
          <w:color w:val="111111"/>
          <w:sz w:val="28"/>
          <w:szCs w:val="28"/>
          <w:lang w:val="en-US"/>
        </w:rPr>
        <w:t>‫‭: pusat penerbitan danpenterjemahan internasional al Musthafa‏</w:t>
      </w:r>
      <w:r>
        <w:rPr>
          <w:rFonts w:eastAsia="Times New Roman" w:cs="Times New Roman" w:ascii="Times New Roman" w:hAnsi="Times New Roman"/>
          <w:color w:val="111111"/>
          <w:sz w:val="28"/>
          <w:szCs w:val="28"/>
          <w:lang w:val="en-US"/>
        </w:rPr>
        <w:t>‫‭, 2014‏</w:t>
      </w:r>
      <w:r>
        <w:rPr>
          <w:rFonts w:eastAsia="Times New Roman" w:cs="Times New Roman" w:ascii="Times New Roman" w:hAnsi="Times New Roman"/>
          <w:color w:val="111111"/>
          <w:sz w:val="28"/>
          <w:szCs w:val="28"/>
          <w:lang w:val="en-US"/>
        </w:rPr>
        <w:t>‫‭= 1393.</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ab/>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۲۷۳</w:t>
      </w:r>
      <w:r>
        <w:rPr>
          <w:rFonts w:eastAsia="IRNazanin" w:cs="IRNazanin"/>
          <w:color w:val="111111"/>
          <w:sz w:val="28"/>
          <w:szCs w:val="28"/>
          <w:lang w:bidi="fa-IR"/>
        </w:rPr>
        <w:t>/</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نمایندگی المصطفی در اندونزی‏‫؛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ab/>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978-964-195-051-6 :</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lang w:bidi="fa-IR"/>
        </w:rPr>
        <w:tab/>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آوانویسی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پمیکرین</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م‍ح‍م‍دت‍ق‍ی‌،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Mishbah Yazdi, Muhammad Taqi</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Almustafa International University</w:t>
      </w:r>
      <w:r>
        <w:rPr>
          <w:rFonts w:eastAsia="Times New Roman" w:cs="Times New Roman" w:ascii="Times New Roman" w:hAnsi="Times New Roman"/>
          <w:color w:val="111111"/>
          <w:sz w:val="28"/>
          <w:szCs w:val="28"/>
          <w:lang w:val="en-US"/>
        </w:rPr>
        <w:t>‪Almustafa International Translation and Publication center</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۳‭‬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م۵۶‏</w:t>
      </w:r>
      <w:r>
        <w:rPr>
          <w:rFonts w:ascii="IRNazanin" w:hAnsi="IRNazanin" w:eastAsia="IRNazanin"/>
          <w:color w:val="111111"/>
          <w:sz w:val="28"/>
          <w:sz w:val="28"/>
          <w:szCs w:val="28"/>
          <w:lang w:bidi="fa-IR"/>
        </w:rPr>
        <w:t>‫‭ل۲ ۱۳۹۳</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r>
        <w:rPr>
          <w:rFonts w:ascii="IRNazanin" w:hAnsi="IRNazanin" w:eastAsia="IRNazanin"/>
          <w:color w:val="111111"/>
          <w:sz w:val="28"/>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۳۶۴۹۵۰۵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688525_653776707"/>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Pemikiran Filsafat</w:t>
      </w:r>
    </w:p>
    <w:p>
      <w:pPr>
        <w:pStyle w:val="BookText"/>
        <w:bidi w:val="0"/>
        <w:jc w:val="both"/>
        <w:rPr/>
      </w:pPr>
      <w:r>
        <w:rPr>
          <w:rFonts w:eastAsia="Times New Roman" w:cs="Times New Roman" w:ascii="Times New Roman" w:hAnsi="Times New Roman"/>
          <w:color w:val="111111"/>
          <w:sz w:val="28"/>
          <w:szCs w:val="28"/>
          <w:lang w:val="en-US"/>
        </w:rPr>
        <w:t>Ayatullah M.t. Mishbah Yazdi (Filsuf Iran Kontemporer)</w:t>
      </w:r>
    </w:p>
    <w:p>
      <w:pPr>
        <w:pStyle w:val="BookText"/>
        <w:bidi w:val="0"/>
        <w:jc w:val="both"/>
        <w:rPr/>
      </w:pPr>
      <w:r>
        <w:rPr>
          <w:rFonts w:eastAsia="Times New Roman" w:cs="Times New Roman" w:ascii="Times New Roman" w:hAnsi="Times New Roman"/>
          <w:color w:val="111111"/>
          <w:sz w:val="28"/>
          <w:szCs w:val="28"/>
          <w:lang w:val="en-US"/>
        </w:rPr>
        <w:t>Studi atas Filsafat Pengetahuan, Filsafat</w:t>
      </w:r>
    </w:p>
    <w:p>
      <w:pPr>
        <w:pStyle w:val="BookText"/>
        <w:bidi w:val="0"/>
        <w:jc w:val="both"/>
        <w:rPr/>
      </w:pPr>
      <w:r>
        <w:rPr>
          <w:rFonts w:eastAsia="Times New Roman" w:cs="Times New Roman" w:ascii="Times New Roman" w:hAnsi="Times New Roman"/>
          <w:color w:val="111111"/>
          <w:sz w:val="28"/>
          <w:szCs w:val="28"/>
          <w:lang w:val="en-US"/>
        </w:rPr>
        <w:t>Wujud dan Filsafat Ketuhanan</w:t>
      </w:r>
    </w:p>
    <w:p>
      <w:pPr>
        <w:pStyle w:val="BookText"/>
        <w:bidi w:val="0"/>
        <w:jc w:val="both"/>
        <w:rPr/>
      </w:pPr>
      <w:r>
        <w:rPr>
          <w:rFonts w:eastAsia="Times New Roman" w:cs="Times New Roman" w:ascii="Times New Roman" w:hAnsi="Times New Roman"/>
          <w:color w:val="111111"/>
          <w:sz w:val="28"/>
          <w:szCs w:val="28"/>
          <w:lang w:val="en-US"/>
        </w:rPr>
        <w:t>Dr. Muhsin Labib</w:t>
      </w:r>
    </w:p>
    <w:p>
      <w:pPr>
        <w:pStyle w:val="BookText"/>
        <w:bidi w:val="0"/>
        <w:jc w:val="both"/>
        <w:rPr/>
      </w:pPr>
      <w:r>
        <w:rPr/>
        <mc:AlternateContent>
          <mc:Choice Requires="wps">
            <w:drawing>
              <wp:inline distT="0" distB="0" distL="0" distR="0">
                <wp:extent cx="584200" cy="749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84280" cy="749160"/>
                        </a:xfrm>
                        <a:prstGeom prst="rect">
                          <a:avLst/>
                        </a:prstGeom>
                        <a:ln w="0">
                          <a:noFill/>
                        </a:ln>
                      </pic:spPr>
                    </pic:pic>
                  </a:graphicData>
                </a:graphic>
              </wp:inline>
            </w:drawing>
          </mc:Choice>
          <mc:Fallback>
            <w:pict>
              <v:shape id="shape_0" stroked="f" o:allowincell="f" style="position:absolute;margin-left:0pt;margin-top:-59.05pt;width:45.95pt;height:58.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Pemikiran Filsafat Ayatullah M.t. Mishbah Yazdi (Filsuf Iran Kontem-</w:t>
      </w:r>
    </w:p>
    <w:p>
      <w:pPr>
        <w:pStyle w:val="BookText"/>
        <w:bidi w:val="0"/>
        <w:jc w:val="both"/>
        <w:rPr/>
      </w:pPr>
      <w:r>
        <w:rPr>
          <w:rFonts w:eastAsia="Times New Roman" w:cs="Times New Roman" w:ascii="Times New Roman" w:hAnsi="Times New Roman"/>
          <w:color w:val="111111"/>
          <w:sz w:val="28"/>
          <w:szCs w:val="28"/>
          <w:lang w:val="en-US"/>
        </w:rPr>
        <w:t>porer) Studi atas Filsafat Pengetahuan, Filsafat Wujud dan Filsafat</w:t>
      </w:r>
    </w:p>
    <w:p>
      <w:pPr>
        <w:pStyle w:val="BookText"/>
        <w:bidi w:val="0"/>
        <w:jc w:val="both"/>
        <w:rPr/>
      </w:pPr>
      <w:r>
        <w:rPr>
          <w:rFonts w:eastAsia="Times New Roman" w:cs="Times New Roman" w:ascii="Times New Roman" w:hAnsi="Times New Roman"/>
          <w:color w:val="111111"/>
          <w:sz w:val="28"/>
          <w:szCs w:val="28"/>
          <w:lang w:val="en-US"/>
        </w:rPr>
        <w:t>Ketuhanan</w:t>
      </w:r>
    </w:p>
    <w:p>
      <w:pPr>
        <w:pStyle w:val="BookText"/>
        <w:bidi w:val="0"/>
        <w:jc w:val="both"/>
        <w:rPr/>
      </w:pPr>
      <w:r>
        <w:rPr>
          <w:rFonts w:eastAsia="Times New Roman" w:cs="Times New Roman" w:ascii="Times New Roman" w:hAnsi="Times New Roman"/>
          <w:color w:val="111111"/>
          <w:sz w:val="28"/>
          <w:szCs w:val="28"/>
          <w:lang w:val="en-US"/>
        </w:rPr>
        <w:t>penulis: Dr. Muhsin Labib</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978-964-195-051-6</w:t>
      </w:r>
    </w:p>
    <w:p>
      <w:pPr>
        <w:pStyle w:val="BookText"/>
        <w:bidi w:val="0"/>
        <w:jc w:val="both"/>
        <w:rPr/>
      </w:pPr>
      <w:r>
        <w:rPr>
          <w:rFonts w:ascii="IRNazanin" w:hAnsi="IRNazanin" w:eastAsia="IRNazanin"/>
          <w:color w:val="111111"/>
          <w:sz w:val="28"/>
          <w:sz w:val="28"/>
          <w:szCs w:val="28"/>
          <w:rtl w:val="true"/>
          <w:lang w:bidi="fa-IR"/>
        </w:rPr>
        <w:t>تفکرات فلسفی آیت الله مصباح یزدی</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ال</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لبیب</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www.pub.miu.ac.ir miup@pub.miu.ac.ir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6422_44507"/>
    </w:p>
    <w:p>
      <w:pPr>
        <w:pStyle w:val="Heading2"/>
        <w:numPr>
          <w:ilvl w:val="1"/>
          <w:numId w:val="1"/>
        </w:numPr>
        <w:bidi w:val="0"/>
        <w:jc w:val="left"/>
        <w:rPr/>
      </w:pPr>
      <w:bookmarkStart w:id="8" w:name="__RefHeading___Toc688527_653776707"/>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PROLOG 1 Profil Pemikiran Prof. M.T. Mishbah Yazdi....1</w:t>
      </w:r>
    </w:p>
    <w:p>
      <w:pPr>
        <w:pStyle w:val="BookText"/>
        <w:bidi w:val="0"/>
        <w:jc w:val="both"/>
        <w:rPr/>
      </w:pPr>
      <w:r>
        <w:rPr>
          <w:rFonts w:eastAsia="Times New Roman" w:cs="Times New Roman" w:ascii="Times New Roman" w:hAnsi="Times New Roman"/>
          <w:color w:val="111111"/>
          <w:sz w:val="28"/>
          <w:szCs w:val="28"/>
          <w:lang w:val="en-US"/>
        </w:rPr>
        <w:t>PROLOG 2 Prakata Prof. M.T Mishbah Yazdi...11</w:t>
      </w:r>
    </w:p>
    <w:p>
      <w:pPr>
        <w:pStyle w:val="BookText"/>
        <w:bidi w:val="0"/>
        <w:jc w:val="both"/>
        <w:rPr/>
      </w:pPr>
      <w:r>
        <w:rPr>
          <w:rFonts w:eastAsia="Times New Roman" w:cs="Times New Roman" w:ascii="Times New Roman" w:hAnsi="Times New Roman"/>
          <w:color w:val="111111"/>
          <w:sz w:val="28"/>
          <w:szCs w:val="28"/>
          <w:lang w:val="en-US"/>
        </w:rPr>
        <w:t>KATA PENGANTAR .....15</w:t>
      </w:r>
    </w:p>
    <w:p>
      <w:pPr>
        <w:pStyle w:val="BookText"/>
        <w:bidi w:val="0"/>
        <w:jc w:val="both"/>
        <w:rPr/>
      </w:pPr>
      <w:r>
        <w:rPr>
          <w:rFonts w:eastAsia="Times New Roman" w:cs="Times New Roman" w:ascii="Times New Roman" w:hAnsi="Times New Roman"/>
          <w:color w:val="111111"/>
          <w:sz w:val="28"/>
          <w:szCs w:val="28"/>
          <w:lang w:val="en-US"/>
        </w:rPr>
        <w:t>BAB I PENDAHULUAN.........................17</w:t>
      </w:r>
    </w:p>
    <w:p>
      <w:pPr>
        <w:pStyle w:val="BookText"/>
        <w:bidi w:val="0"/>
        <w:jc w:val="both"/>
        <w:rPr/>
      </w:pPr>
      <w:r>
        <w:rPr>
          <w:rFonts w:eastAsia="Times New Roman" w:cs="Times New Roman" w:ascii="Times New Roman" w:hAnsi="Times New Roman"/>
          <w:color w:val="111111"/>
          <w:sz w:val="28"/>
          <w:szCs w:val="28"/>
          <w:lang w:val="en-US"/>
        </w:rPr>
        <w:t>BAB II LATAR BELAKANG STUDI FILSAFAT DI HAWZAH ILMIYAH QOM. ........21</w:t>
      </w:r>
    </w:p>
    <w:p>
      <w:pPr>
        <w:pStyle w:val="BookText"/>
        <w:bidi w:val="0"/>
        <w:jc w:val="both"/>
        <w:rPr/>
      </w:pPr>
      <w:r>
        <w:rPr>
          <w:rFonts w:eastAsia="Times New Roman" w:cs="Times New Roman" w:ascii="Times New Roman" w:hAnsi="Times New Roman"/>
          <w:color w:val="111111"/>
          <w:sz w:val="28"/>
          <w:szCs w:val="28"/>
          <w:lang w:val="en-US"/>
        </w:rPr>
        <w:t>A. Perkembangan Filsafat Islam ..............21</w:t>
      </w:r>
    </w:p>
    <w:p>
      <w:pPr>
        <w:pStyle w:val="BookText"/>
        <w:bidi w:val="0"/>
        <w:jc w:val="both"/>
        <w:rPr/>
      </w:pPr>
      <w:r>
        <w:rPr>
          <w:rFonts w:eastAsia="Times New Roman" w:cs="Times New Roman" w:ascii="Times New Roman" w:hAnsi="Times New Roman"/>
          <w:color w:val="111111"/>
          <w:sz w:val="28"/>
          <w:szCs w:val="28"/>
          <w:lang w:val="en-US"/>
        </w:rPr>
        <w:t>B. Perkembangan Filsafat Islam di Dunia Syi'ah. .........27</w:t>
      </w:r>
    </w:p>
    <w:p>
      <w:pPr>
        <w:pStyle w:val="BookText"/>
        <w:bidi w:val="0"/>
        <w:jc w:val="both"/>
        <w:rPr/>
      </w:pPr>
      <w:r>
        <w:rPr>
          <w:rFonts w:eastAsia="Times New Roman" w:cs="Times New Roman" w:ascii="Times New Roman" w:hAnsi="Times New Roman"/>
          <w:color w:val="111111"/>
          <w:sz w:val="28"/>
          <w:szCs w:val="28"/>
          <w:lang w:val="en-US"/>
        </w:rPr>
        <w:t>C. Kedudukan Filsafat di Haw zah-hawzah Ilmiyah. ...38</w:t>
      </w:r>
    </w:p>
    <w:p>
      <w:pPr>
        <w:pStyle w:val="BookText"/>
        <w:bidi w:val="0"/>
        <w:jc w:val="both"/>
        <w:rPr/>
      </w:pPr>
      <w:r>
        <w:rPr>
          <w:rFonts w:eastAsia="Times New Roman" w:cs="Times New Roman" w:ascii="Times New Roman" w:hAnsi="Times New Roman"/>
          <w:color w:val="111111"/>
          <w:sz w:val="28"/>
          <w:szCs w:val="28"/>
          <w:lang w:val="en-US"/>
        </w:rPr>
        <w:t>D. Filsafat di Hawzah `Ilmiyah Qom......40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Periode Qazwînî. ..................................................41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Periode Karaki ...................42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Periode `Abd al-Karîm Haerî Yazdî....46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Periode Khomeini dan Thabâthabâ'î. .....54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Periode Muthahhari....57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Periode Muhammad Taqî Mishbâh Yazdî....61</w:t>
      </w:r>
    </w:p>
    <w:p>
      <w:pPr>
        <w:pStyle w:val="BookText"/>
        <w:bidi w:val="0"/>
        <w:jc w:val="both"/>
        <w:rPr/>
      </w:pPr>
      <w:r>
        <w:rPr>
          <w:rFonts w:eastAsia="Times New Roman" w:cs="Times New Roman" w:ascii="Times New Roman" w:hAnsi="Times New Roman"/>
          <w:color w:val="111111"/>
          <w:sz w:val="28"/>
          <w:szCs w:val="28"/>
          <w:lang w:val="en-US"/>
        </w:rPr>
        <w:t>Bab III PROFIL MUHAMMAD TAQÎ MISHBÂH YAZDI.........63</w:t>
      </w:r>
    </w:p>
    <w:p>
      <w:pPr>
        <w:pStyle w:val="BookText"/>
        <w:bidi w:val="0"/>
        <w:jc w:val="both"/>
        <w:rPr/>
      </w:pPr>
      <w:r>
        <w:rPr>
          <w:rFonts w:eastAsia="Times New Roman" w:cs="Times New Roman" w:ascii="Times New Roman" w:hAnsi="Times New Roman"/>
          <w:color w:val="111111"/>
          <w:sz w:val="28"/>
          <w:szCs w:val="28"/>
          <w:lang w:val="en-US"/>
        </w:rPr>
        <w:t>A. Biografi........................63</w:t>
      </w:r>
    </w:p>
    <w:p>
      <w:pPr>
        <w:pStyle w:val="BookText"/>
        <w:bidi w:val="0"/>
        <w:jc w:val="both"/>
        <w:rPr/>
      </w:pPr>
      <w:r>
        <w:rPr>
          <w:rFonts w:eastAsia="Times New Roman" w:cs="Times New Roman" w:ascii="Times New Roman" w:hAnsi="Times New Roman"/>
          <w:color w:val="111111"/>
          <w:sz w:val="28"/>
          <w:szCs w:val="28"/>
          <w:lang w:val="en-US"/>
        </w:rPr>
        <w:t>B. Pendidikan........................65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Jenjang Muqaddimat...65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Jenjang Suthuh..............67</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Jenjang Khari.....70 </w:t>
      </w:r>
    </w:p>
    <w:p>
      <w:pPr>
        <w:pStyle w:val="BookText"/>
        <w:bidi w:val="0"/>
        <w:rPr/>
      </w:pPr>
      <w:r>
        <w:rPr>
          <w:rFonts w:eastAsia="Times New Roman" w:cs="Times New Roman" w:ascii="Times New Roman" w:hAnsi="Times New Roman"/>
          <w:color w:val="111111"/>
          <w:sz w:val="28"/>
          <w:szCs w:val="28"/>
          <w:lang w:val="en-US"/>
        </w:rPr>
        <w:t>C. Kiprah dalam Pendidikan..............73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Bekerjasama dengan Behesyti dan Quddusi di Haqqani. Madrasah....82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Mendirikan Divisi Pendidikan Di YayasanRahe-Haq ........83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Mendirikan Biro Kerjasama Hawzah dan Universitas.................84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Mendirikan Institut Cultural Baqir Ulum. ......85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Mendirikan Pusat Pendidikan dan Penelitian Imam Khomeini.........85</w:t>
      </w:r>
    </w:p>
    <w:p>
      <w:pPr>
        <w:pStyle w:val="BookText"/>
        <w:bidi w:val="0"/>
        <w:jc w:val="both"/>
        <w:rPr/>
      </w:pPr>
      <w:r>
        <w:rPr>
          <w:rFonts w:eastAsia="Times New Roman" w:cs="Times New Roman" w:ascii="Times New Roman" w:hAnsi="Times New Roman"/>
          <w:color w:val="111111"/>
          <w:sz w:val="28"/>
          <w:szCs w:val="28"/>
          <w:lang w:val="en-US"/>
        </w:rPr>
        <w:t>D. Kiprah dalam Penelitian dan Pengembangan Metodologi .................85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Fiqh dan Ushul Fiqh ..........85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Tafsir........................86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Filsafat...........................88</w:t>
      </w:r>
    </w:p>
    <w:p>
      <w:pPr>
        <w:pStyle w:val="BookText"/>
        <w:bidi w:val="0"/>
        <w:jc w:val="both"/>
        <w:rPr/>
      </w:pPr>
      <w:r>
        <w:rPr>
          <w:rFonts w:eastAsia="Times New Roman" w:cs="Times New Roman" w:ascii="Times New Roman" w:hAnsi="Times New Roman"/>
          <w:color w:val="111111"/>
          <w:sz w:val="28"/>
          <w:szCs w:val="28"/>
          <w:lang w:val="en-US"/>
        </w:rPr>
        <w:t>E. Guru-gurunya......91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Thabâthaba'î...91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Khomeini.......93</w:t>
      </w:r>
    </w:p>
    <w:p>
      <w:pPr>
        <w:pStyle w:val="BookText"/>
        <w:bidi w:val="0"/>
        <w:jc w:val="both"/>
        <w:rPr/>
      </w:pPr>
      <w:r>
        <w:rPr>
          <w:rFonts w:eastAsia="Times New Roman" w:cs="Times New Roman" w:ascii="Times New Roman" w:hAnsi="Times New Roman"/>
          <w:color w:val="111111"/>
          <w:sz w:val="28"/>
          <w:szCs w:val="28"/>
          <w:lang w:val="en-US"/>
        </w:rPr>
        <w:t>F. Murid-muridnya.............95</w:t>
      </w:r>
    </w:p>
    <w:p>
      <w:pPr>
        <w:pStyle w:val="BookText"/>
        <w:bidi w:val="0"/>
        <w:jc w:val="both"/>
        <w:rPr/>
      </w:pPr>
      <w:r>
        <w:rPr>
          <w:rFonts w:eastAsia="Times New Roman" w:cs="Times New Roman" w:ascii="Times New Roman" w:hAnsi="Times New Roman"/>
          <w:color w:val="111111"/>
          <w:sz w:val="28"/>
          <w:szCs w:val="28"/>
          <w:lang w:val="en-US"/>
        </w:rPr>
        <w:t>G. Muhammad Taqî Mishbâh Yazdî dan Para Pemikir Haw zah.................96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Muthahhari dan Muhammad Taqi Mishbâh Yazdî................. 97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Javâdi Âmulî dan Muhammad Taqi Mishbâh Yazdî.......101</w:t>
      </w:r>
    </w:p>
    <w:p>
      <w:pPr>
        <w:pStyle w:val="BookText"/>
        <w:bidi w:val="0"/>
        <w:jc w:val="both"/>
        <w:rPr/>
      </w:pPr>
      <w:r>
        <w:rPr>
          <w:rFonts w:eastAsia="Times New Roman" w:cs="Times New Roman" w:ascii="Times New Roman" w:hAnsi="Times New Roman"/>
          <w:color w:val="111111"/>
          <w:sz w:val="28"/>
          <w:szCs w:val="28"/>
          <w:lang w:val="en-US"/>
        </w:rPr>
        <w:t>BAB IV PEMIKIRAN FILSAFAT MUHAMMAD TAQÎ MISHBÂH YAZDÎ....109</w:t>
      </w:r>
    </w:p>
    <w:p>
      <w:pPr>
        <w:pStyle w:val="BookText"/>
        <w:bidi w:val="0"/>
        <w:jc w:val="both"/>
        <w:rPr/>
      </w:pPr>
      <w:r>
        <w:rPr>
          <w:rFonts w:eastAsia="Times New Roman" w:cs="Times New Roman" w:ascii="Times New Roman" w:hAnsi="Times New Roman"/>
          <w:color w:val="111111"/>
          <w:sz w:val="28"/>
          <w:szCs w:val="28"/>
          <w:lang w:val="en-US"/>
        </w:rPr>
        <w:t>A. Pengertian, Subjek, dan Tujuan Studi Filsafat dalam Tradisi Haw zah............112</w:t>
      </w:r>
    </w:p>
    <w:p>
      <w:pPr>
        <w:pStyle w:val="BookText"/>
        <w:bidi w:val="0"/>
        <w:jc w:val="both"/>
        <w:rPr/>
      </w:pPr>
      <w:r>
        <w:rPr>
          <w:rFonts w:eastAsia="Times New Roman" w:cs="Times New Roman" w:ascii="Times New Roman" w:hAnsi="Times New Roman"/>
          <w:color w:val="111111"/>
          <w:sz w:val="28"/>
          <w:szCs w:val="28"/>
          <w:lang w:val="en-US"/>
        </w:rPr>
        <w:t>B.Anatomi Filsafat dan Ilmu.....118</w:t>
      </w:r>
    </w:p>
    <w:p>
      <w:pPr>
        <w:pStyle w:val="BookText"/>
        <w:bidi w:val="0"/>
        <w:jc w:val="both"/>
        <w:rPr/>
      </w:pPr>
      <w:r>
        <w:rPr>
          <w:rFonts w:eastAsia="Times New Roman" w:cs="Times New Roman" w:ascii="Times New Roman" w:hAnsi="Times New Roman"/>
          <w:color w:val="111111"/>
          <w:sz w:val="28"/>
          <w:szCs w:val="28"/>
          <w:lang w:val="en-US"/>
        </w:rPr>
        <w:t>C. Klarifikasi tentang Homonimitas dalam Pembahasan Filsafat ...............125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Klarifikasi seputar Konsep-konsep Universal........130 </w:t>
      </w:r>
    </w:p>
    <w:p>
      <w:pPr>
        <w:pStyle w:val="BookText"/>
        <w:bidi w:val="0"/>
        <w:rPr/>
      </w:pPr>
      <w:r>
        <w:rPr>
          <w:rFonts w:eastAsia="Times New Roman" w:cs="Times New Roman" w:ascii="Times New Roman" w:hAnsi="Times New Roman"/>
          <w:color w:val="111111"/>
          <w:sz w:val="28"/>
          <w:szCs w:val="28"/>
          <w:lang w:val="en-US"/>
        </w:rPr>
        <w:t>BAB V PEMIKIRAN EPISTEMOLOGI MUHAMMAD TAQI MISHBÂH YAZDÎ .....139</w:t>
      </w:r>
    </w:p>
    <w:p>
      <w:pPr>
        <w:pStyle w:val="BookText"/>
        <w:bidi w:val="0"/>
        <w:jc w:val="both"/>
        <w:rPr/>
      </w:pPr>
      <w:r>
        <w:rPr>
          <w:rFonts w:eastAsia="Times New Roman" w:cs="Times New Roman" w:ascii="Times New Roman" w:hAnsi="Times New Roman"/>
          <w:color w:val="111111"/>
          <w:sz w:val="28"/>
          <w:szCs w:val="28"/>
          <w:lang w:val="en-US"/>
        </w:rPr>
        <w:t>A. Pengertian ...........139</w:t>
      </w:r>
    </w:p>
    <w:p>
      <w:pPr>
        <w:pStyle w:val="BookText"/>
        <w:bidi w:val="0"/>
        <w:jc w:val="both"/>
        <w:rPr/>
      </w:pPr>
      <w:r>
        <w:rPr>
          <w:rFonts w:eastAsia="Times New Roman" w:cs="Times New Roman" w:ascii="Times New Roman" w:hAnsi="Times New Roman"/>
          <w:color w:val="111111"/>
          <w:sz w:val="28"/>
          <w:szCs w:val="28"/>
          <w:lang w:val="en-US"/>
        </w:rPr>
        <w:t>B. Relasi Epistemologi dan Ontologi........143</w:t>
      </w:r>
    </w:p>
    <w:p>
      <w:pPr>
        <w:pStyle w:val="BookText"/>
        <w:bidi w:val="0"/>
        <w:jc w:val="both"/>
        <w:rPr/>
      </w:pPr>
      <w:r>
        <w:rPr>
          <w:rFonts w:eastAsia="Times New Roman" w:cs="Times New Roman" w:ascii="Times New Roman" w:hAnsi="Times New Roman"/>
          <w:color w:val="111111"/>
          <w:sz w:val="28"/>
          <w:szCs w:val="28"/>
          <w:lang w:val="en-US"/>
        </w:rPr>
        <w:t>C. Filsafat dan Ilmu......148</w:t>
      </w:r>
    </w:p>
    <w:p>
      <w:pPr>
        <w:pStyle w:val="BookText"/>
        <w:bidi w:val="0"/>
        <w:jc w:val="both"/>
        <w:rPr/>
      </w:pPr>
      <w:r>
        <w:rPr>
          <w:rFonts w:eastAsia="Times New Roman" w:cs="Times New Roman" w:ascii="Times New Roman" w:hAnsi="Times New Roman"/>
          <w:color w:val="111111"/>
          <w:sz w:val="28"/>
          <w:szCs w:val="28"/>
          <w:lang w:val="en-US"/>
        </w:rPr>
        <w:t>D. Ragam dan Hakikat Ilmu.....154</w:t>
      </w:r>
    </w:p>
    <w:p>
      <w:pPr>
        <w:pStyle w:val="BookText"/>
        <w:bidi w:val="0"/>
        <w:jc w:val="both"/>
        <w:rPr/>
      </w:pPr>
      <w:r>
        <w:rPr>
          <w:rFonts w:eastAsia="Times New Roman" w:cs="Times New Roman" w:ascii="Times New Roman" w:hAnsi="Times New Roman"/>
          <w:color w:val="111111"/>
          <w:sz w:val="28"/>
          <w:szCs w:val="28"/>
          <w:lang w:val="en-US"/>
        </w:rPr>
        <w:t>E. Prinisp Hudhûri.......158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Objek Aksidental dan Substansial..............162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Kebersatuan Subjek dan Objek Pengetahuan ....167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Pengetahuan Maujud Abstrak terhadap Maujud Konkret..................169</w:t>
      </w:r>
    </w:p>
    <w:p>
      <w:pPr>
        <w:pStyle w:val="BookText"/>
        <w:bidi w:val="0"/>
        <w:jc w:val="both"/>
        <w:rPr/>
      </w:pPr>
      <w:r>
        <w:rPr>
          <w:rFonts w:eastAsia="Times New Roman" w:cs="Times New Roman" w:ascii="Times New Roman" w:hAnsi="Times New Roman"/>
          <w:color w:val="111111"/>
          <w:sz w:val="28"/>
          <w:szCs w:val="28"/>
          <w:lang w:val="en-US"/>
        </w:rPr>
        <w:t>F. Prinsip Badâhah.............171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Badîhî Awwalî....185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Badîhî Tsânawi ........186</w:t>
      </w:r>
    </w:p>
    <w:p>
      <w:pPr>
        <w:pStyle w:val="BookText"/>
        <w:bidi w:val="0"/>
        <w:jc w:val="both"/>
        <w:rPr/>
      </w:pPr>
      <w:r>
        <w:rPr>
          <w:rFonts w:eastAsia="Times New Roman" w:cs="Times New Roman" w:ascii="Times New Roman" w:hAnsi="Times New Roman"/>
          <w:color w:val="111111"/>
          <w:sz w:val="28"/>
          <w:szCs w:val="28"/>
          <w:lang w:val="en-US"/>
        </w:rPr>
        <w:t>BAB VI PEMIKIRAN ONTOLOGI MUHAMMAD TAQI MISHBÂH YAZDÎ.............189</w:t>
      </w:r>
    </w:p>
    <w:p>
      <w:pPr>
        <w:pStyle w:val="BookText"/>
        <w:bidi w:val="0"/>
        <w:jc w:val="both"/>
        <w:rPr/>
      </w:pPr>
      <w:r>
        <w:rPr>
          <w:rFonts w:eastAsia="Times New Roman" w:cs="Times New Roman" w:ascii="Times New Roman" w:hAnsi="Times New Roman"/>
          <w:color w:val="111111"/>
          <w:sz w:val="28"/>
          <w:szCs w:val="28"/>
          <w:lang w:val="en-US"/>
        </w:rPr>
        <w:t>A. Wujûd........190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Ashâlat al-Wujûd..................193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Wahdat al-Wujûd. ...........202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Tasykîk al-Wujûd......215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Râbith dan Mustaqil......217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Wajib dan Mumkin...........222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'Illah dan Ma'lûl....224</w:t>
      </w:r>
    </w:p>
    <w:p>
      <w:pPr>
        <w:pStyle w:val="BookText"/>
        <w:bidi w:val="0"/>
        <w:jc w:val="both"/>
        <w:rPr/>
      </w:pPr>
      <w:r>
        <w:rPr>
          <w:rFonts w:eastAsia="Times New Roman" w:cs="Times New Roman" w:ascii="Times New Roman" w:hAnsi="Times New Roman"/>
          <w:color w:val="111111"/>
          <w:sz w:val="28"/>
          <w:szCs w:val="28"/>
          <w:lang w:val="en-US"/>
        </w:rPr>
        <w:t>B. Mâhiyyah.....................230</w:t>
      </w:r>
    </w:p>
    <w:p>
      <w:pPr>
        <w:pStyle w:val="BookText"/>
        <w:bidi w:val="0"/>
        <w:jc w:val="both"/>
        <w:rPr/>
      </w:pPr>
      <w:r>
        <w:rPr>
          <w:rFonts w:eastAsia="Times New Roman" w:cs="Times New Roman" w:ascii="Times New Roman" w:hAnsi="Times New Roman"/>
          <w:color w:val="111111"/>
          <w:sz w:val="28"/>
          <w:szCs w:val="28"/>
          <w:lang w:val="en-US"/>
        </w:rPr>
        <w:t>C. Jawhar dan `Aradh ....................234</w:t>
      </w:r>
    </w:p>
    <w:p>
      <w:pPr>
        <w:pStyle w:val="BookText"/>
        <w:bidi w:val="0"/>
        <w:jc w:val="both"/>
        <w:rPr/>
      </w:pPr>
      <w:r>
        <w:rPr>
          <w:rFonts w:eastAsia="Times New Roman" w:cs="Times New Roman" w:ascii="Times New Roman" w:hAnsi="Times New Roman"/>
          <w:color w:val="111111"/>
          <w:sz w:val="28"/>
          <w:szCs w:val="28"/>
          <w:lang w:val="en-US"/>
        </w:rPr>
        <w:t>D. Harakah Jawhariyyah.......237</w:t>
      </w:r>
    </w:p>
    <w:p>
      <w:pPr>
        <w:pStyle w:val="BookText"/>
        <w:bidi w:val="0"/>
        <w:jc w:val="both"/>
        <w:rPr/>
      </w:pPr>
      <w:r>
        <w:rPr>
          <w:rFonts w:eastAsia="Times New Roman" w:cs="Times New Roman" w:ascii="Times New Roman" w:hAnsi="Times New Roman"/>
          <w:color w:val="111111"/>
          <w:sz w:val="28"/>
          <w:szCs w:val="28"/>
          <w:lang w:val="en-US"/>
        </w:rPr>
        <w:t>BAB VII PEMIKIRAN TEOLOGI MUHAMMAD TAQI MISHBÂH YAZDÎ ............243</w:t>
      </w:r>
    </w:p>
    <w:p>
      <w:pPr>
        <w:pStyle w:val="BookText"/>
        <w:bidi w:val="0"/>
        <w:jc w:val="both"/>
        <w:rPr/>
      </w:pPr>
      <w:r>
        <w:rPr>
          <w:rFonts w:eastAsia="Times New Roman" w:cs="Times New Roman" w:ascii="Times New Roman" w:hAnsi="Times New Roman"/>
          <w:color w:val="111111"/>
          <w:sz w:val="28"/>
          <w:szCs w:val="28"/>
          <w:lang w:val="en-US"/>
        </w:rPr>
        <w:t>A. Sistematika Teologi .........243</w:t>
      </w:r>
    </w:p>
    <w:p>
      <w:pPr>
        <w:pStyle w:val="BookText"/>
        <w:bidi w:val="0"/>
        <w:jc w:val="both"/>
        <w:rPr/>
      </w:pPr>
      <w:r>
        <w:rPr>
          <w:rFonts w:eastAsia="Times New Roman" w:cs="Times New Roman" w:ascii="Times New Roman" w:hAnsi="Times New Roman"/>
          <w:color w:val="111111"/>
          <w:sz w:val="28"/>
          <w:szCs w:val="28"/>
          <w:lang w:val="en-US"/>
        </w:rPr>
        <w:t>B. Kedudukan Teks dalam Teologi ..........246</w:t>
      </w:r>
    </w:p>
    <w:p>
      <w:pPr>
        <w:pStyle w:val="BookText"/>
        <w:bidi w:val="0"/>
        <w:jc w:val="both"/>
        <w:rPr/>
      </w:pPr>
      <w:r>
        <w:rPr>
          <w:rFonts w:eastAsia="Times New Roman" w:cs="Times New Roman" w:ascii="Times New Roman" w:hAnsi="Times New Roman"/>
          <w:color w:val="111111"/>
          <w:sz w:val="28"/>
          <w:szCs w:val="28"/>
          <w:lang w:val="en-US"/>
        </w:rPr>
        <w:t>C. Kedudukan Ilmu Hudhûrî dan Hushûlî dalam Teologi.....252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Mabda'...258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Keberadaan dan Keesaan Tuhan ...... .....259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Dua Pola Argumentasi Tauhid .......263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Tiga Dimensi Tauhid ......267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Keadilan Tuhan .....................288</w:t>
      </w:r>
    </w:p>
    <w:p>
      <w:pPr>
        <w:pStyle w:val="BookText"/>
        <w:bidi w:val="0"/>
        <w:jc w:val="both"/>
        <w:rPr/>
      </w:pPr>
      <w:r>
        <w:rPr>
          <w:rFonts w:eastAsia="Times New Roman" w:cs="Times New Roman" w:ascii="Times New Roman" w:hAnsi="Times New Roman"/>
          <w:color w:val="111111"/>
          <w:sz w:val="28"/>
          <w:szCs w:val="28"/>
          <w:lang w:val="en-US"/>
        </w:rPr>
        <w:t>a. Rasionalitas Baik dan Buruk ....................289</w:t>
      </w:r>
    </w:p>
    <w:p>
      <w:pPr>
        <w:pStyle w:val="BookText"/>
        <w:bidi w:val="0"/>
        <w:jc w:val="both"/>
        <w:rPr/>
      </w:pPr>
      <w:r>
        <w:rPr>
          <w:rFonts w:eastAsia="Times New Roman" w:cs="Times New Roman" w:ascii="Times New Roman" w:hAnsi="Times New Roman"/>
          <w:color w:val="111111"/>
          <w:sz w:val="28"/>
          <w:szCs w:val="28"/>
          <w:lang w:val="en-US"/>
        </w:rPr>
        <w:t>b. Qadhấ' dan Qadar ......294</w:t>
      </w:r>
    </w:p>
    <w:p>
      <w:pPr>
        <w:pStyle w:val="BookText"/>
        <w:bidi w:val="0"/>
        <w:jc w:val="both"/>
        <w:rPr/>
      </w:pPr>
      <w:r>
        <w:rPr>
          <w:rFonts w:eastAsia="Times New Roman" w:cs="Times New Roman" w:ascii="Times New Roman" w:hAnsi="Times New Roman"/>
          <w:color w:val="111111"/>
          <w:sz w:val="28"/>
          <w:szCs w:val="28"/>
          <w:lang w:val="en-US"/>
        </w:rPr>
        <w:t>c. Kebebasan dan Pemaksaan (Penentuan).296</w:t>
      </w:r>
    </w:p>
    <w:p>
      <w:pPr>
        <w:pStyle w:val="BookText"/>
        <w:bidi w:val="0"/>
        <w:jc w:val="both"/>
        <w:rPr/>
      </w:pPr>
      <w:r>
        <w:rPr>
          <w:rFonts w:eastAsia="Times New Roman" w:cs="Times New Roman" w:ascii="Times New Roman" w:hAnsi="Times New Roman"/>
          <w:color w:val="111111"/>
          <w:sz w:val="28"/>
          <w:szCs w:val="28"/>
          <w:lang w:val="en-US"/>
        </w:rPr>
        <w:t>E. Ma'âd ....................298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Dalil Hikmah.. ...................300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Dalil Keadilan................................302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Kebangkitan Jasmani dan Rohani ...........304</w:t>
      </w:r>
    </w:p>
    <w:p>
      <w:pPr>
        <w:pStyle w:val="BookText"/>
        <w:bidi w:val="0"/>
        <w:jc w:val="both"/>
        <w:rPr/>
      </w:pPr>
      <w:r>
        <w:rPr>
          <w:rFonts w:eastAsia="Times New Roman" w:cs="Times New Roman" w:ascii="Times New Roman" w:hAnsi="Times New Roman"/>
          <w:color w:val="111111"/>
          <w:sz w:val="28"/>
          <w:szCs w:val="28"/>
          <w:lang w:val="en-US"/>
        </w:rPr>
        <w:t>BAB VIII PENUTUP ......307</w:t>
      </w:r>
    </w:p>
    <w:p>
      <w:pPr>
        <w:pStyle w:val="BookText"/>
        <w:bidi w:val="0"/>
        <w:jc w:val="both"/>
        <w:rPr/>
      </w:pPr>
      <w:r>
        <w:rPr>
          <w:rFonts w:eastAsia="Times New Roman" w:cs="Times New Roman" w:ascii="Times New Roman" w:hAnsi="Times New Roman"/>
          <w:color w:val="111111"/>
          <w:sz w:val="28"/>
          <w:szCs w:val="28"/>
          <w:lang w:val="en-US"/>
        </w:rPr>
        <w:t>A. Kesimpulan ................307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Epistemologi...310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Ontologi..........314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Teologi ..........318</w:t>
      </w:r>
    </w:p>
    <w:p>
      <w:pPr>
        <w:pStyle w:val="BookText"/>
        <w:bidi w:val="0"/>
        <w:jc w:val="both"/>
        <w:rPr/>
      </w:pPr>
      <w:r>
        <w:rPr>
          <w:rFonts w:eastAsia="Times New Roman" w:cs="Times New Roman" w:ascii="Times New Roman" w:hAnsi="Times New Roman"/>
          <w:color w:val="111111"/>
          <w:sz w:val="28"/>
          <w:szCs w:val="28"/>
          <w:lang w:val="en-US"/>
        </w:rPr>
        <w:t>B. Saran-saran ..............321</w:t>
      </w:r>
    </w:p>
    <w:p>
      <w:pPr>
        <w:pStyle w:val="BookText"/>
        <w:bidi w:val="0"/>
        <w:jc w:val="both"/>
        <w:rPr/>
      </w:pPr>
      <w:r>
        <w:rPr>
          <w:rFonts w:eastAsia="Times New Roman" w:cs="Times New Roman" w:ascii="Times New Roman" w:hAnsi="Times New Roman"/>
          <w:color w:val="111111"/>
          <w:sz w:val="28"/>
          <w:szCs w:val="28"/>
          <w:lang w:val="en-US"/>
        </w:rPr>
        <w:t>DAFTAR PUSTAKA.......325</w:t>
      </w:r>
    </w:p>
    <w:p>
      <w:pPr>
        <w:pStyle w:val="BookText"/>
        <w:bidi w:val="0"/>
        <w:jc w:val="both"/>
        <w:rPr/>
      </w:pPr>
      <w:r>
        <w:rPr>
          <w:rFonts w:eastAsia="Times New Roman" w:cs="Times New Roman" w:ascii="Times New Roman" w:hAnsi="Times New Roman"/>
          <w:color w:val="111111"/>
          <w:sz w:val="28"/>
          <w:szCs w:val="28"/>
          <w:lang w:val="en-US"/>
        </w:rPr>
        <w:t>INDEKS .......333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IKLAN BUKU.....341 </w:t>
      </w:r>
    </w:p>
    <w:p>
      <w:pPr>
        <w:pStyle w:val="BookText"/>
        <w:bidi w:val="0"/>
        <w:rPr/>
      </w:pPr>
      <w:r>
        <w:rPr>
          <w:rFonts w:eastAsia="Times New Roman" w:cs="Times New Roman" w:ascii="Times New Roman" w:hAnsi="Times New Roman"/>
          <w:color w:val="111111"/>
          <w:sz w:val="28"/>
          <w:szCs w:val="28"/>
          <w:lang w:val="en-US"/>
        </w:rPr>
        <w:t>TRANSLITERASI ARAB</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3479800" cy="3467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3479760" cy="3467160"/>
                        </a:xfrm>
                        <a:prstGeom prst="rect">
                          <a:avLst/>
                        </a:prstGeom>
                        <a:ln w="0">
                          <a:noFill/>
                        </a:ln>
                      </pic:spPr>
                    </pic:pic>
                  </a:graphicData>
                </a:graphic>
              </wp:inline>
            </w:drawing>
          </mc:Choice>
          <mc:Fallback>
            <w:pict>
              <v:shape id="shape_0" stroked="f" o:allowincell="f" style="position:absolute;margin-left:0pt;margin-top:-273.05pt;width:273.95pt;height:272.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TRANSLITERASI PERSIA</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3187700" cy="3644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3187800" cy="3645000"/>
                        </a:xfrm>
                        <a:prstGeom prst="rect">
                          <a:avLst/>
                        </a:prstGeom>
                        <a:ln w="0">
                          <a:noFill/>
                        </a:ln>
                      </pic:spPr>
                    </pic:pic>
                  </a:graphicData>
                </a:graphic>
              </wp:inline>
            </w:drawing>
          </mc:Choice>
          <mc:Fallback>
            <w:pict>
              <v:shape id="shape_0" stroked="f" o:allowincell="f" style="position:absolute;margin-left:0pt;margin-top:-287.05pt;width:250.95pt;height:286.95pt;mso-wrap-style:none;v-text-anchor:middle;mso-position-horizontal:left;mso-position-vertical:top" type="_x0000_t75">
                <v:imagedata r:id="rId20" o:detectmouseclick="t"/>
                <v:stroke color="#3465a4" joinstyle="round" endcap="flat"/>
                <w10:wrap type="none"/>
              </v:shape>
            </w:pict>
          </mc:Fallback>
        </mc:AlternateContent>
      </w:r>
      <w:bookmarkStart w:id="10" w:name="pg6424_44578"/>
    </w:p>
    <w:p>
      <w:pPr>
        <w:pStyle w:val="Heading2"/>
        <w:numPr>
          <w:ilvl w:val="1"/>
          <w:numId w:val="1"/>
        </w:numPr>
        <w:bidi w:val="0"/>
        <w:jc w:val="left"/>
        <w:rPr/>
      </w:pPr>
      <w:bookmarkStart w:id="11" w:name="__RefHeading___Toc688529_653776707"/>
      <w:bookmarkStart w:id="12" w:name="_Toc4"/>
      <w:bookmarkEnd w:id="10"/>
      <w:bookmarkEnd w:id="11"/>
      <w:r>
        <w:rPr/>
        <w:t>PROLOG 1: PROFIL PEMIKIRAN PROF. M.T. MISHBAH YAZDI</w:t>
      </w:r>
      <w:bookmarkEnd w:id="12"/>
    </w:p>
    <w:p>
      <w:pPr>
        <w:pStyle w:val="BookText"/>
        <w:bidi w:val="0"/>
        <w:jc w:val="both"/>
        <w:rPr/>
      </w:pPr>
      <w:r>
        <w:rPr>
          <w:rFonts w:eastAsia="Times New Roman" w:cs="Times New Roman" w:ascii="Times New Roman" w:hAnsi="Times New Roman"/>
          <w:color w:val="111111"/>
          <w:sz w:val="28"/>
          <w:szCs w:val="28"/>
          <w:lang w:val="en-US"/>
        </w:rPr>
        <w:t>PROLOG 1: PROFIL PEMIKIRAN PROF. M.T. MISHBAH YAZDI</w:t>
      </w:r>
      <w:r>
        <w:rPr>
          <w:rStyle w:val="FootnoteAnchor"/>
        </w:rPr>
        <w:footnoteReference w:id="2"/>
      </w:r>
      <w:r>
        <w:rPr>
          <w:rFonts w:eastAsia="Times New Roman" w:cs="Times New Roman" w:ascii="Times New Roman" w:hAnsi="Times New Roman"/>
          <w:color w:val="111111"/>
          <w:sz w:val="28"/>
          <w:szCs w:val="28"/>
          <w:lang w:val="en-US"/>
        </w:rPr>
        <w:t xml:space="preserve"> Muhammad Legenhausen and ‘Azim Sarvdalir  Filsafat dan tafsir Alquran, seperti juga mistisisme ('irfan), pernah  dipandang sinis oleh banyak pemuka Syi'ah yang mengajarkan hukum  Islam (fiqh) dan yurisprudensi (ushul fiqh). Sejak kemenangan  Revolusi Islam, situasi itu sedikit berubah mengingat Imam Khomeini  turut mengembangkan bidang-bidang pengajaran ini, di samping juga  karena wibawa Allamah Thabathaba’i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Dar Al-Kitab Al-Islamiyyah, tanpa tanggal). Terjemahan Inggris garapan Sayyid Saeed Akhtar Rizvi yang telah  mencapai enam jilid diterbitkan oleh World Organization for Islamic Services, jilid pertamanya muncul pada  1983. Karya utama Thabathaba'i dalam filsafat adalah Bidayah Al-Hikmah dan Nihayah Al-Hikmah yang keduanya di-  terbitkan oleh Mu'assisah Al-Nasyr Al-Islami dan Daftar-e Tablighat-e Islami. A.Q. Qara'i telah menerjemahkan  Bidayah Al-Hikmah ke dalam bahasa Inggris dalam serial yang diterbitkan oleh jurnal Al-Tawhid, Volume IX-XI.</w:t>
      </w:r>
    </w:p>
    <w:p>
      <w:pPr>
        <w:pStyle w:val="BookText"/>
        <w:bidi w:val="0"/>
        <w:jc w:val="both"/>
        <w:rPr/>
      </w:pPr>
      <w:r>
        <w:rPr>
          <w:rFonts w:eastAsia="Times New Roman" w:cs="Times New Roman" w:ascii="Times New Roman" w:hAnsi="Times New Roman"/>
          <w:color w:val="111111"/>
          <w:sz w:val="28"/>
          <w:szCs w:val="28"/>
          <w:lang w:val="en-US"/>
        </w:rPr>
        <w:t>Meskipun tidak menulis karangan sistematik tentang mistisisme, pandangan-pandangan Thabathaba'i dalam  kaitan ini berpengaruh kuat pada karya-karya Ayatullah Jawadi Amuli dan Ayatullah Husaini Tehrani-penerj.</w:t>
      </w:r>
    </w:p>
    <w:p>
      <w:pPr>
        <w:pStyle w:val="BookText"/>
        <w:bidi w:val="0"/>
        <w:jc w:val="both"/>
        <w:rPr/>
      </w:pPr>
      <w:r>
        <w:rPr>
          <w:rFonts w:eastAsia="Times New Roman" w:cs="Times New Roman" w:ascii="Times New Roman" w:hAnsi="Times New Roman"/>
          <w:color w:val="111111"/>
          <w:sz w:val="28"/>
          <w:szCs w:val="28"/>
          <w:lang w:val="en-US"/>
        </w:rPr>
        <w:t>Inggris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karya-karyanya dalam  bidang-bidang tersebut telah menjadi standar. Permasalahan (penerimaan  filsafat) di dunia Islam sebenarnya tidak melulu menyangkut metode-  metode filsafat yang terkait dengan doktrin-doktrin tertentu. Di  kalangan sarjana Islam, filsafat bukan sekadar tradisi pemikiran yang  membentang dari Yunani kuno dan mengalir melalui para penganut  Neoplatonisme, orang-orang Islam, Kristen, orang-orang Eropa modern  hingga melahirkan kajian akademis tentang filsafat ilmu, agama, hukum,  dan politik kontemporer. Di dunia Muslim, filsafat lebih dari sekadar  suatu metode dan himpunan topik yang mempunyai sejarahnya sendiri;  filsafat ialah sesuatu yang menuntut penerimaan doktrin-doktrin  tertentu, yang oleh beberapa kalangan dianggap tidak sejalan dengan  Islam. Para filsuf Muslim, seperti para Sufi dan Syi'ah (serta kalangan  pemikir terkemuka yang menyatakan setia terhadap ketiga-tiga aliran  esoterik tersebut), menawarkan penafsiran nonliteral terhadap ayat-</w:t>
      </w:r>
    </w:p>
    <w:p>
      <w:pPr>
        <w:pStyle w:val="BookText"/>
        <w:bidi w:val="0"/>
        <w:rPr/>
      </w:pPr>
      <w:r>
        <w:rPr>
          <w:rFonts w:eastAsia="Times New Roman" w:cs="Times New Roman" w:ascii="Times New Roman" w:hAnsi="Times New Roman"/>
          <w:color w:val="111111"/>
          <w:sz w:val="28"/>
          <w:szCs w:val="28"/>
          <w:lang w:val="en-US"/>
        </w:rPr>
        <w:t>ayat Alquran dan hadis Nabi dan keluarga beliau. Reaksi kalangan  yang berpegang pada makna literal terhadap tawaran kelompok di atas  -seperti bisa diramalkan- ialah tuduhan melakukan bid'ah, penyim-  pangan, dan kekufuran.</w:t>
      </w:r>
    </w:p>
    <w:p>
      <w:pPr>
        <w:pStyle w:val="BookText"/>
        <w:bidi w:val="0"/>
        <w:jc w:val="both"/>
        <w:rPr/>
      </w:pPr>
      <w:r>
        <w:rPr>
          <w:rFonts w:eastAsia="Times New Roman" w:cs="Times New Roman" w:ascii="Times New Roman" w:hAnsi="Times New Roman"/>
          <w:color w:val="111111"/>
          <w:sz w:val="28"/>
          <w:szCs w:val="28"/>
          <w:lang w:val="en-US"/>
        </w:rPr>
        <w:t>Dalam Alquran, kita sepertinya disuguhi konsep ketuhanan (deity)  yang personal, untuk tidak menyebut antropomorfis (menyerupakan  Tuhan dengan manusia), sementara para filsuf dan sufi meyakini  Tuhan sebagai eksistensi itu sendiri, hakikat eksistensi, eksistensi mut-  lak, atau wujud. Islam tampak seperti mengajarkan bahwa pada kurun  waktu setelah kematian (barzakh) manusia akan menerima berbagai  pahala dan siksa fisik. Menurut para filsuf dan sufi, pahala dan siksa  terjadi berbarengan dengan kehidupan kita sekarang. Kebangkitan jas-  mani juga diberi aneka penafsiran mistis dan filsufis yang haram men-  urut kelompok literalis. Tak ayal lagi, kelompok literalis terlalu sempit  dalam memaksakan keunggulan otoritas firman Tuhan atas penggunaan  nalar manusia yang tidak punya padanannya dalam fundamentalime  Kristen. Dalam bergulat dengan filsafat, kedua belah pihak (literalis  dan nonliteralis) sama-sama piawai menggunakan argumen-argumen filsufis  dalam mempertahankan pendapat masing-masing, setidaknya sejak Al-  Ghazali (w. 1111 M). Kelompok literalis menuding para filsuf dan sufi  memperlakukan teks-teks suci (scriptures) secara tidak lazim. Dan se-  kalipun kiranya kita condong pada pendekatan nonliteral, harus diakui  bahwa para filsuf maupun sufi sering memberikan penafsiran yang  sulit dicerna.</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Bagaimanapun, dalam lingkungan Syi'ah, penafsiran esoteris  terhadap teks merupakan bagian terpadu dari ortodoksi. Para Imam  sendiri mengungkapkan berbagai tingkatan pengetahuan esoteris yang  diturunkan oleh Nabi Muhammad Saw kepada mereka, berkaitan  dengan status mereka sebagai penyandang kepercayaan atau perwalian  (trusteeship). Pengetahuan esoteris tersebut lebih menyangkut penafsiran  terhadap Alquran dan doktrin-doktrin lain, ketimbang secara langsung  berkaitan dengan rincian masalah hukum ibadah. Bagi para ulama fiqih </w:t>
      </w:r>
    </w:p>
    <w:p>
      <w:pPr>
        <w:pStyle w:val="BookText"/>
        <w:bidi w:val="0"/>
        <w:rPr/>
      </w:pPr>
      <w:r>
        <w:rPr>
          <w:rFonts w:eastAsia="Times New Roman" w:cs="Times New Roman" w:ascii="Times New Roman" w:hAnsi="Times New Roman"/>
          <w:color w:val="111111"/>
          <w:sz w:val="28"/>
          <w:szCs w:val="28"/>
          <w:lang w:val="en-US"/>
        </w:rPr>
        <w:t>yang berurusan dengan penyediaan bukti-bukti tekstual yang jelas  untuk menyokong putusan-putusan hukum, seperti perbuatan-perbuatan  apa yang termasuk dalam wajib, sunnah, mubah, makruh, atau haram,  kiranya wajar jika mereka cenderung lebih mengunggulkan akal-sehat  (common sense) dalam membaca teks. Oleh karena itu, terdapat  ketegangan hermeneutik berkelanjutan di hauzah-hauzah</w:t>
      </w:r>
      <w:r>
        <w:rPr>
          <w:rStyle w:val="FootnoteAnchor"/>
        </w:rPr>
        <w:footnoteReference w:id="4"/>
      </w:r>
      <w:r>
        <w:rPr>
          <w:rFonts w:eastAsia="Times New Roman" w:cs="Times New Roman" w:ascii="Times New Roman" w:hAnsi="Times New Roman"/>
          <w:color w:val="111111"/>
          <w:sz w:val="28"/>
          <w:szCs w:val="28"/>
          <w:lang w:val="en-US"/>
        </w:rPr>
        <w:t>Syi'ah. Di  satu pihak, ada kepekaan tertentu terhadap pendekatan esoteris yang  dianjurkan oleh pernyataan-pernyataan para Imam, dan di lain pihak  ada kepentingan kajian-kajian fiqih yang menyuburkan kecenderungan  pada pandangan literal dan penalaran akal-sehat.</w:t>
      </w:r>
    </w:p>
    <w:p>
      <w:pPr>
        <w:pStyle w:val="BookText"/>
        <w:bidi w:val="0"/>
        <w:jc w:val="both"/>
        <w:rPr/>
      </w:pPr>
      <w:r>
        <w:rPr>
          <w:rFonts w:eastAsia="Times New Roman" w:cs="Times New Roman" w:ascii="Times New Roman" w:hAnsi="Times New Roman"/>
          <w:color w:val="111111"/>
          <w:sz w:val="28"/>
          <w:szCs w:val="28"/>
          <w:lang w:val="en-US"/>
        </w:rPr>
        <w:t>Philosophical Instructions: An Introduction to Contemporary Islamic  Philosophy (Buku Daras Filsafat Islam karya Prof.M.T.Mishbah Yazdi  peny.) menampilkan keseimbangan antara kecenderungan literalis dan  esoteris dalam konteks mempertahankan filsafat Islam. Tuduhan  (kalangan literalis) akan adanya misinterprestasi teks suci tertepiskan  oleh ketiadaan sandaran meyakinkan dalam Alquran. Nalar, seba-  gaimana dipahami dalam tradisi skolastik pembelajaran Syi'ah, adalah  satu-satunya standar untuk mengimbau manusia. Bahasa Kitab Suci ser-  ing menggunakan gaya kiasan (figurative), sehingga penafsiran esoteris  yang didiktekan nalar pada akhirnya harus diterima untuk mendamaikan  filsafat dan agama.</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Bertahannya filsafat Islam adalah berkat karya-karya Shadr Al-  Din Al-Syirazi (w.1641 M), umumnya dikenal sebagai Mulla Shadra, atau  biasa dirujuk dalam buku ini dengan sebutan kehormatannya, Shadr Al-  Muta’allihin (kebanggaan para teosof). Shadr Al-Muta’allihin sendiri  adalah pelaku sintesis yang membangun sistem bernama Al-Hikmah  Al-Muta’aliyah (hikmah yang memuncak atau teosofi transenden) yang  mencakup elemen-elemen pemikiran Ibn Sina (w.1037 M), Suhrawardi  (w.1191 M), dan beberapa teolog Syi'ah terkemuka, seperti Khwajah </w:t>
      </w:r>
    </w:p>
    <w:p>
      <w:pPr>
        <w:pStyle w:val="BookText"/>
        <w:bidi w:val="0"/>
        <w:rPr/>
      </w:pPr>
      <w:r>
        <w:rPr>
          <w:rFonts w:eastAsia="Times New Roman" w:cs="Times New Roman" w:ascii="Times New Roman" w:hAnsi="Times New Roman"/>
          <w:color w:val="111111"/>
          <w:sz w:val="28"/>
          <w:szCs w:val="28"/>
          <w:lang w:val="en-US"/>
        </w:rPr>
        <w:t>Mulla Shadra juga terkena serangan orang-orang yang menganggap  penafsiran esoterisnya sebagai bid'ah. Dengan jengkel, ia menanggapi  para penuduh itu dengan cercaan moral yang pedas dalam satu-satunya  risalah yang dia tulis dalam bahasa Persia'. Pengaruh Shadra justru lambat  laun terasa setelah kematiannya. Namun, pada abad ke-19 pemikirannya  telah memantapkan diri di tengah-tengah para pelajar filsafat Syi'ah.</w:t>
      </w:r>
    </w:p>
    <w:p>
      <w:pPr>
        <w:pStyle w:val="BookText"/>
        <w:bidi w:val="0"/>
        <w:jc w:val="both"/>
        <w:rPr/>
      </w:pPr>
      <w:r>
        <w:rPr>
          <w:rFonts w:eastAsia="Times New Roman" w:cs="Times New Roman" w:ascii="Times New Roman" w:hAnsi="Times New Roman"/>
          <w:color w:val="111111"/>
          <w:sz w:val="28"/>
          <w:szCs w:val="28"/>
          <w:lang w:val="en-US"/>
        </w:rPr>
        <w:t>Dan selanjutnya, Syarh Al-Manzhumah, karya Mulla Hadi Sabzawari  (w.1878 M)— yang sejalan dengan tesis-tesis utama teosofi transenden  Shadra—menjadi buku daras standar bagi para mahasiswa yang secara  privat belajar filsafat di berbagai Hauzah.</w:t>
      </w:r>
    </w:p>
    <w:p>
      <w:pPr>
        <w:pStyle w:val="BookText"/>
        <w:bidi w:val="0"/>
        <w:jc w:val="both"/>
        <w:rPr/>
      </w:pPr>
      <w:r>
        <w:rPr>
          <w:rFonts w:eastAsia="Times New Roman" w:cs="Times New Roman" w:ascii="Times New Roman" w:hAnsi="Times New Roman"/>
          <w:color w:val="111111"/>
          <w:sz w:val="28"/>
          <w:szCs w:val="28"/>
          <w:lang w:val="en-US"/>
        </w:rPr>
        <w:t>Pada paruh kedua abad ke-20, ulama dihadapkan pada kenyataan  meningkatnya minat anak muda terhadap Marxisme, dan mereka  mencoba menyongsong tantangan filsufis ini dengan menjabarkan prins-  ip-prinsip teosofi transenden. Buku Ushul-e Falsafah va Ravisy-e  Ri'alism (Prinsip-Prinsip Filsafat dan Metode Realisme) ditulis oleh Al-  lamah Thabathaba'i dalam bahasa Persia untuk maksud tersebut, disusul  dengan Falsafatuna, karya Syahid Muhammad Baqir Al-Shadr yang  ditulisnya di Najaf".</w:t>
      </w:r>
    </w:p>
    <w:p>
      <w:pPr>
        <w:pStyle w:val="BookText"/>
        <w:bidi w:val="0"/>
        <w:jc w:val="both"/>
        <w:rPr/>
      </w:pPr>
      <w:r>
        <w:rPr>
          <w:rFonts w:eastAsia="Times New Roman" w:cs="Times New Roman" w:ascii="Times New Roman" w:hAnsi="Times New Roman"/>
          <w:color w:val="111111"/>
          <w:sz w:val="28"/>
          <w:szCs w:val="28"/>
          <w:lang w:val="en-US"/>
        </w:rPr>
        <w:t>Tentangan terhadap pengajaran filsafat secara terbuka tidak  selamanya berangkat dari ketidaksetujuan terhadap prinsip-prinsip  filsafat, tetapi sering berasal dari keberatan-keberatan keagamaan. Adalah  dosa besar memperlemah iman seorang Muslim, dan filsafat dipandang  berbahaya lantaran bisa menanamkan benih keraguan dalam benak yang  kurang jeli sehingga bisa-bisa tak mampu melepas belenggu diri sendiri.</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Gagasan semacam ini bahkan pernah diungkapkan oleh Ibn Sina, manakala  ia memperingatkan pembaca awam untuk tidak melanjutkan ke bagian  filsafat setelah menamatkan bagian logika dalam karya Al-Isyarat wa Al-  Tanbihať.</w:t>
      </w:r>
      <w:r>
        <w:rPr>
          <w:rStyle w:val="FootnoteAnchor"/>
        </w:rPr>
        <w:footnoteReference w:id="5"/>
      </w:r>
      <w:r>
        <w:rPr>
          <w:rFonts w:eastAsia="Times New Roman" w:cs="Times New Roman" w:ascii="Times New Roman" w:hAnsi="Times New Roman"/>
          <w:color w:val="111111"/>
          <w:sz w:val="28"/>
          <w:szCs w:val="28"/>
          <w:lang w:val="en-US"/>
        </w:rPr>
        <w:t xml:space="preserve"> Tidak jarang kita menemukan peringatan serupa dalam karya-  karya para filsuf dan 'urafa Islam bahwa latar belakang dan latihan yang  memadai diperlukan sebelum penghayatan (appreciation) jitu terhadap  suatu ajaran bisa diharapkan. Sungguh, bukankah ini maksud prasasti </w:t>
      </w:r>
    </w:p>
    <w:p>
      <w:pPr>
        <w:pStyle w:val="BookText"/>
        <w:bidi w:val="0"/>
        <w:rPr/>
      </w:pPr>
      <w:r>
        <w:rPr>
          <w:rFonts w:eastAsia="Times New Roman" w:cs="Times New Roman" w:ascii="Times New Roman" w:hAnsi="Times New Roman"/>
          <w:color w:val="111111"/>
          <w:sz w:val="28"/>
          <w:szCs w:val="28"/>
          <w:lang w:val="en-US"/>
        </w:rPr>
        <w:t>yang bergantung di pintu Akademia?</w:t>
      </w:r>
      <w:r>
        <w:rPr>
          <w:rStyle w:val="FootnoteAnchor"/>
        </w:rPr>
        <w:footnoteReference w:id="6"/>
      </w:r>
      <w:r>
        <w:rPr>
          <w:rFonts w:eastAsia="Times New Roman" w:cs="Times New Roman" w:ascii="Times New Roman" w:hAnsi="Times New Roman"/>
          <w:color w:val="111111"/>
          <w:sz w:val="28"/>
          <w:szCs w:val="28"/>
          <w:lang w:val="en-US"/>
        </w:rPr>
        <w:t xml:space="preserve"> Selain pengajaran filsafat secara terbuka, perang ideologi antara  Marxisme dan Islam juga telah membantu lahirnya sejumlah inovasi  dalam filsafat Islam. Hingga abad ke-20, karya-karya filsafat Islam  ditulis untuk menjawab persoalan yang diajukan para pemikir Muslim  dalam konteks kebudayaan Islam. Tidak ada rujukan yang dibuat  kepada pemikiran Eropa modern. Lewat ancaman Marxisme, para filsuf  Muslim dihadapkan pada bantahan-bantahan yang diajukan oleh orang-  orang Eropa, terutama menyangkut persoalan-persoalan epistemologi.</w:t>
      </w:r>
    </w:p>
    <w:p>
      <w:pPr>
        <w:pStyle w:val="BookText"/>
        <w:bidi w:val="0"/>
        <w:jc w:val="both"/>
        <w:rPr/>
      </w:pPr>
      <w:r>
        <w:rPr>
          <w:rFonts w:eastAsia="Times New Roman" w:cs="Times New Roman" w:ascii="Times New Roman" w:hAnsi="Times New Roman"/>
          <w:color w:val="111111"/>
          <w:sz w:val="28"/>
          <w:szCs w:val="28"/>
          <w:lang w:val="en-US"/>
        </w:rPr>
        <w:t>Sementara filsafat Islam klasik berputar-putar pada masalah-masalah  metafisika, ciri-khas penting filsafat Islam abad ke-20 justru terletak  pada perhatiannya terhadap epistemologi. Ushul Falsafeh-nya Allamah  Thabathaba’i adalah karya filsafat Islam yang pertama-tama memuat  dan mengembangkan pembahasan isu-isu penting epistemologi yang  dikaitkan dengan filsafat Barat modern (terutama Marxisme). Perhatian  serupa juga diberikan dalam Falsafatuna, karya Baqir Shadr. Dalam karyakarya  tersebut, sebagaimana dalam Philosophical Instructions-nya Mishbah  Yazdi ini, skeptisisme diserang, sementara kemampuan-kemampuan nalar  dikukuhkan. Kaum rasionalis Eropa modern, dengan perhatian utama pada  Descartes, lebih diunggulkan ketimbang empirisisme dan Kant.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Alasan lain untuk menyoroti filsafat Eropa modern dan problemanya  ialah karena filsafat Barat sudah sedemikian merasuki kurikulum  universitas-universitas di Dunia Islam (dan sialnya, filsafat Islam telah  dan, lebih sialnya, terus terabaikan). Sejumlah karya terjemahan filsafat  Eropa mulai tampak dalam bahasa Arab maupun Persia. Pada abad  ke-20, Sayyid Muhammad Kazhim Ashshar, mahaguru yang berlatar  belakang tradisional, merupakan orang pertama yang belajar di Prancis,  lalu kembali ke Hauzah dan mengajar di Najaf dan kemudian di  Universitas Teheran</w:t>
      </w:r>
      <w:r>
        <w:rPr>
          <w:rStyle w:val="FootnoteAnchor"/>
        </w:rPr>
        <w:footnoteReference w:id="7"/>
      </w:r>
    </w:p>
    <w:p>
      <w:pPr>
        <w:pStyle w:val="BookText"/>
        <w:bidi w:val="0"/>
        <w:rPr/>
      </w:pPr>
      <w:r>
        <w:rPr>
          <w:rFonts w:eastAsia="Times New Roman" w:cs="Times New Roman" w:ascii="Times New Roman" w:hAnsi="Times New Roman"/>
          <w:color w:val="111111"/>
          <w:sz w:val="28"/>
          <w:szCs w:val="28"/>
          <w:lang w:val="en-US"/>
        </w:rPr>
        <w:t>Pada sisi lain, filsafat Islam mengimbau pada patokan-patokan  akal, ditambah pengetahuan dengan kehadiran (ilm hudhuri), yang tanpa  keduanya keyakinan agama bisa disingkirkan sebagai tak berpijakan.</w:t>
      </w:r>
    </w:p>
    <w:p>
      <w:pPr>
        <w:pStyle w:val="BookText"/>
        <w:bidi w:val="0"/>
        <w:jc w:val="both"/>
        <w:rPr/>
      </w:pPr>
      <w:r>
        <w:rPr>
          <w:rFonts w:eastAsia="Times New Roman" w:cs="Times New Roman" w:ascii="Times New Roman" w:hAnsi="Times New Roman"/>
          <w:color w:val="111111"/>
          <w:sz w:val="28"/>
          <w:szCs w:val="28"/>
          <w:lang w:val="en-US"/>
        </w:rPr>
        <w:t>Baik Schleiermacher maupun Prof. Mishbah sama-sama menemukan  kebergantungan penuh eksistensi manusia pada “introspeksi”. Tetapi,  sementara Schleiermacher menghindarkan doktrin-doktrinnya dari segala  bentuk teologi filsufis demi memperoleh pengalaman “kebergantungan”  itu sendiri, Prof. Mishbah justru menemukan introspeksi sebagai cara  meneguhkan semua data yang diperlukan bagi teologi alamiah yang  sejalan dengan teosofi transenden. Dan dalam teosofi transenden eks-  istensi Tuhan dibuktikan melalui perenungan rasional terhadap (hasil)  pengenalan langsung dengan eksistensi itu sendiri.</w:t>
      </w:r>
    </w:p>
    <w:p>
      <w:pPr>
        <w:pStyle w:val="BookText"/>
        <w:bidi w:val="0"/>
        <w:jc w:val="both"/>
        <w:rPr/>
      </w:pPr>
      <w:r>
        <w:rPr>
          <w:rFonts w:eastAsia="Times New Roman" w:cs="Times New Roman" w:ascii="Times New Roman" w:hAnsi="Times New Roman"/>
          <w:color w:val="111111"/>
          <w:sz w:val="28"/>
          <w:szCs w:val="28"/>
          <w:lang w:val="en-US"/>
        </w:rPr>
        <w:t>TENTANG PROF. M.T.MISHBAH YAZDI  Ayatullah Prof. Muhammad Taqi Mishbah Yazdi lahir tahun  1934 di Kota Yazd. Di kota kelahirannya itu pula beliau  menamatkan pelajaran dasar ilmu-ilmu Islam dan memulai pembacaan  naskah-naskah klasik utama dalam bidang hukum Islam dan yurisprudensi.</w:t>
      </w:r>
    </w:p>
    <w:p>
      <w:pPr>
        <w:pStyle w:val="BookText"/>
        <w:bidi w:val="0"/>
        <w:jc w:val="both"/>
        <w:rPr/>
      </w:pPr>
      <w:r>
        <w:rPr>
          <w:rFonts w:eastAsia="Times New Roman" w:cs="Times New Roman" w:ascii="Times New Roman" w:hAnsi="Times New Roman"/>
          <w:color w:val="111111"/>
          <w:sz w:val="28"/>
          <w:szCs w:val="28"/>
          <w:lang w:val="en-US"/>
        </w:rPr>
        <w:t>Untuk mengikuti jenjang lanjutan, Prof. Mishbah berangkat ke Najaf.</w:t>
      </w:r>
    </w:p>
    <w:p>
      <w:pPr>
        <w:pStyle w:val="BookText"/>
        <w:bidi w:val="0"/>
        <w:jc w:val="both"/>
        <w:rPr/>
      </w:pPr>
      <w:r>
        <w:rPr>
          <w:rFonts w:eastAsia="Times New Roman" w:cs="Times New Roman" w:ascii="Times New Roman" w:hAnsi="Times New Roman"/>
          <w:color w:val="111111"/>
          <w:sz w:val="28"/>
          <w:szCs w:val="28"/>
          <w:lang w:val="en-US"/>
        </w:rPr>
        <w:t>Tetapi, karena kesulitan keuangan, setahun kemudian beliau kembali ke  Iran dan meneruskan studi di Qum. Dari 1952-1960, beliau menghadiri  pelajaran-pelajaran Imam Khomeini, sambilmengikuti pelajarantafsir Al  Quran, Al-Syifa', karya Ibn Sina, dan Al-Asfar, karya Mulla Shadra oleh  ‘Allamah Thabathaba'i. Bertahun-tahun lamanya beliau habiskan dalam  diskusi seputar signifikansi sosial Islam, termasuk masalah jihad,  yudikasi, dan pemerintahan Islaam.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Sekitar tahun 1964, ia bekerjasama dengan Syahid Bahesyti, Syahid Bahon-  ar, dan HujjatulIslam HasyemiRafsanjani untukmelakukan perlawananatas  rezim Syah Pahlevi dan menulis dua karya, Bitsat (Misi Kenabian) dan  Intiqam (Tindak Pembalasan), yang kedua-dua nya ia terbitkan  sendiri. Prof. Mishbah juga ikut andil dalam mendirikan organisasi  politik ulama Qum, yang terutama dipimpin oleh Ayatullah </w:t>
      </w:r>
    </w:p>
    <w:p>
      <w:pPr>
        <w:pStyle w:val="BookText"/>
        <w:bidi w:val="0"/>
        <w:rPr/>
      </w:pPr>
      <w:r>
        <w:rPr>
          <w:rFonts w:eastAsia="Times New Roman" w:cs="Times New Roman" w:ascii="Times New Roman" w:hAnsi="Times New Roman"/>
          <w:color w:val="111111"/>
          <w:sz w:val="28"/>
          <w:szCs w:val="28"/>
          <w:lang w:val="en-US"/>
        </w:rPr>
        <w:t>Rabbani Syirazi dan antara lain beranggotakan Ayatullah  Khamenei, Hujjatul Islam Rafsanjani dan Syahid Quddusi. Dokumen-  dokumen pendirian organisasi ini lalu dirampas dan nama-nama yang  tertera padanya diusut, sehingga orang-orang ini harus bersembunyi,  termasuk juga Ayatullah Mishbah. Ketika suhu politik mendingin, dia  balik ke Qum untuk melanjutkan aktivitas-aktivitas keilmuannya.</w:t>
      </w:r>
    </w:p>
    <w:p>
      <w:pPr>
        <w:pStyle w:val="BookText"/>
        <w:bidi w:val="0"/>
        <w:jc w:val="both"/>
        <w:rPr/>
      </w:pPr>
      <w:r>
        <w:rPr>
          <w:rFonts w:eastAsia="Times New Roman" w:cs="Times New Roman" w:ascii="Times New Roman" w:hAnsi="Times New Roman"/>
          <w:color w:val="111111"/>
          <w:sz w:val="28"/>
          <w:szCs w:val="28"/>
          <w:lang w:val="en-US"/>
        </w:rPr>
        <w:t>Setelah itu, dia bekerja pada Bagian Administrasi Madrasah  Haqqani bersama-sama dengan Ayatullah Jannati, Syahid Bahesyti, dan  Syahid Quddusi. Selama kira-kira sepuluh tahun di madrasah tersebut,  dia mengajarkan filsafat dan kajian-kajian Alquran. Lantas, beberapa  waktu menjelang dan bersamaan dengan pecahnya Revolusi Islam, atas  dukungan dan dorongan Imam Khomeini, dia berpartisipasi mendirikan  sejumlah sekolah dan institut. Di antara yang terpenting dari semua itu  adalah pendirian Lembaga Dar Rah-e Haqq, Yayasan Baqir Al-'Ulum  dan Lembaga Pendidikan dan Riset Imam Khomeini (saat ini beliau  menjabat direktur dan mengajarkan kitab Al-Asfar). Pada 1996, dia  terpilih untuk waktu lima tahun sebagai anggota Majlis-e Khubrigan  (Dewan Pakar Agama) dari daerah pemilihan Provinsi Khuzistan.</w:t>
      </w:r>
    </w:p>
    <w:p>
      <w:pPr>
        <w:pStyle w:val="BookText"/>
        <w:bidi w:val="0"/>
        <w:jc w:val="both"/>
        <w:rPr/>
      </w:pPr>
      <w:r>
        <w:rPr>
          <w:rFonts w:eastAsia="Times New Roman" w:cs="Times New Roman" w:ascii="Times New Roman" w:hAnsi="Times New Roman"/>
          <w:color w:val="111111"/>
          <w:sz w:val="28"/>
          <w:szCs w:val="28"/>
          <w:lang w:val="en-US"/>
        </w:rPr>
        <w:t>Berikut ini adalah sebagian karya penting yang ditulis oleh  Prof. Ayatullah Mishbah Yazdi: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Chikideh-ye Bahts-e Falsafi (Ringkasan Beberapa Pembahasan  Filsafat), Qum: Dar Rah-e Haqq, 1357/1978 M. Sebuah ikhtisar dari  diskusi-diskusi yang berlangsung di London dalam serangkaian kon-  ferensi yang juga memuat komentar-komentar para pelajar Iran yang  tinggal di Amerika Serikat mengenai konsep filsafat dan sejarahnya,  pengetahuan rasional (rational knowledge), sebab-akibat, maujud  tetap, dan tak tetap aktualitas serta potensialitas.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Pasdari Az Sangarha-ye lydi’uluzhik (Pengawal Benteng-Benteng  Ideologi), Qum: Dar Rah-e Haqq, 1361/1982 M. Buku ini merupakan  kumpulan tulisan singkat, ditambah sebuah artikel dari Dr. Ahmad  Ahmadi yang menyoroti masalah idealisme dan realisme. Topik yang  dibahas oleh Prof. Mishbah meliputi makna pandangan dunia, penge-  tahuan, sebab akibat, gerak, dialektika, pandangan dunia materialis.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Durus-e Falsafeh-ye Akhlaq (Pelajaran-Pelajaran Filsafat Etika),  Teheran: Iththila'at, 1367/1988 M. Buku ini merupakan hasil transkrip  dan suntingan dari delapan belas pelajaran yang disampaikannya di  Institute Dar Rah-e Haqq. Terkandung di dalamnya pembahasan-  pembahasan mengenai kedudukan etika dalam filsafat, karakteristik  konsep-konsep etika, kebaikan dan keburukan rasional, konsep-konsep  nilai, mazhab-mazhab pemikiran etika, relativisme, serta hubungan  antara etika dan agama.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Ushul-e Aqa'id (Prinsip-Prinsip Akidah) 2 jilid. Qum: Markaz-e  Mudiriyyat Hawzah 'Ilmiyyah, 1368/1989 M. Buku ini dibakukan  oleh Bagian Administrasi Hauzah Qum sebagai buku daras para pela-  jarnya. Jilid pertama buku ini berisi pembahasan mengenai tauhid dan  keadilan Ilahi, dan jilid kedua berisi pembahasan mengenai misi para  nabi dan para imam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Ma'arif-e Qur'an (Ajaran-Ajaran Alquran), Qum: Dar Rah-e Haqq 1368/  1989 M. Karya ini terbagi dalam tiga bagian; teologi, kosmologi, dan  an-tropologi.</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Jami'ah va Tarikh az Didgah-e Qur'an (Masyarakat dan Sejarah dalam  Perspektif Alquran), Qum: Sazman-e Tablighat-e Islami, 1368/1989  M. Hasil transkrip dari kulial-kuliah penulis di Institut Dar Rah-e  Haqq, yang ditranskrip dari kaset rekamannya oleh Prof. Dr. Malikiyan  mengangkat berbagai isu yang berkaitan dengan filsafat ilmuilmu  sosial, seperti hubungan individu, masyarakat dan pertanyaan  mana dari keduanya lebih dahulu, Revolusi Islam serta kepemimpinan  dalam Islam  • Hukumat-e Islami va Vilayat-e Faqih (Pemerintahan Islam dan  Kepemimpinan Seorang Faqih), Qum: Sazman-e Tablighat-e Islami,  1369/1990 M. Buku ini berisi kumpulan kuliah yang disampaikan  penulis di Institut Dar Rah-e Haqq berkenaan dengan kebutuhan akan  pemerintahan Islam, kebutuhan akan hukum dalam masyarakat, karak-  teristik badan legislatif, sebab-musabab perbedaan hukum Ilahi dalam  masyarakat Islam, konflik keputusan dan standar kepentingan suatu  hukum, keperluan akan dewan legislatif dalam sistem Islam, aparat </w:t>
      </w:r>
    </w:p>
    <w:p>
      <w:pPr>
        <w:pStyle w:val="BookText"/>
        <w:bidi w:val="0"/>
        <w:rPr/>
      </w:pPr>
      <w:r>
        <w:rPr>
          <w:rFonts w:eastAsia="Times New Roman" w:cs="Times New Roman" w:ascii="Times New Roman" w:hAnsi="Times New Roman"/>
          <w:color w:val="111111"/>
          <w:sz w:val="28"/>
          <w:szCs w:val="28"/>
          <w:lang w:val="en-US"/>
        </w:rPr>
        <w:t>aparat pemerintah dalam sistem Islam, kemerdekaan, prasyarat dan  pertanggungjawaban penguasa Islam, dan kepemimpinan ahli fiqih.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Amuzisy-e 'Aga'id (Pelajaran-Pelajaran Akidah) 3 jilid, Qum: Sazman-  e Tablighat-e Islami, 1370/1991 M. Karya ini dipersiapkan oleh Prof.</w:t>
      </w:r>
    </w:p>
    <w:p>
      <w:pPr>
        <w:pStyle w:val="BookText"/>
        <w:bidi w:val="0"/>
        <w:jc w:val="both"/>
        <w:rPr/>
      </w:pPr>
      <w:r>
        <w:rPr>
          <w:rFonts w:eastAsia="Times New Roman" w:cs="Times New Roman" w:ascii="Times New Roman" w:hAnsi="Times New Roman"/>
          <w:color w:val="111111"/>
          <w:sz w:val="28"/>
          <w:szCs w:val="28"/>
          <w:lang w:val="en-US"/>
        </w:rPr>
        <w:t>Mishbah dengan mendapatkan bantuan dari sekelompok sarjana di In-  stitut Dar Rah-e Haqq, untuk keperluan para pelajar tingkat menengah.</w:t>
      </w:r>
    </w:p>
    <w:p>
      <w:pPr>
        <w:pStyle w:val="BookText"/>
        <w:bidi w:val="0"/>
        <w:jc w:val="both"/>
        <w:rPr/>
      </w:pPr>
      <w:r>
        <w:rPr>
          <w:rFonts w:eastAsia="Times New Roman" w:cs="Times New Roman" w:ascii="Times New Roman" w:hAnsi="Times New Roman"/>
          <w:color w:val="111111"/>
          <w:sz w:val="28"/>
          <w:szCs w:val="28"/>
          <w:lang w:val="en-US"/>
        </w:rPr>
        <w:t>Setiap jilidnya terdiri dari dua puluh pelajaran. Topik-topik yang diba-  has menyangkut teologi,kajian-kajian agama, pembuktian akan Wujud  Niscaya-ada, sifat-sifat kritik atas materialisme, keesaan Tuhan,  kebebasan berkehendak dan keterpaksaan kritik atas materialisme, ke-  bebasan berkehendak dan keterpaksaan (determinisme), kebutuhan akan  para nabi dan imam serta kemaksuman mereka, Alquran, Imam Mahdi,  immaterialitas ruh, kebangkitan, kehidupan setelah mati, keimanan dan  kekafir-an, serta masalah wasilah.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Akhlaq dar Qur'an (Etika dalam Alquran), Teheran: Amir Kabir,  1372/1993 M. Buku ini merupakan hasil transkripsi kuliah-kuliah yang  disampaikannya di Institut Dar Rah-e Haqq dan disunting oleh Aqa-ye  Iskandari. Karya ini tidak sekadar menjelaskan prinsip-prinsip etika  dalam Alquran, tetapi juga membandingkannya dengan perspektif para  penulis Muslim lain yang berpijak pada berbagai mazhab pemikiran  yang berbeda, serta mempertahankan pendekatan filsufis terhadap etika  dalam tradisi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Tarjumeh va Sharh-e Burhan-e Syifa' (Terjemahan dan Komentar  atas Bagian “Pembuktian Demostratif” dari kitab Al-Syifa'), Teheran:</w:t>
      </w:r>
    </w:p>
    <w:p>
      <w:pPr>
        <w:pStyle w:val="BookText"/>
        <w:bidi w:val="0"/>
        <w:jc w:val="both"/>
        <w:rPr/>
      </w:pPr>
      <w:r>
        <w:rPr>
          <w:rFonts w:eastAsia="Times New Roman" w:cs="Times New Roman" w:ascii="Times New Roman" w:hAnsi="Times New Roman"/>
          <w:color w:val="111111"/>
          <w:sz w:val="28"/>
          <w:szCs w:val="28"/>
          <w:lang w:val="en-US"/>
        </w:rPr>
        <w:t>Amir Kabir 1373/1994 M. Hasil transkrip dan suntingan Dr. Muhsin  Gharaviyan ini berisi terjemahan dan komentar Prof. Mishbah atas ba-  gian pertama bab logika dalam Al-Syifa', karya Ibn Sina.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Rahiyyan-e Ku-ye Dust (Para Pelancong dijalan sang Teman), Qum: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Institut Pendidikan dan Riset Imam Khomeini, 1374/1995 M. Kum-  pulan dua belas kuliah menyangkut moralitas Islam, seperti keiman-an  kepada Allah, cinta Ilahi, kekhusukan dalam shalat, kehidupan setelah  mati, dan bagaimana mencintai Tuhan, yang disajikan dalam </w:t>
      </w:r>
    </w:p>
    <w:p>
      <w:pPr>
        <w:pStyle w:val="BookText"/>
        <w:bidi w:val="0"/>
        <w:rPr/>
      </w:pPr>
      <w:r>
        <w:rPr>
          <w:rFonts w:eastAsia="Times New Roman" w:cs="Times New Roman" w:ascii="Times New Roman" w:hAnsi="Times New Roman"/>
          <w:color w:val="111111"/>
          <w:sz w:val="28"/>
          <w:szCs w:val="28"/>
          <w:lang w:val="en-US"/>
        </w:rPr>
        <w:t>bentuk syarah atas riwayat-riwayat sekitar peristiwa Mi'raj  Nabi Muhammad Saw.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Rah-e Tusyeh (Bekal Perjalanan), Qum: Institut Pendidikan dan Riset  Imam Khomeini, 1375/1996 M. Buku ini merupakan kumpulan dua  puluh kuliah menyangkut masalah moral Islam, diuraikan sebagai syarat  atas hadis populer mengenai nasihat Nabi Muhammad Saw kepada Abu  Dzar.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Syarh-e Asfar al-Arba'ah, jilid pertama (Ulasan atas Empat Perjalanan),  Qum: Institut Pendidikan dan Riset Imam Khomeini, 1375/1996 M. Jilid  pertama dari transkrip kuliah-kuliah yang mengulas dan mengomentari  mahakarya Mulla Shadra, Al-Asfar. </w:t>
      </w:r>
      <w:bookmarkStart w:id="13" w:name="pg6424_44605"/>
    </w:p>
    <w:p>
      <w:pPr>
        <w:pStyle w:val="Heading2"/>
        <w:numPr>
          <w:ilvl w:val="1"/>
          <w:numId w:val="1"/>
        </w:numPr>
        <w:bidi w:val="0"/>
        <w:jc w:val="left"/>
        <w:rPr/>
      </w:pPr>
      <w:bookmarkStart w:id="14" w:name="__RefHeading___Toc688531_653776707"/>
      <w:bookmarkStart w:id="15" w:name="_Toc5"/>
      <w:bookmarkEnd w:id="13"/>
      <w:bookmarkEnd w:id="14"/>
      <w:r>
        <w:rPr/>
        <w:t>PROLOG 2: PRAKATA PROF. M.T. MISHBAH YAZDI</w:t>
      </w:r>
      <w:bookmarkEnd w:id="15"/>
    </w:p>
    <w:p>
      <w:pPr>
        <w:pStyle w:val="BookText"/>
        <w:bidi w:val="0"/>
        <w:jc w:val="both"/>
        <w:rPr/>
      </w:pPr>
      <w:r>
        <w:rPr>
          <w:rFonts w:eastAsia="Times New Roman" w:cs="Times New Roman" w:ascii="Times New Roman" w:hAnsi="Times New Roman"/>
          <w:color w:val="111111"/>
          <w:sz w:val="28"/>
          <w:szCs w:val="28"/>
          <w:lang w:val="en-US"/>
        </w:rPr>
        <w:t>PROLOG 2: PRAKATA PROF. M.T. MISHBAH YAZDI TENTANG PENTINGNYA PENGAJARAN FILSAFAT ISLAM</w:t>
      </w:r>
      <w:r>
        <w:rPr>
          <w:rStyle w:val="FootnoteAnchor"/>
        </w:rPr>
        <w:footnoteReference w:id="8"/>
      </w:r>
      <w:r>
        <w:rPr>
          <w:rFonts w:eastAsia="Times New Roman" w:cs="Times New Roman" w:ascii="Times New Roman" w:hAnsi="Times New Roman"/>
          <w:color w:val="111111"/>
          <w:sz w:val="28"/>
          <w:szCs w:val="28"/>
          <w:lang w:val="en-US"/>
        </w:rPr>
        <w:t xml:space="preserve"> Dengan Nama Allah Yang Pengasih dan  Penyayang. Puji bagi Allah, Tuhan Semesta Alam.</w:t>
      </w:r>
    </w:p>
    <w:p>
      <w:pPr>
        <w:pStyle w:val="BookText"/>
        <w:bidi w:val="0"/>
        <w:jc w:val="both"/>
        <w:rPr/>
      </w:pPr>
      <w:r>
        <w:rPr>
          <w:rFonts w:eastAsia="Times New Roman" w:cs="Times New Roman" w:ascii="Times New Roman" w:hAnsi="Times New Roman"/>
          <w:color w:val="111111"/>
          <w:sz w:val="28"/>
          <w:szCs w:val="28"/>
          <w:lang w:val="en-US"/>
        </w:rPr>
        <w:t>Dan semoga shalawat Allah limpahkan atas Junjungan Kita,  Muhammad Saw. serta keluarganya yang suci.</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Selama bertahun-tahun saya merasa sedih melihat keadaan program-  program pendidikan di Hauzah, keterbatasan bahan, dan buku pelajaran  serta ketidaklaikan mutu pengajaran, terutama di bidang filsafat. Saya  mencita-citakan keadaan yang sedemikian rupa sehingga saya bisa  memaparkan rancangan baru dan mereformasi serta mereorganisasi  kondisi yang ada. Dalam kondisi yang menyesakkan di bawah rezim  Syah yang bejat, tekanan yang kami rasakan, terutama kepada ulama,  diikuti keterbatasan dan kendala yang menimpa Hauzah, menyulitkan saya  untuk mewujudkan cita-cita di atas. Satu hal yang dapat kami lakukan  saat itu adalah mendirikan departemen pendidikan di Institut Dar Rah-  e Haqq. Dengan minimnya fasilitas, kami tetap sanggup membentuk  program pendidikan jangka menengah, termasuk studi tafsir Alquran  tematis, filsafat perbandingan, ekonomi Islam, bahasa asing, dan lain-  lain, untuk menyempurnakan mata pelajaran sekelompok siswa  Hauzah. Kemudian, setelah melalui rangkaian perjuangan dan pen-  gorbanan di bawah kepemimpinan Imam Khomeini, Tuhan yang Ma-  haagung menganugerahkan kemenangan kepada kaum Muslim Iran  dalam menumbangkan rezim Pahlevi yang anti-Islam, sehingga terse-  dialah kondisi yang memadai bagi aktivitas-aktivitas pembangunan. </w:t>
      </w:r>
    </w:p>
    <w:p>
      <w:pPr>
        <w:pStyle w:val="BookText"/>
        <w:bidi w:val="0"/>
        <w:rPr/>
      </w:pPr>
      <w:r>
        <w:rPr>
          <w:rFonts w:eastAsia="Times New Roman" w:cs="Times New Roman" w:ascii="Times New Roman" w:hAnsi="Times New Roman"/>
          <w:color w:val="111111"/>
          <w:sz w:val="28"/>
          <w:szCs w:val="28"/>
          <w:lang w:val="en-US"/>
        </w:rPr>
        <w:t>Setelah kemenangan Revolusi Islam Iran, kekuatan-kekuatan  yang terlepas dari kekangan kolonialisme dan tirani menggunakan  seluruh tenaga dan menyadari pentingnya segera membenahi semua  kekurangan dan keterbatasan. Di antara mereka adalah para ulama  yang berandil paling besar dalam revolusi politik dan kebudayaan  ini. Setelah berpuluh tahun terhalang dari peran mendasar mereka  dalam memahamkan dan menunjukkan kebenaran Islam dan meme-  lihara posisi praktis dan teoretis mereka, akhirnya mereka menemukan  landasan yang cocok guna meningkatkan daya upaya.</w:t>
      </w:r>
    </w:p>
    <w:p>
      <w:pPr>
        <w:pStyle w:val="BookText"/>
        <w:bidi w:val="0"/>
        <w:jc w:val="both"/>
        <w:rPr/>
      </w:pPr>
      <w:r>
        <w:rPr>
          <w:rFonts w:eastAsia="Times New Roman" w:cs="Times New Roman" w:ascii="Times New Roman" w:hAnsi="Times New Roman"/>
          <w:color w:val="111111"/>
          <w:sz w:val="28"/>
          <w:szCs w:val="28"/>
          <w:lang w:val="en-US"/>
        </w:rPr>
        <w:t>Meskipun begitu, pelbagai intrik dan persekongkolan musuh-  musuh Islam oleh beberapa kelompok politik dalam negeri tidak mem-  berikan tempat bagi para ulama untuk melaksanakan tugas-tugas men-  dasar mereka. Berbagai kondisi setelah revolusi memaksa alim-ulama  untuk terlibat dalam kegiatan legislatif, yudikatif, dan bahkan jabatan-  jabatan eksekutif dalam pemerintahan, agar sejarah Gerakan Konstitu-  sional (masyruthiyyah) tidak terulang dan Revolusi Islam tidak  terpelanting dari jalurnya. Akibatnya, alih-alih kekuasaan ulama itu  dipakai untuk mengatasi kendala-kendala yang selama ini dihadapi  Hauzah dan mengembangkan fasilitas pendidikan ilmu-ilmu agama,  kebanyakan tenaga-tenaga bermutu dari Hauzah ditarik untuk mengisi  lembaga-lembaga yang baru didirikan, sehingga beban dan tanggung  jawab mereka yang tetap tinggal di Hauzah semakin berat. Arus per-  mintaan dari remaja yang setia menuntut ilmu-ilmu keislaman,  termasuk filsafat Ilahiah, meningkat setelah adanya nasihat Pemimpin  Besar Revolusi (Imam Khomeini).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Demikianlah, sudah semestinya program-program jangka  pendek bagi pendidikan remaja tingkat menengah disusun untuk  mempersiapkan mereka menyongsong tanggung jawab memandu,  menyebarkan agama dan budaya. Atas dasar itu, program-program  pendidikan Institut ini ditinjau ulang, dan progran-program intensif  lain dirancang, mencakup pengajaran bunga-rampai filsafat Islam  dengan metode modern. Kaset hasil rekaman ditranskrip oleh be-  berapa mahasiswa untuk kemudian diterbitkan. </w:t>
      </w:r>
    </w:p>
    <w:p>
      <w:pPr>
        <w:pStyle w:val="BookText"/>
        <w:bidi w:val="0"/>
        <w:rPr/>
      </w:pPr>
      <w:r>
        <w:rPr>
          <w:rFonts w:eastAsia="Times New Roman" w:cs="Times New Roman" w:ascii="Times New Roman" w:hAnsi="Times New Roman"/>
          <w:color w:val="111111"/>
          <w:sz w:val="28"/>
          <w:szCs w:val="28"/>
          <w:lang w:val="en-US"/>
        </w:rPr>
        <w:t>Selanjutnya, mengikuti saran Sazman-Tablighat-e Islami  (Organisasi Dakwah Islam) dan bantuan kelompok siswa di Institut  (kelompok riset dan penulisan) untuk melengkapi, menyusun ulang, serta  merevisi buku ini sampai akhirnya terbit seperti yang ada di hadapan  Anda. Harapan kami, mudah-mudahan buku ada, dan disambut dengan  baik oleh Yang Mulia Imam Zaman (Imam Mahdi a.s.), semoga Allah  menyegerakan kemunculannya. Semoga karya ini dapat perkenan dan  restu dari Sang Imam Kedua Belas a.s. yang kemunculannya kembali  ditunggu oleh umat Syi'ah di akhir zaman ini. Di antara pelbagai pela-  jaran di Hauzah, filsafat memiliki kondisi khusus dan pengecualian.</w:t>
      </w:r>
    </w:p>
    <w:p>
      <w:pPr>
        <w:pStyle w:val="BookText"/>
        <w:bidi w:val="0"/>
        <w:jc w:val="both"/>
        <w:rPr/>
      </w:pPr>
      <w:r>
        <w:rPr>
          <w:rFonts w:eastAsia="Times New Roman" w:cs="Times New Roman" w:ascii="Times New Roman" w:hAnsi="Times New Roman"/>
          <w:color w:val="111111"/>
          <w:sz w:val="28"/>
          <w:szCs w:val="28"/>
          <w:lang w:val="en-US"/>
        </w:rPr>
        <w:t>Masalah penting yang dihadapi filsafat pada periode ini ialah sebagai  berikut:</w:t>
      </w:r>
    </w:p>
    <w:p>
      <w:pPr>
        <w:pStyle w:val="BookText"/>
        <w:bidi w:val="0"/>
        <w:jc w:val="both"/>
        <w:rPr/>
      </w:pPr>
      <w:r>
        <w:rPr>
          <w:rFonts w:eastAsia="Times New Roman" w:cs="Times New Roman" w:ascii="Times New Roman" w:hAnsi="Times New Roman"/>
          <w:color w:val="111111"/>
          <w:sz w:val="28"/>
          <w:szCs w:val="28"/>
          <w:lang w:val="en-US"/>
        </w:rPr>
        <w:t>Akibat kesalahpahaman terhadap filsafat, beberapa tokoh Hauzah  mempersoalkan keberadaan pelajaran ini. Tidak saja karena manfaatnya  yang diduga tidak jelas, tetapi minat ke arah itu pun dicurigai.</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saja, di Hauzah Qum, berkat usaha keras dari orang sekaliber  Imam Khomeini dan ‘Allamah Thabathaba’i (semoga Allah meridhainya),  situasi ini mengalami perubahan, sehingga berkuranglah tokoh yang  berpendirian seperti itu. Meskipun demikian, banyak orang yang masih  memperlakukan filsafat dengan hati-hati. Sebaliknya, sebagian orang  yang menaruh minat dan membela filsafat dari para penentangnya, ter-  tulari dogmatisme buta manakala melihat kandungan buku-buku filsa-  fat. Agaknya mereka merasa wajib membenarkan semua pendapat para  filosof. Sikap ini tampak makin keras dan gawat vis-a-vis Shadr Al-  Muta’allihin, pemrakarsa fase baru dalam filsafat, sehingga mereka  memperlakukan filsafat sekadar sebagai sesuatu untuk disimak dan ditiru  belaka. Semangat kritis yang merupakan faktor terpenting kemajuan  dan perkembangan ilmu-ilmu pengetahuan pun akhirnya menghilang </w:t>
      </w:r>
    </w:p>
    <w:p>
      <w:pPr>
        <w:pStyle w:val="BookText"/>
        <w:bidi w:val="0"/>
        <w:rPr/>
      </w:pPr>
      <w:r>
        <w:rPr>
          <w:rFonts w:eastAsia="Times New Roman" w:cs="Times New Roman" w:ascii="Times New Roman" w:hAnsi="Times New Roman"/>
          <w:color w:val="111111"/>
          <w:sz w:val="28"/>
          <w:szCs w:val="28"/>
          <w:lang w:val="en-US"/>
        </w:rPr>
        <w:t>Tujuan pengajaran filsafat tidak pernah terpapar dalam  buku-buku teks maupun dalam perkuliahan. Banyak pelajar yang telah  menghabiskan bertahun-tahun umurnya untuk membaca buku-buku  filsafat tidak juga memahami dengan tepat apa kebutuhan kita  pada filsafat, celah apa yang bisa ditutupinya, serta manfaat  yang diberikannya buat umat manusia. Kebanyakan mereka bela-  jar filsafat hanya dengan menyimak para pemikir terkemuka. Dan  karena metode semacam ini dipakai oleh umumnya para ahli tata bahasa,  mereka pun ikut-ikutan menggunakannya. Sudah barang tentu, tidak  banyak kemajuan yang dapat dicapai dengan cara belajar seperti itu.</w:t>
      </w:r>
    </w:p>
    <w:p>
      <w:pPr>
        <w:pStyle w:val="BookText"/>
        <w:bidi w:val="0"/>
        <w:jc w:val="both"/>
        <w:rPr/>
      </w:pPr>
      <w:r>
        <w:rPr>
          <w:rFonts w:eastAsia="Times New Roman" w:cs="Times New Roman" w:ascii="Times New Roman" w:hAnsi="Times New Roman"/>
          <w:color w:val="111111"/>
          <w:sz w:val="28"/>
          <w:szCs w:val="28"/>
          <w:lang w:val="en-US"/>
        </w:rPr>
        <w:t>Penyajian dan penyusunan masalah-masalah (filsafat) selama  ini tidak membantu para pelajar untuk dengan mudah menangkap mo-  tivasi di balik penyajian itu, tidak pula memahamkan mereka akan  pertautan antarsatu masalah dengan masalah lainnya. Lebih lanjut,  membaca satu bagian buku tidak menggairahkan para pelajar untuk  mau membaca bagian-bagian lainnya. Buku-buku filsafat terlalu  penuh sesak dengan istilah-istilah membingungkan yang hanya bisa  dipahami secara tepat setelah berlama-lama melakukan latihan. Di  awal-awal tahun pengajaran, sebagian besar pelajar gagal menukik ke inti  subjek pembicaraan. Wajar kalau buku-buku tersebut tidak memerha-  tikan masalah-masalah yang menjadi isu di lingkaran lingkaran  Barat, apalagi menjawab keraguan-keraguan modern yang telah  dan terus dilemparkan oleh mazhab-mazhab pemikiran ateistik.</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Taqi Mishbah Yazdi  Qum  Tirmah A.H.S. 1363 (tahun Iran) atau Juni/Juli 1984 </w:t>
      </w:r>
      <w:bookmarkStart w:id="16" w:name="pg6424_44615"/>
    </w:p>
    <w:p>
      <w:pPr>
        <w:pStyle w:val="Heading2"/>
        <w:numPr>
          <w:ilvl w:val="1"/>
          <w:numId w:val="1"/>
        </w:numPr>
        <w:bidi w:val="0"/>
        <w:jc w:val="left"/>
        <w:rPr/>
      </w:pPr>
      <w:bookmarkStart w:id="17" w:name="__RefHeading___Toc688533_653776707"/>
      <w:bookmarkStart w:id="18" w:name="_Toc6"/>
      <w:bookmarkEnd w:id="16"/>
      <w:bookmarkEnd w:id="17"/>
      <w:r>
        <w:rPr/>
        <w:t>KATA PENGANTAR</w:t>
      </w:r>
      <w:bookmarkEnd w:id="18"/>
    </w:p>
    <w:p>
      <w:pPr>
        <w:pStyle w:val="BookText"/>
        <w:bidi w:val="0"/>
        <w:jc w:val="both"/>
        <w:rPr/>
      </w:pPr>
      <w:r>
        <w:rPr>
          <w:rFonts w:eastAsia="Times New Roman" w:cs="Times New Roman" w:ascii="Times New Roman" w:hAnsi="Times New Roman"/>
          <w:color w:val="111111"/>
          <w:sz w:val="28"/>
          <w:szCs w:val="28"/>
          <w:lang w:val="en-US"/>
        </w:rPr>
        <w:t>Puji dan syukur penulis panjatkan kepada Allah SWT atas segala berkat  dan rahmat, yang pada akhirnya penulis dapat menyelesaikan tulisan yang  berjudul “Pemikiran Filsafat Ayatullah M. T. Mishbâh Yazdî (Filsuf Is-  lam Kontemporer): Studi Atas Studi atas Filsafat Pengetahuan, Filsafat  Wujud dan Filsafat Ketuhanan.” Tulisan ini merupakan hasil penelitian  disertasi penulis dalam Bidang Pemikiran Islam yang diajukan pada Seko-  lah Pascasarjana Universitas Islam Negeri Syarif Hidayatullah, Jakarta.</w:t>
      </w:r>
    </w:p>
    <w:p>
      <w:pPr>
        <w:pStyle w:val="BookText"/>
        <w:bidi w:val="0"/>
        <w:jc w:val="both"/>
        <w:rPr/>
      </w:pPr>
      <w:r>
        <w:rPr>
          <w:rFonts w:eastAsia="Times New Roman" w:cs="Times New Roman" w:ascii="Times New Roman" w:hAnsi="Times New Roman"/>
          <w:color w:val="111111"/>
          <w:sz w:val="28"/>
          <w:szCs w:val="28"/>
          <w:lang w:val="en-US"/>
        </w:rPr>
        <w:t>Untuk kepentingan yang lebih luas, maka hasil penelitian ini diterbitkan  dalam bentuk buku.</w:t>
      </w:r>
    </w:p>
    <w:p>
      <w:pPr>
        <w:pStyle w:val="BookText"/>
        <w:bidi w:val="0"/>
        <w:jc w:val="both"/>
        <w:rPr/>
      </w:pPr>
      <w:r>
        <w:rPr>
          <w:rFonts w:eastAsia="Times New Roman" w:cs="Times New Roman" w:ascii="Times New Roman" w:hAnsi="Times New Roman"/>
          <w:color w:val="111111"/>
          <w:sz w:val="28"/>
          <w:szCs w:val="28"/>
          <w:lang w:val="en-US"/>
        </w:rPr>
        <w:t>Penulis ingin mengucapkan terima kasih yang sebesar-besarnya ke-  pada semua pihak yang telah memberikan bantuan dan dorongannya,  yaitu Yang Terhormat: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Prof. Ayatullah Muhammad Taqi Mishbâh Yazdî, Ketua Institut  Penelitian dan Pendidikan Imam Khomeini, Qom, Iran dan seluruh  dosen pengajar, terutama narasumber penulis.</w:t>
      </w:r>
    </w:p>
    <w:p>
      <w:pPr>
        <w:pStyle w:val="BookText"/>
        <w:bidi w:val="0"/>
        <w:jc w:val="both"/>
        <w:rPr/>
      </w:pPr>
      <w:r>
        <w:rPr>
          <w:rFonts w:eastAsia="Times New Roman" w:cs="Times New Roman" w:ascii="Times New Roman" w:hAnsi="Times New Roman"/>
          <w:color w:val="111111"/>
          <w:sz w:val="28"/>
          <w:szCs w:val="28"/>
          <w:lang w:val="en-US"/>
        </w:rPr>
        <w:t>Prof. Dr. Komaruddin Hidayat, MA, selaku Rektor Universitas Islam  Negeri Syarif Hidayatullah Jakarta.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Prof. Dr. Azyumardi Azra, MA, selaku Direktur Pascasarjana  Universitas Islam Negeri Syarif Hidayatullah Jakarta.</w:t>
      </w:r>
    </w:p>
    <w:p>
      <w:pPr>
        <w:pStyle w:val="BookText"/>
        <w:bidi w:val="0"/>
        <w:jc w:val="both"/>
        <w:rPr/>
      </w:pPr>
      <w:r>
        <w:rPr>
          <w:rFonts w:eastAsia="Times New Roman" w:cs="Times New Roman" w:ascii="Times New Roman" w:hAnsi="Times New Roman"/>
          <w:color w:val="111111"/>
          <w:sz w:val="28"/>
          <w:szCs w:val="28"/>
          <w:lang w:val="en-US"/>
        </w:rPr>
        <w:t>Prof. Dr. Mulyadhi Kartanegara, MA, selaku Pembimbing I yang  telah meluangkan waktu untuk memberikan pendapat, koreksi dan  arahannya ketika penulisan disertasi.</w:t>
      </w:r>
    </w:p>
    <w:p>
      <w:pPr>
        <w:pStyle w:val="BookText"/>
        <w:bidi w:val="0"/>
        <w:jc w:val="both"/>
        <w:rPr/>
      </w:pPr>
      <w:r>
        <w:rPr>
          <w:rFonts w:eastAsia="Times New Roman" w:cs="Times New Roman" w:ascii="Times New Roman" w:hAnsi="Times New Roman"/>
          <w:color w:val="111111"/>
          <w:sz w:val="28"/>
          <w:szCs w:val="28"/>
          <w:lang w:val="en-US"/>
        </w:rPr>
        <w:t>Dr. Ir. Haidar Bagir, MA, selaku Pembimbing II yang juga telah me-  luangkan waktu untuk memberikan koreksi dan arahannya ketika  penulisan disertasi.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Seluruh dosen dan staf Sekolah Pascasarjana Universitas Islam Negeri  Syarif Hidayatullah Jakarta yang banyak memberikan ilmu dan  pengalamannya kepada penulis selama masa kuliah. </w:t>
      </w:r>
    </w:p>
    <w:p>
      <w:pPr>
        <w:pStyle w:val="BookText"/>
        <w:bidi w:val="0"/>
        <w:rPr/>
      </w:pPr>
      <w:r>
        <w:rPr>
          <w:rFonts w:eastAsia="Times New Roman" w:cs="Times New Roman" w:ascii="Times New Roman" w:hAnsi="Times New Roman"/>
          <w:color w:val="111111"/>
          <w:sz w:val="28"/>
          <w:szCs w:val="28"/>
          <w:lang w:val="en-US"/>
        </w:rPr>
        <w:t>Pemikiran Filsafat Ayatullah M.T. Mishbah Yazdi  Duta Besar Republik Indonesia dan seluruh staf KBRI di Tehran  yang telah membantu penulis selama melakukan penelitian di Qom.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ICC (Islamic Cultural Center) yang dipimpin oleh Hojjatul Islam  wal-Muslimin Mohsen Hakim Ilahi  • Islamic College-Paramadina.</w:t>
      </w:r>
    </w:p>
    <w:p>
      <w:pPr>
        <w:pStyle w:val="BookText"/>
        <w:bidi w:val="0"/>
        <w:jc w:val="both"/>
        <w:rPr/>
      </w:pPr>
      <w:r>
        <w:rPr>
          <w:rFonts w:eastAsia="Times New Roman" w:cs="Times New Roman" w:ascii="Times New Roman" w:hAnsi="Times New Roman"/>
          <w:color w:val="111111"/>
          <w:sz w:val="28"/>
          <w:szCs w:val="28"/>
          <w:lang w:val="en-US"/>
        </w:rPr>
        <w:t>Penulis juga mengucapkan terima kasih kepada rekan-rekan  seangkatan 2002 konsentrasi Pemikiran Islam Sekolah Pascasarjana  UIN Syarif Hidayatullah, rekan-rekan HPI (Himpunan Pelajar In-  donesia) di Iran, terutama Ammar Fauzi, Purkon Hidayat, Yusuf Bafa-  gih, Saleh Lapadi, dan Dede Azwar Abdullah Beik, Ibrahim Muharam,  Musa Kazhim, Harja Saputra, Khalid Sitaba, Khalid Alwalid dan selur-  uh rekan di Al-Huda, ICAS dan VoP. Penulis juga berterima kasih ke-  pada keluarga yang dapat memaklumi atas berkurangnya perhatian dan  waktu untuk keluarga ketika penulis menyelesaikan disertasi.</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Penulis menyadari bahwa tulisan ini masih jauh dari sempurna, karena  adanya keterbatasan kemampuan serta pengetahuan penulis. Kritik dan  saran selalu diharapkan oleh penulis dengan lapang dada. Akhir kata,  penulis mendoakan semoga Allah memberikan berkat dan rahmat-Nya  kepada semua pihak yang telah membantu penulis selama ini. </w:t>
      </w:r>
      <w:bookmarkStart w:id="19" w:name="pg6424_44621"/>
    </w:p>
    <w:p>
      <w:pPr>
        <w:pStyle w:val="Heading2"/>
        <w:numPr>
          <w:ilvl w:val="1"/>
          <w:numId w:val="1"/>
        </w:numPr>
        <w:bidi w:val="0"/>
        <w:jc w:val="left"/>
        <w:rPr/>
      </w:pPr>
      <w:bookmarkStart w:id="20" w:name="__RefHeading___Toc688535_653776707"/>
      <w:bookmarkStart w:id="21" w:name="_Toc7"/>
      <w:bookmarkEnd w:id="19"/>
      <w:bookmarkEnd w:id="20"/>
      <w:r>
        <w:rPr/>
        <w:t>BAB I: PENDAHULUAN</w:t>
      </w:r>
      <w:bookmarkEnd w:id="21"/>
    </w:p>
    <w:p>
      <w:pPr>
        <w:pStyle w:val="BookText"/>
        <w:bidi w:val="0"/>
        <w:jc w:val="both"/>
        <w:rPr/>
      </w:pPr>
      <w:r>
        <w:rPr>
          <w:rFonts w:eastAsia="Times New Roman" w:cs="Times New Roman" w:ascii="Times New Roman" w:hAnsi="Times New Roman"/>
          <w:color w:val="111111"/>
          <w:sz w:val="28"/>
          <w:szCs w:val="28"/>
          <w:lang w:val="en-US"/>
        </w:rPr>
        <w:t>Pemikiran filsafat Muhammad Taqi Mishbâh Yazdî menarik untuk  ditelaah karena pengaruhnya cukup signifikan dalam arena filsafat  dan pendidikan kontemporer di pusat-pusat studi tradisional (haw zah  ‘ilmiyah) Qom, Iran. Meski tumbuh di bawah pengaruh Hikmah  Muta`âliyah, namun banyak karya text book filsafatnya (juga kuli-  ah-kuliah, wawancara, dan artikel-artikelnya) cenderung mengambil ja-  rak atau bernuansa kritis terhadap Hikmah Muta’âliyah.</w:t>
      </w:r>
    </w:p>
    <w:p>
      <w:pPr>
        <w:pStyle w:val="BookText"/>
        <w:bidi w:val="0"/>
        <w:jc w:val="both"/>
        <w:rPr/>
      </w:pPr>
      <w:r>
        <w:rPr>
          <w:rFonts w:eastAsia="Times New Roman" w:cs="Times New Roman" w:ascii="Times New Roman" w:hAnsi="Times New Roman"/>
          <w:color w:val="111111"/>
          <w:sz w:val="28"/>
          <w:szCs w:val="28"/>
          <w:lang w:val="en-US"/>
        </w:rPr>
        <w:t>Salah satu karya jenial Muhammad Taqi Mishbâh Yazdî—yang  banyak beredar di Indonesia adalah terjemahan dari Philosophical  Instruction. Dalam karya itu, Muhammad Taqi Mishbâh Yazdî  menyuguhkan 70 pelajaran (lessons) dalam tujuh bab yang mengupas  seluk beluk filsafat Islam dengan cara yang luar biasa mengagumkan.</w:t>
      </w:r>
    </w:p>
    <w:p>
      <w:pPr>
        <w:pStyle w:val="BookText"/>
        <w:bidi w:val="0"/>
        <w:jc w:val="both"/>
        <w:rPr/>
      </w:pPr>
      <w:r>
        <w:rPr>
          <w:rFonts w:eastAsia="Times New Roman" w:cs="Times New Roman" w:ascii="Times New Roman" w:hAnsi="Times New Roman"/>
          <w:color w:val="111111"/>
          <w:sz w:val="28"/>
          <w:szCs w:val="28"/>
          <w:lang w:val="en-US"/>
        </w:rPr>
        <w:t>Darinya, dapat disaksikan betapa tradisi intelektual Islam masih hidup  sampai sekarang. Dari hasil rekaman kuliah-kuliah Muhammad Taqi  Mishbâh Yazdî yang kemudian ditranskripsikan dalam Philosophical  Instruction, bisa diketahui bahwa sampai hari ini pembahasan ilmiah  filsufis yang rumit sudah biasa disajikan dalam lembaga-lembaga  ilmiah tradisional di Iran.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Kecanggihan dan detail pemikiran filsufis Islam jelas tersaji dalam  buku ini. Tentu tidak mudah menyampaikan 70 bab berisi tema-tema  filsafat Islam yang rumit. Dalam buku ini, di samping melakukan telaah  pemikiran internal keislaman, Yazdî juga melontarkan kritik tajam  terhadap sejarah dan muatan filsafat Barat sekaligus sangat rasional </w:t>
      </w:r>
    </w:p>
    <w:p>
      <w:pPr>
        <w:pStyle w:val="BookText"/>
        <w:bidi w:val="0"/>
        <w:rPr/>
      </w:pPr>
      <w:r>
        <w:rPr>
          <w:rFonts w:eastAsia="Times New Roman" w:cs="Times New Roman" w:ascii="Times New Roman" w:hAnsi="Times New Roman"/>
          <w:color w:val="111111"/>
          <w:sz w:val="28"/>
          <w:szCs w:val="28"/>
          <w:lang w:val="en-US"/>
        </w:rPr>
        <w:t>Pemikiran Filsafat Ayatullah M.T. Mishbah Yazdi  dalam memosisikan dan menguraikan studi kritis seputar kelebihan dan  kekurangan filsafat Barat. Tokoh ulama tradisional ini ternyata mampu  merespons sekaligus melakukan telaah kritis terhadap filsafat Barat sejak  masa Renaisans sampai kontemporer. Semua itu dibedah Yazdî dengan  menggunakan metode-metode tradisi keilmuan Islam.</w:t>
      </w:r>
    </w:p>
    <w:p>
      <w:pPr>
        <w:pStyle w:val="BookText"/>
        <w:bidi w:val="0"/>
        <w:jc w:val="both"/>
        <w:rPr/>
      </w:pPr>
      <w:r>
        <w:rPr>
          <w:rFonts w:eastAsia="Times New Roman" w:cs="Times New Roman" w:ascii="Times New Roman" w:hAnsi="Times New Roman"/>
          <w:color w:val="111111"/>
          <w:sz w:val="28"/>
          <w:szCs w:val="28"/>
          <w:lang w:val="en-US"/>
        </w:rPr>
        <w:t>Sayang, penelitian tentang profil maupun pandangan-pandangan filsafat  Muhammad Taqi Mishbâh Yazdî di kalangan civitas akademika hawzah  ilmiah Qom belum dilakukan secara akademis dan komprehensif. Hal  itu disebabkan oleh sejumlah faktor, antara lain: 1) Minimnya literatur  seputar pemikiran Syi'ah akibat terjadinya ketegangan dan kesalahpaham-  an berkepanjangan antara kelompok Islam Syi'ah dan kelompok Islam  Sunni; 2) Minimnya informasi yang memadai seputar hawzah ilmiah,  terutama di Qom dan Najaf, sebagai dampak faktor pertama; 3) Min-  imnya literatur berbahasa Arab dan Inggris tentang hawzah ilmiah dan  filsafat di Iran yang kebanyakan ditulis dalam bahasa Persia, termasuk  karya-karya Muhammad Taqi Mishbâh Yazdî; 4) Minimnya alumnus  hawzah ilmiah Qom di Indonesia sebagai akibat dari faktor-faktor yang  telah disebutkan sebelumnya.</w:t>
      </w:r>
    </w:p>
    <w:p>
      <w:pPr>
        <w:pStyle w:val="BookText"/>
        <w:bidi w:val="0"/>
        <w:jc w:val="both"/>
        <w:rPr/>
      </w:pPr>
      <w:r>
        <w:rPr>
          <w:rFonts w:eastAsia="Times New Roman" w:cs="Times New Roman" w:ascii="Times New Roman" w:hAnsi="Times New Roman"/>
          <w:color w:val="111111"/>
          <w:sz w:val="28"/>
          <w:szCs w:val="28"/>
          <w:lang w:val="en-US"/>
        </w:rPr>
        <w:t>Berdasarkan kajian literatur dan riset empiris penulis, terdapat be-  berapa pandangan filsafat Muhammad Taqi Mishbâh Yazdî yang ber-  beda dengan Mulla Sadrâ dan Thabathaba'i. Perbedaan tersebut ant-  ara lain: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filsafat pengetahuan, Muhammad Taqi Mishbâh Yazdî mel-  ontarkan sejumlah pandangan kritis yang sebagian besar dijelaskannya  dalam Âmûzesy-e Falsafeh dan Pâsokh beh Porsesy-hâ-ye Falsafidar  Âmûzesy-e Falsafeh, yaitu, (a) ia menganggap bahwa filsafat penge-  tahuan sebagai “logos mengetahui” merupakan pintu gerbang penge-  nalan filsafat, sehingga 'ilm hudhûri (pengetahuan via kehadiran atau  knowledge by presence) mesti dipisahkan dari tema-tema filsafat; (b) ia  mendukung pendapat Mullâ Hâdî Sabzevârî yang menolak definisi  Mullâ Sadrâ tentang al-'ilm sebagai hudhûr mujarrad ladâ mujarrad  (bersemayamnya sebuah entitas abstrak pada sebuah entitas abstrak). </w:t>
      </w:r>
    </w:p>
    <w:p>
      <w:pPr>
        <w:pStyle w:val="BookText"/>
        <w:bidi w:val="0"/>
        <w:rPr/>
      </w:pPr>
      <w:r>
        <w:rPr>
          <w:rFonts w:eastAsia="Times New Roman" w:cs="Times New Roman" w:ascii="Times New Roman" w:hAnsi="Times New Roman"/>
          <w:color w:val="111111"/>
          <w:sz w:val="28"/>
          <w:szCs w:val="28"/>
          <w:lang w:val="en-US"/>
        </w:rPr>
        <w:t>Pendahuluan  Karena menurutnya, pengetahuan dari sesuatu yang secara eksistensial  termulia (Tuhan) mampu mengenali entitas-entitas nonabstrak (konkret)  secara langsung, tanpa mediasi entitas-entitas abstrak lainnya;  Dalam filsafat wujud, Muhammad Taqi Mishbâh Yazdî melontarkan  beberapa kritik seperti dijelaskannya dalam Ta’liqeh bar Nihâyat al-  Hikmah, Âmûzesy-e Falsafeh dan Pâsokh beh Porsesy-hâ-ye Falsafi  dar Âmûzesy-e Falsafeh, antara lain; a) wahdat al-wujûd tidak bersifat  syakhshiyyah (personal), dan prinsip tauhid tidak mutlak didasarkan  padanya; b) gradasi wujud (tasykîk al-wujûd) hanya mungkin berlaku  secara vertikal (thûlî), karena ia hanya dapat dipahami dan dijelaskan  dalam relasi kausal; sedangkan dalam konteks gradasi horizontal (tasykîk  ‘ardhî) tidak terdapat relasi semacam itu; c) menolak analisis terhadap  prinsip kausalitas sebagai dalil sahih atas keniscayaan wujûd râbith;  d) menolak gagasan sinkhiyyah (equality, kesepadanan) dalam maujud  (eksisten) yang basîth (sederhana) berkenaan dengan kaidah al-wahid lâ  yashduru minhu illâ al-wahid (entitas tunggal hanya meniscayakan akibat  berupa entitas tunggal); e) berpendapat bahwa harakah jawhariyyah  (gerak substansial) dapat bersifat shu 'ûdiyyah (gerak menanjak,  ascending motion), dan bisa pula bersifat nuzûliyyah (gerak menurun,  descending motion).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filsafat ketuhanan, Muhammad Taqi Mishbâh Yazdî  melontarkan kritikan seperti dimuat dalam bukunya Amûzesy-e Aqâed  dan Ma’âref-e Qor'ân, antara lain; a) teks-teks suci mesti diperlakukan  sebagai premis sehingga pola argumentasi tetap rasional; b) prinsip  filsafat ketuhanan cukup berdiri di atas dua bagian utama, yaitu mabda’  (teologi) dan ma'âd (eskatologi). Sedangkan tema keadilan Tuhan, yang  semula dianggap sebagai prinsip tersendiri dalam usuluddin mazhab  Syiah dimasukkannya sebagai prinsip turunan dari sifat-sifat fi’liyyah  Tuhan, terutama al-hikmah al-ilâhiyyah yang juga melahirkan prinsip  kenabian. </w:t>
      </w:r>
    </w:p>
    <w:p>
      <w:pPr>
        <w:pStyle w:val="BookText"/>
        <w:bidi w:val="0"/>
        <w:rPr/>
      </w:pPr>
      <w:r>
        <w:rPr>
          <w:rFonts w:eastAsia="Times New Roman" w:cs="Times New Roman" w:ascii="Times New Roman" w:hAnsi="Times New Roman"/>
          <w:color w:val="111111"/>
          <w:sz w:val="28"/>
          <w:szCs w:val="28"/>
          <w:lang w:val="en-US"/>
        </w:rPr>
        <w:t>Berdasarkan latar belakang penelitian yang telah dipaparkan  sebelumnya, maka permasalahan utama penelitian ini dirumuskan ke  dalam sejumlah pertanyaan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Apa yang melatarbelakangi perkembangan pemikiran filsafat  Muhammad Taqi Mishbâh Yazdî?  2. Bagaimana pandangan filsafat Muhammad Taqi Mishbâh Yazdî  dalam filsafat pengetahuan, filsafat wujud, dan filsafat ketuhanan?  Sesuai rumusan masalah yang telah ditetapkan sebelumnya,  tujuan penelitian ini diarahkan kepada upaya untuk mengetahui:</w:t>
      </w:r>
    </w:p>
    <w:p>
      <w:pPr>
        <w:pStyle w:val="BookText"/>
        <w:bidi w:val="0"/>
        <w:jc w:val="both"/>
        <w:rPr/>
      </w:pPr>
      <w:r>
        <w:rPr>
          <w:rFonts w:eastAsia="Times New Roman" w:cs="Times New Roman" w:ascii="Times New Roman" w:hAnsi="Times New Roman"/>
          <w:color w:val="111111"/>
          <w:sz w:val="28"/>
          <w:szCs w:val="28"/>
          <w:lang w:val="en-US"/>
        </w:rPr>
        <w:t>a. Latar belakang pemikiran filsafat Muhammad Taqi Mishbâh Yazdî.</w:t>
      </w:r>
    </w:p>
    <w:p>
      <w:pPr>
        <w:pStyle w:val="BookText"/>
        <w:bidi w:val="0"/>
        <w:jc w:val="both"/>
        <w:rPr/>
      </w:pPr>
      <w:r>
        <w:rPr>
          <w:rFonts w:eastAsia="Times New Roman" w:cs="Times New Roman" w:ascii="Times New Roman" w:hAnsi="Times New Roman"/>
          <w:color w:val="111111"/>
          <w:sz w:val="28"/>
          <w:szCs w:val="28"/>
          <w:lang w:val="en-US"/>
        </w:rPr>
        <w:t>b. Pemikiran filsafat Muhammad Taqi Mishbâh Yazdî tentang filsafat  pengetahuan, filsafat wujud, dan filsafat ketuhanan.</w:t>
      </w:r>
    </w:p>
    <w:p>
      <w:pPr>
        <w:pStyle w:val="BookText"/>
        <w:bidi w:val="0"/>
        <w:jc w:val="both"/>
        <w:rPr/>
      </w:pPr>
      <w:r>
        <w:rPr>
          <w:rFonts w:eastAsia="Times New Roman" w:cs="Times New Roman" w:ascii="Times New Roman" w:hAnsi="Times New Roman"/>
          <w:color w:val="111111"/>
          <w:sz w:val="28"/>
          <w:szCs w:val="28"/>
          <w:lang w:val="en-US"/>
        </w:rPr>
        <w:t>Hasil penelitian ini diharapkan dapat memberikan kegunaan pada  aspek-aspek berikut:</w:t>
      </w:r>
    </w:p>
    <w:p>
      <w:pPr>
        <w:pStyle w:val="BookText"/>
        <w:bidi w:val="0"/>
        <w:jc w:val="both"/>
        <w:rPr/>
      </w:pPr>
      <w:r>
        <w:rPr>
          <w:rFonts w:eastAsia="Times New Roman" w:cs="Times New Roman" w:ascii="Times New Roman" w:hAnsi="Times New Roman"/>
          <w:color w:val="111111"/>
          <w:sz w:val="28"/>
          <w:szCs w:val="28"/>
          <w:lang w:val="en-US"/>
        </w:rPr>
        <w:t>a. Aspek ilmiah  Hasil penelitian ini diharapkan memberikan manfaat bagi pengem-  bangan ilmu pengetahuan, khususnya filsafat Islam yang berkaitan  dengan filsafat pengetahuan, filsafat wujud dan filsafat ketuhanan yang  dikembangkan Muhammad Taqi Mishbâh Yazdî. Kontribusinya untuk  membuktikan kontinuitas pemikiran filsafat di dunia Islam, khususnya  belahan dunia behind the river dalam istilah Madjid, yaitu kawasan  dunia Islam di pinggir laut merah (khususnya Iran). Selain itu, juga un-  tuk meretas jalan ke arah perluasan cakrawala pemikiran filsafat Islam  di Indonesia pada masa mendatang.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Aspek praktis  Hasil penelitian ini diharapkan dapat dijadikan sumber referensi bagi  penelitian filsafat Islam selanjutnya, yang berkaitan dengan pemikiran  Yazdî, yang sampai saat ini pemikirannya belum banyak diteliti, baik  sebagai tesis maupun disertasi khususnya di Indonesia. Hal ini relevan  dengan upaya pembentukan atmosphere intelektual umat Islam Indone-  sia dalam proses membangun peradabannya, karena hampir tidak ada  peradaban yang tidak berdiri di atas suatu filsafat tertentu. </w:t>
      </w:r>
      <w:bookmarkStart w:id="22" w:name="pg6424_44632"/>
    </w:p>
    <w:p>
      <w:pPr>
        <w:pStyle w:val="Heading2"/>
        <w:numPr>
          <w:ilvl w:val="1"/>
          <w:numId w:val="1"/>
        </w:numPr>
        <w:bidi w:val="0"/>
        <w:jc w:val="left"/>
        <w:rPr/>
      </w:pPr>
      <w:bookmarkStart w:id="23" w:name="__RefHeading___Toc688537_653776707"/>
      <w:bookmarkStart w:id="24" w:name="_Toc8"/>
      <w:bookmarkEnd w:id="22"/>
      <w:bookmarkEnd w:id="23"/>
      <w:r>
        <w:rPr/>
        <w:t>BAB II: LATAR BELAKANG STUDI FILSAFAT DI HAWZAH ILMIYAH QOM</w:t>
      </w:r>
      <w:bookmarkEnd w:id="24"/>
    </w:p>
    <w:p>
      <w:pPr>
        <w:pStyle w:val="Heading3"/>
        <w:numPr>
          <w:ilvl w:val="2"/>
          <w:numId w:val="1"/>
        </w:numPr>
        <w:bidi w:val="0"/>
        <w:jc w:val="left"/>
        <w:rPr/>
      </w:pPr>
      <w:bookmarkStart w:id="25" w:name="__RefHeading___Toc688539_653776707"/>
      <w:bookmarkStart w:id="26" w:name="_Toc9"/>
      <w:bookmarkEnd w:id="25"/>
      <w:r>
        <w:rPr/>
        <w:t>A. Perkembangan Filsafat Islam</w:t>
      </w:r>
      <w:bookmarkEnd w:id="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Filsafat Islam telah memasuki usia 1200 tahun. Dinamika rasional  dalam dunia Islam dimulai dengan gerakan penerjemahan karya-karya  Yunani dan Alexandria pada abad kedua, ketiga dan keempat.</w:t>
      </w:r>
      <w:r>
        <w:rPr>
          <w:rStyle w:val="FootnoteAnchor"/>
        </w:rPr>
        <w:footnoteReference w:id="9"/>
      </w:r>
      <w:r>
        <w:rPr>
          <w:rFonts w:eastAsia="Times New Roman" w:cs="Times New Roman" w:ascii="Times New Roman" w:hAnsi="Times New Roman"/>
          <w:color w:val="111111"/>
          <w:sz w:val="28"/>
          <w:szCs w:val="28"/>
          <w:lang w:val="en-US"/>
        </w:rPr>
        <w:t xml:space="preserve">Disebutkan  pula bahwa sebagian dari buku-buku terjemahan itu tidak lolos dari  distorsi dan kekeliruan yang fatal, seperti buku Tasu’at atau Ontologia  yang ditulis dengan nama Aristoteles, padahal tidak sepenuhnya sesuai  dengan pandangannya. Namun gerakan ini mencapai puncaknya pada </w:t>
      </w:r>
    </w:p>
    <w:p>
      <w:pPr>
        <w:pStyle w:val="BookText"/>
        <w:bidi w:val="0"/>
        <w:rPr/>
      </w:pPr>
      <w:r>
        <w:rPr>
          <w:rFonts w:eastAsia="Times New Roman" w:cs="Times New Roman" w:ascii="Times New Roman" w:hAnsi="Times New Roman"/>
          <w:color w:val="111111"/>
          <w:sz w:val="28"/>
          <w:szCs w:val="28"/>
          <w:lang w:val="en-US"/>
        </w:rPr>
        <w:t>Pemikiran Filsafat Ayatullah M.T. Mishbah Yazdi  abad ketiga. Pada abad inilah umat Islam memasuki era penulisan dan  penelitian.</w:t>
      </w:r>
    </w:p>
    <w:p>
      <w:pPr>
        <w:pStyle w:val="BookText"/>
        <w:bidi w:val="0"/>
        <w:jc w:val="both"/>
        <w:rPr/>
      </w:pPr>
      <w:r>
        <w:rPr>
          <w:rFonts w:eastAsia="Times New Roman" w:cs="Times New Roman" w:ascii="Times New Roman" w:hAnsi="Times New Roman"/>
          <w:color w:val="111111"/>
          <w:sz w:val="28"/>
          <w:szCs w:val="28"/>
          <w:lang w:val="en-US"/>
        </w:rPr>
        <w:t>Dalam peta sejarah pemikiran, filsafat bercorak Islam disinyalir baru  menemukan bentuknya yang sistematis dan tertulis sejak Abû Yûsuf  Ya'qub bin Ishâq al-Kindî'</w:t>
      </w:r>
      <w:r>
        <w:rPr>
          <w:rStyle w:val="FootnoteAnchor"/>
        </w:rPr>
        <w:footnoteReference w:id="10"/>
      </w:r>
      <w:r>
        <w:rPr>
          <w:rFonts w:eastAsia="Times New Roman" w:cs="Times New Roman" w:ascii="Times New Roman" w:hAnsi="Times New Roman"/>
          <w:color w:val="111111"/>
          <w:sz w:val="28"/>
          <w:szCs w:val="28"/>
          <w:lang w:val="en-US"/>
        </w:rPr>
        <w:t>yang dijuluki sebagai “filsuf Arab pertama”.</w:t>
      </w:r>
    </w:p>
    <w:p>
      <w:pPr>
        <w:pStyle w:val="BookText"/>
        <w:bidi w:val="0"/>
        <w:jc w:val="both"/>
        <w:rPr/>
      </w:pPr>
      <w:r>
        <w:rPr>
          <w:rFonts w:eastAsia="Times New Roman" w:cs="Times New Roman" w:ascii="Times New Roman" w:hAnsi="Times New Roman"/>
          <w:color w:val="111111"/>
          <w:sz w:val="28"/>
          <w:szCs w:val="28"/>
          <w:lang w:val="en-US"/>
        </w:rPr>
        <w:t>Salah satu perannya yang paling siginifikan dalam mengembangkan  corak filsafat Islam adalah menjembatani pemikiran Islam dengan filsafat  Yunani Kuno.</w:t>
      </w:r>
      <w:r>
        <w:rPr>
          <w:rStyle w:val="FootnoteAnchor"/>
        </w:rPr>
        <w:footnoteReference w:id="11"/>
      </w:r>
      <w:r>
        <w:rPr>
          <w:rFonts w:eastAsia="Times New Roman" w:cs="Times New Roman" w:ascii="Times New Roman" w:hAnsi="Times New Roman"/>
          <w:color w:val="111111"/>
          <w:sz w:val="28"/>
          <w:szCs w:val="28"/>
          <w:lang w:val="en-US"/>
        </w:rPr>
        <w:t>Misalnya, dengan menggunakan pemikiran Aristoteles  (dari bukunya yang sudah diterjemahkan ke dalam bahasa Arab) sebagai  basis karya-karya filsafatnya.</w:t>
      </w:r>
      <w:r>
        <w:rPr>
          <w:rStyle w:val="FootnoteAnchor"/>
        </w:rPr>
        <w:footnoteReference w:id="12"/>
      </w:r>
      <w:r>
        <w:rPr>
          <w:rFonts w:eastAsia="Times New Roman" w:cs="Times New Roman" w:ascii="Times New Roman" w:hAnsi="Times New Roman"/>
          <w:color w:val="111111"/>
          <w:sz w:val="28"/>
          <w:szCs w:val="28"/>
          <w:lang w:val="en-US"/>
        </w:rPr>
        <w:t xml:space="preserve"> Sepeninggalan al-Kindi, muncul filsuf Islam kenamaan, yaitu  al-Farabi (257—339/870950). Ia sangat berjasa dalam mengenalkan  dan mengembangkan cara berpikir logis (logika) kepada dunia Islam.</w:t>
      </w:r>
    </w:p>
    <w:p>
      <w:pPr>
        <w:pStyle w:val="BookText"/>
        <w:bidi w:val="0"/>
        <w:jc w:val="both"/>
        <w:rPr/>
      </w:pPr>
      <w:r>
        <w:rPr>
          <w:rFonts w:eastAsia="Times New Roman" w:cs="Times New Roman" w:ascii="Times New Roman" w:hAnsi="Times New Roman"/>
          <w:color w:val="111111"/>
          <w:sz w:val="28"/>
          <w:szCs w:val="28"/>
          <w:lang w:val="en-US"/>
        </w:rPr>
        <w:t>Berbagai karangan Aristoteles seperti Categories, Hermeneutics, First  dan Second Analysis telah diterjemahkan al-Farabi ke dalam bahasa Arab.</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Al-Farabi telah membicarakan berbagai sistem logika dan cara berpikir  deduktif maupun induktif. Di samping itu, ia dianggap sebagai peletak  dasar pertama ilmu musik dan menyempurnakan ilmu musik yang telah  dikembangkan sebelumnya oleh Phytagoras. Karena jasanya ini, maka al-  Farabi diberi gelar “Guru Kedua”, sedangkan gelar guru pertama  diberikan kepada Aristoteles.</w:t>
      </w:r>
      <w:r>
        <w:rPr>
          <w:rStyle w:val="FootnoteAnchor"/>
        </w:rPr>
        <w:footnoteReference w:id="13"/>
      </w:r>
    </w:p>
    <w:p>
      <w:pPr>
        <w:pStyle w:val="BookText"/>
        <w:bidi w:val="0"/>
        <w:rPr/>
      </w:pPr>
      <w:r>
        <w:rPr>
          <w:rFonts w:eastAsia="Times New Roman" w:cs="Times New Roman" w:ascii="Times New Roman" w:hAnsi="Times New Roman"/>
          <w:color w:val="111111"/>
          <w:sz w:val="28"/>
          <w:szCs w:val="28"/>
          <w:lang w:val="en-US"/>
        </w:rPr>
        <w:t>Kontribusi lain dari al-Farabi yang dianggap cukup bernilai adalah  usahanya mengklasifikasi ilmu pengetahuan. Al-Farabi telah memberikan  definisi dan batasan setiap ilmu pengetahuan yang berkembang pada  zamannya. Al-Farabi mengklasifikasi ilmu ke dalam tujuh cabang, yaitu:</w:t>
      </w:r>
    </w:p>
    <w:p>
      <w:pPr>
        <w:pStyle w:val="BookText"/>
        <w:bidi w:val="0"/>
        <w:jc w:val="both"/>
        <w:rPr/>
      </w:pPr>
      <w:r>
        <w:rPr>
          <w:rFonts w:eastAsia="Times New Roman" w:cs="Times New Roman" w:ascii="Times New Roman" w:hAnsi="Times New Roman"/>
          <w:color w:val="111111"/>
          <w:sz w:val="28"/>
          <w:szCs w:val="28"/>
          <w:lang w:val="en-US"/>
        </w:rPr>
        <w:t>logika, percakapan, matematika, fisika, metafisika, politik, dan ilmu  fikih (hukum). Buku al-Farabi tentang anatomi ilmu telah diterjemahkan  ke dalam bahasa Latin untuk konsumsi bangsa Eropa dengan judul De  Divisione Philosophae. Karya lainnya yang telah diterjemahkan ke dalam  bahasa Latin berjudul De Scientiis atau De Ortu Scientearum. Buku ini  mengulas berbagai jenis ilmu, seperti ilmu kimia, optik, dan geologi.</w:t>
      </w:r>
      <w:r>
        <w:rPr>
          <w:rStyle w:val="FootnoteAnchor"/>
        </w:rPr>
        <w:footnoteReference w:id="14"/>
      </w:r>
      <w:r>
        <w:rPr>
          <w:rFonts w:eastAsia="Times New Roman" w:cs="Times New Roman" w:ascii="Times New Roman" w:hAnsi="Times New Roman"/>
          <w:color w:val="111111"/>
          <w:sz w:val="28"/>
          <w:szCs w:val="28"/>
          <w:lang w:val="en-US"/>
        </w:rPr>
        <w:t xml:space="preserve"> Memasuki masa setelahnya, filsafat Islam semakin menemukan  bentuknya yang khas, kendati pengaruh filsafat Yunani masih terasa di  sana-sini. Misalnya adalah Abû ‘Alî al-Hosain bin Sînâ (337—429/980—  1037). Menurut Fakhry, kedua filsuf tersebut merupakan filsuf-filsuf  Muslim pertama yang membangun sistem metafisika yang sangat  terperinci dan rumit.</w:t>
      </w:r>
      <w:r>
        <w:rPr>
          <w:rStyle w:val="FootnoteAnchor"/>
        </w:rPr>
        <w:footnoteReference w:id="15"/>
      </w:r>
      <w:r>
        <w:rPr>
          <w:rFonts w:eastAsia="Times New Roman" w:cs="Times New Roman" w:ascii="Times New Roman" w:hAnsi="Times New Roman"/>
          <w:color w:val="111111"/>
          <w:sz w:val="28"/>
          <w:szCs w:val="28"/>
          <w:lang w:val="en-US"/>
        </w:rPr>
        <w:t xml:space="preserve"> Inilah era kematangan filsafat Peripatetik (masya'iyyah)</w:t>
      </w:r>
      <w:r>
        <w:rPr>
          <w:rStyle w:val="FootnoteAnchor"/>
        </w:rPr>
        <w:footnoteReference w:id="16"/>
      </w:r>
      <w:r>
        <w:rPr>
          <w:rFonts w:eastAsia="Times New Roman" w:cs="Times New Roman" w:ascii="Times New Roman" w:hAnsi="Times New Roman"/>
          <w:color w:val="111111"/>
          <w:sz w:val="28"/>
          <w:szCs w:val="28"/>
          <w:lang w:val="en-US"/>
        </w:rPr>
        <w:t>yang  cenderung berporos pada mazhab Aristotelian daripada Platonian.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Karakteristik filsafat ini adalah penggunaan argumentasi yang bersifat  rasional (burhâni) daripada intuisional (ʻirfani) atau teologikal  (kalâmi)—kendati secara pribadi, keduanya juga mempraktikkan gaya  hidup zuhud dan tekun dalam beribadah. Juga, penggunaan deduksi  rasional (silogisme), pendasaran pada premis kebenaran primer, fokus  pada penelaahan eksistens qua eksistens, serta, menurut Murtadha  Muthahhari</w:t>
      </w:r>
      <w:r>
        <w:rPr>
          <w:rStyle w:val="FootnoteAnchor"/>
        </w:rPr>
        <w:footnoteReference w:id="17"/>
      </w:r>
      <w:r>
        <w:rPr>
          <w:rFonts w:eastAsia="Times New Roman" w:cs="Times New Roman" w:ascii="Times New Roman" w:hAnsi="Times New Roman"/>
          <w:color w:val="111111"/>
          <w:sz w:val="28"/>
          <w:szCs w:val="28"/>
          <w:lang w:val="en-US"/>
        </w:rPr>
        <w:t xml:space="preserve">, mencuatkan problem eksistensialisme (ashâlat al-wujûd) </w:t>
      </w:r>
    </w:p>
    <w:p>
      <w:pPr>
        <w:pStyle w:val="BookText"/>
        <w:bidi w:val="0"/>
        <w:rPr/>
      </w:pPr>
      <w:r>
        <w:rPr>
          <w:rFonts w:eastAsia="Times New Roman" w:cs="Times New Roman" w:ascii="Times New Roman" w:hAnsi="Times New Roman"/>
          <w:color w:val="111111"/>
          <w:sz w:val="28"/>
          <w:szCs w:val="28"/>
          <w:lang w:val="en-US"/>
        </w:rPr>
        <w:t>versus esensialisme (ashâlat al-mâhiyyah)</w:t>
      </w:r>
      <w:r>
        <w:rPr>
          <w:rStyle w:val="FootnoteAnchor"/>
        </w:rPr>
        <w:footnoteReference w:id="18"/>
      </w:r>
      <w:r>
        <w:rPr>
          <w:rFonts w:eastAsia="Times New Roman" w:cs="Times New Roman" w:ascii="Times New Roman" w:hAnsi="Times New Roman"/>
          <w:color w:val="111111"/>
          <w:sz w:val="28"/>
          <w:szCs w:val="28"/>
          <w:lang w:val="en-US"/>
        </w:rPr>
        <w:t xml:space="preserve">, dan seterusnya. </w:t>
      </w:r>
      <w:r>
        <w:rPr>
          <w:rStyle w:val="FootnoteAnchor"/>
        </w:rPr>
        <w:footnoteReference w:id="19"/>
      </w:r>
      <w:r>
        <w:rPr>
          <w:rFonts w:eastAsia="Times New Roman" w:cs="Times New Roman" w:ascii="Times New Roman" w:hAnsi="Times New Roman"/>
          <w:color w:val="111111"/>
          <w:sz w:val="28"/>
          <w:szCs w:val="28"/>
          <w:lang w:val="en-US"/>
        </w:rPr>
        <w:t xml:space="preserve"> Kehadiran dan kiprah Ibn Rusyd telah memperpanjang nafas filsafat  Islam, apalagi setelah memberikan bantahan terhadap al-Ghazali dan  para penentang filsafat melalui karyanya yang monumental, Tahâfut at-  Tahâfut (Kerancuan Buku Tahấfut al-Falâsifah).</w:t>
      </w:r>
    </w:p>
    <w:p>
      <w:pPr>
        <w:pStyle w:val="BookText"/>
        <w:bidi w:val="0"/>
        <w:jc w:val="both"/>
        <w:rPr/>
      </w:pPr>
      <w:r>
        <w:rPr>
          <w:rFonts w:eastAsia="Times New Roman" w:cs="Times New Roman" w:ascii="Times New Roman" w:hAnsi="Times New Roman"/>
          <w:color w:val="111111"/>
          <w:sz w:val="28"/>
          <w:szCs w:val="28"/>
          <w:lang w:val="en-US"/>
        </w:rPr>
        <w:t>Ibn Rusyd yang lahir dan dibesarkan di Cordova, Spanyol, meskipun  seorang dokter dan telah mengarang buku Ilmu Kedokteran berjudul  Colliget, yang dianggap setara dengan kitab Canon karangan Ibn Sina,  tetapi lebih dikenal sebagai seorang filsuf. Ibn Rusyd juga diakui sebagai  salah satu juru bicara fikih mazhab Maliki, dan karyanya, Bidâyat al-  Mujtahid hingga kini dijadikan sebagai salah satu sumber utama fikih  mazhab maliki.</w:t>
      </w:r>
      <w:r>
        <w:rPr>
          <w:rStyle w:val="FootnoteAnchor"/>
        </w:rPr>
        <w:footnoteReference w:id="20"/>
      </w:r>
      <w:r>
        <w:rPr>
          <w:rFonts w:eastAsia="Times New Roman" w:cs="Times New Roman" w:ascii="Times New Roman" w:hAnsi="Times New Roman"/>
          <w:color w:val="111111"/>
          <w:sz w:val="28"/>
          <w:szCs w:val="28"/>
          <w:lang w:val="en-US"/>
        </w:rPr>
        <w:t xml:space="preserve"> Ibn Rusyd telah menyusun 3 komentar mengenai Aristoteles, yaitu:</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komentar besar, komentar menengah dan komentar kecil. Ketiga komentar  tersebut dapat dijumpai dalam tiga bahasa: Arab, Latin, dan Ibrani. Dalam  komentar besar, Ibn Rusyd menuliskan setiap kata dalam Stagirite karya  Aristoteles dengan bahasa Arab dan memberikan komentar pada bagian  akhir. Dalam komentar menengah ia masih menyebut-nyebut Aristoteles  sebagai Magister Digit, sedangkan pada komentar kecil filsafat yang  diulas </w:t>
      </w:r>
    </w:p>
    <w:p>
      <w:pPr>
        <w:pStyle w:val="BookText"/>
        <w:bidi w:val="0"/>
        <w:rPr/>
      </w:pPr>
      <w:r>
        <w:rPr>
          <w:rFonts w:eastAsia="Times New Roman" w:cs="Times New Roman" w:ascii="Times New Roman" w:hAnsi="Times New Roman"/>
          <w:color w:val="111111"/>
          <w:sz w:val="28"/>
          <w:szCs w:val="28"/>
          <w:lang w:val="en-US"/>
        </w:rPr>
        <w:t xml:space="preserve">murni pandangan Ibn Rusyd. </w:t>
      </w:r>
      <w:r>
        <w:rPr>
          <w:rStyle w:val="FootnoteAnchor"/>
        </w:rPr>
        <w:footnoteReference w:id="21"/>
      </w:r>
      <w:r>
        <w:rPr>
          <w:rFonts w:eastAsia="Times New Roman" w:cs="Times New Roman" w:ascii="Times New Roman" w:hAnsi="Times New Roman"/>
          <w:color w:val="111111"/>
          <w:sz w:val="28"/>
          <w:szCs w:val="28"/>
          <w:lang w:val="en-US"/>
        </w:rPr>
        <w:t xml:space="preserve"> Pandangan Ibn Rusyd yang menyatakan bahwa jalan filsafat  merupakan jalan terbaik untuk mencapai kebenaran sejati dibanding  jalan yang ditempuh oleh ahli agama, telah memancing kemarahan  pemuka-pemuka agama, sehingga mereka meminta kepada khalifah yang  memerintah di Spanyol untuk menyatakan Ibn Rusyd sebagai atheis.</w:t>
      </w:r>
    </w:p>
    <w:p>
      <w:pPr>
        <w:pStyle w:val="BookText"/>
        <w:bidi w:val="0"/>
        <w:jc w:val="both"/>
        <w:rPr/>
      </w:pPr>
      <w:r>
        <w:rPr>
          <w:rFonts w:eastAsia="Times New Roman" w:cs="Times New Roman" w:ascii="Times New Roman" w:hAnsi="Times New Roman"/>
          <w:color w:val="111111"/>
          <w:sz w:val="28"/>
          <w:szCs w:val="28"/>
          <w:lang w:val="en-US"/>
        </w:rPr>
        <w:t>Sebenarnya apa yang dikemukakan oleh Ibn Rusyd sudah dikemukakan  pula oleh al-Kindi dalam bukunya al-Falsafah al-Úlâ (First Philosophy).</w:t>
      </w:r>
    </w:p>
    <w:p>
      <w:pPr>
        <w:pStyle w:val="BookText"/>
        <w:bidi w:val="0"/>
        <w:jc w:val="both"/>
        <w:rPr/>
      </w:pPr>
      <w:r>
        <w:rPr>
          <w:rFonts w:eastAsia="Times New Roman" w:cs="Times New Roman" w:ascii="Times New Roman" w:hAnsi="Times New Roman"/>
          <w:color w:val="111111"/>
          <w:sz w:val="28"/>
          <w:szCs w:val="28"/>
          <w:lang w:val="en-US"/>
        </w:rPr>
        <w:t xml:space="preserve">Al-Kindi menyatakan bahwa kaum fakih tidak dapat menjelaskan  kebenaran dengan sempurna karena pengetahuan mereka yang tipis dan  kurang bernilai. </w:t>
      </w:r>
      <w:r>
        <w:rPr>
          <w:rStyle w:val="FootnoteAnchor"/>
        </w:rPr>
        <w:footnoteReference w:id="22"/>
      </w:r>
      <w:r>
        <w:rPr>
          <w:rFonts w:eastAsia="Times New Roman" w:cs="Times New Roman" w:ascii="Times New Roman" w:hAnsi="Times New Roman"/>
          <w:color w:val="111111"/>
          <w:sz w:val="28"/>
          <w:szCs w:val="28"/>
          <w:lang w:val="en-US"/>
        </w:rPr>
        <w:t xml:space="preserve"> Pertentangan antara filsuf yang diwakili oleh Ibn Rusyd dan kaum  ulama yang diwakili oleh al-Ghazali semakin memanas dengan terbitnya  karangan al-Ghazali yang berjudul The Inconsistency of the Philosophers  (Tahâfut al-Falâsifah), yang kemudian digunakan pula oleh pihak gereja  untuk menghambat berkembangnya pikiran bebas di Eropa pada Zaman  Renaisance. Al-Ghazali berpendapat bahwa mempelajari filsafat dapat  menyebabkan seseorang menjadi atheis. Menurut al-Ghazali, hanya  ada satu cara untuk mencapai kebenaran sejati, yaitu melalui tasawuf  (mistisisme). Buku karangan al-Ghazali ini kemudian ditanggapi oleh  Ibn Rusyd dalam karyanya, Tahâfut-al-Tahāfut (The Incohenrence of the  Incoherence).</w:t>
      </w:r>
      <w:r>
        <w:rPr>
          <w:rStyle w:val="FootnoteAnchor"/>
        </w:rPr>
        <w:footnoteReference w:id="23"/>
      </w:r>
      <w:r>
        <w:rPr>
          <w:rFonts w:eastAsia="Times New Roman" w:cs="Times New Roman" w:ascii="Times New Roman" w:hAnsi="Times New Roman"/>
          <w:color w:val="111111"/>
          <w:sz w:val="28"/>
          <w:szCs w:val="28"/>
          <w:lang w:val="en-US"/>
        </w:rPr>
        <w:t xml:space="preserve"> Dukungan para ulama tradisional dan penguasa saat itu terhadap  kampanye antifilsafat yang dilancarkan al-Ghazali telah menyebabkan  dilarangnya pengajaran ilmu filsafat di berbagai perguruan Islam.</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Pelarangan penyebaran filsafat Ibn Rusydmerupakan titik awal peradaban  Islam yang didukung oleh maraknya perkembangan ilmu pengetahuan dan  teknologi. Ilmu dalam peradaban Islam bermula dengan berkembangnya </w:t>
      </w:r>
    </w:p>
    <w:p>
      <w:pPr>
        <w:pStyle w:val="BookText"/>
        <w:bidi w:val="0"/>
        <w:rPr/>
      </w:pPr>
      <w:r>
        <w:rPr>
          <w:rFonts w:eastAsia="Times New Roman" w:cs="Times New Roman" w:ascii="Times New Roman" w:hAnsi="Times New Roman"/>
          <w:color w:val="111111"/>
          <w:sz w:val="28"/>
          <w:szCs w:val="28"/>
          <w:lang w:val="en-US"/>
        </w:rPr>
        <w:t>filsafat dan mengalami kemunduran dengan kematian filsafat.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Seiring dengan mundurnya kebudayaan Islam, Eropa mengalami  kebangkitan. Pada masa ini, buku-buku filsafat dan ilmu pengetahuan  karangan dan terjemahan filsuf Islam seperti al-Kindi, al-Farabi,  Ibn Sina, dan Ibn Rusyd diterjemahkan ke dalam bahasa Latin. Pada  zaman itu, bahasa Latin menjadi bahasa kebudayaan bangsa-bangsa  Eropa. Penerjemahan karya-karya kaum muslimin antara lain  dilakukan di Toledo, ketika Raymund menjadi Uskup Besar Kristen  di Toledo pada tahun 1130—1150 M. Hasil terjemahan dari Toledo ini  menyebar sampai ke Italia. </w:t>
      </w:r>
      <w:r>
        <w:rPr>
          <w:rStyle w:val="FootnoteAnchor"/>
        </w:rPr>
        <w:footnoteReference w:id="24"/>
      </w:r>
      <w:r>
        <w:rPr>
          <w:rFonts w:eastAsia="Times New Roman" w:cs="Times New Roman" w:ascii="Times New Roman" w:hAnsi="Times New Roman"/>
          <w:color w:val="111111"/>
          <w:sz w:val="28"/>
          <w:szCs w:val="28"/>
          <w:lang w:val="en-US"/>
        </w:rPr>
        <w:t xml:space="preserve"> Seperti halnya yang dilakukan oleh pemuka agama Islam,  berkembangnya filsafat ajaran Ibn Rusyd dianggap dapat membahayakan  iman Kristiani oleh para pemuka agama Kristen, sehingga sinode gereja  mengeluarkan dekrit pada tahun 1209, kemudian disusul dengan putusan  Papal Legate pada tahun 1215 yang melarang pengajaran dan penyebaran  filsafat ajaran Ibn Rusyd. </w:t>
      </w:r>
      <w:r>
        <w:rPr>
          <w:rStyle w:val="FootnoteAnchor"/>
        </w:rPr>
        <w:footnoteReference w:id="25"/>
      </w:r>
      <w:r>
        <w:rPr>
          <w:rFonts w:eastAsia="Times New Roman" w:cs="Times New Roman" w:ascii="Times New Roman" w:hAnsi="Times New Roman"/>
          <w:color w:val="111111"/>
          <w:sz w:val="28"/>
          <w:szCs w:val="28"/>
          <w:lang w:val="en-US"/>
        </w:rPr>
        <w:t xml:space="preserve"> Pada tahun 1215, saat Frederick II menjadi Kaisar Sicilia, ajaran  filsafat Islam mulai berkembang lagi. Pada Tahun 1214, Frederick  mendirikan Universitas Naples, yang kemudian memiliki akademi yang  bertugas menerjemahkan kitab-kitab berbahasa Arab ke dalam bahasa  Latin. Pada tahun 1217 Frederick II mengutus Michael Scot ke Toledo  untuk mengumpulkan terjemahan-terjemahan filsafat berbahasa Latin  karya para sarjana Muslim. Berkembangnya ajaran filsafat Ibn Rusyd  di Eropa Barat tidak lepas dari hasil terjemahan Michael Scot. Banyak  orientalis menyatakan bahwa Michael Scot telah berhasil menerjemahkan  komentar Ibn Rusyd dengan judul de coelo et de mundo dan bagian  pertama dari Kitab Anima </w:t>
      </w:r>
      <w:r>
        <w:rPr>
          <w:rStyle w:val="FootnoteAnchor"/>
        </w:rPr>
        <w:footnoteReference w:id="26"/>
      </w:r>
      <w:r>
        <w:rPr>
          <w:rFonts w:eastAsia="Times New Roman" w:cs="Times New Roman" w:ascii="Times New Roman" w:hAnsi="Times New Roman"/>
          <w:color w:val="111111"/>
          <w:sz w:val="28"/>
          <w:szCs w:val="28"/>
          <w:lang w:val="en-US"/>
        </w:rPr>
        <w:t xml:space="preserve"> Kaisar Frederick II menerjemahkan karya-karya filsafat Islam ke  dalam bahasa Latin, guna mendorong pengembangan ilmu pengetahuan </w:t>
      </w:r>
      <w:bookmarkStart w:id="27" w:name="pg6424_44649"/>
    </w:p>
    <w:p>
      <w:pPr>
        <w:pStyle w:val="BookText"/>
        <w:bidi w:val="0"/>
        <w:rPr/>
      </w:pPr>
      <w:bookmarkEnd w:id="27"/>
      <w:r>
        <w:rPr>
          <w:rFonts w:eastAsia="Times New Roman" w:cs="Times New Roman" w:ascii="Times New Roman" w:hAnsi="Times New Roman"/>
          <w:color w:val="111111"/>
          <w:sz w:val="28"/>
          <w:szCs w:val="28"/>
          <w:lang w:val="en-US"/>
        </w:rPr>
        <w:t>di Eropa Barat. Setelah itu, usahanya untuk mengembangkan pengetahuan  diteruskan oleh putranya. Untuk tujuan ini, putranya mengutus orang  Jerman bernama Hermann untuk kembali ke Toledo pada tahun 1256.</w:t>
      </w:r>
    </w:p>
    <w:p>
      <w:pPr>
        <w:pStyle w:val="BookText"/>
        <w:bidi w:val="0"/>
        <w:jc w:val="both"/>
        <w:rPr/>
      </w:pPr>
      <w:r>
        <w:rPr>
          <w:rFonts w:eastAsia="Times New Roman" w:cs="Times New Roman" w:ascii="Times New Roman" w:hAnsi="Times New Roman"/>
          <w:color w:val="111111"/>
          <w:sz w:val="28"/>
          <w:szCs w:val="28"/>
          <w:lang w:val="en-US"/>
        </w:rPr>
        <w:t>Hermann kemudian menerjemahkan Ikhtishar al-Manthiq karya al-Farabi  dan Ikhtishar Syair karya Ibn Rusyd. Pada pertengahan abad 13 hampir  seluruh karya Ibn Rusyd telah diterjemahkan ke dalam bahasa  Latin, termasuk buku Tahâfut al-Tahâfut yang diterjemahkan oleh  Colonymus pada Tahun 1328.</w:t>
      </w:r>
      <w:r>
        <w:rPr>
          <w:rStyle w:val="FootnoteAnchor"/>
        </w:rPr>
        <w:footnoteReference w:id="27"/>
      </w:r>
      <w:r>
        <w:rPr>
          <w:rFonts w:eastAsia="Times New Roman" w:cs="Times New Roman" w:ascii="Times New Roman" w:hAnsi="Times New Roman"/>
          <w:color w:val="111111"/>
          <w:sz w:val="28"/>
          <w:szCs w:val="28"/>
          <w:lang w:val="en-US"/>
        </w:rPr>
        <w:t xml:space="preserve"> Pada pertengahan abad 12 kalangan gereja melakukan sensor terhadap  karangan Ibn Rusyd, sehingga saat itu berkembang 2 paham, yaitu paham  pembela Ibn Rusyd (Averroisme) dan paham yang menentangnya.</w:t>
      </w:r>
    </w:p>
    <w:p>
      <w:pPr>
        <w:pStyle w:val="BookText"/>
        <w:bidi w:val="0"/>
        <w:jc w:val="both"/>
        <w:rPr/>
      </w:pPr>
      <w:r>
        <w:rPr>
          <w:rFonts w:eastAsia="Times New Roman" w:cs="Times New Roman" w:ascii="Times New Roman" w:hAnsi="Times New Roman"/>
          <w:color w:val="111111"/>
          <w:sz w:val="28"/>
          <w:szCs w:val="28"/>
          <w:lang w:val="en-US"/>
        </w:rPr>
        <w:t>Kalangan yang menentang ajaran filsafat Ibn Rusyd ini, antara lain, adalah  pendeta Thomas Aquinas, Ernest Renan, dan Roger Bacon. Mereka yang  menentang Averroisme umumnya banyak menggunakan argumentasi  yang dikemukakan oleh al-Ghazali dalam Tahafut-al-Falasifah. Dari  hal ini dapat dikatakan bahwa yang diperdebatkan oleh kalangan filsuf  di Eropa Barat pada abad 12 dan 13, tidak lain adalah masalah yang  diperdebatkan oleh filsuf Islam.</w:t>
      </w:r>
      <w:r>
        <w:rPr>
          <w:rStyle w:val="FootnoteAnchor"/>
        </w:rPr>
        <w:footnoteReference w:id="28"/>
      </w:r>
    </w:p>
    <w:p>
      <w:pPr>
        <w:pStyle w:val="Heading3"/>
        <w:numPr>
          <w:ilvl w:val="2"/>
          <w:numId w:val="1"/>
        </w:numPr>
        <w:bidi w:val="0"/>
        <w:jc w:val="left"/>
        <w:rPr/>
      </w:pPr>
      <w:bookmarkStart w:id="28" w:name="__RefHeading___Toc688541_653776707"/>
      <w:bookmarkStart w:id="29" w:name="_Toc10"/>
      <w:bookmarkEnd w:id="28"/>
      <w:r>
        <w:rPr/>
        <w:t>B. Perkembangan Filsafat Islam di Dunia Syi'ah</w:t>
      </w:r>
      <w:bookmarkEnd w:id="29"/>
    </w:p>
    <w:p>
      <w:pPr>
        <w:pStyle w:val="BookText"/>
        <w:bidi w:val="0"/>
        <w:jc w:val="both"/>
        <w:rPr/>
      </w:pPr>
      <w:r>
        <w:rPr>
          <w:rFonts w:eastAsia="Times New Roman" w:cs="Times New Roman" w:ascii="Times New Roman" w:hAnsi="Times New Roman"/>
          <w:color w:val="111111"/>
          <w:sz w:val="28"/>
          <w:szCs w:val="28"/>
          <w:lang w:val="en-US"/>
        </w:rPr>
        <w:t>Sampai di sini, Barat menganggap perlawanan terakhir kaum filsuf  yang diwakili oleh Ibn Rusyd terhadap gerakan anti filsafat dan logika  sebagai masa akhir rasionalisme dalam sejarah Islam. Anggapan ini  ternyata meleset. Bahkan ketika di dunia sunni, filsafat mengalami  kemunduran, di dunia Syiah, filsafat sedang bangkit dengan Hikmah  Muta’âliyyah yang dicetuskan oleh Mullâ Sadrâ.</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dijelaskan oleh Jalâl al-Dîn Asytiâni, Barat mempunyai  tendensi terselubung di balik anggapannya tersebut. Menurutnya, Barat  mengagungkan Ibn Sina dan Shurawardi karena keduanya dianggap </w:t>
      </w:r>
    </w:p>
    <w:p>
      <w:pPr>
        <w:pStyle w:val="BookText"/>
        <w:bidi w:val="0"/>
        <w:rPr/>
      </w:pPr>
      <w:r>
        <w:rPr>
          <w:rFonts w:eastAsia="Times New Roman" w:cs="Times New Roman" w:ascii="Times New Roman" w:hAnsi="Times New Roman"/>
          <w:color w:val="111111"/>
          <w:sz w:val="28"/>
          <w:szCs w:val="28"/>
          <w:lang w:val="en-US"/>
        </w:rPr>
        <w:t>pewaris filsafat Barat kuno, yaitu Yunani. Sedangkan Mullâ Sadrâ  tidak mendapat perhatian dan perlakuan yang adil dan setimpal karena  menggagas mazhab filsafat yang orisinal dan berbasis pada kesyiahannya.</w:t>
      </w:r>
    </w:p>
    <w:p>
      <w:pPr>
        <w:pStyle w:val="BookText"/>
        <w:bidi w:val="0"/>
        <w:jc w:val="both"/>
        <w:rPr/>
      </w:pPr>
      <w:r>
        <w:rPr>
          <w:rFonts w:eastAsia="Times New Roman" w:cs="Times New Roman" w:ascii="Times New Roman" w:hAnsi="Times New Roman"/>
          <w:color w:val="111111"/>
          <w:sz w:val="28"/>
          <w:szCs w:val="28"/>
          <w:lang w:val="en-US"/>
        </w:rPr>
        <w:t>Tetapi, menurut Muthahhari, hipotesis bahwa Plato adalah seorang  iluminasionis patut diragukan bahkan ditolak, karena tidak ada bukti-  bukti autentik dari buku-buku para filsuf sebelumnya yang memunculkan  ide iluminasi Plato. Muthahhari memastikan bahwa Suhrawardi  sengaja menyebut Plato sebagai guru iluminasi-nya agar pandan-  ganpandangannya lebih bisa diperhatikan semua kalangan.</w:t>
      </w:r>
      <w:r>
        <w:rPr>
          <w:rStyle w:val="FootnoteAnchor"/>
        </w:rPr>
        <w:footnoteReference w:id="29"/>
      </w:r>
      <w:r>
        <w:rPr>
          <w:rFonts w:eastAsia="Times New Roman" w:cs="Times New Roman" w:ascii="Times New Roman" w:hAnsi="Times New Roman"/>
          <w:color w:val="111111"/>
          <w:sz w:val="28"/>
          <w:szCs w:val="28"/>
          <w:lang w:val="en-US"/>
        </w:rPr>
        <w:t xml:space="preserve"> Jika merunut lebih jauh ke belakang, pemikiran Islam kritis dan  rasional pasca Ibn Rusyd terasa mati karena memang pintu ijtihad  dan rasionalisme tidak berkembang sejak abad pertengahan, dikunci  oleh arus deras pemikiran konservatif para ulama. Ketika itu, banyak  pemikiran filsafat yang diharamkan atau bahkan sang pemikirnya  dijatuhi hukuman mati dan fatwa kafir (takfir) karena dianggap filsafat  adalah produk bid'ah yang datang bukan dari Islam. Banyak referensi  mencatat bahwa hal demikian terjadi setelah al-Ghazali (1058—1111 M)  menggugat dan mempertanyakan kaum filsuf dalam bukunya, Tahâfut  al-Falâsifat (Kerancuan Para Filsuf). Ia mempersoalkan penggunaan  Aristotelianisme (sebagai dasar pijakan paripatetisme) dalam filsafat  Islam.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Artinya, filsafat Islam itu adalah filsafat yang berkembang di dunia Islam. Meski demikian, ada yang  beranggapan bahwa penyebutan 'filsafat Islam' didasarkan pada tokoh-tokohnya yang beragama Islam.</w:t>
      </w:r>
    </w:p>
    <w:p>
      <w:pPr>
        <w:pStyle w:val="BookText"/>
        <w:bidi w:val="0"/>
        <w:jc w:val="both"/>
        <w:rPr/>
      </w:pPr>
      <w:r>
        <w:rPr>
          <w:rFonts w:eastAsia="Times New Roman" w:cs="Times New Roman" w:ascii="Times New Roman" w:hAnsi="Times New Roman"/>
          <w:color w:val="111111"/>
          <w:sz w:val="28"/>
          <w:szCs w:val="28"/>
          <w:lang w:val="en-US"/>
        </w:rPr>
        <w:t>Ada pula yang memberikan alasan substansial bahwa filsafat Islam adalah filsafat yang didasarkan pada  prinsip-prinsip Islam yang tidak sama sekali berhutang budi kepada Yunani dan Barat.</w:t>
      </w:r>
    </w:p>
    <w:p>
      <w:pPr>
        <w:pStyle w:val="BookText"/>
        <w:bidi w:val="0"/>
        <w:jc w:val="both"/>
        <w:rPr/>
      </w:pPr>
      <w:r>
        <w:rPr>
          <w:rFonts w:eastAsia="Times New Roman" w:cs="Times New Roman" w:ascii="Times New Roman" w:hAnsi="Times New Roman"/>
          <w:color w:val="111111"/>
          <w:sz w:val="28"/>
          <w:szCs w:val="28"/>
          <w:lang w:val="en-US"/>
        </w:rPr>
        <w:t>Al-Farabi (257 H/870 M) dan Ibn Sina (980—1037 M) adalah  dua filsuf Muslim yang menjadi objek kritikan keras al-Ghazali,  dan dianggap banyak melakukan kesalahan dalam logika pemikiran  metafisika (ketuhanan).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Ibn Sina, alam semesta (selain Tuhan) sepenuhnya terdiri  dari pelbagai peristiwa yang ditentukan dan dipastikan. Hanya Tuhan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sajalah satu-satunya Dzat yang tidak diakibatkan oleh sesuatu di luar diri-  Nya. Tuhan adalah sebab pertama dari serangkaian sebab-akibat yang  membentuk struktur realitas.</w:t>
      </w:r>
      <w:r>
        <w:rPr>
          <w:rStyle w:val="FootnoteAnchor"/>
        </w:rPr>
        <w:footnoteReference w:id="31"/>
      </w:r>
      <w:r>
        <w:rPr>
          <w:rFonts w:eastAsia="Times New Roman" w:cs="Times New Roman" w:ascii="Times New Roman" w:hAnsi="Times New Roman"/>
          <w:color w:val="111111"/>
          <w:sz w:val="28"/>
          <w:szCs w:val="28"/>
          <w:lang w:val="en-US"/>
        </w:rPr>
        <w:t xml:space="preserve">Akan tetapi menurutnya, pengetahuan  Tuhan adalah pengetahuan ipso facto tentang segala sesuatu di luar diri-  Nya, dan dengan mengetahui diri-Nya maka tidak pelak lagi mengetahui  segala mawjûd di luar diri-Nya. Bagi Ibn Sina, Tuhan hanya tahu  terhadap esensi-esensi (universal-univesal), bukan pada mawjûd-mawjûd  khusus karena yang khusus secara pasti diketahui secara inderawi—ini  didasarkan pada tradisi filsafat helenisme. </w:t>
      </w:r>
      <w:r>
        <w:rPr>
          <w:rStyle w:val="FootnoteAnchor"/>
        </w:rPr>
        <w:footnoteReference w:id="32"/>
      </w:r>
      <w:r>
        <w:rPr>
          <w:rFonts w:eastAsia="Times New Roman" w:cs="Times New Roman" w:ascii="Times New Roman" w:hAnsi="Times New Roman"/>
          <w:color w:val="111111"/>
          <w:sz w:val="28"/>
          <w:szCs w:val="28"/>
          <w:lang w:val="en-US"/>
        </w:rPr>
        <w:t>Hal demikian dikritik oleh al-  Ghazali karena pemaknaan yang dilakukan oleh Ibn Sina ini mengingkari  setiap pemahaman tentang keagungan ilahi, artinya mendekatkan  keadaan Tuhan kepada keadaan sebuah benda yang tidak hidup, yang  tidak membutuhkan kabar berita tentang alam semesta. Melalui bukunya  itu, al-Ghazali menyerang dua hal utama. Pertama, filsafat menentang  prinsip-prinsipnya sendiri. Kedua, filsafat tidak bersesuaian dengan  agama dan filsafat tidak memberi ruang pada agama. Hal ini berarti  bahwa yang dipikirkan oleh kaum filsuf tentang Tuhan, mereka  hanya memperlakukan-Nya sebagai nama (nominal) sehingga Tuhan  tidak diberi ruang untuk bertindak apa-apa.</w:t>
      </w:r>
      <w:r>
        <w:rPr>
          <w:rStyle w:val="FootnoteAnchor"/>
        </w:rPr>
        <w:footnoteReference w:id="33"/>
      </w:r>
      <w:r>
        <w:rPr>
          <w:rFonts w:eastAsia="Times New Roman" w:cs="Times New Roman" w:ascii="Times New Roman" w:hAnsi="Times New Roman"/>
          <w:color w:val="111111"/>
          <w:sz w:val="28"/>
          <w:szCs w:val="28"/>
          <w:lang w:val="en-US"/>
        </w:rPr>
        <w:t xml:space="preserve"> Anggapan bahwa al-Ghazali telah mengakhiri riwayat filsafat  dalam dunia Islam dipersalahkan oleh Oliver Leaman. Menurut  Leaman, sesungguhnya al-Ghazali berusaha untuk memberikan “rem  kendali” bagi kaum filsuf untuk tidak secara bebas berfikiran filsufis-  rasional </w:t>
      </w:r>
      <w:r>
        <w:rPr>
          <w:rStyle w:val="FootnoteAnchor"/>
        </w:rPr>
        <w:footnoteReference w:id="34"/>
      </w:r>
      <w:r>
        <w:rPr>
          <w:rFonts w:eastAsia="Times New Roman" w:cs="Times New Roman" w:ascii="Times New Roman" w:hAnsi="Times New Roman"/>
          <w:color w:val="111111"/>
          <w:sz w:val="28"/>
          <w:szCs w:val="28"/>
          <w:lang w:val="en-US"/>
        </w:rPr>
        <w:t xml:space="preserve">Al-Ghazali sendiri telah memberikan contoh bagi sebuah  perdebatan intelektual yang mencerdaskan. Tetapi, ternyata gaya  kafirmengkafirkan pemikiran para filsuf yang dikritiknya memberikan </w:t>
      </w:r>
    </w:p>
    <w:p>
      <w:pPr>
        <w:pStyle w:val="BookText"/>
        <w:bidi w:val="0"/>
        <w:rPr/>
      </w:pPr>
      <w:r>
        <w:rPr>
          <w:rFonts w:eastAsia="Times New Roman" w:cs="Times New Roman" w:ascii="Times New Roman" w:hAnsi="Times New Roman"/>
          <w:color w:val="111111"/>
          <w:sz w:val="28"/>
          <w:szCs w:val="28"/>
          <w:lang w:val="en-US"/>
        </w:rPr>
        <w:t>citra buruk tersendiri, sehingga para ulama konservatif yang tidak suka filsafat  kemudian menjadikan landasan argumen al-Ghazali sebagai penguat  basis penolakan. Al-Ghazali, ketika mengkritik filsafat sesungguhnya  dia menggunakan logika dan pemikiran filsafat, walaupun dia sendiri  kemudian menganggap filsafat bertentangan dengan agama. Ibn Rusyd  (1126—1198 M), mengkritisi pandangan al-Ghazali dalam bukunya,  Tahafut at-Tahafut, yang isinya setebal 1006 halaman.</w:t>
      </w:r>
      <w:r>
        <w:rPr>
          <w:rStyle w:val="FootnoteAnchor"/>
        </w:rPr>
        <w:footnoteReference w:id="35"/>
      </w:r>
      <w:r>
        <w:rPr>
          <w:rFonts w:eastAsia="Times New Roman" w:cs="Times New Roman" w:ascii="Times New Roman" w:hAnsi="Times New Roman"/>
          <w:color w:val="111111"/>
          <w:sz w:val="28"/>
          <w:szCs w:val="28"/>
          <w:lang w:val="en-US"/>
        </w:rPr>
        <w:t xml:space="preserve"> Ibn Rusyd membangkitkan gairah intelektual dengan pendekatan  filsufis-rasional, yang kemudian diadopsi oleh Barat sebagai jalan  menuju pencerahan. Aspek rasionalitas filsafat Aristoteles mencapai  puncaknya pada Ibn Rusyd. Ia membidas balik kritik al-Ghazali, dan  mencoba mensucikan filsafat. Ia diakui sebagai murid Aristoteles  termurni di antara para filsuf muslim. Kontribusi utama Ibn Rusyd  terhadap filsafat Islam adalah, pertama, tesisnya tentang ragam jalur  untuk mencapai kebenaran yang sama. Semua jalur yang dipakai sama-sama  bisa diterima dan didasarkan pada teori makna (the theory of  meaning) yang sangat rasional dan kaya pemikiran.</w:t>
      </w:r>
      <w:r>
        <w:rPr>
          <w:rStyle w:val="FootnoteAnchor"/>
        </w:rPr>
        <w:footnoteReference w:id="36"/>
      </w:r>
      <w:r>
        <w:rPr>
          <w:rFonts w:eastAsia="Times New Roman" w:cs="Times New Roman" w:ascii="Times New Roman" w:hAnsi="Times New Roman"/>
          <w:color w:val="111111"/>
          <w:sz w:val="28"/>
          <w:szCs w:val="28"/>
          <w:lang w:val="en-US"/>
        </w:rPr>
        <w:t>Kedua, Ibn Rusyd  berusaha memadukan antara filsafat dan agama setelah al-Kindi, filsuf  pertama yang memadukan keduanya, bahkan dia berpendapat bahwa  agama Islam secara inheren adalah agama yang filsufis karena agama  mewajibkan kita berfilsafat.</w:t>
      </w:r>
      <w:r>
        <w:rPr>
          <w:rStyle w:val="FootnoteAnchor"/>
        </w:rPr>
        <w:footnoteReference w:id="37"/>
      </w:r>
      <w:r>
        <w:rPr>
          <w:rFonts w:eastAsia="Times New Roman" w:cs="Times New Roman" w:ascii="Times New Roman" w:hAnsi="Times New Roman"/>
          <w:color w:val="111111"/>
          <w:sz w:val="28"/>
          <w:szCs w:val="28"/>
          <w:lang w:val="en-US"/>
        </w:rPr>
        <w:t>Kedua filsuf muslim di atas beserta  filsuf lainnya membalikkan pandangan al-Ghazali yang mengatakan  bahwa agama dan filsafat bertentangan.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Pemikiran filsafat di belahan barat Dunia Islam mengalami kemun-  duran setelah serangan al-Ghazali. Tetapi, di sebelah timur, filsafat terus  berkembang. Pendapat ini dikemukakan oleh Corbin yang mengkaji se-  cara khusus mengenai sejarah filsafat Islam dalam bukunya. </w:t>
      </w:r>
      <w:r>
        <w:rPr>
          <w:rStyle w:val="FootnoteAnchor"/>
        </w:rPr>
        <w:footnoteReference w:id="38"/>
      </w:r>
      <w:r>
        <w:rPr>
          <w:rFonts w:eastAsia="Times New Roman" w:cs="Times New Roman" w:ascii="Times New Roman" w:hAnsi="Times New Roman"/>
          <w:color w:val="111111"/>
          <w:sz w:val="28"/>
          <w:szCs w:val="28"/>
          <w:lang w:val="en-US"/>
        </w:rPr>
        <w:t xml:space="preserve">Pendapat  ini pun diungkapkan oleh Nurcholish Madjid yang menyebutkan </w:t>
      </w:r>
    </w:p>
    <w:p>
      <w:pPr>
        <w:pStyle w:val="BookText"/>
        <w:bidi w:val="0"/>
        <w:rPr/>
      </w:pPr>
      <w:r>
        <w:rPr>
          <w:rFonts w:eastAsia="Times New Roman" w:cs="Times New Roman" w:ascii="Times New Roman" w:hAnsi="Times New Roman"/>
          <w:color w:val="111111"/>
          <w:sz w:val="28"/>
          <w:szCs w:val="28"/>
          <w:lang w:val="en-US"/>
        </w:rPr>
        <w:t xml:space="preserve">bahwa filsafat tidak pernah padam khususnya di negara yang ia sebut  ”behind the river”, yaitu kawasan dunia Islam di pinggir laut merah  (khususnya Iran). </w:t>
      </w:r>
      <w:r>
        <w:rPr>
          <w:rStyle w:val="FootnoteAnchor"/>
        </w:rPr>
        <w:footnoteReference w:id="39"/>
      </w:r>
      <w:r>
        <w:rPr>
          <w:rFonts w:eastAsia="Times New Roman" w:cs="Times New Roman" w:ascii="Times New Roman" w:hAnsi="Times New Roman"/>
          <w:color w:val="111111"/>
          <w:sz w:val="28"/>
          <w:szCs w:val="28"/>
          <w:lang w:val="en-US"/>
        </w:rPr>
        <w:t>Hal itu pun dikemukakan oleh Mulyadhi Kartengara  bahwa tradisi intelektual di belahan Timur dunia Islam diakui tidak  pernah terputus, khususnya di kawasan Persia, di mana sekte atau aliran  keislaman yang dominan adalah Syi'ah. Kondisi ini jelas berbeda dengan  di dunia Sunni, terutama setelah al-Ghazali melancarkan kritik tajam  terhadap filsafat dalam bukunya Tahafut al-Falasifah. Akibatnya, grafik  aktivitas intelektual, khususnya dalam disiplin filsafat, di dunia Sunni  cenderung terus menurun. Sementara di dunia Syi'ah, hampir di setiap  babak sejarah, ditemukan sejumlah filsuf yang mewakili zamannya.</w:t>
      </w:r>
    </w:p>
    <w:p>
      <w:pPr>
        <w:pStyle w:val="BookText"/>
        <w:bidi w:val="0"/>
        <w:jc w:val="both"/>
        <w:rPr/>
      </w:pPr>
      <w:r>
        <w:rPr>
          <w:rFonts w:eastAsia="Times New Roman" w:cs="Times New Roman" w:ascii="Times New Roman" w:hAnsi="Times New Roman"/>
          <w:color w:val="111111"/>
          <w:sz w:val="28"/>
          <w:szCs w:val="28"/>
          <w:lang w:val="en-US"/>
        </w:rPr>
        <w:t xml:space="preserve">Jadi, mata rantai filsuf tidak pernah terputus, alias terus berlanjut dan  bergairah dari waktu ke waktu. Masih banyak filsuf—dalam pengertian  yang sesungguhnya yang masih hidup sampai sekarang. </w:t>
      </w:r>
      <w:r>
        <w:rPr>
          <w:rStyle w:val="FootnoteAnchor"/>
        </w:rPr>
        <w:footnoteReference w:id="40"/>
      </w:r>
      <w:r>
        <w:rPr>
          <w:rFonts w:eastAsia="Times New Roman" w:cs="Times New Roman" w:ascii="Times New Roman" w:hAnsi="Times New Roman"/>
          <w:color w:val="111111"/>
          <w:sz w:val="28"/>
          <w:szCs w:val="28"/>
          <w:lang w:val="en-US"/>
        </w:rPr>
        <w:t xml:space="preserve"> Filsuf yang lahir di kawasan Timur ini antara lain adalah Suhrawardi  (1154—1191 M). Suhrawardi adalah konseptor aliran isyrâqiyyat atau  filsafat illuminasi, dan dia mencoba memadukan antara tradisi mistis  dan filsafat Paripatetik. Seperti dikemukakan oleh Corbin, pengertian  isyrâqiyyat (filsafat iluminasi) dapat didekati melalui tiga pengertian: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isyrâqiyyat bermakna the wisdom-the theosophy-of which the  isyraq is the source, teosofi yang mendasarkan pada sumber penyinaran;  kedua, oriental philosophy atau teosofi dalam wujudnya sebagai doktrin  yang didasarkan pada kehidupan filsuf yang memiliki kematangan  dan kesiapan untuk pencerahan langsung ke dalam jiwanya, suatu  pengetahuan yang berasal dari timur, akal murni yang merupakan  Oriental knowledge; ketiga, isyrâq dapat dipahami dengan theosophy of  the orientals, (isyrâqiyyûn), yaitu teosofi dari para ahli Persia Kuno. Jadi,  pengertian isyrâq tidak hanya karena mereka secara geografis berada </w:t>
      </w:r>
    </w:p>
    <w:p>
      <w:pPr>
        <w:pStyle w:val="BookText"/>
        <w:bidi w:val="0"/>
        <w:rPr/>
      </w:pPr>
      <w:r>
        <w:rPr>
          <w:rFonts w:eastAsia="Times New Roman" w:cs="Times New Roman" w:ascii="Times New Roman" w:hAnsi="Times New Roman"/>
          <w:color w:val="111111"/>
          <w:sz w:val="28"/>
          <w:szCs w:val="28"/>
          <w:lang w:val="en-US"/>
        </w:rPr>
        <w:t xml:space="preserve">pada bagian timur dunia Islam saat itu, tetapi juga karena pengetahuan  mereka yang memahami timur dalam arti kasyf dan musyahadat. Istilah  Isyrâqiyyûn juga berarti bahwa pengetahuan dari para ahli Yunani Kuno,  selain pengikut Aristoteles yang mengikuti penalaran diskursif dan  argumen logika. </w:t>
      </w:r>
      <w:r>
        <w:rPr>
          <w:rStyle w:val="FootnoteAnchor"/>
        </w:rPr>
        <w:footnoteReference w:id="41"/>
      </w:r>
      <w:r>
        <w:rPr>
          <w:rFonts w:eastAsia="Times New Roman" w:cs="Times New Roman" w:ascii="Times New Roman" w:hAnsi="Times New Roman"/>
          <w:color w:val="111111"/>
          <w:sz w:val="28"/>
          <w:szCs w:val="28"/>
          <w:lang w:val="en-US"/>
        </w:rPr>
        <w:t xml:space="preserve"> Dalam pandangan Suhrawardî, pengetahuan sejati terjadi ketika  manusia diiluminasi oleh Sumber Cahaya dan Sumber Realitas itu.</w:t>
      </w:r>
    </w:p>
    <w:p>
      <w:pPr>
        <w:pStyle w:val="BookText"/>
        <w:bidi w:val="0"/>
        <w:jc w:val="both"/>
        <w:rPr/>
      </w:pPr>
      <w:r>
        <w:rPr>
          <w:rFonts w:eastAsia="Times New Roman" w:cs="Times New Roman" w:ascii="Times New Roman" w:hAnsi="Times New Roman"/>
          <w:color w:val="111111"/>
          <w:sz w:val="28"/>
          <w:szCs w:val="28"/>
          <w:lang w:val="en-US"/>
        </w:rPr>
        <w:t xml:space="preserve">Menurutnya, hal ini tidak bertolak-belakang dengan filsafat Paripatetik  yang juga dianggap sebagai pemikiran shahîh dalam pengetahuan  konseptual. Hanya saja, bagi dia, filsafat iluminasi sanggup bergerak  lebih jauh melebihi filsafat Paripatetik dengan menyodorkan pembuktian  dan penerimaan pengetahuan secara lebih sempurna.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(Atlanta: Georgia Scholar Press, 1990), hlm 121.</w:t>
      </w:r>
    </w:p>
    <w:p>
      <w:pPr>
        <w:pStyle w:val="BookText"/>
        <w:bidi w:val="0"/>
        <w:jc w:val="both"/>
        <w:rPr/>
      </w:pPr>
      <w:r>
        <w:rPr>
          <w:rFonts w:eastAsia="Times New Roman" w:cs="Times New Roman" w:ascii="Times New Roman" w:hAnsi="Times New Roman"/>
          <w:color w:val="111111"/>
          <w:sz w:val="28"/>
          <w:szCs w:val="28"/>
          <w:lang w:val="en-US"/>
        </w:rPr>
        <w:t>Suhrawardi  menganggap metode definisi Parepatetik sebagai cara yang tidak  valid untuk memperoleh pengetahuan. Bagi Suhrawardî, tujuan yang  ingin dicapai dalam epistemologi iluminasi adalah jenis pengetahuan  yang unqualified, yaitu yang diketahui melalui kepastian (yaqîn),  dengan menggabungkan antara pengetahuan dengan esensi semata dan  pengetahuan dengan bentuk-bentuk abadi yang tidak berubah.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Suhrawardi juga telah melakukan satu contoh dialog yang sangat  bagus antara Sufisme dan tradisi-tradisi serta agama-agama lain. Filsafat  Iluminasi Suhrawardi adalah hasil dialog spiritual dan intelektual  yang dilakukannya secara sungguh-sungguh dengan tradisi-tradisi dan  agama-agama lain dalam kapasitasnya sebagai seorang Sufi yang filsuf  atau sebagai seorang filsuf yang Sufi. Suhrawardi mengambil unsur-  unsur dari berbagai sumber untuk membangun filsafat Iluminasinya.</w:t>
      </w:r>
    </w:p>
    <w:p>
      <w:pPr>
        <w:pStyle w:val="BookText"/>
        <w:bidi w:val="0"/>
        <w:jc w:val="both"/>
        <w:rPr/>
      </w:pPr>
      <w:r>
        <w:rPr>
          <w:rFonts w:eastAsia="Times New Roman" w:cs="Times New Roman" w:ascii="Times New Roman" w:hAnsi="Times New Roman"/>
          <w:color w:val="111111"/>
          <w:sz w:val="28"/>
          <w:szCs w:val="28"/>
          <w:lang w:val="en-US"/>
        </w:rPr>
        <w:t xml:space="preserve">Sumber-sumber itu diakuinya berasal dari satu sumber, yaitu Hermes  Agathsdaemon (yang dalam Islam tokoh ini dianggap sebagai Nabi  Idris).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Mu'assassah Muthala'ah wa Tahqiqat Pazuhasygah, 1972), Jilid II, hlm 11, 304.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Hermetisme disebarkan oleh kaum Sabaean, “para pengikut</w:t>
      </w:r>
    </w:p>
    <w:p>
      <w:pPr>
        <w:pStyle w:val="BookText"/>
        <w:bidi w:val="0"/>
        <w:rPr/>
      </w:pPr>
      <w:r>
        <w:rPr>
          <w:rFonts w:eastAsia="Times New Roman" w:cs="Times New Roman" w:ascii="Times New Roman" w:hAnsi="Times New Roman"/>
          <w:color w:val="111111"/>
          <w:sz w:val="28"/>
          <w:szCs w:val="28"/>
          <w:lang w:val="en-US"/>
        </w:rPr>
        <w:t xml:space="preserve">Nabi Idris,” yang memperkenalkan ke dunia Islam tulisan-tulisan yang  dianggap berasal dari Hermes. Di dunia Islam pengetahuan esoterik  Hermetik sampai kepada Suhrawardî. </w:t>
      </w:r>
      <w:r>
        <w:rPr>
          <w:rStyle w:val="FootnoteAnchor"/>
        </w:rPr>
        <w:footnoteReference w:id="44"/>
      </w:r>
      <w:r>
        <w:rPr>
          <w:rFonts w:eastAsia="Times New Roman" w:cs="Times New Roman" w:ascii="Times New Roman" w:hAnsi="Times New Roman"/>
          <w:color w:val="111111"/>
          <w:sz w:val="28"/>
          <w:szCs w:val="28"/>
          <w:lang w:val="en-US"/>
        </w:rPr>
        <w:t xml:space="preserve"> Kebijaksanaan Iluminasi (hikmat al-isyrâq) sebagai aktualisasi  autentik “filsafat perenial” (hîkmat atîqat) umat manusia mempunyai  sumber awalnya pada wahyu-wahyu ilahi yang diterima oleh Nabi Idris,  yaitu Hermes, yang dengan demikian menjadi “nenek moyang” filsafat.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Kebijaksanaan Hermetik ini kemudian tersebar kepada generasi-generasi  berikutnya melalui dua jalur: Yunani-Mesir dan Iran Kuno. Cabang  pertama Hermetisme, setelah berkembang di Mesir Kuno, tersebar  di Yunani, yang melahirkan para bijak gnostik seperti Pythagoras,  Empedokles, Plato, dan Plotinus. Tradisi ini kemudian dipertahankan  dalam Islam oleh para Sufi awal, termasuk Dzû al-Nûn al-Mishrî (w. 859  H/1438 M) dan Abu Sahl al-Tustarî (w. 896 H/1475 M). Cabang kedua  Hermetisme, yang diwakili di Iran Kuno oleh para raja-pendeta mistik  Kayumarth, Faridun, dan Kai Khusraw, berkembang ke dalam Sufisme  Abû Yazîd al-Busthamî dan al-Hallâj. </w:t>
      </w:r>
      <w:r>
        <w:rPr>
          <w:rStyle w:val="FootnoteAnchor"/>
        </w:rPr>
        <w:footnoteReference w:id="45"/>
      </w:r>
      <w:r>
        <w:rPr>
          <w:rFonts w:eastAsia="Times New Roman" w:cs="Times New Roman" w:ascii="Times New Roman" w:hAnsi="Times New Roman"/>
          <w:color w:val="111111"/>
          <w:sz w:val="28"/>
          <w:szCs w:val="28"/>
          <w:lang w:val="en-US"/>
        </w:rPr>
        <w:t xml:space="preserve"> Suhrawardi jika dilihat dari aliran wujudiyyah (ontologis) termasuk  filsuf yang mempercayai prinsip ashâlat al-mâhiyyah sebagai lawan  dari prinsip ashâlat al-wujûd sebagaimana diyakini oleh Mullâ  Sadrâ (979 H/1571M–1050 H/1640 M),</w:t>
      </w:r>
      <w:r>
        <w:rPr>
          <w:rStyle w:val="FootnoteAnchor"/>
        </w:rPr>
        <w:footnoteReference w:id="46"/>
      </w:r>
      <w:r>
        <w:rPr>
          <w:rFonts w:eastAsia="Times New Roman" w:cs="Times New Roman" w:ascii="Times New Roman" w:hAnsi="Times New Roman"/>
          <w:color w:val="111111"/>
          <w:sz w:val="28"/>
          <w:szCs w:val="28"/>
          <w:lang w:val="en-US"/>
        </w:rPr>
        <w:t xml:space="preserve">seorang filsuf yang datang  setelah generasi Suhrawardî. Menariknya, perkembangan sejarah  pemikiran filsafat Islam berputar lagi ke belakang, di mana pada periode  Muhammad Taqi Mishbâh Yazdî suara ajakan untuk meninjau ulang  prinisp ashâlat al-wujûd kembali terdengar, bahkan pendapat tentang  ashâlat al wujûd wa al-mâhiyyah pun mulai dianggap sebagai sintesis </w:t>
      </w:r>
    </w:p>
    <w:p>
      <w:pPr>
        <w:pStyle w:val="BookText"/>
        <w:bidi w:val="0"/>
        <w:rPr/>
      </w:pPr>
      <w:r>
        <w:rPr>
          <w:rFonts w:eastAsia="Times New Roman" w:cs="Times New Roman" w:ascii="Times New Roman" w:hAnsi="Times New Roman"/>
          <w:color w:val="111111"/>
          <w:sz w:val="28"/>
          <w:szCs w:val="28"/>
          <w:lang w:val="en-US"/>
        </w:rPr>
        <w:t>yang cukup menggetarkan.</w:t>
      </w:r>
      <w:r>
        <w:rPr>
          <w:rStyle w:val="FootnoteAnchor"/>
        </w:rPr>
        <w:footnoteReference w:id="47"/>
      </w:r>
      <w:r>
        <w:rPr>
          <w:rFonts w:eastAsia="Times New Roman" w:cs="Times New Roman" w:ascii="Times New Roman" w:hAnsi="Times New Roman"/>
          <w:color w:val="111111"/>
          <w:sz w:val="28"/>
          <w:szCs w:val="28"/>
          <w:lang w:val="en-US"/>
        </w:rPr>
        <w:t xml:space="preserve"> Di tangan Mulla Sadra, metafisika mengalami perubahan besar,  suatu perubahan yang bisa dianggap seb gai lompatan maju dalam  filsafat Islam. Lompatan ini sudah tentu didahului dengan aneka langkah  perubahan bertahap yang telah dilakukan para filsuf lainnya. Untuk  lebih tegasnya, di masa lalu, Filsafat Peripatetik dan Ilmuminasionis  mengambil dua pendekatan yang berbeda, sedangkan ‘irfan (mistisisme  Islam) menapaki jalur yang terpisah. Kalam (teologi) yang meneliti  ajaran-ajaran Islam juga merupakan bidang yang terpisah dari kedua  bidang di atas.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Hikmah Muta’âliyyah adalah sintesis atas berbagai aliran pemikiran  dan filsafat sebelumnya. Namun, sebagaimana diakui Alparslan  Acikgence, aliran baru ini juga menciptakan dimensi intelektual baru  yang bukan sekadar ensiklopedia dialektis (menghimpun secara dialogis  dan kritis berbagai teori dan pandangan) melainkan juga interpretasi  segar dari berbagai khazanah tradisional. </w:t>
      </w:r>
      <w:r>
        <w:rPr>
          <w:rStyle w:val="FootnoteAnchor"/>
        </w:rPr>
        <w:footnoteReference w:id="48"/>
      </w:r>
      <w:r>
        <w:rPr>
          <w:rFonts w:eastAsia="Times New Roman" w:cs="Times New Roman" w:ascii="Times New Roman" w:hAnsi="Times New Roman"/>
          <w:color w:val="111111"/>
          <w:sz w:val="28"/>
          <w:szCs w:val="28"/>
          <w:lang w:val="en-US"/>
        </w:rPr>
        <w:t xml:space="preserve">Sintesis ini dihasilkan tidak  semata-mata oleh ‘rekonsiliasi' dan ‘kompromi' dangkal, tetapi atas dasar  suatu prinsip filosofis. Toshihiko Izutsu, meskipun menyatakan bahwa  aliran ini bisa dilihat sebagai “sesuatu yang didasarkan pada pengalaman  transintelektual dan gnostik”, menyebutnya “suatu sistem rasional yang  solid” </w:t>
      </w:r>
      <w:r>
        <w:rPr>
          <w:rStyle w:val="FootnoteAnchor"/>
        </w:rPr>
        <w:footnoteReference w:id="49"/>
      </w:r>
    </w:p>
    <w:p>
      <w:pPr>
        <w:pStyle w:val="BookText"/>
        <w:bidi w:val="0"/>
        <w:rPr/>
      </w:pPr>
      <w:r>
        <w:rPr>
          <w:rFonts w:eastAsia="Times New Roman" w:cs="Times New Roman" w:ascii="Times New Roman" w:hAnsi="Times New Roman"/>
          <w:color w:val="111111"/>
          <w:sz w:val="28"/>
          <w:szCs w:val="28"/>
          <w:lang w:val="en-US"/>
        </w:rPr>
        <w:t>Perbedaan mazhab Peripatetik dan Iluminasionis kemudian  didamaikan oleh Mullâ Shadra sehingga mazhab filsafat baru yang tidak  terbatas pada pendapat-pendapat Peripatetik maupun Iluminasionis  muncul ke permukaan. Dalam beberapa isu, filsafat itu bersepaham  dengan aliran pertama, sedangkan dalam beberapa isu lain bersepaham  dengan aliran kedua. Karena itulah, Hikmah Muta’âliyyah merupakan  titik temu semua aliran pemikiran: Peripatetisme, iluminasionisme,  mistisisme, dan kalam.</w:t>
      </w:r>
      <w:r>
        <w:rPr>
          <w:rStyle w:val="FootnoteAnchor"/>
        </w:rPr>
        <w:footnoteReference w:id="50"/>
      </w:r>
      <w:r>
        <w:rPr>
          <w:rFonts w:eastAsia="Times New Roman" w:cs="Times New Roman" w:ascii="Times New Roman" w:hAnsi="Times New Roman"/>
          <w:color w:val="111111"/>
          <w:sz w:val="28"/>
          <w:szCs w:val="28"/>
          <w:lang w:val="en-US"/>
        </w:rPr>
        <w:t xml:space="preserve"> Hikmah Muta’âliyyah telah menyingkap sejumlah realitas yang  selama ini masih misterius dan kabur. Ia telah mengganti sejumlah  konsep filsafat yang sebelumnya dianggap baku dan tidak bisa dibantah.</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Ia mendobrak dunia filsafat metafisika dengan konsep kesejatian  wujud (ashâlah al-wujûd) dan menggugurkan klaim orisinalitas esensi  (ashâlat al-mâhiyyah) Suhrawardi dan para pendukung Iluminasi. Ia  juga mengganti klaim multiplisitas wujud Ibn Sina dan para pendukung  Filsafat Peripatetik dengan gagasan tentang unitas wujud yang gradual  (al-wahdah fi 'ain al-katsrah) dan gagasan tentang ‘wujud mandiri’  (al-wujûd al-mustaqil) dan ‘wujud bergantung" (wujûd râbith). Shadr  al-Muta’allihin (Penghulu para filsuf ketuhanan, gelar Mulla Shadra)  juga melahirkan konsep baru tentang ‘gerak substansial (harakah  jawhariyyah) dan memberikan penafsiran baru tentang kesatuan subjek  ‘akal'dan objek akal (ittihâd al-aqil wa al-ma'qûl). Mullâ Sadrâ juga  memberikan kritik-kritik tajam atas para teolog, tanpa terkecuali para  teolog Syiah, seperti Khâjeh (Khawajeh) Nashîr al-Din Thûsi,</w:t>
      </w:r>
      <w:r>
        <w:rPr>
          <w:rStyle w:val="FootnoteAnchor"/>
        </w:rPr>
        <w:footnoteReference w:id="51"/>
      </w:r>
      <w:r>
        <w:rPr>
          <w:rFonts w:eastAsia="Times New Roman" w:cs="Times New Roman" w:ascii="Times New Roman" w:hAnsi="Times New Roman"/>
          <w:color w:val="111111"/>
          <w:sz w:val="28"/>
          <w:szCs w:val="28"/>
          <w:lang w:val="en-US"/>
        </w:rPr>
        <w:t xml:space="preserve">Fadhil </w:t>
      </w:r>
    </w:p>
    <w:p>
      <w:pPr>
        <w:pStyle w:val="BookText"/>
        <w:bidi w:val="0"/>
        <w:rPr/>
      </w:pPr>
      <w:r>
        <w:rPr>
          <w:rFonts w:eastAsia="Times New Roman" w:cs="Times New Roman" w:ascii="Times New Roman" w:hAnsi="Times New Roman"/>
          <w:color w:val="111111"/>
          <w:sz w:val="28"/>
          <w:szCs w:val="28"/>
          <w:lang w:val="en-US"/>
        </w:rPr>
        <w:t xml:space="preserve">al-Miqdâd, </w:t>
      </w:r>
      <w:r>
        <w:rPr>
          <w:rStyle w:val="FootnoteAnchor"/>
        </w:rPr>
        <w:footnoteReference w:id="52"/>
      </w:r>
      <w:r>
        <w:rPr>
          <w:rFonts w:eastAsia="Times New Roman" w:cs="Times New Roman" w:ascii="Times New Roman" w:hAnsi="Times New Roman"/>
          <w:color w:val="111111"/>
          <w:sz w:val="28"/>
          <w:szCs w:val="28"/>
          <w:lang w:val="en-US"/>
        </w:rPr>
        <w:t>dan lainnya.</w:t>
      </w:r>
      <w:r>
        <w:rPr>
          <w:rStyle w:val="FootnoteAnchor"/>
        </w:rPr>
        <w:footnoteReference w:id="53"/>
      </w:r>
      <w:r>
        <w:rPr>
          <w:rFonts w:eastAsia="Times New Roman" w:cs="Times New Roman" w:ascii="Times New Roman" w:hAnsi="Times New Roman"/>
          <w:color w:val="111111"/>
          <w:sz w:val="28"/>
          <w:szCs w:val="28"/>
          <w:lang w:val="en-US"/>
        </w:rPr>
        <w:t xml:space="preserve"> Masih sejalan dengan tradisi filsafat, subjek utama dalam filsafat  Hikmah Muta’âliyyah hanyalah ‘maujud sebagai maujud”, sebagai  sebuah pengertian universal yang memiliki ekstensi (mishdâq) yang  beragam. Sementara sasaran pengetahuan atau ilmu adalah mâhiyyah,  yang merupakan ciri pembeda antarsegala sesuatu. Karena itulah filsafat  bersifat sederhana dan unik. </w:t>
      </w:r>
      <w:r>
        <w:rPr>
          <w:rStyle w:val="FootnoteAnchor"/>
        </w:rPr>
        <w:footnoteReference w:id="54"/>
      </w:r>
      <w:r>
        <w:rPr>
          <w:rFonts w:eastAsia="Times New Roman" w:cs="Times New Roman" w:ascii="Times New Roman" w:hAnsi="Times New Roman"/>
          <w:color w:val="111111"/>
          <w:sz w:val="28"/>
          <w:szCs w:val="28"/>
          <w:lang w:val="en-US"/>
        </w:rPr>
        <w:t>Kata Ibn Sina, “filsafat adalah pengetahuan  yang paling utama tentang objek yang paling mulia”</w:t>
      </w:r>
      <w:r>
        <w:rPr>
          <w:rStyle w:val="FootnoteAnchor"/>
        </w:rPr>
        <w:footnoteReference w:id="55"/>
      </w:r>
      <w:r>
        <w:rPr>
          <w:rFonts w:eastAsia="Times New Roman" w:cs="Times New Roman" w:ascii="Times New Roman" w:hAnsi="Times New Roman"/>
          <w:color w:val="111111"/>
          <w:sz w:val="28"/>
          <w:szCs w:val="28"/>
          <w:lang w:val="en-US"/>
        </w:rPr>
        <w:t>. Ia adalah filsafat  yang utuh dan sederhana. Ia tidak dapat dipilah-pilah menjadi beberapa  penggalan tema. Kalaupun dibagi, misalnya, filsafat dalam arti umum  (wujud) dan filsafat dalam arti khusus (Tuhan), maka pembagian ini  semata-mata demi mempermudah pencari kebijakan dan kebenaran,  bukan karena objek pembahasannya berlainan.</w:t>
      </w:r>
    </w:p>
    <w:p>
      <w:pPr>
        <w:pStyle w:val="BookText"/>
        <w:bidi w:val="0"/>
        <w:jc w:val="both"/>
        <w:rPr/>
      </w:pPr>
      <w:r>
        <w:rPr>
          <w:rFonts w:eastAsia="Times New Roman" w:cs="Times New Roman" w:ascii="Times New Roman" w:hAnsi="Times New Roman"/>
          <w:color w:val="111111"/>
          <w:sz w:val="28"/>
          <w:szCs w:val="28"/>
          <w:lang w:val="en-US"/>
        </w:rPr>
        <w:t xml:space="preserve">Hikmah Muta’âliyyah telah bangkit dengan sebuah gagasan  revolusioner, yaitu mengubah corak filsafat yang esensialis dengan corak  yang eksistensialis. Kebangkitan ini telah menciptakan sebuah gairah  baru dalam dunia filsafat yang sebelumnya menunjukkan gejala stagnasi  sejak Ibn Rusyd. Eksistensialisme Mullâ Sadrâ telah men-  cairkan kebekuan an menghidupkan kembali stoa-stoa (hawzah-  hawzah) di Isfahan, Tehran, Syiraz, Qom dan lainnya. </w:t>
      </w:r>
      <w:r>
        <w:rPr>
          <w:rStyle w:val="FootnoteAnchor"/>
        </w:rPr>
        <w:footnoteReference w:id="5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demikian pula, bahwa kebangkitan hikmah muta'aliyyah pun, bahkan sampai era garakan revisi  karya-karya klasik oleh Abdurahman Badawi, tidak begitu menciptakan gairah yang patut diamati  di kalangan peminat filsafat Ahli Sunnah. Stagnasi itu diakui bila merujuk pada kekuasaan dua aliran filsafat: Peripatetik dan illuminasionisme yang sudah mentradisi.</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Hikmah Muta’âliyyah bisa didekati dari beberapa aspek; dari  metodologinya yang mengharmoniskan akal, kalbu dan teks-teks para  Imam Syiah, tema-temanya (baik yang merupakan gagasan baru maupun  gagasan lama yang disempurnakan) dan melaui perbandingannya dengan  filsafat Barat, baik Yunani kuno maupun modern.</w:t>
      </w:r>
      <w:r>
        <w:rPr>
          <w:rStyle w:val="FootnoteAnchor"/>
        </w:rPr>
        <w:footnoteReference w:id="57"/>
      </w:r>
      <w:r>
        <w:rPr>
          <w:rFonts w:eastAsia="Times New Roman" w:cs="Times New Roman" w:ascii="Times New Roman" w:hAnsi="Times New Roman"/>
          <w:color w:val="111111"/>
          <w:sz w:val="28"/>
          <w:szCs w:val="28"/>
          <w:lang w:val="en-US"/>
        </w:rPr>
        <w:t xml:space="preserve">Metode Hikmah  Muta’âliyyah lebih mirip dengan metode filsafat Iluminasi, meski  keduanya berbeda dalam prinsip-prinsip dan kesimpulan-kesimpulan. </w:t>
      </w:r>
      <w:r>
        <w:rPr>
          <w:rStyle w:val="FootnoteAnchor"/>
        </w:rPr>
        <w:footnoteReference w:id="58"/>
      </w:r>
      <w:r>
        <w:rPr>
          <w:rFonts w:eastAsia="Times New Roman" w:cs="Times New Roman" w:ascii="Times New Roman" w:hAnsi="Times New Roman"/>
          <w:color w:val="111111"/>
          <w:sz w:val="28"/>
          <w:szCs w:val="28"/>
          <w:lang w:val="en-US"/>
        </w:rPr>
        <w:t xml:space="preserve"> Meskipun demikian, Hikmah Muta’âliyyah dan pandangan-  pandangan Mullâ Sadrâ tidak luput dari kritik dan tuduhan. Pada masa  dinasti Qajar, para filsuf di Tehran terbagi dalam dua kelompok. Salah  satu dari dua kelompok tersebut mendukung filsafat Mullâ Sadrâ,  seperti Muhammad Qomsyeh </w:t>
      </w:r>
      <w:r>
        <w:rPr>
          <w:rStyle w:val="FootnoteAnchor"/>
        </w:rPr>
        <w:footnoteReference w:id="59"/>
      </w:r>
      <w:r>
        <w:rPr>
          <w:rFonts w:eastAsia="Times New Roman" w:cs="Times New Roman" w:ascii="Times New Roman" w:hAnsi="Times New Roman"/>
          <w:color w:val="111111"/>
          <w:sz w:val="28"/>
          <w:szCs w:val="28"/>
          <w:lang w:val="en-US"/>
        </w:rPr>
        <w:t>dan Modarres Zonûzî.</w:t>
      </w:r>
      <w:r>
        <w:rPr>
          <w:rStyle w:val="FootnoteAnchor"/>
        </w:rPr>
        <w:footnoteReference w:id="60"/>
      </w:r>
      <w:r>
        <w:rPr>
          <w:rFonts w:eastAsia="Times New Roman" w:cs="Times New Roman" w:ascii="Times New Roman" w:hAnsi="Times New Roman"/>
          <w:color w:val="111111"/>
          <w:sz w:val="28"/>
          <w:szCs w:val="28"/>
          <w:lang w:val="en-US"/>
        </w:rPr>
        <w:t xml:space="preserve">Sedangkan  kelompok lainnya adalah para filsuf yang mendukung filsafat Ibn  Sina, seperti Mirza Jalweh. </w:t>
      </w:r>
      <w:r>
        <w:rPr>
          <w:rStyle w:val="FootnoteAnchor"/>
        </w:rPr>
        <w:footnoteReference w:id="61"/>
      </w:r>
      <w:r>
        <w:rPr>
          <w:rFonts w:eastAsia="Times New Roman" w:cs="Times New Roman" w:ascii="Times New Roman" w:hAnsi="Times New Roman"/>
          <w:color w:val="111111"/>
          <w:sz w:val="28"/>
          <w:szCs w:val="28"/>
          <w:lang w:val="en-US"/>
        </w:rPr>
        <w:t xml:space="preserve">Para penduduk filsafat Peripatetik aktif  melakukan eksplorasi terhadap sumber-sumber filsafat Mulla Sad-  râ demi membuktikan bahwa ia bukanlah seorang filsuf dan pengg  gas pandangan filsafat baru, namun hanyalah seorang penjiplak. Bahkan </w:t>
      </w:r>
      <w:bookmarkStart w:id="30" w:name="pg6424_44680"/>
    </w:p>
    <w:p>
      <w:pPr>
        <w:pStyle w:val="BookText"/>
        <w:bidi w:val="0"/>
        <w:rPr/>
      </w:pPr>
      <w:bookmarkEnd w:id="30"/>
      <w:r>
        <w:rPr>
          <w:rFonts w:eastAsia="Times New Roman" w:cs="Times New Roman" w:ascii="Times New Roman" w:hAnsi="Times New Roman"/>
          <w:color w:val="111111"/>
          <w:sz w:val="28"/>
          <w:szCs w:val="28"/>
          <w:lang w:val="en-US"/>
        </w:rPr>
        <w:t xml:space="preserve">tidak sedikit filsuf dari pendukung filsafat Ibn Sina berani menggunakan  katakata pedas ketika berbicara atau menulis tentang Mullâ Sadrâ, sep-  erti Dhiyâ' al-Dîn al-Durri yang dalam pengantar buku Kanz al-Hikmah  karya Syahrazuri menuding Mullâ Sadrâ sebagai plagiator karya Ibn  Sina. </w:t>
      </w:r>
      <w:r>
        <w:rPr>
          <w:rStyle w:val="FootnoteAnchor"/>
        </w:rPr>
        <w:footnoteReference w:id="62"/>
      </w:r>
      <w:r>
        <w:rPr>
          <w:rFonts w:eastAsia="Times New Roman" w:cs="Times New Roman" w:ascii="Times New Roman" w:hAnsi="Times New Roman"/>
          <w:color w:val="111111"/>
          <w:sz w:val="28"/>
          <w:szCs w:val="28"/>
          <w:lang w:val="en-US"/>
        </w:rPr>
        <w:t xml:space="preserve"> Namun, apabila mempelajari secara seksama karya-karya Mullâ  Sadrà dan sumber-sumbernya, dapat disimpulkan bahwa Hikmah  Muta’âliyyah adalah sebuah sistem pemikiran dan mazhab filsafat yang  benar-benar unik dan baru, meski tidak terlepas dari jasa dan karya serta  pandangan-pandangan yang pernah dikemukan oleh para pendahulunya  dalam filsafat dan ‘irfan.</w:t>
      </w:r>
    </w:p>
    <w:p>
      <w:pPr>
        <w:pStyle w:val="Heading3"/>
        <w:numPr>
          <w:ilvl w:val="2"/>
          <w:numId w:val="1"/>
        </w:numPr>
        <w:bidi w:val="0"/>
        <w:jc w:val="left"/>
        <w:rPr/>
      </w:pPr>
      <w:bookmarkStart w:id="31" w:name="__RefHeading___Toc688543_653776707"/>
      <w:bookmarkStart w:id="32" w:name="_Toc11"/>
      <w:bookmarkEnd w:id="31"/>
      <w:r>
        <w:rPr/>
        <w:t>C. Kedudukan Filsafat di Hawzah-Hawzah Ilmiyah</w:t>
      </w:r>
      <w:bookmarkEnd w:id="32"/>
    </w:p>
    <w:p>
      <w:pPr>
        <w:pStyle w:val="BookText"/>
        <w:bidi w:val="0"/>
        <w:jc w:val="both"/>
        <w:rPr/>
      </w:pPr>
      <w:r>
        <w:rPr>
          <w:rFonts w:eastAsia="Times New Roman" w:cs="Times New Roman" w:ascii="Times New Roman" w:hAnsi="Times New Roman"/>
          <w:color w:val="111111"/>
          <w:sz w:val="28"/>
          <w:szCs w:val="28"/>
          <w:lang w:val="en-US"/>
        </w:rPr>
        <w:t>Pada awalnya, filsafat sebagai sebuah disiplin intelektual mulai  dilirik dan mendapat perhatian sejumlah pemikir yang berasal dari luar  Qom. Khususnya, ketika Mullâ Hosain-Qali Hamadani mulai menga-  jarkan filsafat Mullâ Sadrâ kepada murid-muridnya di Karbala (Irak).</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Tepatnya lagi, saat Mullâ Sabzawari memindahkan pengajaran filsafat  dari kawasan Sabzawar ke Najaf. Walaupun Mirza Hasan, putra  Mullâ Muhammad Ismail Wahîd al-Ain Isfahani, juga tinggal di  kawasan yang sama untuk beberapa waktu, mayoritas pelajar filsafat di  sana lebih memilih menimba ilmu dari Mullâ Hosain-Quli Hamadani. </w:t>
      </w:r>
      <w:r>
        <w:rPr>
          <w:rStyle w:val="FootnoteAnchor"/>
        </w:rPr>
        <w:footnoteReference w:id="63"/>
      </w:r>
      <w:r>
        <w:rPr>
          <w:rFonts w:eastAsia="Times New Roman" w:cs="Times New Roman" w:ascii="Times New Roman" w:hAnsi="Times New Roman"/>
          <w:color w:val="111111"/>
          <w:sz w:val="28"/>
          <w:szCs w:val="28"/>
          <w:lang w:val="en-US"/>
        </w:rPr>
        <w:t xml:space="preserve"> Di antara murid menonjol Mullâ Hosain-Quli Hamadani adalah  Jamaluddin Asad-Abadi al-Afghani, Abd al-Hosain Lari, Ahmad  Karbala'i, Sa'id al-Habubi, Muhammad Baqir Istahbanâti (yang  terbunuh di masa Masyrutiyat pada tahun 1326 Hijriah, di Istahbanat),  Mehdi Ilahi Qomsyeh’i, dan Mirza Jalweh.</w:t>
      </w:r>
      <w:r>
        <w:rPr>
          <w:rStyle w:val="FootnoteAnchor"/>
        </w:rPr>
        <w:footnoteReference w:id="64"/>
      </w:r>
      <w:r>
        <w:rPr>
          <w:rFonts w:eastAsia="Times New Roman" w:cs="Times New Roman" w:ascii="Times New Roman" w:hAnsi="Times New Roman"/>
          <w:color w:val="111111"/>
          <w:sz w:val="28"/>
          <w:szCs w:val="28"/>
          <w:lang w:val="en-US"/>
        </w:rPr>
        <w:t xml:space="preserve">Kemudian, Mirza Jalweh  memperkenalkan filsafat ketuhanan kepada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murid-muridnya di Najaf, seperti Muhammad Hosain Gharawi Isfahani  dan Muhammad Ridha Yazdi. Adapun guru lainnya dalam bidang filsafat  di Najaf sepanjang periode itu adalah `Alî Muhammad Najaf-Abadi. Ia  mengajarkan kitab Syarh Manzhûmah karya Sabzawari kepada Gharawi</w:t>
      </w:r>
      <w:r>
        <w:rPr>
          <w:rStyle w:val="FootnoteAnchor"/>
        </w:rPr>
        <w:footnoteReference w:id="65"/>
      </w:r>
      <w:r>
        <w:rPr>
          <w:rFonts w:eastAsia="Times New Roman" w:cs="Times New Roman" w:ascii="Times New Roman" w:hAnsi="Times New Roman"/>
          <w:color w:val="111111"/>
          <w:sz w:val="28"/>
          <w:szCs w:val="28"/>
          <w:lang w:val="en-US"/>
        </w:rPr>
        <w:t xml:space="preserve"> dan Muhammad Hosain Kasyif al-Ghitha. </w:t>
      </w:r>
      <w:r>
        <w:rPr>
          <w:rStyle w:val="FootnoteAnchor"/>
        </w:rPr>
        <w:footnoteReference w:id="66"/>
      </w:r>
      <w:r>
        <w:rPr>
          <w:rFonts w:eastAsia="Times New Roman" w:cs="Times New Roman" w:ascii="Times New Roman" w:hAnsi="Times New Roman"/>
          <w:color w:val="111111"/>
          <w:sz w:val="28"/>
          <w:szCs w:val="28"/>
          <w:lang w:val="en-US"/>
        </w:rPr>
        <w:t xml:space="preserve"> Selama periode ini, atmosfer hawzah Irak (Najaf dan Karbala), yang  semula merupakan pusat pendidikan Syi'ah di seluruh dunia, demikian  pula hawzah di Iran (Qom dan Masyhad</w:t>
      </w:r>
      <w:r>
        <w:rPr>
          <w:rStyle w:val="FootnoteAnchor"/>
        </w:rPr>
        <w:footnoteReference w:id="67"/>
      </w:r>
      <w:r>
        <w:rPr>
          <w:rFonts w:eastAsia="Times New Roman" w:cs="Times New Roman" w:ascii="Times New Roman" w:hAnsi="Times New Roman"/>
          <w:color w:val="111111"/>
          <w:sz w:val="28"/>
          <w:szCs w:val="28"/>
          <w:lang w:val="en-US"/>
        </w:rPr>
        <w:t xml:space="preserve">), kurang mendukung kemajuan  pemikiran filsafat. Hal ini lebih disebabkan kecenderungan pada ilmu-ilmu  tekstual, seperti fikih, masih sangat dominan di sana. Bahkan tidak  sedikit ulama dan marja' (otoritas hukum/fatwa) yang menunjukkan  sikap negatif terhadap pengajaran filsafat. Namun kemudian, keadaan  berangsur-angsur berubah ketika muncul halaqah-halaqah pelajar  filsafat, ‘irfan, dan ilmu-ilmu rasional yang diasuh sejumlah ulama yang  dinilai sukses dalam ilmu-ilmu tekstual, bahkan bergelar mujtahid. </w:t>
      </w:r>
      <w:r>
        <w:rPr>
          <w:rStyle w:val="FootnoteAnchor"/>
        </w:rPr>
        <w:footnoteReference w:id="68"/>
      </w:r>
      <w:r>
        <w:rPr>
          <w:rFonts w:eastAsia="Times New Roman" w:cs="Times New Roman" w:ascii="Times New Roman" w:hAnsi="Times New Roman"/>
          <w:color w:val="111111"/>
          <w:sz w:val="28"/>
          <w:szCs w:val="28"/>
          <w:lang w:val="en-US"/>
        </w:rPr>
        <w:t xml:space="preserve"> Pada tahun 1499, berdirilah kerajaan Safawi yang bertahan sampai  sekitar 200 tahun. Selama periode Safawi inilah berkembang berbagai  aliran pemikiran dalam matriks mazhab Syi'ah. Filsafat menjadi salah  satu disiplin pemikiran yang paling berkembang pesat. Sejak itu, filsafat  terus diajarkan, bahkan menjadi tradisi yang hidup sepanjang zaman di </w:t>
      </w:r>
      <w:bookmarkStart w:id="33" w:name="pg6424_44686"/>
    </w:p>
    <w:p>
      <w:pPr>
        <w:pStyle w:val="BookText"/>
        <w:bidi w:val="0"/>
        <w:rPr/>
      </w:pPr>
      <w:bookmarkEnd w:id="33"/>
      <w:r>
        <w:rPr>
          <w:rFonts w:eastAsia="Times New Roman" w:cs="Times New Roman" w:ascii="Times New Roman" w:hAnsi="Times New Roman"/>
          <w:color w:val="111111"/>
          <w:sz w:val="28"/>
          <w:szCs w:val="28"/>
          <w:lang w:val="en-US"/>
        </w:rPr>
        <w:t>pusat-pusat seminari (hawzah) Syi'ah yang didirikan dinasti Safawi.</w:t>
      </w:r>
    </w:p>
    <w:p>
      <w:pPr>
        <w:pStyle w:val="BookText"/>
        <w:bidi w:val="0"/>
        <w:jc w:val="both"/>
        <w:rPr/>
      </w:pPr>
      <w:r>
        <w:rPr>
          <w:rFonts w:eastAsia="Times New Roman" w:cs="Times New Roman" w:ascii="Times New Roman" w:hAnsi="Times New Roman"/>
          <w:color w:val="111111"/>
          <w:sz w:val="28"/>
          <w:szCs w:val="28"/>
          <w:lang w:val="en-US"/>
        </w:rPr>
        <w:t>Pada periode Safawi inilah, tepatnya abad XIII sampai XVII, filsafat di  Iran mencapai puncaknya. Dari hawzah-hawzah tersebut, bermuncu-  lan para tokoh filsafat Iran. Bahkan pada masa kemudian, Iran menjadi pusat  utama ilmu-ilmu intelektual, khususnya filsafat, bagi dunia Islam, yang  banyak didatangi umat Islam dari seluruh penjuru dunia.</w:t>
      </w:r>
      <w:r>
        <w:rPr>
          <w:rStyle w:val="FootnoteAnchor"/>
        </w:rPr>
        <w:footnoteReference w:id="69"/>
      </w:r>
    </w:p>
    <w:p>
      <w:pPr>
        <w:pStyle w:val="Heading3"/>
        <w:numPr>
          <w:ilvl w:val="2"/>
          <w:numId w:val="1"/>
        </w:numPr>
        <w:bidi w:val="0"/>
        <w:jc w:val="left"/>
        <w:rPr/>
      </w:pPr>
      <w:bookmarkStart w:id="34" w:name="__RefHeading___Toc688545_653776707"/>
      <w:bookmarkStart w:id="35" w:name="_Toc12"/>
      <w:bookmarkEnd w:id="34"/>
      <w:r>
        <w:rPr/>
        <w:t>D. Filsafat di Hawzah 'Ilmiyah Qom</w:t>
      </w:r>
      <w:bookmarkEnd w:id="35"/>
    </w:p>
    <w:p>
      <w:pPr>
        <w:pStyle w:val="Heading4"/>
        <w:numPr>
          <w:ilvl w:val="3"/>
          <w:numId w:val="1"/>
        </w:numPr>
        <w:bidi w:val="0"/>
        <w:jc w:val="left"/>
        <w:rPr/>
      </w:pPr>
      <w:bookmarkStart w:id="36" w:name="__RefHeading___Toc688547_653776707"/>
      <w:bookmarkStart w:id="37" w:name="_Toc13"/>
      <w:bookmarkEnd w:id="36"/>
      <w:r>
        <w:rPr/>
        <w:t>Point</w:t>
      </w:r>
      <w:bookmarkEnd w:id="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Qom adalah kota di Iran yang paling masyhur dalam bidang  pengajaran dan pendidikan ilmu-ilmu keislaman, yang mendapat ju-  lukan “kota sejuta ulama”. Kota ini berjarak 135 kilometer dari Tehran,  ibukota Iran. Secara administratif, Qom merupakan ibukota propinsi,  yang menurut data statistik tahun 1997, jumlah penduduknya mencapai  44,850 jiwa; 16,91 persen tinggal di kota, sementara 82,8 persennya  tinggal di daerah pedesaan. Terletak di bagian tengah Iran, posisi Qom  persis berada di tengah padang gersang dan jauh dari laut. Iklim Qom  sangat kering dan memiliki curah hujan yang terbilang kecil. Sebagian  besar tanahnya tidak dapat dimanfaatkan untuk lahan pertanian.</w:t>
      </w:r>
      <w:r>
        <w:rPr>
          <w:rStyle w:val="FootnoteAnchor"/>
        </w:rPr>
        <w:footnoteReference w:id="70"/>
      </w:r>
      <w:r>
        <w:rPr>
          <w:rFonts w:eastAsia="Times New Roman" w:cs="Times New Roman" w:ascii="Times New Roman" w:hAnsi="Times New Roman"/>
          <w:color w:val="111111"/>
          <w:sz w:val="28"/>
          <w:szCs w:val="28"/>
          <w:lang w:val="en-US"/>
        </w:rPr>
        <w:t xml:space="preserve"> Tanahnya tidak subur, antara lain, disebabkan posisinya yang ber-  dekatan dengan danau garam. Di musim panas, suhu udara di sana bisa  mendekati 40 derajat celsius. Meskipun demikian, di musim dingin, suhu  udaranya juga bisa anjlok hingga di bawah nol derajat celsius, dengan  sesekali turun salju, meskipun jarang sekali lebat, tidak sebagaimana  Tehran.</w:t>
      </w:r>
      <w:r>
        <w:rPr>
          <w:rStyle w:val="FootnoteAnchor"/>
        </w:rPr>
        <w:footnoteReference w:id="71"/>
      </w:r>
      <w:r>
        <w:rPr>
          <w:rFonts w:eastAsia="Times New Roman" w:cs="Times New Roman" w:ascii="Times New Roman" w:hAnsi="Times New Roman"/>
          <w:color w:val="111111"/>
          <w:sz w:val="28"/>
          <w:szCs w:val="28"/>
          <w:lang w:val="en-US"/>
        </w:rPr>
        <w:t xml:space="preserve"> Dewasa ini, banyak kalangan yang mengidentikkan Iran, terutama  Qom, dengan radikalisme politik atau menganggap Qom hanya sebagai  pusat Islam Syi'ah semata. Selain itu juga banyak pihak, terutama para  tokoh yang dinobatkan sebagai kaum intelektual di perguruan ting-  giperguruan tinggi Barat, memandang hawzah 'Ilmiyah Qom dengan </w:t>
      </w:r>
      <w:bookmarkStart w:id="38" w:name="pg6424_44689"/>
    </w:p>
    <w:p>
      <w:pPr>
        <w:pStyle w:val="BookText"/>
        <w:bidi w:val="0"/>
        <w:rPr/>
      </w:pPr>
      <w:bookmarkEnd w:id="38"/>
      <w:r>
        <w:rPr>
          <w:rFonts w:eastAsia="Times New Roman" w:cs="Times New Roman" w:ascii="Times New Roman" w:hAnsi="Times New Roman"/>
          <w:color w:val="111111"/>
          <w:sz w:val="28"/>
          <w:szCs w:val="28"/>
          <w:lang w:val="en-US"/>
        </w:rPr>
        <w:t>sebelah mata. Hal itu boleh jadi, lantaran mereka tidak mampu menangkap  dinamika intelektual yang terus berkembang di sana; atau disebabkan  tidak berusaha menyelami spiritnya dan menyingkap misterinya.</w:t>
      </w:r>
    </w:p>
    <w:p>
      <w:pPr>
        <w:pStyle w:val="BookText"/>
        <w:bidi w:val="0"/>
        <w:jc w:val="both"/>
        <w:rPr/>
      </w:pPr>
      <w:r>
        <w:rPr>
          <w:rFonts w:eastAsia="Times New Roman" w:cs="Times New Roman" w:ascii="Times New Roman" w:hAnsi="Times New Roman"/>
          <w:color w:val="111111"/>
          <w:sz w:val="28"/>
          <w:szCs w:val="28"/>
          <w:lang w:val="en-US"/>
        </w:rPr>
        <w:t>Padahal, bila sedikit saja ingin mencari tahu tentangnya, niscaya  akan diketahui bahwa Iran pada umumnya, dan Qom pada khususnya,  merupakan kawasan kaya-ilmu yang cadangannya tidak akan habis  dieksploitasi sampai kapan pun. Di sana banyak lahir para pemikir Islam  nomor wahid, khususnya dalam disiplin filsafat, ‘irfan, dan teologi.</w:t>
      </w:r>
    </w:p>
    <w:p>
      <w:pPr>
        <w:pStyle w:val="BookText"/>
        <w:bidi w:val="0"/>
        <w:jc w:val="both"/>
        <w:rPr/>
      </w:pPr>
      <w:r>
        <w:rPr>
          <w:rFonts w:eastAsia="Times New Roman" w:cs="Times New Roman" w:ascii="Times New Roman" w:hAnsi="Times New Roman"/>
          <w:color w:val="111111"/>
          <w:sz w:val="28"/>
          <w:szCs w:val="28"/>
          <w:lang w:val="en-US"/>
        </w:rPr>
        <w:t>Sejak al-Hikmah al-Muta’âliyyah dikembangkan, ketiga disiplin  tersebut berpadu sehingga menciptakan formula pemikiran keagamaan  yang kompak, komprehensif, dan kredibel. Hal ini dapat dilihat dari  pengaruhnya dalam dinamika pemikiran aqli dan naqli para ulama, mulai  dari hawzah Karbala, Isfahan, Hillah, sampai Qom.</w:t>
      </w:r>
    </w:p>
    <w:p>
      <w:pPr>
        <w:pStyle w:val="BookText"/>
        <w:bidi w:val="0"/>
        <w:jc w:val="both"/>
        <w:rPr/>
      </w:pPr>
      <w:r>
        <w:rPr>
          <w:rFonts w:eastAsia="Times New Roman" w:cs="Times New Roman" w:ascii="Times New Roman" w:hAnsi="Times New Roman"/>
          <w:color w:val="111111"/>
          <w:sz w:val="28"/>
          <w:szCs w:val="28"/>
          <w:lang w:val="en-US"/>
        </w:rPr>
        <w:t>Sejak kepindahan Mullâ Sadrâ beserta sejumlah murid unggulannya  dari Isfahan ke Qom</w:t>
      </w:r>
      <w:r>
        <w:rPr>
          <w:rStyle w:val="FootnoteAnchor"/>
        </w:rPr>
        <w:footnoteReference w:id="72"/>
      </w:r>
      <w:r>
        <w:rPr>
          <w:rFonts w:eastAsia="Times New Roman" w:cs="Times New Roman" w:ascii="Times New Roman" w:hAnsi="Times New Roman"/>
          <w:color w:val="111111"/>
          <w:sz w:val="28"/>
          <w:szCs w:val="28"/>
          <w:lang w:val="en-US"/>
        </w:rPr>
        <w:t xml:space="preserve">, hawzah Qom kemudian menjadi lebih  dikenal sebagai pusat al-Hikmah al-Muta’âliyyah, meskipun sete-  lah Mullâ Sadrâ wafat, hawzah ‘Ilmiyah Qom kembali didominasi  corak tekstual kalangan fuqaha.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Minsistry of Culture and Islam Guidence, Sazman e Cap va Entesharat, 2004</w:t>
      </w:r>
    </w:p>
    <w:p>
      <w:pPr>
        <w:pStyle w:val="BookText"/>
        <w:bidi w:val="0"/>
        <w:jc w:val="both"/>
        <w:rPr/>
      </w:pPr>
      <w:r>
        <w:rPr>
          <w:rFonts w:eastAsia="Times New Roman" w:cs="Times New Roman" w:ascii="Times New Roman" w:hAnsi="Times New Roman"/>
          <w:color w:val="111111"/>
          <w:sz w:val="28"/>
          <w:szCs w:val="28"/>
          <w:lang w:val="en-US"/>
        </w:rPr>
        <w:t>Sejarah hawzah 'Ilmiyah Qom dapat diklasifikasi ke dalam enam  periode sebagai berikut:</w:t>
      </w:r>
    </w:p>
    <w:p>
      <w:pPr>
        <w:pStyle w:val="Heading4"/>
        <w:numPr>
          <w:ilvl w:val="3"/>
          <w:numId w:val="1"/>
        </w:numPr>
        <w:bidi w:val="0"/>
        <w:jc w:val="left"/>
        <w:rPr/>
      </w:pPr>
      <w:bookmarkStart w:id="39" w:name="__RefHeading___Toc688549_653776707"/>
      <w:bookmarkStart w:id="40" w:name="_Toc14"/>
      <w:bookmarkEnd w:id="39"/>
      <w:r>
        <w:rPr/>
        <w:t>1. Periode Qazwînî</w:t>
      </w:r>
      <w:bookmarkEnd w:id="40"/>
    </w:p>
    <w:p>
      <w:pPr>
        <w:pStyle w:val="BookText"/>
        <w:bidi w:val="0"/>
        <w:jc w:val="both"/>
        <w:rPr/>
      </w:pPr>
      <w:r>
        <w:rPr>
          <w:rFonts w:eastAsia="Times New Roman" w:cs="Times New Roman" w:ascii="Times New Roman" w:hAnsi="Times New Roman"/>
          <w:color w:val="111111"/>
          <w:sz w:val="28"/>
          <w:szCs w:val="28"/>
          <w:lang w:val="en-US"/>
        </w:rPr>
        <w:t>Periode ini meliputi abad keenam sampai abad kesepuluh Hijriyyah.</w:t>
      </w:r>
    </w:p>
    <w:p>
      <w:pPr>
        <w:pStyle w:val="BookText"/>
        <w:bidi w:val="0"/>
        <w:jc w:val="both"/>
        <w:rPr/>
      </w:pPr>
      <w:r>
        <w:rPr>
          <w:rFonts w:eastAsia="Times New Roman" w:cs="Times New Roman" w:ascii="Times New Roman" w:hAnsi="Times New Roman"/>
          <w:color w:val="111111"/>
          <w:sz w:val="28"/>
          <w:szCs w:val="28"/>
          <w:lang w:val="en-US"/>
        </w:rPr>
        <w:t>Iklim politik yang menyelimuti hawzah ilmiyah Qom sepanjang periode  ini sangat tidak kondusif. Para penduduknya berkali-kali terbunuh secara  massal dan eksistensi kota (pada saat itu) sedang menuju fase kehancuran.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Meskipun pada suatu masa, kota tersebut sempat menjadi ibukota kaum  Timuriyan. </w:t>
      </w:r>
      <w:bookmarkStart w:id="41" w:name="pg6424_44691"/>
    </w:p>
    <w:p>
      <w:pPr>
        <w:pStyle w:val="BookText"/>
        <w:bidi w:val="0"/>
        <w:rPr/>
      </w:pPr>
      <w:bookmarkEnd w:id="41"/>
      <w:r>
        <w:rPr>
          <w:rFonts w:eastAsia="Times New Roman" w:cs="Times New Roman" w:ascii="Times New Roman" w:hAnsi="Times New Roman"/>
          <w:color w:val="111111"/>
          <w:sz w:val="28"/>
          <w:szCs w:val="28"/>
          <w:lang w:val="en-US"/>
        </w:rPr>
        <w:t xml:space="preserve">Menurut catatan sejarah, Qom pernah menjadi ajang pembantai-  an massal dan vandalisme. Barangkali serangan Mongol pada tahun 631  H/1210 M terhitung sebagai sekuel terburuk dari episode pembantaian  massal dan vandalisme yang tak kunjung reda sampai memasuki era  Timuriyan (sebagaimana diisyaratkan Zakaria Qazwînî dan Hamdullâh  Mustaufa). Konon, salah satu madrasah yang termasyhur sampai  sekarang, Faiziyyah, dibangun pada periode ini. </w:t>
      </w:r>
      <w:r>
        <w:rPr>
          <w:rStyle w:val="FootnoteAnchor"/>
        </w:rPr>
        <w:footnoteReference w:id="74"/>
      </w:r>
      <w:r>
        <w:rPr>
          <w:rFonts w:eastAsia="Times New Roman" w:cs="Times New Roman" w:ascii="Times New Roman" w:hAnsi="Times New Roman"/>
          <w:color w:val="111111"/>
          <w:sz w:val="28"/>
          <w:szCs w:val="28"/>
          <w:lang w:val="en-US"/>
        </w:rPr>
        <w:t xml:space="preserve"> Berkenaan dengan pembunuhan yang meruyak sepanjang periode  ini, Buzurg, dalam kitabnya Thabaqât A'lamu asy-Syî’ah, menyebut  lebih dari 30 nama ulama abad VI, yang kemudian pada abad VII,  jumlahnya berkurang menjadi tiga orang, dan pada abad VIII tinggal satu  orang. Namun, pada abad IX, disebutkan sekitar tujuh nama ulama di  Qom. Berdasarkan konstruksi tersebut, stagnasi keilmuan baru dimulai  pada abad keenam dan semakin menjadi-jadi pada abad ketujuh dan  kedelapan diakibatkan serangkaian serangan perusak yang dilancarkan  bangsa Mongol dan Timuriyan. Pada abad IX, ulama Qom bangkit seraya  menyusun persiapan-persiapan matang guna menghadapi stagnasi kebudayaan,  serta mengokohkan fondasi keilmuan di hawzah unggulan Qom.</w:t>
      </w:r>
      <w:r>
        <w:rPr>
          <w:rStyle w:val="FootnoteAnchor"/>
        </w:rPr>
        <w:footnoteReference w:id="75"/>
      </w:r>
      <w:r>
        <w:rPr>
          <w:rFonts w:eastAsia="Times New Roman" w:cs="Times New Roman" w:ascii="Times New Roman" w:hAnsi="Times New Roman"/>
          <w:color w:val="111111"/>
          <w:sz w:val="28"/>
          <w:szCs w:val="28"/>
          <w:lang w:val="en-US"/>
        </w:rPr>
        <w:t xml:space="preserve"> Qom sekarang memiliki kedudukan istimewa dalam konteks  keilmuan dan spiritualitas, sekaligus dianggap sebagai salah satu kota  Iran paling makmur, terpadat, dan menjadi kawasan perlintasan yang  paling pesat pertumbuhannya. Beberapa tahun lalu, kota yang semula  merupakan bagian dari propinsi Tehran ini, diresmikan sebagai propinsi  mandiri.</w:t>
      </w:r>
      <w:r>
        <w:rPr>
          <w:rStyle w:val="FootnoteAnchor"/>
        </w:rPr>
        <w:footnoteReference w:id="76"/>
      </w:r>
    </w:p>
    <w:p>
      <w:pPr>
        <w:pStyle w:val="Heading4"/>
        <w:numPr>
          <w:ilvl w:val="3"/>
          <w:numId w:val="1"/>
        </w:numPr>
        <w:bidi w:val="0"/>
        <w:jc w:val="left"/>
        <w:rPr/>
      </w:pPr>
      <w:bookmarkStart w:id="42" w:name="__RefHeading___Toc688551_653776707"/>
      <w:bookmarkStart w:id="43" w:name="_Toc15"/>
      <w:bookmarkEnd w:id="42"/>
      <w:r>
        <w:rPr/>
        <w:t>2. Periode Karaki</w:t>
      </w:r>
      <w:bookmarkEnd w:id="4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Periode ini dimulai sejak abad X hingga abad XIII, dan berlangsung  sepanjang periode Shafawiyyah Afneh, Afsyariyyah, Zanadiyyah, dan  Qajariyyah. </w:t>
      </w:r>
    </w:p>
    <w:p>
      <w:pPr>
        <w:pStyle w:val="BookText"/>
        <w:bidi w:val="0"/>
        <w:rPr/>
      </w:pPr>
      <w:r>
        <w:rPr>
          <w:rFonts w:eastAsia="Times New Roman" w:cs="Times New Roman" w:ascii="Times New Roman" w:hAnsi="Times New Roman"/>
          <w:color w:val="111111"/>
          <w:sz w:val="28"/>
          <w:szCs w:val="28"/>
          <w:lang w:val="en-US"/>
        </w:rPr>
        <w:t>Rentang periode ini diawali dari silsilah Shafawiyyah, yang  bersamaan dengan hijrahnya ulama Syi'ah asal Jabal Amil, Libanon,  ke Iran dan menyebarnya pemikiran ushûli (dasar-dasar fikih) Syi'ah.</w:t>
      </w:r>
    </w:p>
    <w:p>
      <w:pPr>
        <w:pStyle w:val="BookText"/>
        <w:bidi w:val="0"/>
        <w:jc w:val="both"/>
        <w:rPr/>
      </w:pPr>
      <w:r>
        <w:rPr>
          <w:rFonts w:eastAsia="Times New Roman" w:cs="Times New Roman" w:ascii="Times New Roman" w:hAnsi="Times New Roman"/>
          <w:color w:val="111111"/>
          <w:sz w:val="28"/>
          <w:szCs w:val="28"/>
          <w:lang w:val="en-US"/>
        </w:rPr>
        <w:t>Itulah zaman ketika dalam beberapa tahun pertama terpilihnya daulat  Shafawi, pengemban pemerintahannya adalah wali faqîh. Akan tetapi,  setelah beberapa lama, pemikiran ini mulai terlupakan, yang berbarengan  dengan kembalinya ulama filsuf seperti Muhaqqiq Karaki ke Atabât  Âliyât (makam-makam para imam Syi'ah di Irak).</w:t>
      </w:r>
    </w:p>
    <w:p>
      <w:pPr>
        <w:pStyle w:val="BookText"/>
        <w:bidi w:val="0"/>
        <w:jc w:val="both"/>
        <w:rPr/>
      </w:pPr>
      <w:r>
        <w:rPr>
          <w:rFonts w:eastAsia="Times New Roman" w:cs="Times New Roman" w:ascii="Times New Roman" w:hAnsi="Times New Roman"/>
          <w:color w:val="111111"/>
          <w:sz w:val="28"/>
          <w:szCs w:val="28"/>
          <w:lang w:val="en-US"/>
        </w:rPr>
        <w:t>Hawzah 'ilmiyah Isfahan yang menarik perhatian orang-  orang Shafawi, merupakan hawzah yang paling penuh dengan gerakan  di dunia Syi'ah sepanjang periode ini. Setelah dibangunnya madrasah-  madrasah Syi'ah di Isfahan dan kota-kota lainnya, seperti Qom, Syiraz,  Qazwin, dan Masyhad, berkembanglah ilmu-ilmu agama dan pemikir-  an Syi'ah, di antaranya ilmu-ilmu ‘aqli (rasional)—filsafat dan kalam.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7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Karena banyaknya informan dari kubu pemikiran yang berlawanan,  yang menyusup ke dalam hawzah Isfahan, membuat kebanyakan orang  mulai meninggalkan (enggan belajar kepada) ulama-ulama ushûli di  hawzah ini. Lebih lagi, sebagian ulama ‘aqli (rasionalis) juga terusir  dari daerah tersebut, termasuk filsuf termasyhur, Shadr al-Din Syirazi,  yang punya nama sanjungan, Shadr al-Muta’allihin, namun lebih dikenal  dengan sebutan “Mullâ Sadrâ” </w:t>
      </w:r>
      <w:r>
        <w:rPr>
          <w:rStyle w:val="FootnoteAnchor"/>
        </w:rPr>
        <w:footnoteReference w:id="78"/>
      </w:r>
      <w:r>
        <w:rPr>
          <w:rFonts w:eastAsia="Times New Roman" w:cs="Times New Roman" w:ascii="Times New Roman" w:hAnsi="Times New Roman"/>
          <w:color w:val="111111"/>
          <w:sz w:val="28"/>
          <w:szCs w:val="28"/>
          <w:lang w:val="en-US"/>
        </w:rPr>
        <w:t xml:space="preserve"> Menurut Yahya Yathrebi, hijrahnya Shadr al-Muta' allihin dari Isfahanke  Qom, mau tak mau mengakibatkan kemunduran ilmu-ilmu ‘aqli di  hawzah Isfahan, dan sebaliknya malah menyebabkan semaraknya  ilmuilmu ‘aqli di hawzah Qom. Di hawzah ini, dengan mengajar murid-  murid dan menulis sejumlah karya ilmiah, ia telah menyiapkan lahan  besar bagi penyemaian potensi dasar-dasar pemikiran di hawzah Qom  sebelum periode ini, yang kemudian menjadi rahim bagi lahir dan mekarnya </w:t>
      </w:r>
    </w:p>
    <w:p>
      <w:pPr>
        <w:pStyle w:val="BookText"/>
        <w:bidi w:val="0"/>
        <w:rPr/>
      </w:pPr>
      <w:r>
        <w:rPr>
          <w:rFonts w:eastAsia="Times New Roman" w:cs="Times New Roman" w:ascii="Times New Roman" w:hAnsi="Times New Roman"/>
          <w:color w:val="111111"/>
          <w:sz w:val="28"/>
          <w:szCs w:val="28"/>
          <w:lang w:val="en-US"/>
        </w:rPr>
        <w:t xml:space="preserve">para muhaddits Syi'ah. </w:t>
      </w:r>
      <w:r>
        <w:rPr>
          <w:rStyle w:val="FootnoteAnchor"/>
        </w:rPr>
        <w:footnoteReference w:id="79"/>
      </w:r>
      <w:r>
        <w:rPr>
          <w:rFonts w:eastAsia="Times New Roman" w:cs="Times New Roman" w:ascii="Times New Roman" w:hAnsi="Times New Roman"/>
          <w:color w:val="111111"/>
          <w:sz w:val="28"/>
          <w:szCs w:val="28"/>
          <w:lang w:val="en-US"/>
        </w:rPr>
        <w:t xml:space="preserve"> Alhasil, poin yang perlu diperhatikan dalam kaitan ini adalah bahwa  para muhaddits Qom sendiri (mengambil hadis) dari para ‘ârif yang tidak  asal menerima setiap hadis serta mengambil sikap yang bijak terhadap  sebagian riwayat dha'if yang dinukil. Hal ini sebagaimana pernah dilakukan  Ahmad bin Muhammad bin Isa, seorang alim besar Qom. Akibat dari  sikap dan tindakan itu, banyak muhaddits yang diasingkan dari kota ini,  antara lain Ahmad bin Muhammad bin Khalid Barqi, Sahl bin  Ziyad Adami Razi, dan Abu Saminah Muhammad bin `Alî Shairfî.</w:t>
      </w:r>
    </w:p>
    <w:p>
      <w:pPr>
        <w:pStyle w:val="BookText"/>
        <w:bidi w:val="0"/>
        <w:jc w:val="both"/>
        <w:rPr/>
      </w:pPr>
      <w:r>
        <w:rPr>
          <w:rFonts w:eastAsia="Times New Roman" w:cs="Times New Roman" w:ascii="Times New Roman" w:hAnsi="Times New Roman"/>
          <w:color w:val="111111"/>
          <w:sz w:val="28"/>
          <w:szCs w:val="28"/>
          <w:lang w:val="en-US"/>
        </w:rPr>
        <w:t>Sejak itu, tahun 225 H/804 M menjadi termasyhur dengan sebutan  “Tahun Pengasingan para muhaddits dan ulama Qom”. Setelah lama  hidup di pengasingan, Khalid Barqi (Ahmad bin Ahmad bin Khalid Barqi)  lalu dipulangkan ke Qom. Namun, dua orang lainnya yang disebutkan di  atas masih harus hidup di pengasingan lantaran menukil riwayat-riwayat  dari para perawi yang dha'if dan termasyhur dengan sikap ghuluw  (berlebih-lebihan) terhadap para tokoh Ahlulbait.</w:t>
      </w:r>
      <w:r>
        <w:rPr>
          <w:rStyle w:val="FootnoteAnchor"/>
        </w:rPr>
        <w:footnoteReference w:id="80"/>
      </w:r>
      <w:r>
        <w:rPr>
          <w:rFonts w:eastAsia="Times New Roman" w:cs="Times New Roman" w:ascii="Times New Roman" w:hAnsi="Times New Roman"/>
          <w:color w:val="111111"/>
          <w:sz w:val="28"/>
          <w:szCs w:val="28"/>
          <w:lang w:val="en-US"/>
        </w:rPr>
        <w:t xml:space="preserve"> Shadr al-dîn Muhammad bin Ibrahim al-Syirazi (979—1050  Hijriah/1571 M) adalah salah seorang filsuf dan ahli tafsir Syi'ah yang  hidup dalam periode ini. Masa kehadirannya di hawzah Qom berbarengan  dengan masa 'uzlah dan pemisahan diri (dari masyarakat), dengan  mengajar murid-murid, menulis, menyusun buku, dan memprioritaskan  perenungan dalam konteks ilmu-ilmu daripada berinteraksi dengan  masyarakat.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1997), hlm 53.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Kehadiran para filsuf Islam pada periode ini di hawzah ilmiyah Qom  memicu kemunculan ilmu ushûl. Hal ini disebabkan sosok filsuf seperti  Mullâ Sadrâ telah menciptakan lahan pemikiran yang be-bas dalam hawzah  Qom. Karena itu, Mirza Qommi, setelah belajar di makammakam im-  am Sy’iah. dan menimba ilmu dari guru-guru fikih dan ushûl di hawzah  ilmiyah Najaf dan Karbala (di antaranya kepada Wahid Bahbahani),</w:t>
      </w:r>
    </w:p>
    <w:p>
      <w:pPr>
        <w:pStyle w:val="BookText"/>
        <w:bidi w:val="0"/>
        <w:rPr/>
      </w:pPr>
      <w:r>
        <w:rPr>
          <w:rFonts w:eastAsia="Times New Roman" w:cs="Times New Roman" w:ascii="Times New Roman" w:hAnsi="Times New Roman"/>
          <w:color w:val="111111"/>
          <w:sz w:val="28"/>
          <w:szCs w:val="28"/>
          <w:lang w:val="en-US"/>
        </w:rPr>
        <w:t>mentransmisikan pelajaran ilmu ushûl fiqh dari Atabất Aliyât ke  Qom. Proses tersebut berlangsung setelah ia kembali dari Irak. Saat itu  ia tidak menganggap hawzah Isfahan dan Syiraz sebagai tempat yang  cocok bagi dirinya untuk mengajar.</w:t>
      </w:r>
    </w:p>
    <w:p>
      <w:pPr>
        <w:pStyle w:val="BookText"/>
        <w:bidi w:val="0"/>
        <w:jc w:val="both"/>
        <w:rPr/>
      </w:pPr>
      <w:r>
        <w:rPr>
          <w:rFonts w:eastAsia="Times New Roman" w:cs="Times New Roman" w:ascii="Times New Roman" w:hAnsi="Times New Roman"/>
          <w:color w:val="111111"/>
          <w:sz w:val="28"/>
          <w:szCs w:val="28"/>
          <w:lang w:val="en-US"/>
        </w:rPr>
        <w:t>Setelah berada di hawzah 'ilmiyah Qom, ia mengajar murid-murid  yang haus ilmu-ilmu Jaʼfari (ajaran Imam Ja'far Shadiq) dengan fikih  Syi'ah dan dasar-dasar ijtihâdinya. Kemudian ia menjadi marja'  keagamaan kaum Syi'ah di masanya. Ia dikenal dengan gelar “Muhaqqiq  Qommi” karena penulisan dan pengajaran ushûl istibâth dan manthiq  ijtihâd-nya. Kitab al-Qawanin al-Muhkamah fi Ilmil Ushul, dapat  dikategorikan sebagai mahakaryanya yang sampai sekarang menjadi  salah satu kitab standar pelajaran di haw zah.</w:t>
      </w:r>
      <w:r>
        <w:rPr>
          <w:rStyle w:val="FootnoteAnchor"/>
        </w:rPr>
        <w:footnoteReference w:id="82"/>
      </w:r>
      <w:r>
        <w:rPr>
          <w:rFonts w:eastAsia="Times New Roman" w:cs="Times New Roman" w:ascii="Times New Roman" w:hAnsi="Times New Roman"/>
          <w:color w:val="111111"/>
          <w:sz w:val="28"/>
          <w:szCs w:val="28"/>
          <w:lang w:val="en-US"/>
        </w:rPr>
        <w:t xml:space="preserve"> Sementara itu, Mirza Abu al-Qasim, yang dari segenap upayanya  menunjukkan kualitas dirinya sebagai pakar dalam bidang ushûli,  dikenal sebagai pencerah ilmu ushûl di hawzah 'ilmiyah Qom. Ia  membina banyak murid yang memiliki prestasi ilmiah sangat menonjol  pada masa berikutnya. Mereka, antara lain, adalah Muhammad Ibrahim  Kalbasi, Muhammad Alî Hizar Jaribi, Ahmad Kirmansyahi, Muhammad  Mahdi Khansari, Sayyid Ali Khunsari, Mirza Abu Thalib Qommi,  Mulla Asadullah Borujerdi, dan Mulla Muhammad Kazazi.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Dengan semua itu, ia telah mentransmisikan pemikiran ushûli dari  hawzah Qom ke hawzah Isfahan, Qomsyeh, dan Kirmansyah. Berkat  pembaharuan-pembaharuan yang ia (Mirza Abu al-Qasim) ikhtiarkan,  terciptalah sejumlah perubahan yang signifikan di hawzah Qom. Alhasil,  setelah beberapa tahun kemudian, ia berhasil mengakhiri (masa) stagnasi  dan kevakuman serta mengubahnya menjadi masa keemasan jihâd dan  ijtihâd.</w:t>
      </w:r>
      <w:r>
        <w:rPr>
          <w:rStyle w:val="FootnoteAnchor"/>
        </w:rPr>
        <w:footnoteReference w:id="83"/>
      </w:r>
      <w:bookmarkStart w:id="44" w:name="pg6424_44703"/>
    </w:p>
    <w:p>
      <w:pPr>
        <w:pStyle w:val="Heading4"/>
        <w:numPr>
          <w:ilvl w:val="3"/>
          <w:numId w:val="1"/>
        </w:numPr>
        <w:bidi w:val="0"/>
        <w:jc w:val="left"/>
        <w:rPr/>
      </w:pPr>
      <w:bookmarkStart w:id="45" w:name="__RefHeading___Toc688553_653776707"/>
      <w:bookmarkStart w:id="46" w:name="_Toc16"/>
      <w:bookmarkEnd w:id="44"/>
      <w:bookmarkEnd w:id="45"/>
      <w:r>
        <w:rPr/>
        <w:t>3. Periode `Abd al-Karîm Hâ'eri Yazdî</w:t>
      </w:r>
      <w:bookmarkEnd w:id="46"/>
    </w:p>
    <w:p>
      <w:pPr>
        <w:pStyle w:val="BookText"/>
        <w:bidi w:val="0"/>
        <w:jc w:val="both"/>
        <w:rPr/>
      </w:pPr>
      <w:r>
        <w:rPr>
          <w:rFonts w:eastAsia="Times New Roman" w:cs="Times New Roman" w:ascii="Times New Roman" w:hAnsi="Times New Roman"/>
          <w:color w:val="111111"/>
          <w:sz w:val="28"/>
          <w:szCs w:val="28"/>
          <w:lang w:val="en-US"/>
        </w:rPr>
        <w:t>Periode ini dimulai sejak akhir abad XIII dan berlanjut sampai  sekarang. Titik perubahan periode ini dimulai sejak Hâ’erî memilih  tinggal di hawzah ini. Berkat kontribusinya, ia mendedikasikan “nyawa  baru” bagi hawzah 'ilmiyah Qom. Karena itulah, ia dikenal dengan  sebutan “Mua'ssis” (Sang Pendiri).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Sebelum kedatangan Hâ’erî, Muhammad Taqi Mishbah Yazdî telah  lebih dulu hijrah dari Najaf ke Qom. Berkat upayanya menjalin kerjasama  dengan beberapa ulama, di antaranya Abu al-Qasim Kabîr Qommi, Haji  Mahdi, dan Haji Muhammad Arbâb, ia membangun premis-premis bagi  pendirian hawzah. Setelah melakukan serangkaian kajian dan penelitian,  mereka akhirnya tiba pada kesimpulan bahwa orang luar yang datang ke  kota ini hendaknya mengibarkan bendera ilmu dan fikih. Sosok paling  menonjol dari segi keilmuan, serta telah mencapai tingkat kesempurnaan  cukup tinggi dalam hal ketakwaan, dan memiliki potensi sebagai mahkota  keilmuan Syi'ah, tiada lain adalah Abd al-Karîm Hâ'erî. </w:t>
      </w:r>
      <w:r>
        <w:rPr>
          <w:rStyle w:val="FootnoteAnchor"/>
        </w:rPr>
        <w:footnoteReference w:id="84"/>
      </w:r>
      <w:r>
        <w:rPr>
          <w:rFonts w:eastAsia="Times New Roman" w:cs="Times New Roman" w:ascii="Times New Roman" w:hAnsi="Times New Roman"/>
          <w:color w:val="111111"/>
          <w:sz w:val="28"/>
          <w:szCs w:val="28"/>
          <w:lang w:val="en-US"/>
        </w:rPr>
        <w:t xml:space="preserve"> Hijrahnya Hâ’erî dari Arak ke Qom, serta kiprahnya dalam  memfasilitasi sistem pendidikan di sana, sedemikian penting di mata  Khomeini. Menurutnya, ketidakhadiran Hâ’erî pada periode itu sama  dengan hilangnya nama dan wajah seorang Muslim. Atas dasar inilah,  Abd al-Karim Ha’eri dijuluki “Mu'assis” (Pendiri), karena sebelum  kedatangannya, jejak-jejak hawzah 'Ilmiyah Qom nyaris terhapus.</w:t>
      </w:r>
      <w:r>
        <w:rPr>
          <w:rStyle w:val="FootnoteAnchor"/>
        </w:rPr>
        <w:footnoteReference w:id="85"/>
      </w:r>
    </w:p>
    <w:p>
      <w:pPr>
        <w:pStyle w:val="BookText"/>
        <w:bidi w:val="0"/>
        <w:rPr/>
      </w:pPr>
      <w:r>
        <w:rPr>
          <w:rFonts w:eastAsia="Times New Roman" w:cs="Times New Roman" w:ascii="Times New Roman" w:hAnsi="Times New Roman"/>
          <w:color w:val="111111"/>
          <w:sz w:val="28"/>
          <w:szCs w:val="28"/>
          <w:lang w:val="en-US"/>
        </w:rPr>
        <w:t>Kedekatan hawzah 'Ilmiyah Qom dengan pusat kekuasaan menjadikan  pemimpin kaum Syi'ah dan kalangan marja’taqlid memiliki pengetahuan  yang memadai seputar basis kebijakan politik negara. Akibatnya, jika  suatu kebijakan politik yang digulirkan dianggap tidak sesuai dengan  standar Islam, maka pada saat itu pula, tindakan penentangan segera  mencuat. Peletakan kaidah dasar “kebangkitan keilmuan di Qom” ini  mengikuti formasi hawzah di Samara, sebuah kawasan yang letaknya  berdekatan dengan Baghdad (ibukota Irak).</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Berdirinya hawzah Qom yang diwakili oleh tiga stoa utama yaitu  Madreseh Faizhiyeh, Madreseh Dar al-Syifa', dan Madreseh Hojjatiyeh</w:t>
      </w:r>
      <w:r>
        <w:rPr>
          <w:rStyle w:val="FootnoteAnchor"/>
        </w:rPr>
        <w:footnoteReference w:id="86"/>
      </w:r>
      <w:r>
        <w:rPr>
          <w:rFonts w:eastAsia="Times New Roman" w:cs="Times New Roman" w:ascii="Times New Roman" w:hAnsi="Times New Roman"/>
          <w:color w:val="111111"/>
          <w:sz w:val="28"/>
          <w:szCs w:val="28"/>
          <w:lang w:val="en-US"/>
        </w:rPr>
        <w:t xml:space="preserve"> berbarengan dengan fenomena pengasingan sebagian marja' besar dan  ulama terkemuka abad XIV Hijriah, dari Irak ke Iran. Abu al-Hasan  Isfahani, Mirza Hosain Na ini, `Alî Syahristani, Abd al-Hosain Hujjat  Karbala'i (w. 1332 H/1901 M), dan Muhammad Hosain Isfahani Gharwi  (1296—1361 H) adalah sejumlah ulama yang bersama murid-muridnya  diasingkan ke Iran dan menetap di hawzah Qom.</w:t>
      </w:r>
      <w:r>
        <w:rPr>
          <w:rStyle w:val="FootnoteAnchor"/>
        </w:rPr>
        <w:footnoteReference w:id="87"/>
      </w:r>
      <w:r>
        <w:rPr>
          <w:rFonts w:eastAsia="Times New Roman" w:cs="Times New Roman" w:ascii="Times New Roman" w:hAnsi="Times New Roman"/>
          <w:color w:val="111111"/>
          <w:sz w:val="28"/>
          <w:szCs w:val="28"/>
          <w:lang w:val="en-US"/>
        </w:rPr>
        <w:t xml:space="preserve"> Tahun 1363 Hijriah(1941 M)bertepatan dengan kedatangan Borujerdi  ke hawzah 'Ilmiyah Qom. Kendati telah diundang Mu'assis (Sang Pendiri,  Ha’eri) di masanya ke Qom, tetapi ia lebih memilih menjauh dari jabatan-  jabatan sosial. Ia tidak menyambut undangan Ha’eri hingga akhir tahun  1363 Hijriah (1941 M). Ia datang ke Qom di masa kepemimpinan tiga </w:t>
      </w:r>
    </w:p>
    <w:p>
      <w:pPr>
        <w:pStyle w:val="BookText"/>
        <w:bidi w:val="0"/>
        <w:rPr/>
      </w:pPr>
      <w:r>
        <w:rPr>
          <w:rFonts w:eastAsia="Times New Roman" w:cs="Times New Roman" w:ascii="Times New Roman" w:hAnsi="Times New Roman"/>
          <w:color w:val="111111"/>
          <w:sz w:val="28"/>
          <w:szCs w:val="28"/>
          <w:lang w:val="en-US"/>
        </w:rPr>
        <w:t>marja' besar, yakni Khansari, Hujjat Kuhkamari, dan Sadrud-Din Shadr,  serta lebih memilih tinggal di hawzah 'Ilmiyah Qom.</w:t>
      </w:r>
      <w:r>
        <w:rPr>
          <w:rStyle w:val="FootnoteAnchor"/>
        </w:rPr>
        <w:footnoteReference w:id="88"/>
      </w:r>
      <w:r>
        <w:rPr>
          <w:rFonts w:eastAsia="Times New Roman" w:cs="Times New Roman" w:ascii="Times New Roman" w:hAnsi="Times New Roman"/>
          <w:color w:val="111111"/>
          <w:sz w:val="28"/>
          <w:szCs w:val="28"/>
          <w:lang w:val="en-US"/>
        </w:rPr>
        <w:t xml:space="preserve"> Borujerdi, di samping tergolong pakar dalam bidang ilmu-ilmu  Islam, seperti fikih, ushul, rijâl, hadis, filsafat, kalam, dan astronomi,  juga memiliki daya tarik yang sangat luas sebagai sosok guru. Sebelum  datang ke hawzah 'Ilmiyah Qom, ia pernah mengajar filsafat. Ketika  memasuki hawzah 'Ilmiyah, ia memulai dengan mengajar fikih dan  ushul (pengajaran ushul-nya berlangsung selama enam tahun, sedangkan  pengajaran fikih dilakukan hingga hari akhir hayatnya). </w:t>
      </w:r>
      <w:r>
        <w:rPr>
          <w:rStyle w:val="FootnoteAnchor"/>
        </w:rPr>
        <w:footnoteReference w:id="89"/>
      </w:r>
      <w:r>
        <w:rPr>
          <w:rFonts w:eastAsia="Times New Roman" w:cs="Times New Roman" w:ascii="Times New Roman" w:hAnsi="Times New Roman"/>
          <w:color w:val="111111"/>
          <w:sz w:val="28"/>
          <w:szCs w:val="28"/>
          <w:lang w:val="en-US"/>
        </w:rPr>
        <w:t xml:space="preserve"> Sementara itu, Khomeini menjadi salah seorang marja’taqlid Syi'ah  dan figur ulama yang memegang tampuk kepemimpinan hawzah Ilmiyah  Qom setelah Borujerdi. Di samping mengajar, Imam juga melanjutkan  perlawanan politiknya terhadap rezim Pahlevi. Akibatnya, ia divonis  oleh hakim pengadilan sebagai seorang eksil.</w:t>
      </w:r>
    </w:p>
    <w:p>
      <w:pPr>
        <w:pStyle w:val="BookText"/>
        <w:bidi w:val="0"/>
        <w:jc w:val="both"/>
        <w:rPr/>
      </w:pPr>
      <w:r>
        <w:rPr>
          <w:rFonts w:eastAsia="Times New Roman" w:cs="Times New Roman" w:ascii="Times New Roman" w:hAnsi="Times New Roman"/>
          <w:color w:val="111111"/>
          <w:sz w:val="28"/>
          <w:szCs w:val="28"/>
          <w:lang w:val="en-US"/>
        </w:rPr>
        <w:t>Adapun Syihabuddin Hosaini Mar’asyi Najafi merupakan seorang  ulama Cârif yang datang ke Qom atas permintaan Mu'assis dan membina  para pelajar agama. Tokoh-tokoh ulama yang hidup sezaman dengannya  adalah Muhammad Reza Golpaigani dan `Alî Araki (dua sosok ulama  besar hawzah 'Ilmiyah Qom yang mengemban kepemimpinan dan ke-  marja’-an umat dan hawzah Qom). Di samping menjadi para marja'  mulia sepanjang periode ini serta rijal ilmu dan ulama dalam berbagai  ilmu keislaman hawzah ilmiah Qom, mereka menjadikan hawzah  Qom sebagai pusat kajian ilmu, pendidikan, dan pembinaan. Mereka  membina para guru, mujtahid (ahli ijtihad), dan mubaligh untuk periode  mendatang.</w:t>
      </w:r>
    </w:p>
    <w:p>
      <w:pPr>
        <w:pStyle w:val="BookText"/>
        <w:bidi w:val="0"/>
        <w:jc w:val="both"/>
        <w:rPr/>
      </w:pPr>
      <w:r>
        <w:rPr>
          <w:rFonts w:eastAsia="Times New Roman" w:cs="Times New Roman" w:ascii="Times New Roman" w:hAnsi="Times New Roman"/>
          <w:color w:val="111111"/>
          <w:sz w:val="28"/>
          <w:szCs w:val="28"/>
          <w:lang w:val="en-US"/>
        </w:rPr>
        <w:t>Menilik kandungan filsufis dalam ucapan-ucapan para pemikir  terkemuka Syi'ah, maka tidak dapat dipungkiri bahwa hawzah-hawzah  ‘ilmiyah di dunia Syi'ah mengungguli hawzah-hawzah di dunia Sunni.</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bangsa Iran menerima mazhab Syi'ah sepeninggal Ibn Sina, </w:t>
      </w:r>
    </w:p>
    <w:p>
      <w:pPr>
        <w:pStyle w:val="BookText"/>
        <w:bidi w:val="0"/>
        <w:rPr/>
      </w:pPr>
      <w:r>
        <w:rPr>
          <w:rFonts w:eastAsia="Times New Roman" w:cs="Times New Roman" w:ascii="Times New Roman" w:hAnsi="Times New Roman"/>
          <w:color w:val="111111"/>
          <w:sz w:val="28"/>
          <w:szCs w:val="28"/>
          <w:lang w:val="en-US"/>
        </w:rPr>
        <w:t>hawzah filsafat pun berpindah ke kawasan Iran dan hampir semua filsuf  besar Islam dalam sejarah filsafat berasal dari kaum Syi'ah dan bangsa  Iran. Periode keempat hawzah 'Ilmiyah Qom merupakan awal periode  hawzah filsafat di kota suci ini, yang mekar setelah hijrahnya Mullâ  Sadrâ (979 H/1571 M) dan terbinanya sejumlah murid, antara lain Mullâ  Mohsen Fayz Kâsyânî (w. 1091 H/1680 M)</w:t>
      </w:r>
      <w:r>
        <w:rPr>
          <w:rStyle w:val="FootnoteAnchor"/>
        </w:rPr>
        <w:footnoteReference w:id="90"/>
      </w:r>
      <w:r>
        <w:rPr>
          <w:rFonts w:eastAsia="Times New Roman" w:cs="Times New Roman" w:ascii="Times New Roman" w:hAnsi="Times New Roman"/>
          <w:color w:val="111111"/>
          <w:sz w:val="28"/>
          <w:szCs w:val="28"/>
          <w:lang w:val="en-US"/>
        </w:rPr>
        <w:t xml:space="preserve">dan Mullâ Abd al-Razzaq  Lâhijî (w. 1072 H/1661 M) yang dilanjutkan dengan kemunculan filsuf  debutan yang cukup tekun, Qadhi Said Qommi. </w:t>
      </w:r>
      <w:r>
        <w:rPr>
          <w:rStyle w:val="FootnoteAnchor"/>
        </w:rPr>
        <w:footnoteReference w:id="91"/>
      </w:r>
      <w:r>
        <w:rPr>
          <w:rFonts w:eastAsia="Times New Roman" w:cs="Times New Roman" w:ascii="Times New Roman" w:hAnsi="Times New Roman"/>
          <w:color w:val="111111"/>
          <w:sz w:val="28"/>
          <w:szCs w:val="28"/>
          <w:lang w:val="en-US"/>
        </w:rPr>
        <w:t xml:space="preserve"> Mungkin mazhab Syi'ah memberi ruang yang relatif bebas dan  leluasa untuk menyingkap hakikat-hakikat ilmu dengan metode analisis,  kritis, dan kajian rasional, serta cukup kentalnya kandungan filsafat dalam  ucapan-ucapan para pemukanya, maka kelompok ini (Syi'ah) memiliki  potensi yang lebih besar dalam mempelajari dan menekuni filsafat  daripada kelompok-kelompok Islam lainnya. Kemudian, diakibatkan  penerjemahan buku-buku filsafat Yunani dan lainnya ke dalam bahasa  Arab dan sedikit-banyak menyebar di tengah kaum muslimin (yang  kebanyakan belum mengenali tema-tema penting filsafat), muncul  pengaruh yang sangat mendalam dalam diri kaum Syi'ah daripada  yang lainnya, seraya pula membentuk seraut wajah yang lebih terang.</w:t>
      </w:r>
    </w:p>
    <w:p>
      <w:pPr>
        <w:pStyle w:val="BookText"/>
        <w:bidi w:val="0"/>
        <w:jc w:val="both"/>
        <w:rPr/>
      </w:pPr>
      <w:r>
        <w:rPr>
          <w:rFonts w:eastAsia="Times New Roman" w:cs="Times New Roman" w:ascii="Times New Roman" w:hAnsi="Times New Roman"/>
          <w:color w:val="111111"/>
          <w:sz w:val="28"/>
          <w:szCs w:val="28"/>
          <w:lang w:val="en-US"/>
        </w:rPr>
        <w:t>Mula-mula pemikiran mazhab filsafat Isyrâq tidak menyebar dalam  Islam, sementara kebanyakan filsuf Islam tengah merayakan pemikiran  mazhab filsafat Masya`i (para pengikut Aristoteles). Namun, tidak lama  kemudian, hubungan filsafat dan agama menjadi lebih akrab, bahkan  di sana-sini mulai terjadi titik temu. Mereka kemudian melakukan  pembahasan-pembahasan yang bersifat sederhana dan elementer,  hingga akhirnya hakikat persoalan filsafat ditemukan dalam karya-karya  Mu'allim Tsani (Guru Kedua) Abu al-Nashr Muhammad bin Tharkhan  al-Farabi, dan untuk selanjutnya dalam karya-karya Ibn Sina.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penjelasan Muthahhari, para filsuf Islam menemukan  bahwa dengan menempuh masing-masing dari tiga jalan, yakni agama, </w:t>
      </w:r>
    </w:p>
    <w:p>
      <w:pPr>
        <w:pStyle w:val="BookText"/>
        <w:bidi w:val="0"/>
        <w:rPr/>
      </w:pPr>
      <w:r>
        <w:rPr>
          <w:rFonts w:eastAsia="Times New Roman" w:cs="Times New Roman" w:ascii="Times New Roman" w:hAnsi="Times New Roman"/>
          <w:color w:val="111111"/>
          <w:sz w:val="28"/>
          <w:szCs w:val="28"/>
          <w:lang w:val="en-US"/>
        </w:rPr>
        <w:t>filsafat, dan ‘irfan, niscaya akan tercapai hakikat-hakikat ciptaan yang  universal. Dengan ciri bahwa bahasa agama adalah bahasa semua  manusia, yang dengan penjelasan sederhana saja, seseorang dapat  mengetahui rahasia-rahasia ciptaan. Namun, tema-tema filsafat hanya  dipahami orang-orang tertentu yang terbiasa dengan latihan-latihan  intelektual serta memilah argumentasi dari analogi-analogi dialektis  dan retorik. Sedangkan para ahli ‘irfan dengan ajaran-ajaran agama  dan praktik-praktik syar’i semakin menjadikan ‘cermin diri’-nya jernih  berkilau sehingga mampu menyaksikan pelbagai hakikat dengan bantuan  ilahiah. Menurutnya lagi, kunci rahasia-rahasia itu telah jatuh ke tangan  filsafat Islam yang tidak akan pernah tergapai dalam filsafat-filsafat  klasik Mesir, Yunani, dan Elexandria (Iskandariyyah).</w:t>
      </w:r>
      <w:r>
        <w:rPr>
          <w:rStyle w:val="FootnoteAnchor"/>
        </w:rPr>
        <w:footnoteReference w:id="92"/>
      </w:r>
      <w:r>
        <w:rPr>
          <w:rFonts w:eastAsia="Times New Roman" w:cs="Times New Roman" w:ascii="Times New Roman" w:hAnsi="Times New Roman"/>
          <w:color w:val="111111"/>
          <w:sz w:val="28"/>
          <w:szCs w:val="28"/>
          <w:lang w:val="en-US"/>
        </w:rPr>
        <w:t xml:space="preserve"> Dalam hal ini, tema-tema filsafat menurut buku-buku filsafat tempo  dulu yang diterjemahkan ke dalam bahasa Arab dan sampai ke tangan  kaum muslimin, kira-kira mencapai 200 butir. Adapun dalam ruang  pemikiran filsufis dewasa ini, semua itu telah mencapai sekitar 700  tema. Tema-tema filsafat, khususnya dalam pemikiran mazhab filsafat  Masya`i, diambil alih para filsuf Yunani secara acak dan masing-  masingnya terpisah serta tidak berkaitan satu sama lain. Sementara  dalam pemikiran filsafat ini, telah ditemukan corak riyâdhi (matematis)  yang satu sama lain saling terkait dan bersifat sistematis.</w:t>
      </w:r>
    </w:p>
    <w:p>
      <w:pPr>
        <w:pStyle w:val="BookText"/>
        <w:bidi w:val="0"/>
        <w:jc w:val="both"/>
        <w:rPr/>
      </w:pPr>
      <w:r>
        <w:rPr>
          <w:rFonts w:eastAsia="Times New Roman" w:cs="Times New Roman" w:ascii="Times New Roman" w:hAnsi="Times New Roman"/>
          <w:color w:val="111111"/>
          <w:sz w:val="28"/>
          <w:szCs w:val="28"/>
          <w:lang w:val="en-US"/>
        </w:rPr>
        <w:t>Dengan kata lain, menyelesaikan dua-tiga masalah utama dalam  filsafat sama saja dengan menuntaskan dan meluruskan seluruh persoalan  filsufis. Oleh karena itu, mata rantai filsafat dapat diceraikan dari tabî’iyât  (fisika) klasik dan astronomi klasik. Selain itu, pada kesimpulannya,  sama sekali tidak terjadi pertemuan dan pertentangan antara pemikiran  filsufis ini dan pengetahuan kontemporer.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Sebelumnya, filsafat nyaris beku dan punah. Namun, berkat metode  pemikiran ini, kondisi dan formasi filsafat mengalami perubahan total  sekaligus selaras dengan karakter dan kecenderungan manusia, serta  nalar dan syariat. Lagipula, pemikiran filsufis ini memiliki andil yang </w:t>
      </w:r>
    </w:p>
    <w:p>
      <w:pPr>
        <w:pStyle w:val="BookText"/>
        <w:bidi w:val="0"/>
        <w:rPr/>
      </w:pPr>
      <w:r>
        <w:rPr>
          <w:rFonts w:eastAsia="Times New Roman" w:cs="Times New Roman" w:ascii="Times New Roman" w:hAnsi="Times New Roman"/>
          <w:color w:val="111111"/>
          <w:sz w:val="28"/>
          <w:szCs w:val="28"/>
          <w:lang w:val="en-US"/>
        </w:rPr>
        <w:t>cukup besar-bahkan keseluruhannya—dalam menyiapkan fondasi bagi  ketersingkapan dan terselesaikannya masalah-masalah yang dicapai  secara gemilang oleh ilmu-ilmu baru. Sebagaimana masalah “harakah  jauhariah” (gerak subtansial) yang akhirnya tuntas berkat penggunaan  metode filsufis ini setelah melewati masa tiga ratus tahun, problem  "dimensi keempat dalam jisim (fisik)” juga akhirnya terselesaikan secara  elegan.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periode belakangan, hawzah filsafat Qom dengan sendirinya  memunculkan figur-figur arif yang berpengaruh dan punya peran penting  dalam konteks pemikiran filsufis dan politik di dunia Islam, antara lain  adalah Sayyid Abu al-Hasan Rafi'i Qazwînî, </w:t>
      </w:r>
      <w:r>
        <w:rPr>
          <w:rStyle w:val="FootnoteAnchor"/>
        </w:rPr>
        <w:footnoteReference w:id="93"/>
      </w:r>
      <w:r>
        <w:rPr>
          <w:rFonts w:eastAsia="Times New Roman" w:cs="Times New Roman" w:ascii="Times New Roman" w:hAnsi="Times New Roman"/>
          <w:color w:val="111111"/>
          <w:sz w:val="28"/>
          <w:szCs w:val="28"/>
          <w:lang w:val="en-US"/>
        </w:rPr>
        <w:t xml:space="preserve">yang merupakan salah  seorang figur alim dan filsuf yang belajar ilmu-ilmu rasional dari Abd  al-Nabi Nuri, Mirza Mohsen Kermansyahi, Fadhil Tehrani, dan Mirza  Mahmud Qommi. Dia datang ke Qom pada masa Ha’eri dan mengajar  ilmu-ilmu rasional. Salah satu murid istimewanya pada zaman ini adalah  Khomeini. Ia sempat tinggal di Qom selama dua bulan. Namun, berkat  dipindahkannya hawzah filsafat Tehran ke Qom dan adanya keharusan  untuk membina para pelajar filsafat tahap awal, ia akhirnya kembali  bermukim di Qom. </w:t>
      </w:r>
      <w:r>
        <w:rPr>
          <w:rStyle w:val="FootnoteAnchor"/>
        </w:rPr>
        <w:footnoteReference w:id="94"/>
      </w:r>
      <w:r>
        <w:rPr>
          <w:rFonts w:eastAsia="Times New Roman" w:cs="Times New Roman" w:ascii="Times New Roman" w:hAnsi="Times New Roman"/>
          <w:color w:val="111111"/>
          <w:sz w:val="28"/>
          <w:szCs w:val="28"/>
          <w:lang w:val="en-US"/>
        </w:rPr>
        <w:t xml:space="preserve"> Berdasarkan catatan sejarah, serbuan bangsa Mongol pada (1258 M)</w:t>
      </w:r>
      <w:r>
        <w:rPr>
          <w:rStyle w:val="FootnoteAnchor"/>
        </w:rPr>
        <w:footnoteReference w:id="95"/>
      </w:r>
      <w:r>
        <w:rPr>
          <w:rFonts w:eastAsia="Times New Roman" w:cs="Times New Roman" w:ascii="Times New Roman" w:hAnsi="Times New Roman"/>
          <w:color w:val="111111"/>
          <w:sz w:val="28"/>
          <w:szCs w:val="28"/>
          <w:lang w:val="en-US"/>
        </w:rPr>
        <w:t xml:space="preserve"> telah menghancurkan dinasti Abbasiah dan terjadinya gnosida komunitas  Muslim di Andalusia.</w:t>
      </w:r>
      <w:r>
        <w:rPr>
          <w:rStyle w:val="FootnoteAnchor"/>
        </w:rPr>
        <w:footnoteReference w:id="96"/>
      </w:r>
      <w:r>
        <w:rPr>
          <w:rFonts w:eastAsia="Times New Roman" w:cs="Times New Roman" w:ascii="Times New Roman" w:hAnsi="Times New Roman"/>
          <w:color w:val="111111"/>
          <w:sz w:val="28"/>
          <w:szCs w:val="28"/>
          <w:lang w:val="en-US"/>
        </w:rPr>
        <w:t xml:space="preserve">Bersamaan dengan itu, umat Islam mulai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tenggelam dalam tidur panjangnya. Abad keenam Masehi akibatnya  menjadi awal “kematian Islam”. Namun, perlu digarisbawahi bahwa  semua itu hanya berlangsung di dunia Islam belahan Barat, khususnya  di kawasan Sunni. Sebaliknya, abad ketujuh Masehi justru menjadi  awal munculnya sebuah imperium Islam di belahan Timur, persisnya di  kawasan Syi'ah  Berdasarkan sejarahnya, Iran yang secara geografis terletak di belahan  Timur dunia Islam, dikenal sebagai rahim kelahiran para filsuf, sufi,  ilmuwan, dan penyair terkenal. Iran dapat dipandang sebagai tempat yang  merepresentasikan kontinuitas perkembangan pemikiran keagamaan,  khususnya filsafat, selama fase akhir sejarah Islam. Hal ini se-  bagaimana dilaporkan Hossein Nasr bahwa filsafat Islam memiliki ke-  hidupan yang lebih panjang di belahan Timur (khususnya di Iran) daripada  di belahan Barat dunia Islam. Iran tidak hanya memiliki lahan subur  bagi disiplin filsafat untuk terus bertahan hidup sampai sekarang, tetapi  juga secara definitif menjadi ajang utama perkembangan filsafat Is-  lam. Sekurang-kurangnya terdapat dua faktor pendukung bagi perkem-  bangan pemikiran filsafat di Iran. Pertama, faktor geografishistor-  is. Kedua, tradisi keagamaan Syi'ah.</w:t>
      </w:r>
      <w:r>
        <w:rPr>
          <w:rStyle w:val="FootnoteAnchor"/>
        </w:rPr>
        <w:footnoteReference w:id="97"/>
      </w:r>
      <w:r>
        <w:rPr>
          <w:rFonts w:eastAsia="Times New Roman" w:cs="Times New Roman" w:ascii="Times New Roman" w:hAnsi="Times New Roman"/>
          <w:color w:val="111111"/>
          <w:sz w:val="28"/>
          <w:szCs w:val="28"/>
          <w:lang w:val="en-US"/>
        </w:rPr>
        <w:t xml:space="preserve"> Dalam sejarah kontemporer, khususnya sejak kedatangan Baha'i,</w:t>
      </w:r>
      <w:r>
        <w:rPr>
          <w:rStyle w:val="FootnoteAnchor"/>
        </w:rPr>
        <w:footnoteReference w:id="98"/>
      </w:r>
      <w:r>
        <w:rPr>
          <w:rFonts w:eastAsia="Times New Roman" w:cs="Times New Roman" w:ascii="Times New Roman" w:hAnsi="Times New Roman"/>
          <w:color w:val="111111"/>
          <w:sz w:val="28"/>
          <w:szCs w:val="28"/>
          <w:lang w:val="en-US"/>
        </w:rPr>
        <w:t xml:space="preserve"> Iran telah menjadikan mazhab Syi'ah sebagai mazhab resmi di sana-  diakui secara luas bahwa warisan filsafat Islam, khususnya mazhab  Sadrian dan Sabzawarian—sebagai tonggak “sistem filsafat yang sangat  Islami”—berkembang jauh lebih ekstensif daripada di wilayah lain  yang mayoritas atau minoritas penduduknya bermazhab Syi'ah. Parviz  Morewedge dan Oliver Leaman memberi kesaksian tentangnya, “There  is a continuing tradition of interest in illuminasionist and mystical </w:t>
      </w:r>
    </w:p>
    <w:p>
      <w:pPr>
        <w:pStyle w:val="BookText"/>
        <w:bidi w:val="0"/>
        <w:rPr/>
      </w:pPr>
      <w:r>
        <w:rPr>
          <w:rFonts w:eastAsia="Times New Roman" w:cs="Times New Roman" w:ascii="Times New Roman" w:hAnsi="Times New Roman"/>
          <w:color w:val="111111"/>
          <w:sz w:val="28"/>
          <w:szCs w:val="28"/>
          <w:lang w:val="en-US"/>
        </w:rPr>
        <w:t>thought, especially in Iran where the influence of Mullâ Sadrâ and al-  Suhrawardi has remained strong."</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Global Publ., Binghamton University, 1997).</w:t>
      </w:r>
    </w:p>
    <w:p>
      <w:pPr>
        <w:pStyle w:val="BookText"/>
        <w:bidi w:val="0"/>
        <w:jc w:val="both"/>
        <w:rPr/>
      </w:pPr>
      <w:r>
        <w:rPr>
          <w:rFonts w:eastAsia="Times New Roman" w:cs="Times New Roman" w:ascii="Times New Roman" w:hAnsi="Times New Roman"/>
          <w:color w:val="111111"/>
          <w:sz w:val="28"/>
          <w:szCs w:val="28"/>
          <w:lang w:val="en-US"/>
        </w:rPr>
        <w:t>Dengan demikian, tidak dapat disangkal bahwasannya warisan  filsafat Islam di dunia Syi'ah ini diapresiasi dalam beragam cara.</w:t>
      </w:r>
    </w:p>
    <w:p>
      <w:pPr>
        <w:pStyle w:val="BookText"/>
        <w:bidi w:val="0"/>
        <w:jc w:val="both"/>
        <w:rPr/>
      </w:pPr>
      <w:r>
        <w:rPr>
          <w:rFonts w:eastAsia="Times New Roman" w:cs="Times New Roman" w:ascii="Times New Roman" w:hAnsi="Times New Roman"/>
          <w:color w:val="111111"/>
          <w:sz w:val="28"/>
          <w:szCs w:val="28"/>
          <w:lang w:val="en-US"/>
        </w:rPr>
        <w:t>Sebagian pihak bahkan kembali pada mazhab filsafat sebelumnya,  seperti Iluminasionisme, Peripatetisme, kendati arus utamanya tetap pada  mazhab Hikmah. Meskipun demikian, dalam situasi kekinian, ragam  cara yang diterapkan kalangan pemikir pasca-Sadrian di Iran khususnya,  kiranya dapat diklasifikasikan dalam dua kategori umum, berdasarkan  sumber dan corak apresiasinya terhadap filsafat Sadrian (mazhab Mullâ  Sadrâ), yaitu tradisional dan modern.</w:t>
      </w:r>
    </w:p>
    <w:p>
      <w:pPr>
        <w:pStyle w:val="BookText"/>
        <w:bidi w:val="0"/>
        <w:jc w:val="both"/>
        <w:rPr/>
      </w:pPr>
      <w:r>
        <w:rPr>
          <w:rFonts w:eastAsia="Times New Roman" w:cs="Times New Roman" w:ascii="Times New Roman" w:hAnsi="Times New Roman"/>
          <w:color w:val="111111"/>
          <w:sz w:val="28"/>
          <w:szCs w:val="28"/>
          <w:lang w:val="en-US"/>
        </w:rPr>
        <w:t>Apresiasi modern terhadap filsafat Sadrian berkembang di kalangan  akademisi, atau setidaknya kalangan yang tumbuh dalam sekolah atau  khasanah pemikiran modern. Mereka pada umumnya mengulas butir-  butir gagasan filsafat Sadrian dengan menggunakan penghampiran  modern, mulai dari metodologi hingga skema eksposisinya. Tidak jarang  pula mereka mencoba melakukan telaahan kritis terhadap filsafat Islam  melalui studi komparatif atau dengan menggunakan teori-teori filsafat  Barat kontemporer. Figur-figur paling menonjol di kalangan ini adalah  Henry Corbin, Seyed Hossein Nasr, dan Mehdi Hae'ri Yazdi.</w:t>
      </w:r>
    </w:p>
    <w:p>
      <w:pPr>
        <w:pStyle w:val="BookText"/>
        <w:bidi w:val="0"/>
        <w:jc w:val="both"/>
        <w:rPr/>
      </w:pPr>
      <w:r>
        <w:rPr>
          <w:rFonts w:eastAsia="Times New Roman" w:cs="Times New Roman" w:ascii="Times New Roman" w:hAnsi="Times New Roman"/>
          <w:color w:val="111111"/>
          <w:sz w:val="28"/>
          <w:szCs w:val="28"/>
          <w:lang w:val="en-US"/>
        </w:rPr>
        <w:t>Sementara apresiasi tradisional terhadap filsafat Sadrian lebih  bertahan di kalangan pesantren atau hawzah 'ilmiyah, khususnya  kalangan yang mengenyam pendidikan tradisional keagamaan di Qom.</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Berbeda dengan kalangan pemikir dan pengkaji filsafat Islam yang  terdidik dalam sekolah modern, kalangan pemikir tradisional terlihat  begitu tenggelam dalam filsafat Mullâ Sadrâ. Jadinya, mereka cenderung  mengapresiasinya secara afirmatif serta mengeksplorasinya lebih jauh  dan mendalam demi mengonstruksi fundamental akidah keislaman yang  bersifat filsufis, argumentatif, sekaligus mistis. Para tokoh terkemuka  sekaligus pendahulunya adalah Khomeini dan Muhammad Hosein </w:t>
      </w:r>
      <w:bookmarkStart w:id="47" w:name="pg6424_44724"/>
    </w:p>
    <w:p>
      <w:pPr>
        <w:pStyle w:val="BookText"/>
        <w:bidi w:val="0"/>
        <w:rPr/>
      </w:pPr>
      <w:bookmarkEnd w:id="47"/>
      <w:r>
        <w:rPr>
          <w:rFonts w:eastAsia="Times New Roman" w:cs="Times New Roman" w:ascii="Times New Roman" w:hAnsi="Times New Roman"/>
          <w:color w:val="111111"/>
          <w:sz w:val="28"/>
          <w:szCs w:val="28"/>
          <w:lang w:val="en-US"/>
        </w:rPr>
        <w:t>Thabàthabâ”.</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Vezarat e Farhang va Ershad e Eslami, 1999, vol 3, hlm 60;</w:t>
      </w:r>
    </w:p>
    <w:p>
      <w:pPr>
        <w:pStyle w:val="BookText"/>
        <w:bidi w:val="0"/>
        <w:jc w:val="both"/>
        <w:rPr/>
      </w:pPr>
      <w:r>
        <w:rPr>
          <w:rFonts w:eastAsia="Times New Roman" w:cs="Times New Roman" w:ascii="Times New Roman" w:hAnsi="Times New Roman"/>
          <w:color w:val="111111"/>
          <w:sz w:val="28"/>
          <w:szCs w:val="28"/>
          <w:lang w:val="en-US"/>
        </w:rPr>
        <w:t>Dengan kata lain, kedua pemikir yang boleh dibilang menjadi  representasi mazhab Sadrian dalam versi tradisional itu merupakan  sedikit di antara kalangan pemikir yang berhasil mendasarkan akidah  keislaman pada kalam (teologi), filsafat, ‘irfan nazhari (teoritis),  sekaligus menduduki strata teringgi dalam bidang ‘irfan amali (praktis).</w:t>
      </w:r>
    </w:p>
    <w:p>
      <w:pPr>
        <w:pStyle w:val="BookText"/>
        <w:bidi w:val="0"/>
        <w:jc w:val="both"/>
        <w:rPr/>
      </w:pPr>
      <w:r>
        <w:rPr>
          <w:rFonts w:eastAsia="Times New Roman" w:cs="Times New Roman" w:ascii="Times New Roman" w:hAnsi="Times New Roman"/>
          <w:color w:val="111111"/>
          <w:sz w:val="28"/>
          <w:szCs w:val="28"/>
          <w:lang w:val="en-US"/>
        </w:rPr>
        <w:t>Mazhab ‘irfan dan teologi pada abad ketujuh pernah mencapai masa  keemasan. Namun, pada saat yang bersamaan, seluruh aliran pemikiran  dalam Islam akhirnya menjadi bagian integral dari akidah. Menurut  Mottahedeh, inilah salah satu fenomena krusial yang meratakan jalan  bagi kebangkitan Safawi yang punya warna khas Syi'ah .</w:t>
      </w:r>
      <w:r>
        <w:rPr>
          <w:rStyle w:val="FootnoteAnchor"/>
        </w:rPr>
        <w:footnoteReference w:id="101"/>
      </w:r>
    </w:p>
    <w:p>
      <w:pPr>
        <w:pStyle w:val="Heading4"/>
        <w:numPr>
          <w:ilvl w:val="3"/>
          <w:numId w:val="1"/>
        </w:numPr>
        <w:bidi w:val="0"/>
        <w:jc w:val="left"/>
        <w:rPr/>
      </w:pPr>
      <w:bookmarkStart w:id="48" w:name="__RefHeading___Toc688555_653776707"/>
      <w:bookmarkStart w:id="49" w:name="_Toc17"/>
      <w:bookmarkEnd w:id="48"/>
      <w:r>
        <w:rPr/>
        <w:t>4. Periode Khomeini dan Thabâthabâ’î</w:t>
      </w:r>
      <w:bookmarkEnd w:id="49"/>
    </w:p>
    <w:p>
      <w:pPr>
        <w:pStyle w:val="BookText"/>
        <w:bidi w:val="0"/>
        <w:jc w:val="both"/>
        <w:rPr/>
      </w:pPr>
      <w:r>
        <w:rPr>
          <w:rFonts w:eastAsia="Times New Roman" w:cs="Times New Roman" w:ascii="Times New Roman" w:hAnsi="Times New Roman"/>
          <w:color w:val="111111"/>
          <w:sz w:val="28"/>
          <w:szCs w:val="28"/>
          <w:lang w:val="en-US"/>
        </w:rPr>
        <w:t>Dengan berkuasanya rezim Baath yang sangat sekuler dan represif  di wilayah Irak, dan seiring didirikannya hawzah 'Ilmiyah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Hawzah filsafat di Isfahan berkembang pada masa Mir Damad, Baha'i, dan Mulla Sadrâ -mereka  termasuk para tokoh yang mengelola dan mengembangkan hawzah Isfahan di masa pemerintahan  Shafawi. Dengan kata lain, filsafat dan ilmu rasional mulai meramaikan bursa pemikiran dan gagasan di  Isfahan sejak abad ke-11 sampai ke-13. Setelah kepindahan Mullâ Abdullah Zanuzi, yang dikenal  dengan Hakim, ke Tehran, maka sentra ilmu-ilmu rasional ikut berpindah ke sana. Setelah  Mulla Sadrâ hijrah dari Isfahan ke Qom, kontan hawzah filsafat Isfahan menjadi sepi, yang  kemudian memicu kemerosotan ilmu-ilmu rasional di kota itu. Sayang, kedatangan Mulla Sadrâ ke  hawzah Qomberbarengan dengan masa 'uzlah dan pengasingan diri (dari masyarakat). Kelesuan pun  terjeadi lagi hingga kemunculan Mullâ Hadi Sabzewari dengan magnum opusnya, al-Manzhumah.</w:t>
      </w:r>
    </w:p>
    <w:p>
      <w:pPr>
        <w:pStyle w:val="BookText"/>
        <w:bidi w:val="0"/>
        <w:jc w:val="both"/>
        <w:rPr/>
      </w:pPr>
      <w:r>
        <w:rPr>
          <w:rFonts w:eastAsia="Times New Roman" w:cs="Times New Roman" w:ascii="Times New Roman" w:hAnsi="Times New Roman"/>
          <w:color w:val="111111"/>
          <w:sz w:val="28"/>
          <w:szCs w:val="28"/>
          <w:lang w:val="en-US"/>
        </w:rPr>
        <w:t>oleh Abd  al-Karim Haerî Yazdi, kota Qom menjadi pusat alternatif bagi seluruh  aktivitas intelektual kaum Syi'ah di seluruh dunia.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Tanpa perlu waktu lama, untuk kedua kalinya, gairah filsafat di Najaf,  Karbala, dan Isfahan kembali bergejolak di Qom. Para alumnus hawzah  Najaf dan Isfahan pun bermunculan, di antaranya adalah Ruhullah  Khomeini dan Muhammad Hosein Thabâthabâ’î, yang berjasa besar </w:t>
      </w:r>
    </w:p>
    <w:p>
      <w:pPr>
        <w:pStyle w:val="BookText"/>
        <w:bidi w:val="0"/>
        <w:rPr/>
      </w:pPr>
      <w:r>
        <w:rPr>
          <w:rFonts w:eastAsia="Times New Roman" w:cs="Times New Roman" w:ascii="Times New Roman" w:hAnsi="Times New Roman"/>
          <w:color w:val="111111"/>
          <w:sz w:val="28"/>
          <w:szCs w:val="28"/>
          <w:lang w:val="en-US"/>
        </w:rPr>
        <w:t>dalam mengintroduksi filsafat ke dalam lingkungan hawzah Qom dan  menjadikannya sebagai salah satu mata kuliah dasar.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600 jiwa. Karena dikelilingi gurun Lut dan danau garam, iklim Qom pada umumnya kering dan  airnya terasa asin sehingga sulit dijadikan air minum. Di musim panas, suhu di sana bisa mencapai  40 bahkan 45 derajat celcius, sementara di musim dingin mencapai tiga derajat celcius di bawah  nol. Hal ini dirasakan oleh penulis saat menimba ilmu selama tujuh tahun di kota tersebut.</w:t>
      </w:r>
    </w:p>
    <w:p>
      <w:pPr>
        <w:pStyle w:val="BookText"/>
        <w:bidi w:val="0"/>
        <w:jc w:val="both"/>
        <w:rPr/>
      </w:pPr>
      <w:r>
        <w:rPr>
          <w:rFonts w:eastAsia="Times New Roman" w:cs="Times New Roman" w:ascii="Times New Roman" w:hAnsi="Times New Roman"/>
          <w:color w:val="111111"/>
          <w:sz w:val="28"/>
          <w:szCs w:val="28"/>
          <w:lang w:val="en-US"/>
        </w:rPr>
        <w:t>Kedua tokoh ini  telah mengantarkan filsafat dan ‘irfan ke puncak kejayaannya manakala  sukses memasukkan kedua bidang ilmu tersebut ke dalam kurikulum  studi hawzah, mulai dari tingkat dasar (muqaddimat) dengan dua karya  pengantar filsafat, Bidayat al-Hikmah, lalu tingkat menengah (suthuh)  dengan buku daras, Nihâyat al-Hikmah, dan tingkat atas (bahts khârij)  dengan kuliah-kuliah berisikan komentar (catatan kritis) dan penjelasan  rinci terhadap Syarh al-Manzhûmah karya Mullâ Hâdî Sabzawârî dan  al-Asfâr al-Arba'ah karya Mullâ Sadrâ.</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Khomeini adalah seorang filsuf sekaligus ‘ârif besar yang  mengajarkan filsafat setelah kematian gurunya. Ciri khasnya adalah  kecermatannya dalam masalah-masalah filsufis serta perhatiannya  terhadap berbagai dimensi ilmu-ilmu Islam. Karena itu, pembahasan-  pembahasan filsufis, fikih, akhlak, dan ‘irfani yang berperan dalam  pemikiran filsafat politiknya, sering dikemukakan setiap kali ia mengajar  dan konsep wilâyat al-faqih pun berangsur-angsur menyempurna. Dalam  kelas-kelas filsafat dan fikih di hawzah-hawzah ilmiyah, terdapat murid  dan sejumlah pengikutnya. Berkat tersebarluasnya (pemikiran-pemikiran  filsufis dan kefikihan) dari hawzah 'Ilmiyah Qom itulah, ia berhasil  mencetuskan revolusi Islam serta mendirikan pemerintahan Islam.</w:t>
      </w:r>
    </w:p>
    <w:p>
      <w:pPr>
        <w:pStyle w:val="BookText"/>
        <w:bidi w:val="0"/>
        <w:jc w:val="both"/>
        <w:rPr/>
      </w:pPr>
      <w:r>
        <w:rPr>
          <w:rFonts w:eastAsia="Times New Roman" w:cs="Times New Roman" w:ascii="Times New Roman" w:hAnsi="Times New Roman"/>
          <w:color w:val="111111"/>
          <w:sz w:val="28"/>
          <w:szCs w:val="28"/>
          <w:lang w:val="en-US"/>
        </w:rPr>
        <w:t>Sementara Muhammad Hosain Thabâtabâ'i adalah seorang filsuf  yang punya andil besar dalam penyebaran pemikiran Mullâ Sadrâ.</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Selama beberapa waktu, ia mengajarkan beberapa tahap teks al-Asfâr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al-Arba'ah karya Mullâ Sadrâ dan al-Syifâ karya Ibn Sina, serta  menulis kitab Bidâyat al-Hikmah dan Nihâyat al-Hikmah. Karya-karya  Thabâtabâ'i tidak terbatas pada dua karya ini. Ia mempunyai puluhan  karya berupa buku, risalah, dan hâsyiah (catatan pinggir) yang berkenaan  dengan filsafat Islam. Bukti sumbangsihnya dalam konteks perfilsafatan  Qom adalah rumusan metode baru bagi penyampaian teori-teori filsafat  ketuhanan dan jawaban-jawabannya terhadap filsafat materialisme-  dialektis. Salah satu karyanya yang mengundang decak kagum banyak  sarjana filsafat Barat adalah Ushûl-e Falsafeh wa Ravesy-e Realism. </w:t>
      </w:r>
      <w:r>
        <w:rPr>
          <w:rStyle w:val="FootnoteAnchor"/>
        </w:rPr>
        <w:footnoteReference w:id="104"/>
      </w:r>
      <w:r>
        <w:rPr>
          <w:rFonts w:eastAsia="Times New Roman" w:cs="Times New Roman" w:ascii="Times New Roman" w:hAnsi="Times New Roman"/>
          <w:color w:val="111111"/>
          <w:sz w:val="28"/>
          <w:szCs w:val="28"/>
          <w:lang w:val="en-US"/>
        </w:rPr>
        <w:t xml:space="preserve"> Pada periode ini, dasar-dasar pemikiran politik Islam mulai digali  secara mendalam dan kerangka utamanya disusun agar teori wilâyat  alfaqîh</w:t>
      </w:r>
      <w:r>
        <w:rPr>
          <w:rStyle w:val="FootnoteAnchor"/>
        </w:rPr>
        <w:footnoteReference w:id="105"/>
      </w:r>
      <w:r>
        <w:rPr>
          <w:rFonts w:eastAsia="Times New Roman" w:cs="Times New Roman" w:ascii="Times New Roman" w:hAnsi="Times New Roman"/>
          <w:color w:val="111111"/>
          <w:sz w:val="28"/>
          <w:szCs w:val="28"/>
          <w:lang w:val="en-US"/>
        </w:rPr>
        <w:t xml:space="preserve">terumuskan dalam bentuk yang sempurna dan komprehensif; dan  kritik terhadap filsafat Barat menemukan posisinya di tengah masyarakat  serta mulai digarap untuk kemudian dikembangkan oleh para penerusnya  dalam formula yang lebih “akademis”. </w:t>
      </w:r>
      <w:r>
        <w:rPr>
          <w:rStyle w:val="FootnoteAnchor"/>
        </w:rPr>
        <w:footnoteReference w:id="106"/>
      </w:r>
      <w:r>
        <w:rPr>
          <w:rFonts w:eastAsia="Times New Roman" w:cs="Times New Roman" w:ascii="Times New Roman" w:hAnsi="Times New Roman"/>
          <w:color w:val="111111"/>
          <w:sz w:val="28"/>
          <w:szCs w:val="28"/>
          <w:lang w:val="en-US"/>
        </w:rPr>
        <w:t xml:space="preserve"> Setelah 1400 tahun, prinsip-prinsip keyakinan dan filsafat politik  Islam mulai ditulis dalam buku-buku yang kemudian memenuhi  perpustakaan-perpustakaan dan menjadi bahan perbincangan publik  sehingga tersebar luas di tengah masyarakat. Sejak itulah, “masa  depan Islam” mulai menemukan momentum optimistisnya. Sepanjang  periode ini, khususnya sejak Khomeini dan Thabâthabâ’î menjadi figur  utama dalam hawzah 'Ilmiyah Qom, filsafat Islam menjadi salah satu  primadona materi perkuliahan, yang menggeser mata kuliah ilmu-ilmu  textual-oriented yang sebelumnya sangat populer. </w:t>
      </w:r>
      <w:r>
        <w:rPr>
          <w:rStyle w:val="FootnoteAnchor"/>
        </w:rPr>
        <w:footnoteReference w:id="107"/>
      </w:r>
      <w:bookmarkStart w:id="50" w:name="pg6424_44732"/>
    </w:p>
    <w:p>
      <w:pPr>
        <w:pStyle w:val="Heading4"/>
        <w:numPr>
          <w:ilvl w:val="3"/>
          <w:numId w:val="1"/>
        </w:numPr>
        <w:bidi w:val="0"/>
        <w:jc w:val="left"/>
        <w:rPr/>
      </w:pPr>
      <w:bookmarkStart w:id="51" w:name="__RefHeading___Toc688557_653776707"/>
      <w:bookmarkStart w:id="52" w:name="_Toc18"/>
      <w:bookmarkEnd w:id="50"/>
      <w:bookmarkEnd w:id="51"/>
      <w:r>
        <w:rPr/>
        <w:t>5. Periode Muthahhari</w:t>
      </w:r>
      <w:bookmarkEnd w:id="52"/>
    </w:p>
    <w:p>
      <w:pPr>
        <w:pStyle w:val="BookText"/>
        <w:bidi w:val="0"/>
        <w:jc w:val="both"/>
        <w:rPr/>
      </w:pPr>
      <w:r>
        <w:rPr>
          <w:rFonts w:eastAsia="Times New Roman" w:cs="Times New Roman" w:ascii="Times New Roman" w:hAnsi="Times New Roman"/>
          <w:color w:val="111111"/>
          <w:sz w:val="28"/>
          <w:szCs w:val="28"/>
          <w:lang w:val="en-US"/>
        </w:rPr>
        <w:t>Meskipun sekarang ini Khomeini dan Thabâthabâ’î (dua tokoh  pemikir filsafat Muslim kontemporer) telah wafat, dinamika pemikiran  filsafat di hawzah 'Ilmiyah Qom terus berdenyut, bahkan semakin  kencang dan bergairah. Gejala ini tercermin dari makin maraknya polemik  filsufis dan terbentuknya sub-sub mazhab dalam lingkaran Hikmah  Muta’âliyyah. Berkaitan dengannya, yang penulis temukan, setidaknya  terdapat beberapa kelompok filsuf yang memiliki kecenderungan  berbeda.</w:t>
      </w:r>
    </w:p>
    <w:p>
      <w:pPr>
        <w:pStyle w:val="BookText"/>
        <w:bidi w:val="0"/>
        <w:jc w:val="both"/>
        <w:rPr/>
      </w:pPr>
      <w:r>
        <w:rPr>
          <w:rFonts w:eastAsia="Times New Roman" w:cs="Times New Roman" w:ascii="Times New Roman" w:hAnsi="Times New Roman"/>
          <w:color w:val="111111"/>
          <w:sz w:val="28"/>
          <w:szCs w:val="28"/>
          <w:lang w:val="en-US"/>
        </w:rPr>
        <w:t>Salah satu ikon pemikiran filsafat produk hawzah 'Ilmiyah Qom  yang mendunia adalah Murtadha Muthahhari. Tokoh ini seolah jauh  lebih aktif setelah wafatnya. Sebagian besar buku yang beredar saat  ini merupakan transkripsi dari pidato atau ceramahnya selama hidup.</w:t>
      </w:r>
    </w:p>
    <w:p>
      <w:pPr>
        <w:pStyle w:val="BookText"/>
        <w:bidi w:val="0"/>
        <w:jc w:val="both"/>
        <w:rPr/>
      </w:pPr>
      <w:r>
        <w:rPr>
          <w:rFonts w:eastAsia="Times New Roman" w:cs="Times New Roman" w:ascii="Times New Roman" w:hAnsi="Times New Roman"/>
          <w:color w:val="111111"/>
          <w:sz w:val="28"/>
          <w:szCs w:val="28"/>
          <w:lang w:val="en-US"/>
        </w:rPr>
        <w:t>Sedangkan buku yang ditulisnya sendiri sedikit jumlahnya, antara lain  Usul-e Falsafah va Realism, yang berisikan komentar atas pandangan  gurunya, Thabâthabâ’î.</w:t>
      </w:r>
    </w:p>
    <w:p>
      <w:pPr>
        <w:pStyle w:val="BookText"/>
        <w:bidi w:val="0"/>
        <w:jc w:val="both"/>
        <w:rPr/>
      </w:pPr>
      <w:r>
        <w:rPr>
          <w:rFonts w:eastAsia="Times New Roman" w:cs="Times New Roman" w:ascii="Times New Roman" w:hAnsi="Times New Roman"/>
          <w:color w:val="111111"/>
          <w:sz w:val="28"/>
          <w:szCs w:val="28"/>
          <w:lang w:val="en-US"/>
        </w:rPr>
        <w:t>Murtadha Muthahhari lahir di Faryan, 2 Februari 1920. Usai  menamatkan pendidikan dasarnya, ia pindah ke Masyhad, sebuah  wilayah pusat ziarah dan belajar. Di tempat inilah ia mulai berkenalan  dengan filsafat Islam dan ilmu-ilmu rasional. Dari Masyhad, Muthahhari  pindah ke Qom. Kepindahannya ke kota tersebut karena mengikuti guru  yang memperkenalkan dirinya pada filsafat, yakni Mirza Mehdi Shahidi  Ravazi. Muthahhari baru menetap di Qom pada 1936. Di kota inilah ia  berjumpa Khomeini serta Thabâthabâ’î, dua tokoh yang sangat mewarnai  pandangannya. Sepanjang hidupnya ia selalu mengatakan pelajaran yang  ia terima dari Khomeini selalu terngiang di telinganya, seolah baru satu  atau dua hari saja ia dapat.</w:t>
      </w:r>
    </w:p>
    <w:p>
      <w:pPr>
        <w:pStyle w:val="BookText"/>
        <w:bidi w:val="0"/>
        <w:jc w:val="both"/>
        <w:rPr/>
      </w:pPr>
      <w:r>
        <w:rPr>
          <w:rFonts w:eastAsia="Times New Roman" w:cs="Times New Roman" w:ascii="Times New Roman" w:hAnsi="Times New Roman"/>
          <w:color w:val="111111"/>
          <w:sz w:val="28"/>
          <w:szCs w:val="28"/>
          <w:lang w:val="en-US"/>
        </w:rPr>
        <w:t>Dari Khomeini, Muthhahari memperoleh pelajaran filsafat dan ‘irfan.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Tahun 1941, Muthahhari meninggalkan Qom menuju Isfahan. Di sini,  minatnya terhadap Nahjul Balaghah makin tinggi. Ia mempelajarinya  dengan bimbingan Mirza Ali Aqa Shirazi Isfahani, guru yang memiliki  otoritas untuk naskah-naskah Syiah. Tetapi, untuk ilmu ushul fiqh, </w:t>
      </w:r>
    </w:p>
    <w:p>
      <w:pPr>
        <w:pStyle w:val="BookText"/>
        <w:bidi w:val="0"/>
        <w:rPr/>
      </w:pPr>
      <w:r>
        <w:rPr>
          <w:rFonts w:eastAsia="Times New Roman" w:cs="Times New Roman" w:ascii="Times New Roman" w:hAnsi="Times New Roman"/>
          <w:color w:val="111111"/>
          <w:sz w:val="28"/>
          <w:szCs w:val="28"/>
          <w:lang w:val="en-US"/>
        </w:rPr>
        <w:t>Muthahhari tetap kembali ke Qom. Hasratnya terhadap ilmu filsafat masih  belum berhenti. Muthahhari kemudian membaca Manzumah, sebuah  naskah filsufis karya Mulla Hadi Sabzawardi. Ia kemudian melanjutkan  kajian filsafatnya dengan mempelajari Kifayah al Usul, sebuah kitab  hukum dari Akhud Khorasani. Dari kitab Kifâyat al-Uhsûl, kemudian  Muthahhari memulai komitmennnya untuk mempelajari Marxisme.</w:t>
      </w:r>
    </w:p>
    <w:p>
      <w:pPr>
        <w:pStyle w:val="BookText"/>
        <w:bidi w:val="0"/>
        <w:jc w:val="both"/>
        <w:rPr/>
      </w:pPr>
      <w:r>
        <w:rPr>
          <w:rFonts w:eastAsia="Times New Roman" w:cs="Times New Roman" w:ascii="Times New Roman" w:hAnsi="Times New Roman"/>
          <w:color w:val="111111"/>
          <w:sz w:val="28"/>
          <w:szCs w:val="28"/>
          <w:lang w:val="en-US"/>
        </w:rPr>
        <w:t>Sumber yang diperoleh Muthahhari untuk mempelajari Marxisme  umumnya dari buku dan lembaran yang dibuat oleh partai Tudeh.</w:t>
      </w:r>
    </w:p>
    <w:p>
      <w:pPr>
        <w:pStyle w:val="BookText"/>
        <w:bidi w:val="0"/>
        <w:jc w:val="both"/>
        <w:rPr/>
      </w:pPr>
      <w:r>
        <w:rPr>
          <w:rFonts w:eastAsia="Times New Roman" w:cs="Times New Roman" w:ascii="Times New Roman" w:hAnsi="Times New Roman"/>
          <w:color w:val="111111"/>
          <w:sz w:val="28"/>
          <w:szCs w:val="28"/>
          <w:lang w:val="en-US"/>
        </w:rPr>
        <w:t>Pemikirannya terus berjalan dengan mempelajari al-Asfar al-Arba`ah,  juga sebuah buku yang mengkaji pemikiran filsafat. Tumpuan lebih  keras pada pembelajaran falsafah dengan mempelajari secara terperinci,  Introduction to Philosophy. Ia juga bergabung dengan diskusi  Kamis bersama Thabatabai tentang filsafat materialisme. Diskusi itu  berlangsung tiga tahun, hingga menghasilkan sebuah buku Ushul el  Falsafah va Ravesh-e Realism (Prinsip Falsafah dan Metode Realistik).</w:t>
      </w:r>
    </w:p>
    <w:p>
      <w:pPr>
        <w:pStyle w:val="BookText"/>
        <w:bidi w:val="0"/>
        <w:jc w:val="both"/>
        <w:rPr/>
      </w:pPr>
      <w:r>
        <w:rPr>
          <w:rFonts w:eastAsia="Times New Roman" w:cs="Times New Roman" w:ascii="Times New Roman" w:hAnsi="Times New Roman"/>
          <w:color w:val="111111"/>
          <w:sz w:val="28"/>
          <w:szCs w:val="28"/>
          <w:lang w:val="en-US"/>
        </w:rPr>
        <w:t>Muthahhari memperbaiki naskah dan memberi tambahan lebih luas  kemudian menerbitkannya secara bertahap. Ia juga mempelajari buku  karya Ibn Sina dan lainnya. Pada 1954, Muthahhari mulai mengajar  di Fakultas Teologi Universitas Tehran.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saat yang sama, ia juga mulai aktif dalam organisasi masyarakat  keagamaan bulanan (Anjoman-e Ye dini) dan menerbitkan majalah  bulanan Goftar-e Mah. Ia juga secara berkala mengajarkan ilmu Islam  kepada masyarakat biasa. Kendati lama bergelut dengan filsafat,  Muthhahari tetap boleh berhubungan dengan masyarakat biasa. Ia tetap  mengajar ilmu agama sehingga ia lebih dikenal sebagai ulama daripada  filsuf. Bahasanya cair dan ilmu yang diajarkan dapat diterima dengan  mudah oleh masyarakat. Muthahhari bukan hanya masuk pada kajian  agama untuk kehidupan sehari-hari, melainkan juga memasuki perdebatan  tentang feminisme, teori evolusi, dan bahkan prinsip kebersebaban dan  penciptaan alam semesta yang selalu menjadi perdebatan para filsuf </w:t>
      </w:r>
      <w:r>
        <w:rPr>
          <w:rStyle w:val="FootnoteAnchor"/>
        </w:rPr>
        <w:footnoteReference w:id="108"/>
      </w:r>
      <w:r>
        <w:rPr>
          <w:rFonts w:eastAsia="Times New Roman" w:cs="Times New Roman" w:ascii="Times New Roman" w:hAnsi="Times New Roman"/>
          <w:color w:val="111111"/>
          <w:sz w:val="28"/>
          <w:szCs w:val="28"/>
          <w:lang w:val="en-US"/>
        </w:rPr>
        <w:t xml:space="preserve"> Revolusi Islam Iran telah mencuatkan nama-nama di baliknya. Selain </w:t>
      </w:r>
    </w:p>
    <w:p>
      <w:pPr>
        <w:pStyle w:val="BookText"/>
        <w:bidi w:val="0"/>
        <w:rPr/>
      </w:pPr>
      <w:r>
        <w:rPr>
          <w:rFonts w:eastAsia="Times New Roman" w:cs="Times New Roman" w:ascii="Times New Roman" w:hAnsi="Times New Roman"/>
          <w:color w:val="111111"/>
          <w:sz w:val="28"/>
          <w:szCs w:val="28"/>
          <w:lang w:val="en-US"/>
        </w:rPr>
        <w:t>Khomeini yang menjadi tokoh yang dikenal sebagai rahbar (pemimpin),  nama Muthahhari sebagai salah satu murid terdekatnya pun melambung  Karya-karyanya diterjemahkan, diseminarkan dan dikaji hingga saat ini  di dunia Islam dan Barat.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Sejak saat itu, di hawzah 'Ilmiyah Qom, minat terhadap filsafat  tradisional dan Barat semakin meluas. Pelajar-pelajar asing, termasuk  dari Indonesia dan Asia Tenggara pada umumnya, juga ikut menekuni  studi dalam disiplin ini. Mereka menghadiri atau mendengarkan rekaman  kuliah-kuliah filsafat (dalam bentuk kaset atau compact disc) yang  diajarkan dalam aneka bahasa, seperti Persia, Arab, Inggris, Perancis,  Azari, Urdu, Swahili, dan Melayu. Sekarang ini, mereka dikonsentrasikan  di sebuah pusat pendidikan Madrasah 'Ilmiyah Khomeini yang sangat  megah dengan fasilitas cukup lengkap. Hal inilah ladang persemaian filsafat  Islam di era mikrochip. </w:t>
      </w:r>
      <w:r>
        <w:rPr>
          <w:rStyle w:val="FootnoteAnchor"/>
        </w:rPr>
        <w:footnoteReference w:id="109"/>
      </w:r>
      <w:r>
        <w:rPr>
          <w:rFonts w:eastAsia="Times New Roman" w:cs="Times New Roman" w:ascii="Times New Roman" w:hAnsi="Times New Roman"/>
          <w:color w:val="111111"/>
          <w:sz w:val="28"/>
          <w:szCs w:val="28"/>
          <w:lang w:val="en-US"/>
        </w:rPr>
        <w:t xml:space="preserve"> Dewasa ini, posisi akademik dari disiplin filsafat dan ilmu-ilmu  rasional lainnya di hawzah 'Ilmiyah Qom, sudah berdiri sejajar dengan  ilmu-ilmu tekstual, seperti fikih dan ushul fikih. Semua itu berkat  kerja keras dan reformasi kurikulum yang dilancarkan Khomeini dan  Thabâthabâ’î sepanjang beberapa dekade. Keduanya telah mencetak  ratusan ulama pemikir dan filsuf besar dengan berbagai kekhasan dan  kecenderungan masing-masing. Di antara nama-nama besar hasil didikan  mereka adalah Murtadha Mutahhari, Seyyed Hossein Nashr, dan Mehdi  Ha'eri Yazdî </w:t>
      </w:r>
      <w:r>
        <w:rPr>
          <w:rStyle w:val="FootnoteAnchor"/>
        </w:rPr>
        <w:footnoteReference w:id="110"/>
      </w:r>
    </w:p>
    <w:p>
      <w:pPr>
        <w:pStyle w:val="BookText"/>
        <w:bidi w:val="0"/>
        <w:rPr/>
      </w:pPr>
      <w:r>
        <w:rPr>
          <w:rFonts w:eastAsia="Times New Roman" w:cs="Times New Roman" w:ascii="Times New Roman" w:hAnsi="Times New Roman"/>
          <w:color w:val="111111"/>
          <w:sz w:val="28"/>
          <w:szCs w:val="28"/>
          <w:lang w:val="en-US"/>
        </w:rPr>
        <w:t>Namun, perkembangan zaman, menurut kearifan lama, selalu  memunculkan spirit, konteks, dan tuntutan yang berbeda. Oleh karena  itu, berbeda dengan masa-masa sebelumnya yang cenderung mengemas  kanon filsafat sebagai kritik ideologi dan pemenuhan tuntutan politik,  kini spektrum pemikiran yang terbentuk lebih berorientasi pada kritik  filsafat dan dialog atau kombinasi gagasan filsufis dalam semangat  keterbukaan. Arus baru yang mengalir dalam kanal disiplin filsafat di  hawzah Qom inilah yang kemudian memunculkan beberapa figur guru  besar filsafat Islam kontemporer.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Figur ini menjadi yang paling menarik perhatian disebabkan  lontaran kritik-kritiknya terhadap beberapa butir pemikiran filsufis  Mullâ Sadrâ dan Thabâthabâ’î; bahkan terhadap ortodoksi pemikiran  filsafat di hawzah 'Ilmiyah Qom secara umum (yang karenanya, ia  dianggap menyempal dari arus utama pemikiran hawzah filsafat yang  terkesan taken for granted terhadap Mullâ Sadrâ dan Thabâthabâ’i). Di  antara pemikir-pemikir filsafat produk Thabâthabâ’î di hawzah 'Ilmiyah  Qom yang kini menjadi pelopor kebangkitan filsafat neo-Peripatetik atau  post-Sadrian filsafat Islam adalah tokoh yang menjadi objek penelitian  dalam disertasi ini. Dia adalah Muhammad Taqî Mishbâh Yazdî. </w:t>
      </w:r>
      <w:bookmarkStart w:id="53" w:name="pg6424_44744"/>
    </w:p>
    <w:p>
      <w:pPr>
        <w:pStyle w:val="Heading4"/>
        <w:numPr>
          <w:ilvl w:val="3"/>
          <w:numId w:val="1"/>
        </w:numPr>
        <w:bidi w:val="0"/>
        <w:jc w:val="left"/>
        <w:rPr/>
      </w:pPr>
      <w:bookmarkStart w:id="54" w:name="__RefHeading___Toc688559_653776707"/>
      <w:bookmarkStart w:id="55" w:name="_Toc19"/>
      <w:bookmarkEnd w:id="53"/>
      <w:bookmarkEnd w:id="54"/>
      <w:r>
        <w:rPr/>
        <w:t>6. Periode Muhammad Taqi Mishbâh Yazdî</w:t>
      </w:r>
      <w:bookmarkEnd w:id="55"/>
    </w:p>
    <w:p>
      <w:pPr>
        <w:pStyle w:val="BookText"/>
        <w:bidi w:val="0"/>
        <w:jc w:val="both"/>
        <w:rPr/>
      </w:pPr>
      <w:r>
        <w:rPr>
          <w:rFonts w:eastAsia="Times New Roman" w:cs="Times New Roman" w:ascii="Times New Roman" w:hAnsi="Times New Roman"/>
          <w:color w:val="111111"/>
          <w:sz w:val="28"/>
          <w:szCs w:val="28"/>
          <w:lang w:val="en-US"/>
        </w:rPr>
        <w:t>Sejak wafatnya Murtadha Mutahhari, Muhammad Taqi Mishbâh  Yazdî menjadi figur pemikir produk hawzah 'Ilmiyah Qom yang  paling menonjol dan produktif. Ia memainkan peran penting dalam  menciptakan iklim yang kondusif bagi perkembangan wacana filsafat  Islam yang berusaha mengharmoniskan antara Sadraisme, Masyyâ'iyyah  (Peripatetisme Ibn Sina), filsafat modern, dan visi politik Khomeini yang  berpijak di atas basis welâyat-e faqih (wilâyat al- faqih).</w:t>
      </w:r>
      <w:r>
        <w:rPr>
          <w:rStyle w:val="FootnoteAnchor"/>
        </w:rPr>
        <w:footnoteReference w:id="111"/>
      </w:r>
      <w:r>
        <w:rPr>
          <w:rFonts w:eastAsia="Times New Roman" w:cs="Times New Roman" w:ascii="Times New Roman" w:hAnsi="Times New Roman"/>
          <w:color w:val="111111"/>
          <w:sz w:val="28"/>
          <w:szCs w:val="28"/>
          <w:lang w:val="en-US"/>
        </w:rPr>
        <w:t xml:space="preserve"> Muhammad Taqi Mishbâh Yazdî dapat dianggap sebagai produk  orisinal hawzah Qom yang diyakini mampu memberikan respons  terhadap wacana-wacana pemikiran kontemporer, termasuk sejumlah  aliran pemikiran modern dan pascamodern. Selain itu, ia berupaya untuk  mendialogkan tradisionalisme dan modernisme dalam wawasan filsafat  yang diproyeksikan pada terciptanya reformasi sistem pendidikan hawzah.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Berkat kiprah Muhammad Taqi Mishbâh Yazdî yang berkolaborasi  dengan Muhammad Legenhausen, pakar filsafat Barat yang ‘nyantri' di  hawzah Qom dan menjadi sumber autentik tangan pertama’ filsafat Barat,  berdirilah sejumlah pusat studi filsafat yang dikelola secara modern, yang  mampu mencetak puluhan, bahkan ratusan sarjana rohaniawan sekaligus  filsuf muda yang cukup produktif dan aktif menjadi narasumber dalam  berbagai seminar keislaman lokal maupun internasional, menulis buku  dan artikel di jurnal-jurnal, surat kabar, dan majalah. Mereka cukup  bersemangat dan memiliki kemampuan berbahasa asing, terutama  Arab dan Inggris. Sebagian besar mereka melengkapi studinya dengan  menempuh dan merampungkan pendidikan formal di perguruan tinggi  lokal dan internasional hingga meraih gelar doctor of philosophy  (PhD). </w:t>
      </w:r>
      <w:r>
        <w:rPr>
          <w:rStyle w:val="FootnoteAnchor"/>
        </w:rPr>
        <w:footnoteReference w:id="11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Pemikiran Filsafat Ayatullah M.T. Mishbah Yazdi  Berkat usaha gigih Muhammad Taqi Mishbâh Yazdî, kini di hawzah  'Ilmiyah Qom, minat terhadap bidang studi filsafat Islam makin luas,  dan wacana pemikiran Barat mulai dikaji secara mendalam. Pelajarpela-  jar asing, termasuk dari Indonesia dan Asia Tenggara pada umumnya,  juga ikut menekuni studi dalam disiplin ini. Mereka menghadiri atau  mendengarkan rekaman kuliah-kuliah filsafat (dalam bentuk kaset atau  compact disc) yang diajarkan dalam aneka bahasa, seperti Persia dan  Arab. </w:t>
      </w:r>
      <w:r>
        <w:rPr>
          <w:rStyle w:val="FootnoteAnchor"/>
        </w:rPr>
        <w:footnoteReference w:id="113"/>
      </w:r>
      <w:bookmarkStart w:id="56" w:name="pg6424_44750"/>
    </w:p>
    <w:p>
      <w:pPr>
        <w:pStyle w:val="Heading2"/>
        <w:numPr>
          <w:ilvl w:val="1"/>
          <w:numId w:val="1"/>
        </w:numPr>
        <w:bidi w:val="0"/>
        <w:jc w:val="left"/>
        <w:rPr/>
      </w:pPr>
      <w:bookmarkStart w:id="57" w:name="__RefHeading___Toc688561_653776707"/>
      <w:bookmarkStart w:id="58" w:name="_Toc20"/>
      <w:bookmarkEnd w:id="56"/>
      <w:bookmarkEnd w:id="57"/>
      <w:r>
        <w:rPr/>
        <w:t>BAB III: PROFIL MUHAMMAD TAQÎ MISHBÂH YAZDI</w:t>
      </w:r>
      <w:bookmarkEnd w:id="58"/>
    </w:p>
    <w:p>
      <w:pPr>
        <w:pStyle w:val="Heading3"/>
        <w:numPr>
          <w:ilvl w:val="2"/>
          <w:numId w:val="1"/>
        </w:numPr>
        <w:bidi w:val="0"/>
        <w:jc w:val="left"/>
        <w:rPr/>
      </w:pPr>
      <w:bookmarkStart w:id="59" w:name="__RefHeading___Toc688563_653776707"/>
      <w:bookmarkStart w:id="60" w:name="_Toc21"/>
      <w:bookmarkEnd w:id="59"/>
      <w:r>
        <w:rPr/>
        <w:t>A. Biografi</w:t>
      </w:r>
      <w:bookmarkEnd w:id="60"/>
    </w:p>
    <w:p>
      <w:pPr>
        <w:pStyle w:val="BookText"/>
        <w:bidi w:val="0"/>
        <w:jc w:val="both"/>
        <w:rPr/>
      </w:pPr>
      <w:r>
        <w:rPr>
          <w:rFonts w:eastAsia="Times New Roman" w:cs="Times New Roman" w:ascii="Times New Roman" w:hAnsi="Times New Roman"/>
          <w:color w:val="111111"/>
          <w:sz w:val="28"/>
          <w:szCs w:val="28"/>
          <w:lang w:val="en-US"/>
        </w:rPr>
        <w:t>Muhammad Taqî Mishbâh Yazdî lahir di kota Yazd, Iran, pada 11  Bahman 1313 Hijriah Syamsiyyah,</w:t>
      </w:r>
      <w:r>
        <w:rPr>
          <w:rStyle w:val="FootnoteAnchor"/>
        </w:rPr>
        <w:footnoteReference w:id="114"/>
      </w:r>
      <w:r>
        <w:rPr>
          <w:rFonts w:eastAsia="Times New Roman" w:cs="Times New Roman" w:ascii="Times New Roman" w:hAnsi="Times New Roman"/>
          <w:color w:val="111111"/>
          <w:sz w:val="28"/>
          <w:szCs w:val="28"/>
          <w:lang w:val="en-US"/>
        </w:rPr>
        <w:t>bertepatan dengan 17 Rabiul Awal,  1353 Hijriah Qamariyyah (1934). Kehidupan ekonomi orang tuanya  yang tinggal di rumah warisan neneknya terbilang sangat sulit. Berkat  bantuan bibi, sang ibu membuka usaha jahitan kaus kaki di rumah, yang  hasilnya kemudian dijual sang ayah di sebuah toko. Hal ini dilakukan demi  kelangsungan hidup mereka. Uang yang dihasilkan dari usaha tersebut  tentu masih jauh dari mencukupi kebutuhan mereka sehari-hari. Karena  itu, sang ayah terpaksa meminjam sejumlah uang untuk membuka usaha  dagang  Berkenaan dengan situasi saat itu, Muhammad Taqi Mishbâh Yazdî  menuturkan: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masih ingat makanan terbaik yang kami sukai dan seminggu  sekali kami santap. Kala itu, sepulang dari madrasah, saya bersama  saudara saya membeli yoghurt (susu fermentasi) seharga dua  riyal. Lalu ibu saya membuat air gula dalam ukuran tertentu, untuk  kemudian dicampurkan dengan lemak susu yang kami beli. Hal inilah  makan malam terbaik di akhir minggu.</w:t>
      </w:r>
      <w:r>
        <w:rPr>
          <w:rStyle w:val="FootnoteAnchor"/>
        </w:rPr>
        <w:footnoteReference w:id="115"/>
      </w:r>
    </w:p>
    <w:p>
      <w:pPr>
        <w:pStyle w:val="BookText"/>
        <w:bidi w:val="0"/>
        <w:rPr/>
      </w:pPr>
      <w:r>
        <w:rPr>
          <w:rFonts w:eastAsia="Times New Roman" w:cs="Times New Roman" w:ascii="Times New Roman" w:hAnsi="Times New Roman"/>
          <w:color w:val="111111"/>
          <w:sz w:val="28"/>
          <w:szCs w:val="28"/>
          <w:lang w:val="en-US"/>
        </w:rPr>
        <w:t>Masa kecil Muhammad Taqi Mishbâh Yazdî dihabiskan dalam  keluarga religius yang hangat. Kemudian, setelah cukup usia, ia  memasuki sekolah dasar demi memperoleh pendidikan dan pengetahuan  yang lebih luas. Muhammad Taqi Mishbâh Yazdî sangat menyukai dan  mencintai ilmu pengetahuan, sampai-sampai dalam setiap ujian akhir  setiap tahunnya, ia selalu terpilih sebagai yang terbaik. Ia juga termasuk  murid yang sangat disukai dan dihormati para guru, termasuk kepala  sekolah. Mereka terus memotivasi dirinya agar terus meningkatkan  ketekunan dan keseriusannya dalam belajar agar kelak menjadi seorang  ilmuwan terkenal di tanah airnya, Iran. Namun, Muhammad Taqi Mishbâh  Yazdî sejak awal sudah memendam cita-citanya sendiri, ia ingin men-  jadi ahli agama.</w:t>
      </w:r>
    </w:p>
    <w:p>
      <w:pPr>
        <w:pStyle w:val="BookText"/>
        <w:bidi w:val="0"/>
        <w:jc w:val="both"/>
        <w:rPr/>
      </w:pPr>
      <w:r>
        <w:rPr>
          <w:rFonts w:eastAsia="Times New Roman" w:cs="Times New Roman" w:ascii="Times New Roman" w:hAnsi="Times New Roman"/>
          <w:color w:val="111111"/>
          <w:sz w:val="28"/>
          <w:szCs w:val="28"/>
          <w:lang w:val="en-US"/>
        </w:rPr>
        <w:t>Berkenaan dengannya, ada sebuah kejadian menarik. Saat sedang  mengikuti pelajaran mengarang di kelas empat, ia diminta sang guru  untuk menulis artikel pendek. Kemudian, dalam artikel yang ditulisnya  itu, ia pun mengungkapkan keinginannya untuk belajar ke Najaf, Irak,  demi mendalami ilmu agama. Tentu saja artikel itu mengejutkan gurunya.</w:t>
      </w:r>
    </w:p>
    <w:p>
      <w:pPr>
        <w:pStyle w:val="BookText"/>
        <w:bidi w:val="0"/>
        <w:jc w:val="both"/>
        <w:rPr/>
      </w:pPr>
      <w:r>
        <w:rPr>
          <w:rFonts w:eastAsia="Times New Roman" w:cs="Times New Roman" w:ascii="Times New Roman" w:hAnsi="Times New Roman"/>
          <w:color w:val="111111"/>
          <w:sz w:val="28"/>
          <w:szCs w:val="28"/>
          <w:lang w:val="en-US"/>
        </w:rPr>
        <w:t>Disebabkan teman-teman sekelasnya rata-rata bercita-cita menjadi pilot,  perwira dan lainya, mereka pun menilai janggal cita-cita Muhammad  Taqi Mishbâh Yazdî.</w:t>
      </w:r>
    </w:p>
    <w:p>
      <w:pPr>
        <w:pStyle w:val="BookText"/>
        <w:bidi w:val="0"/>
        <w:jc w:val="both"/>
        <w:rPr/>
      </w:pPr>
      <w:r>
        <w:rPr>
          <w:rFonts w:eastAsia="Times New Roman" w:cs="Times New Roman" w:ascii="Times New Roman" w:hAnsi="Times New Roman"/>
          <w:color w:val="111111"/>
          <w:sz w:val="28"/>
          <w:szCs w:val="28"/>
          <w:lang w:val="en-US"/>
        </w:rPr>
        <w:t>Keterkejutan dan penilaian di masa tersebut bukan tanpa alasan.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Saat itu kebanyakan orang kurang menaruh perhatian pada ilmu-  ilmu agama, kaum rohaniawan, dan tokoh-tokoh agama. Sistem pe-  merintahan sekuler Reza Pahlevi yang represif telah memekarkan sikap  ini lewat propaganda yang sangat gencar. Sebagian ulama pada masa itu  umumnya terpaksa atau atas pilihan sendiri, menanggalkan profesinya  sebagai mubaligh dan guru agama akibat stigma politik dan himpitan  ekonomi. Dalam situasi dan kondisi sulit semacam itu, bila seorang saja  menyatakan ingin menjadi seorang akhun (mulah, alim ulama), hal  itu sudah cukup mengejutkan—malah dianggap punya keinginan  yang bukan-bukan. </w:t>
      </w:r>
      <w:r>
        <w:rPr>
          <w:rStyle w:val="FootnoteAnchor"/>
        </w:rPr>
        <w:footnoteReference w:id="116"/>
      </w:r>
      <w:bookmarkStart w:id="61" w:name="pg6424_44755"/>
    </w:p>
    <w:p>
      <w:pPr>
        <w:pStyle w:val="BookText"/>
        <w:bidi w:val="0"/>
        <w:rPr/>
      </w:pPr>
      <w:bookmarkEnd w:id="61"/>
      <w:r>
        <w:rPr>
          <w:rFonts w:eastAsia="Times New Roman" w:cs="Times New Roman" w:ascii="Times New Roman" w:hAnsi="Times New Roman"/>
          <w:color w:val="111111"/>
          <w:sz w:val="28"/>
          <w:szCs w:val="28"/>
          <w:lang w:val="en-US"/>
        </w:rPr>
        <w:t>Selain lembaga pendidikan, serta pembinaan ayah ibunya, yang  menarik Muhammad Taqi Mishbâh Yazdî mendekat ke kutub spiritualitas ada-  lah pesona spiritual yang terpancar dari pribadi Ahmad Âkhûndî.</w:t>
      </w:r>
    </w:p>
    <w:p>
      <w:pPr>
        <w:pStyle w:val="BookText"/>
        <w:bidi w:val="0"/>
        <w:jc w:val="both"/>
        <w:rPr/>
      </w:pPr>
      <w:r>
        <w:rPr>
          <w:rFonts w:eastAsia="Times New Roman" w:cs="Times New Roman" w:ascii="Times New Roman" w:hAnsi="Times New Roman"/>
          <w:color w:val="111111"/>
          <w:sz w:val="28"/>
          <w:szCs w:val="28"/>
          <w:lang w:val="en-US"/>
        </w:rPr>
        <w:t xml:space="preserve">Figur rohaniawan yang mengagumkan dan dikenal sangat saleh ini  tinggal di Najaf. Setiap kali menginspeksi Mauqufeh, sebuah lembaga  pendidikan yang dikelolanya, ia selalu menyempatkan diri singgah  di bilik (asrama) Muhammad Taqi Mishbâh Yazdî yang kala itu juga  belajar di situ. </w:t>
      </w:r>
      <w:r>
        <w:rPr>
          <w:rStyle w:val="FootnoteAnchor"/>
        </w:rPr>
        <w:footnoteReference w:id="117"/>
      </w:r>
      <w:r>
        <w:rPr>
          <w:rFonts w:eastAsia="Times New Roman" w:cs="Times New Roman" w:ascii="Times New Roman" w:hAnsi="Times New Roman"/>
          <w:color w:val="111111"/>
          <w:sz w:val="28"/>
          <w:szCs w:val="28"/>
          <w:lang w:val="en-US"/>
        </w:rPr>
        <w:t>Kesantunan Ahmad dan konsistensinya dalam menjalani  pola hidup spiritual benar-benar membuatnya terpesona. Lelaki tua itu  terbiasa bangun di tengah malam, berwudu, lalu mengambil lentera dan  pergi ke masjid, kemudian baru pulang ke rumah saat cahaya mentari  mulai menerangi setiap sudut kota. Pengaruh ini makin mengental  ketika Ahmad Âkhûndî mendorongnya menekuni pendidikan agama  secara total. Dorongan itulah yang merajut semangat dan cita-cita besar  Muhammad Taqi Mishbâh Yazdî, sekaligus membulatkan tekadnya  untuk menimba ilmu di hawzah ’Ilmiyah, Najaf, Irak. Langkah pertama  yang ditempuhnya adalah membekali diri dengan dasar-dasar ilmu yang  kokoh.</w:t>
      </w:r>
    </w:p>
    <w:p>
      <w:pPr>
        <w:pStyle w:val="Heading3"/>
        <w:numPr>
          <w:ilvl w:val="2"/>
          <w:numId w:val="1"/>
        </w:numPr>
        <w:bidi w:val="0"/>
        <w:jc w:val="left"/>
        <w:rPr/>
      </w:pPr>
      <w:bookmarkStart w:id="62" w:name="__RefHeading___Toc688565_653776707"/>
      <w:bookmarkStart w:id="63" w:name="_Toc22"/>
      <w:bookmarkEnd w:id="62"/>
      <w:r>
        <w:rPr/>
        <w:t>B. Pendidikan</w:t>
      </w:r>
      <w:bookmarkEnd w:id="63"/>
    </w:p>
    <w:p>
      <w:pPr>
        <w:pStyle w:val="Heading4"/>
        <w:numPr>
          <w:ilvl w:val="3"/>
          <w:numId w:val="1"/>
        </w:numPr>
        <w:bidi w:val="0"/>
        <w:jc w:val="left"/>
        <w:rPr/>
      </w:pPr>
      <w:bookmarkStart w:id="64" w:name="__RefHeading___Toc688567_653776707"/>
      <w:bookmarkStart w:id="65" w:name="_Toc23"/>
      <w:bookmarkEnd w:id="64"/>
      <w:r>
        <w:rPr/>
        <w:t>1. Jenjang Muqaddimat</w:t>
      </w:r>
      <w:bookmarkEnd w:id="65"/>
    </w:p>
    <w:p>
      <w:pPr>
        <w:pStyle w:val="BookText"/>
        <w:bidi w:val="0"/>
        <w:jc w:val="both"/>
        <w:rPr/>
      </w:pPr>
      <w:r>
        <w:rPr>
          <w:rFonts w:eastAsia="Times New Roman" w:cs="Times New Roman" w:ascii="Times New Roman" w:hAnsi="Times New Roman"/>
          <w:color w:val="111111"/>
          <w:sz w:val="28"/>
          <w:szCs w:val="28"/>
          <w:lang w:val="en-US"/>
        </w:rPr>
        <w:t>Muhammad Taqi Mishbâh Yazdî muda, pada tahun 1325—1326  Hijriyyah Syamsiyyah (1365—1366 H/1944–1945 M), berhasil  merampungkan studi tingkat dasarnya. Waktu yang dinanti pun tiba.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Hasratnya yang bergelora untuk menimba ilmu-ilmu agama membuatnya  menjauhi liburan dan rekreasi. Tanpa buang-buang waktu, ia segera saja  mendaftarkan diri ke hawzah 'Ilmiyah Yazd di awal musim panas. Di situ,  ia menghuni salah satu kamar Madrasah Syafi'iyyah-yang lokasinya  persis di dekat alun-alun Khan. Meski kondisi hawzah kurang terawat,  dengan bangunan yang mengalami kerusakan di sana-sini, termasuk </w:t>
      </w:r>
    </w:p>
    <w:p>
      <w:pPr>
        <w:pStyle w:val="BookText"/>
        <w:bidi w:val="0"/>
        <w:rPr/>
      </w:pPr>
      <w:r>
        <w:rPr>
          <w:rFonts w:eastAsia="Times New Roman" w:cs="Times New Roman" w:ascii="Times New Roman" w:hAnsi="Times New Roman"/>
          <w:color w:val="111111"/>
          <w:sz w:val="28"/>
          <w:szCs w:val="28"/>
          <w:lang w:val="en-US"/>
        </w:rPr>
        <w:t>kamar-kamarnya, di samping kurangnya tenaga pengajar (ustadz) dan  tiadanya kurikulum yang sistematis, Muhammad Taqi Mishbâh Yazdî  muda tetap tekun dan fokus melakukan mubahatsah (pembahasan) dan  muthala'ah (telaahan). Hasilnya, dalam kurun waktu empat tahun, ia  berhasil merampungkan studi tingkat pertama dan sathh mutawasith  (menengah) sampai tahap mempelajari Rasâil (Farâ'id al-Ushûl) karya  Anshârî dan al-Makâsib karya Akhud Khorasani dengan kesungguhan  luar biasa. Umumnya, untuk menamatkan tingkat studi tersebut, diper-  lukan waktu minimal delapan tahun.</w:t>
      </w:r>
      <w:r>
        <w:rPr>
          <w:rStyle w:val="FootnoteAnchor"/>
        </w:rPr>
        <w:footnoteReference w:id="118"/>
      </w:r>
      <w:r>
        <w:rPr>
          <w:rFonts w:eastAsia="Times New Roman" w:cs="Times New Roman" w:ascii="Times New Roman" w:hAnsi="Times New Roman"/>
          <w:color w:val="111111"/>
          <w:sz w:val="28"/>
          <w:szCs w:val="28"/>
          <w:lang w:val="en-US"/>
        </w:rPr>
        <w:t xml:space="preserve"> Prestasi dan keberhasilannya ini sebagian besar disebabkan bantuan  dan dukungan guru-gurunya, teristimewa almarhum Muhammad Ali  Nûrî yang banyak meluangkan waktu untuk mengajarnya secara pribadi.</w:t>
      </w:r>
    </w:p>
    <w:p>
      <w:pPr>
        <w:pStyle w:val="BookText"/>
        <w:bidi w:val="0"/>
        <w:jc w:val="both"/>
        <w:rPr/>
      </w:pPr>
      <w:r>
        <w:rPr>
          <w:rFonts w:eastAsia="Times New Roman" w:cs="Times New Roman" w:ascii="Times New Roman" w:hAnsi="Times New Roman"/>
          <w:color w:val="111111"/>
          <w:sz w:val="28"/>
          <w:szCs w:val="28"/>
          <w:lang w:val="en-US"/>
        </w:rPr>
        <w:t>Selama proses belajar mengajar, Nûrî sering melontarkan sederet  pertanyaan kepada muridnya itu atau memintanya merangkum pelajaran  yang disampaikannya, untuk kemudian dialihbahasakan ke dalam  bahasa Arab. Setelah itu, ia memeriksa secara cermat catatan yang sudah  dialihbahasakan tersebut.</w:t>
      </w:r>
    </w:p>
    <w:p>
      <w:pPr>
        <w:pStyle w:val="BookText"/>
        <w:bidi w:val="0"/>
        <w:jc w:val="both"/>
        <w:rPr/>
      </w:pPr>
      <w:r>
        <w:rPr>
          <w:rFonts w:eastAsia="Times New Roman" w:cs="Times New Roman" w:ascii="Times New Roman" w:hAnsi="Times New Roman"/>
          <w:color w:val="111111"/>
          <w:sz w:val="28"/>
          <w:szCs w:val="28"/>
          <w:lang w:val="en-US"/>
        </w:rPr>
        <w:t>Selain itu, Muhammad Taqi Mishbâh Yazdî juga belajar kepada  sejumlah ulama. Muhammad Ali Nahwî yang memiliki kamar di  Madrasah Syafi'iyyah adalah salah satunya. Muhammad Taqi Mishbâh  Yazdî juga menekuni sastra (adabiyat) dan sebagian besar (pelajaran-  pelajaran) tingkat menengah dari almarhum Nahwi. Adapun guru-guru  lainnya adalah almarhum `Abd al-Hasan (penulis Syarh Nidham),  almarhum ‘Alî Ridha Mudarisî (murid Dhiya' al-dîn 'Irâqı) yang  mengajarinya sebagian Syarh al-Lum'ah al-Dimasyqiyyah dan Fara’id  al-Ushul, dan Mirza Muhammad Anwârî, yang mengajarinya beberapa  bab dari buku Qawânîn Ushûl.</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Disamping menekuni pelajaran-pelajaran resmi hawzah, Muhammad  Taqi Mishbâh Yazdî juga sangat bersemangat mencari kebenaran  dan sedemikian mencintai ilmu dalam berbagai bidang. Ia, misalnya,  mempelajari ilmu fisika, kimia, psikologi, dan bahasa Perancis di bawah </w:t>
      </w:r>
      <w:bookmarkStart w:id="66" w:name="pg6424_44761"/>
    </w:p>
    <w:p>
      <w:pPr>
        <w:pStyle w:val="BookText"/>
        <w:bidi w:val="0"/>
        <w:rPr/>
      </w:pPr>
      <w:bookmarkEnd w:id="66"/>
      <w:r>
        <w:rPr>
          <w:rFonts w:eastAsia="Times New Roman" w:cs="Times New Roman" w:ascii="Times New Roman" w:hAnsi="Times New Roman"/>
          <w:color w:val="111111"/>
          <w:sz w:val="28"/>
          <w:szCs w:val="28"/>
          <w:lang w:val="en-US"/>
        </w:rPr>
        <w:t>bimbingan seorang ulama terkemuka bernama Muhaqiq Rasytî yang  diutus ke Jerman oleh Borûjerdî.</w:t>
      </w:r>
    </w:p>
    <w:p>
      <w:pPr>
        <w:pStyle w:val="Heading4"/>
        <w:numPr>
          <w:ilvl w:val="3"/>
          <w:numId w:val="1"/>
        </w:numPr>
        <w:bidi w:val="0"/>
        <w:jc w:val="left"/>
        <w:rPr/>
      </w:pPr>
      <w:bookmarkStart w:id="67" w:name="__RefHeading___Toc688569_653776707"/>
      <w:bookmarkStart w:id="68" w:name="_Toc24"/>
      <w:bookmarkEnd w:id="67"/>
      <w:r>
        <w:rPr/>
        <w:t>2. Jenjang Suthuh</w:t>
      </w:r>
      <w:bookmarkEnd w:id="68"/>
    </w:p>
    <w:p>
      <w:pPr>
        <w:pStyle w:val="BookText"/>
        <w:bidi w:val="0"/>
        <w:jc w:val="both"/>
        <w:rPr/>
      </w:pPr>
      <w:r>
        <w:rPr>
          <w:rFonts w:eastAsia="Times New Roman" w:cs="Times New Roman" w:ascii="Times New Roman" w:hAnsi="Times New Roman"/>
          <w:color w:val="111111"/>
          <w:sz w:val="28"/>
          <w:szCs w:val="28"/>
          <w:lang w:val="en-US"/>
        </w:rPr>
        <w:t>a. Hijrah ke Najaf  Pelajar muda ini ternyata menyimpan hasrat yang bergejolak besar  untuk kembali belajar dan mengunjungi Ahmad Akhundî. Merasakan  dan menyaksikan perkembangan Muhammad Taqi Mishbâh Yazdî yang  mengagumkan itu, Ahmad segera mendorongannya hijrah ke Najaf guna  melanjutkan, mematangkan, dan menyempurnakan pendidikannya.</w:t>
      </w:r>
    </w:p>
    <w:p>
      <w:pPr>
        <w:pStyle w:val="BookText"/>
        <w:bidi w:val="0"/>
        <w:jc w:val="both"/>
        <w:rPr/>
      </w:pPr>
      <w:r>
        <w:rPr>
          <w:rFonts w:eastAsia="Times New Roman" w:cs="Times New Roman" w:ascii="Times New Roman" w:hAnsi="Times New Roman"/>
          <w:color w:val="111111"/>
          <w:sz w:val="28"/>
          <w:szCs w:val="28"/>
          <w:lang w:val="en-US"/>
        </w:rPr>
        <w:t>Ia juga menyarankan keluarganya untuk bersama-sama berhijrah dan  bermukim di Najaf.</w:t>
      </w:r>
    </w:p>
    <w:p>
      <w:pPr>
        <w:pStyle w:val="BookText"/>
        <w:bidi w:val="0"/>
        <w:jc w:val="both"/>
        <w:rPr/>
      </w:pPr>
      <w:r>
        <w:rPr>
          <w:rFonts w:eastAsia="Times New Roman" w:cs="Times New Roman" w:ascii="Times New Roman" w:hAnsi="Times New Roman"/>
          <w:color w:val="111111"/>
          <w:sz w:val="28"/>
          <w:szCs w:val="28"/>
          <w:lang w:val="en-US"/>
        </w:rPr>
        <w:t>Disebabkan cintanya yang sangat besar kepada sang putra, akhirnya  kedua orang tua Muhammad Taqî Mishbâh Yazdî memutuskan untuk  menjual rumah berikut segenap aset usahanya dan bertolak ke  Najaf. Mulanya, Muhammad Taqî Mishbâh Yazdî berniat untuk bertolak  lebih dulu ke Qom guna menuntaskan studinya. Namun, keluargan-  ya sudah mengambil keputusan untuk pergi dan menetap di Najaf  pada penghujung tahun 1330 Hijriah/1939 M.</w:t>
      </w:r>
      <w:r>
        <w:rPr>
          <w:rStyle w:val="FootnoteAnchor"/>
        </w:rPr>
        <w:footnoteReference w:id="119"/>
      </w:r>
      <w:r>
        <w:rPr>
          <w:rFonts w:eastAsia="Times New Roman" w:cs="Times New Roman" w:ascii="Times New Roman" w:hAnsi="Times New Roman"/>
          <w:color w:val="111111"/>
          <w:sz w:val="28"/>
          <w:szCs w:val="28"/>
          <w:lang w:val="en-US"/>
        </w:rPr>
        <w:t xml:space="preserve"> Menurut rencana semula, pelajar muda ini akan menekuni dan  memperdalam ilmunya tanpa dibebani apa pun sehingga dapat  berkonsentrasi penuh; sementara kedua orang tuanya akan membuka  usaha pemintalan benang di tempat baru itu. Namun, setelah enam  bulan orang tuanya bekerja keras, kondisi ekonomi keluarga masih  belum menunjukan perkembangan yang diharapkan. Padahal, ayahnya  juga sudah membanting tulang dengan melakukan pekerjaan tambahan  sebagai buruh kasar; tetapi keadaan ekonominya tetap saja tidak berubah.</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Akhirnya, setelah merasa tidak ada lagi pilihan lain, mereka pun pulang  kampung ke Iran. Muhammad Taqi Mishbâh Yazdî memohon dengan  sangat kepada orang tuanya agar mengizinkannya tinggal sendiri selama </w:t>
      </w:r>
    </w:p>
    <w:p>
      <w:pPr>
        <w:pStyle w:val="BookText"/>
        <w:bidi w:val="0"/>
        <w:rPr/>
      </w:pPr>
      <w:r>
        <w:rPr>
          <w:rFonts w:eastAsia="Times New Roman" w:cs="Times New Roman" w:ascii="Times New Roman" w:hAnsi="Times New Roman"/>
          <w:color w:val="111111"/>
          <w:sz w:val="28"/>
          <w:szCs w:val="28"/>
          <w:lang w:val="en-US"/>
        </w:rPr>
        <w:t>beberapa waktu di Najaf untuk melanjutkan studinya dan akan  segera pulang ke Iran bila kondisi ekonomi keluarganya sudah pulih  kembali. Namun, kedua orang tuanya, terlebih sang ibu, tidak men-  gizinkannya. Muhammad Ali Sarabî dan `Ali Fanî Isfahani kemudian  mendatangi rumah mereka dan meminta kedua orang tuanya membiarkan  MuhammadTaqi Mishbâh Yazdî tetap tinggal di sana dalam beberapa  waktu untuk melanjutkan studinya.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Taqi Mishbâh Yazdî tampaknya memang sudah tidak  ditakdirkan untuk tinggal di Najaf. Setelah menempuh segala cara untuk  memperoleh izin orang tua dan selalu saja gagal, di akhir bulan Urdubehest  atau awal-awal bulan Mordâd tahun berikutnya, setelah hampir setahun  belajar di Najaf, Muhammad Taqi Mishbâh Yazdî bersama keluarganya  bertolak ke Teheran. Karena kehidupan ekonomi keluarganya belum juga  kondusif, sementara masa belajar sudah berakhir, ia bersama keluarganya  sepanjang musim panas tahun itu menetap di Teheran. Selama di najaf  ia sempat mengikuti kuliah Muhsin al-Hakîm</w:t>
      </w:r>
      <w:r>
        <w:rPr>
          <w:rStyle w:val="FootnoteAnchor"/>
        </w:rPr>
        <w:footnoteReference w:id="120"/>
      </w:r>
      <w:r>
        <w:rPr>
          <w:rFonts w:eastAsia="Times New Roman" w:cs="Times New Roman" w:ascii="Times New Roman" w:hAnsi="Times New Roman"/>
          <w:color w:val="111111"/>
          <w:sz w:val="28"/>
          <w:szCs w:val="28"/>
          <w:lang w:val="en-US"/>
        </w:rPr>
        <w:t>, Mahmud Syahrudî, Abd  al-Hâdî Syirazi</w:t>
      </w:r>
      <w:r>
        <w:rPr>
          <w:rStyle w:val="FootnoteAnchor"/>
        </w:rPr>
        <w:footnoteReference w:id="121"/>
      </w:r>
      <w:r>
        <w:rPr>
          <w:rFonts w:eastAsia="Times New Roman" w:cs="Times New Roman" w:ascii="Times New Roman" w:hAnsi="Times New Roman"/>
          <w:color w:val="111111"/>
          <w:sz w:val="28"/>
          <w:szCs w:val="28"/>
          <w:lang w:val="en-US"/>
        </w:rPr>
        <w:t>, Istahbanâtî, dan Abû al-Qasim al-Khûî.</w:t>
      </w:r>
      <w:r>
        <w:rPr>
          <w:rStyle w:val="FootnoteAnchor"/>
        </w:rPr>
        <w:footnoteReference w:id="122"/>
      </w:r>
      <w:r>
        <w:rPr>
          <w:rFonts w:eastAsia="Times New Roman" w:cs="Times New Roman" w:ascii="Times New Roman" w:hAnsi="Times New Roman"/>
          <w:color w:val="111111"/>
          <w:sz w:val="28"/>
          <w:szCs w:val="28"/>
          <w:lang w:val="en-US"/>
        </w:rPr>
        <w:t xml:space="preserve"> b. Hijrah ke Qom  Setelah tinggal beberapa waktu di Teheran. Muhammad Taqi  Mishbâh Yazdî kemudian memutuskan untuk kembali melanjutkan  studinya. Pilihannya jatuh ke hawzah 'Ilmiyah Qom. Semula, niatnya  dicegah orang tuanya yang mengatakan, “Kondisi kita masih belum  mantap. Ayah masih belum punya penghasilan yang memadai untuk  menyokong kamu melanjutkan studi.” Bukan cuma itu, orang tuanya  bahkan meminta kaum kerabatnya yang sebagiannya adalah ulama untuk  membujuknya agar mengurungkan niat belajar ke Qom (seraya berjanji bah-  wa tahun depan, setelah tabungan keluarganya mencukupi, mereka akan  membiayai studinya). Namun, ia tetap pada pendirian dan prinsipnya  bahwa menempuh studi di hawzah merupakan kewajiban agama dan </w:t>
      </w:r>
    </w:p>
    <w:p>
      <w:pPr>
        <w:pStyle w:val="BookText"/>
        <w:bidi w:val="0"/>
        <w:rPr/>
      </w:pPr>
      <w:r>
        <w:rPr>
          <w:rFonts w:eastAsia="Times New Roman" w:cs="Times New Roman" w:ascii="Times New Roman" w:hAnsi="Times New Roman"/>
          <w:color w:val="111111"/>
          <w:sz w:val="28"/>
          <w:szCs w:val="28"/>
          <w:lang w:val="en-US"/>
        </w:rPr>
        <w:t>tidak ada sangkut pautnya dengan kerelaan orang tua. Setelah berkali-  kali berbincang penuh santun dengan kedua orang tuanya seraya mengajukan  alasan-alasan yang gamblang, akhirnya ia berhasil meyakinkan mereka.</w:t>
      </w:r>
    </w:p>
    <w:p>
      <w:pPr>
        <w:pStyle w:val="BookText"/>
        <w:bidi w:val="0"/>
        <w:jc w:val="both"/>
        <w:rPr/>
      </w:pPr>
      <w:r>
        <w:rPr>
          <w:rFonts w:eastAsia="Times New Roman" w:cs="Times New Roman" w:ascii="Times New Roman" w:hAnsi="Times New Roman"/>
          <w:color w:val="111111"/>
          <w:sz w:val="28"/>
          <w:szCs w:val="28"/>
          <w:lang w:val="en-US"/>
        </w:rPr>
        <w:t>Sambil menunggu dimulainya masa studi, Muhammad Taqi Mish-  bâh Yazdî mengajar di sebuah sekolah musim panas dengan upah 60  tuman. Selanjutnya, 20 hari menjelang dimulainya masa pelajaran baru,  ia segera bertolak ke Qom untuk menyiapkan semua kebutuhan  belajarnya, termasuk kamar tidurnya (semacam mess khusus pelajar).</w:t>
      </w:r>
    </w:p>
    <w:p>
      <w:pPr>
        <w:pStyle w:val="BookText"/>
        <w:bidi w:val="0"/>
        <w:jc w:val="both"/>
        <w:rPr/>
      </w:pPr>
      <w:r>
        <w:rPr>
          <w:rFonts w:eastAsia="Times New Roman" w:cs="Times New Roman" w:ascii="Times New Roman" w:hAnsi="Times New Roman"/>
          <w:color w:val="111111"/>
          <w:sz w:val="28"/>
          <w:szCs w:val="28"/>
          <w:lang w:val="en-US"/>
        </w:rPr>
        <w:t>Namun, mendapatkan kamar di Qom bukanlah urusan mudah. Pada masa  itu, terdapat sekitar dua, tiga madrasah kecil di Qom, dua madrasah  besar dekat Haram (makam Fathimah Ma'shumah, adik Ali Ridha, im-  am kedelapan Syi'ah) Madrasah Faidhiyyah dan Madrasah Hujatiyyah.</w:t>
      </w:r>
    </w:p>
    <w:p>
      <w:pPr>
        <w:pStyle w:val="BookText"/>
        <w:bidi w:val="0"/>
        <w:jc w:val="both"/>
        <w:rPr/>
      </w:pPr>
      <w:r>
        <w:rPr>
          <w:rFonts w:eastAsia="Times New Roman" w:cs="Times New Roman" w:ascii="Times New Roman" w:hAnsi="Times New Roman"/>
          <w:color w:val="111111"/>
          <w:sz w:val="28"/>
          <w:szCs w:val="28"/>
          <w:lang w:val="en-US"/>
        </w:rPr>
        <w:t>Besar kemungkinan, kedua madrasah besar itu menyediakan kamar ba-  ginya bila ia menempuh studi di situ. Namun, ia dipastikan tidak akan  mendapat kamar bila menempuh studi di Hujatiyyah yang kala itu baru  dibangun. Karena syarat untuk mendapatkan kamar di situ, seorang  pelajar harus sudah berusia 20 tahun, sementara dirinya masih 19 tahun.</w:t>
      </w:r>
    </w:p>
    <w:p>
      <w:pPr>
        <w:pStyle w:val="BookText"/>
        <w:bidi w:val="0"/>
        <w:jc w:val="both"/>
        <w:rPr/>
      </w:pPr>
      <w:r>
        <w:rPr>
          <w:rFonts w:eastAsia="Times New Roman" w:cs="Times New Roman" w:ascii="Times New Roman" w:hAnsi="Times New Roman"/>
          <w:color w:val="111111"/>
          <w:sz w:val="28"/>
          <w:szCs w:val="28"/>
          <w:lang w:val="en-US"/>
        </w:rPr>
        <w:t>Pilihan pun jatuh pada Madrasah Faidhiyyah.</w:t>
      </w:r>
      <w:r>
        <w:rPr>
          <w:rStyle w:val="FootnoteAnchor"/>
        </w:rPr>
        <w:footnoteReference w:id="123"/>
      </w:r>
      <w:r>
        <w:rPr>
          <w:rFonts w:eastAsia="Times New Roman" w:cs="Times New Roman" w:ascii="Times New Roman" w:hAnsi="Times New Roman"/>
          <w:color w:val="111111"/>
          <w:sz w:val="28"/>
          <w:szCs w:val="28"/>
          <w:lang w:val="en-US"/>
        </w:rPr>
        <w:t xml:space="preserve"> Setiap hari, Muhammad Taqi Mishbâh Yazdî mengikuti empat mata  pelajaran. Pada pagi hari, ia mengikuti kuliah Makasib yang disampaik-  an Murtadhâ Hairi di rumahnya. Setelah itu ia mengkaji jilid pertama  buku Kifayah di bawah bimbingan Abd al-Jawad di Masjid Isyq’ali dan  dilanjutkan dengan mendiskusikan materi yang telah diajarkan bersama  rekan-rekannya. Kemudian, sore harinya, ia mengikuti kuliah jilid ke-  dua penulisan buku Kifâyat al-Ushûl yang disampaikan Murtadha Hairi  di rumahnya. Mata kuliah lain yang diikutinya adalah studi kitab al-  Mandhûmah. Ia menghabiskan waktu seharian untuk menekuni semua  mata kuliah itu. Malam harinya, sekitar lima sampai enam jam, ia ber-  istirahat dan memanfaatkan waktu untuk menyelesaikan pekerjaan lain.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Kendati banyak kendala dan kesulitan yang harus dihadapinya, ia tetap  bersemangat dan berkonsentrasi penuh terhadap studinya. </w:t>
      </w:r>
      <w:bookmarkStart w:id="69" w:name="pg6424_44770"/>
    </w:p>
    <w:p>
      <w:pPr>
        <w:pStyle w:val="Heading4"/>
        <w:numPr>
          <w:ilvl w:val="3"/>
          <w:numId w:val="1"/>
        </w:numPr>
        <w:bidi w:val="0"/>
        <w:jc w:val="left"/>
        <w:rPr/>
      </w:pPr>
      <w:bookmarkStart w:id="70" w:name="__RefHeading___Toc688571_653776707"/>
      <w:bookmarkStart w:id="71" w:name="_Toc25"/>
      <w:bookmarkEnd w:id="69"/>
      <w:bookmarkEnd w:id="70"/>
      <w:r>
        <w:rPr/>
        <w:t>3. Jenjang Kharij</w:t>
      </w:r>
      <w:bookmarkEnd w:id="71"/>
    </w:p>
    <w:p>
      <w:pPr>
        <w:pStyle w:val="BookText"/>
        <w:bidi w:val="0"/>
        <w:jc w:val="both"/>
        <w:rPr/>
      </w:pPr>
      <w:r>
        <w:rPr>
          <w:rFonts w:eastAsia="Times New Roman" w:cs="Times New Roman" w:ascii="Times New Roman" w:hAnsi="Times New Roman"/>
          <w:color w:val="111111"/>
          <w:sz w:val="28"/>
          <w:szCs w:val="28"/>
          <w:lang w:val="en-US"/>
        </w:rPr>
        <w:t>Muhammad Taqi Mishbâh Yazdî, meski dengan segala kepayahan  tersebut, dalam kurun setahun berhasil merampungkan studi tingkat  suthuh-nya. Pada tahun berikutnya, ia mengikuti pelajaran Bahtsul  Kharij dalam bidang fiqh dari Burujerdi dan Bahtsul Kharij bidang ushul  fiqh dari Khomeini.</w:t>
      </w:r>
    </w:p>
    <w:p>
      <w:pPr>
        <w:pStyle w:val="BookText"/>
        <w:bidi w:val="0"/>
        <w:jc w:val="both"/>
        <w:rPr/>
      </w:pPr>
      <w:r>
        <w:rPr>
          <w:rFonts w:eastAsia="Times New Roman" w:cs="Times New Roman" w:ascii="Times New Roman" w:hAnsi="Times New Roman"/>
          <w:color w:val="111111"/>
          <w:sz w:val="28"/>
          <w:szCs w:val="28"/>
          <w:lang w:val="en-US"/>
        </w:rPr>
        <w:t>Setelah usianya menginjak 20 tahun dan memenuhi syarat diterima  di Madrasah Hujatiyyah, ia pun memperoleh fasilitas kamar tidur. Sejak  itu, ia berkenalan dengan sejumlah ulama besar, seperti Khomeini,  Thabâthabâ’î, dan Behjat yang diakuinya sebagai karunia Tuhan yang  sangat besar. Ia pun menyadari bahwa kepergiannya dari Najaf ke Qom  merupakan sebuah keberuntungan.</w:t>
      </w:r>
      <w:r>
        <w:rPr>
          <w:rStyle w:val="FootnoteAnchor"/>
        </w:rPr>
        <w:footnoteReference w:id="124"/>
      </w:r>
      <w:r>
        <w:rPr>
          <w:rFonts w:eastAsia="Times New Roman" w:cs="Times New Roman" w:ascii="Times New Roman" w:hAnsi="Times New Roman"/>
          <w:color w:val="111111"/>
          <w:sz w:val="28"/>
          <w:szCs w:val="28"/>
          <w:lang w:val="en-US"/>
        </w:rPr>
        <w:t xml:space="preserve"> Mir Sepah, salah satu murid Muhammad Taqi Mishbâh Yazdî, juga  pernah menyebut-nyebut sosok Muhammad Taqi Mishbâh Yazdî (yang  disarikan dari hasil wawancara dengannya). Ia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akan tunjukan, siapa sebenarnya Muhammad Taqi Mishbâh  Yazdî, dan ini bukan basa-basi atau berlebih-lebihan. Banyak hal  yang berkaitan dengan (keistimewaannya) yang tidak dapat saya  sampaikan di sini. Namun, untuk membuktikan itu, saya akan  memberikan beberapa contoh sekadarnya.”:</w:t>
      </w:r>
      <w:r>
        <w:rPr>
          <w:rStyle w:val="FootnoteAnchor"/>
        </w:rPr>
        <w:footnoteReference w:id="125"/>
      </w:r>
      <w:r>
        <w:rPr>
          <w:rFonts w:eastAsia="Times New Roman" w:cs="Times New Roman" w:ascii="Times New Roman" w:hAnsi="Times New Roman"/>
          <w:color w:val="111111"/>
          <w:sz w:val="28"/>
          <w:szCs w:val="28"/>
          <w:lang w:val="en-US"/>
        </w:rPr>
        <w:t xml:space="preserve"> Mir Sepah menuturkan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masih ingat kalau saya pernah menyampaikan keberatan  (kritik) dan Anda pun menanggapinya. Namun saya belum puas  terhadap jawaban Anda. Selepas kuliah, saya segera menemui Anda  di salah satu ruang istirahat yang biasa digunakan untuk minum teh.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saya menyampaikan kembali ketidakpuasan saya. Anda pun  memberikan jawabannya. Namun karena belum juga merasa puas, </w:t>
      </w:r>
    </w:p>
    <w:p>
      <w:pPr>
        <w:pStyle w:val="BookText"/>
        <w:bidi w:val="0"/>
        <w:rPr/>
      </w:pPr>
      <w:r>
        <w:rPr>
          <w:rFonts w:eastAsia="Times New Roman" w:cs="Times New Roman" w:ascii="Times New Roman" w:hAnsi="Times New Roman"/>
          <w:color w:val="111111"/>
          <w:sz w:val="28"/>
          <w:szCs w:val="28"/>
          <w:lang w:val="en-US"/>
        </w:rPr>
        <w:t xml:space="preserve">saya kemudian berkata, “Mengapa jawaban Anda tidak meyakinkan  saya!” </w:t>
      </w:r>
      <w:r>
        <w:rPr>
          <w:rStyle w:val="FootnoteAnchor"/>
        </w:rPr>
        <w:footnoteReference w:id="126"/>
      </w:r>
      <w:r>
        <w:rPr>
          <w:rFonts w:eastAsia="Times New Roman" w:cs="Times New Roman" w:ascii="Times New Roman" w:hAnsi="Times New Roman"/>
          <w:color w:val="111111"/>
          <w:sz w:val="28"/>
          <w:szCs w:val="28"/>
          <w:lang w:val="en-US"/>
        </w:rPr>
        <w:t xml:space="preserve"> Ungkapan semacam ini barangkali dapat menyinggung perasaan  seseorang, namun Mir Sepah malah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Tahukah Anda, mengapa jawaban saya tidak memuaskan Anda?”  Alasannya, saya memahami kata-kata yang saya ucapkan seperti ini,  sementara Anda memahaminya secara lain. Karena itulah jawaban  saya sama sekali tidak relevan dengan kritik dan keberatan Anda.</w:t>
      </w:r>
    </w:p>
    <w:p>
      <w:pPr>
        <w:pStyle w:val="BookText"/>
        <w:bidi w:val="0"/>
        <w:jc w:val="both"/>
        <w:rPr/>
      </w:pPr>
      <w:r>
        <w:rPr>
          <w:rFonts w:eastAsia="Times New Roman" w:cs="Times New Roman" w:ascii="Times New Roman" w:hAnsi="Times New Roman"/>
          <w:color w:val="111111"/>
          <w:sz w:val="28"/>
          <w:szCs w:val="28"/>
          <w:lang w:val="en-US"/>
        </w:rPr>
        <w:t>Untuk menyelesaikan masalah ini, marilah kita menyamakan persepsi  mengenai istilah tersebut.”  Muhammad Taqi Mishbâh Yazdî berkata, “Sejenak saya merenung.</w:t>
      </w:r>
    </w:p>
    <w:p>
      <w:pPr>
        <w:pStyle w:val="BookText"/>
        <w:bidi w:val="0"/>
        <w:jc w:val="both"/>
        <w:rPr/>
      </w:pPr>
      <w:r>
        <w:rPr>
          <w:rFonts w:eastAsia="Times New Roman" w:cs="Times New Roman" w:ascii="Times New Roman" w:hAnsi="Times New Roman"/>
          <w:color w:val="111111"/>
          <w:sz w:val="28"/>
          <w:szCs w:val="28"/>
          <w:lang w:val="en-US"/>
        </w:rPr>
        <w:t xml:space="preserve">Lalu saya pun menyadari bahwa ia (Mir Sepah) memang benar,  sebenarnya persoalan itu berkisar pada pemahaman masing-masing  terhadap istilah tersebut.” </w:t>
      </w:r>
      <w:r>
        <w:rPr>
          <w:rStyle w:val="FootnoteAnchor"/>
        </w:rPr>
        <w:footnoteReference w:id="127"/>
      </w:r>
      <w:r>
        <w:rPr>
          <w:rFonts w:eastAsia="Times New Roman" w:cs="Times New Roman" w:ascii="Times New Roman" w:hAnsi="Times New Roman"/>
          <w:color w:val="111111"/>
          <w:sz w:val="28"/>
          <w:szCs w:val="28"/>
          <w:lang w:val="en-US"/>
        </w:rPr>
        <w:t xml:space="preserve"> Muhammad Taqi Mishbâh Yazdî juga mengatakan bahwa tidak  jarang ia menemui kesulitan dalam mencerna satu atau lebih kuliah  yang disampaikan, yang kemudian diajukan kepada gurunya. Kemudian  Mir Sepah dengan suka hati memberikan jawaban. Hal ini sebagaimana  dikemukakan sendiri oleh Muhammad Taqi Mishbâh Yazdî:</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Memang, tidak seperti dugaan orang yang tidak memahaminya, ia  (Mir Sepah) bukanlah guru yang tidak bertanggung jawab dan arogan  di hadapan orang lain. Ia seorang penyabar, terbuka, dan selalu  menanggapi kritik-kritik yang kami lontarkan. Namun sembari itu, ia  juga berusaha meluruskan kesalahan kami secara cermat... Umpama,  beberapa kali ia mengatakan kepada saya, “Coba perhatikan konteks  maknanya.' Lalu, setelah itu, kami pun baru memahami bahwa  sebenarnya pertanyaan atau kritik itu tak perlu lagi dilontarkan </w:t>
      </w:r>
    </w:p>
    <w:p>
      <w:pPr>
        <w:pStyle w:val="BookText"/>
        <w:bidi w:val="0"/>
        <w:rPr/>
      </w:pPr>
      <w:r>
        <w:rPr>
          <w:rFonts w:eastAsia="Times New Roman" w:cs="Times New Roman" w:ascii="Times New Roman" w:hAnsi="Times New Roman"/>
          <w:color w:val="111111"/>
          <w:sz w:val="28"/>
          <w:szCs w:val="28"/>
          <w:lang w:val="en-US"/>
        </w:rPr>
        <w:t>karena kami sendiri sudah menjawabnya!”</w:t>
      </w:r>
      <w:r>
        <w:rPr>
          <w:rStyle w:val="FootnoteAnchor"/>
        </w:rPr>
        <w:footnoteReference w:id="128"/>
      </w:r>
      <w:r>
        <w:rPr>
          <w:rFonts w:eastAsia="Times New Roman" w:cs="Times New Roman" w:ascii="Times New Roman" w:hAnsi="Times New Roman"/>
          <w:color w:val="111111"/>
          <w:sz w:val="28"/>
          <w:szCs w:val="28"/>
          <w:lang w:val="en-US"/>
        </w:rPr>
        <w:t xml:space="preserve"> Pada kesempatan lain, Muhammad Taqi Mishbâh Yazdî kembali  mengungkapkan pengalamannya,  "Saya juga masih ingat dalam sebuah dialog yang dihadiri Mir  Sepah, yang membahas masalah kemasyarakatan, di mana setiap  orang mengajukan kritik dan pendapatnya. Sekalipun acara dialog  sudah hampir selesai, Mir Sepah masih tetap terdiam. Lalu seseorang  menghampirinya dan menanyakan pendapatnya. Saat itu pula, ia  malah melontarkan sejumlah kritik yang sangat gamblang dan  bermanfaat bagi kami. Semua itu dikemukakannya dengan cara yang  benar dan bagus. </w:t>
      </w:r>
      <w:r>
        <w:rPr>
          <w:rStyle w:val="FootnoteAnchor"/>
        </w:rPr>
        <w:footnoteReference w:id="129"/>
      </w:r>
      <w:r>
        <w:rPr>
          <w:rFonts w:eastAsia="Times New Roman" w:cs="Times New Roman" w:ascii="Times New Roman" w:hAnsi="Times New Roman"/>
          <w:color w:val="111111"/>
          <w:sz w:val="28"/>
          <w:szCs w:val="28"/>
          <w:lang w:val="en-US"/>
        </w:rPr>
        <w:t xml:space="preserve"> Ia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Kalau kalian ingin mengkritik seseorang, pertama-tama yang harus  kalian lakukan adalah menempatkan diri pada posisi orang tersebut. Saat  itu kalian dapat membayangkan yang telah kalian lakukan dan yang  dapat diperbuat, lalu kritiklah.' Nasihat ini ditujukan kepada semua  yang hadir dalam acara tersebut. Mereka semua sangat terkesan ke-  padanya lantaran telah mengingatkan mereka untuk bersikap cermat  dan hati-hati dalam menilai.”</w:t>
      </w:r>
      <w:r>
        <w:rPr>
          <w:rStyle w:val="FootnoteAnchor"/>
        </w:rPr>
        <w:footnoteReference w:id="130"/>
      </w:r>
      <w:r>
        <w:rPr>
          <w:rFonts w:eastAsia="Times New Roman" w:cs="Times New Roman" w:ascii="Times New Roman" w:hAnsi="Times New Roman"/>
          <w:color w:val="111111"/>
          <w:sz w:val="28"/>
          <w:szCs w:val="28"/>
          <w:lang w:val="en-US"/>
        </w:rPr>
        <w:t xml:space="preserve"> Muhammad Taqi Mishbâh Yazdî mengawali profesi mengajarnya  secara terprogram di Madrasah Haqqânî (Madrasah Montadhiriyyah).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menempa daya nalar, ideologi, dan loyalitas sejumlah murid agar  berguna dan menjadi kader-kader masa depan pemerintahan Islam, ia  juga mengajarkan al-Qur'an, tafsir, dan filsafat. Kuliah tafsir dalam tiga  tingkat, digabungkan waktu penyampaiannya dengan kuliah </w:t>
      </w:r>
      <w:bookmarkStart w:id="72" w:name="pg6424_44778"/>
    </w:p>
    <w:p>
      <w:pPr>
        <w:pStyle w:val="BookText"/>
        <w:bidi w:val="0"/>
        <w:rPr/>
      </w:pPr>
      <w:bookmarkEnd w:id="72"/>
      <w:r>
        <w:rPr>
          <w:rFonts w:eastAsia="Times New Roman" w:cs="Times New Roman" w:ascii="Times New Roman" w:hAnsi="Times New Roman"/>
          <w:color w:val="111111"/>
          <w:sz w:val="28"/>
          <w:szCs w:val="28"/>
          <w:lang w:val="en-US"/>
        </w:rPr>
        <w:t xml:space="preserve">akhlak dan pendidikan bertema mengenal diri untuk membentuk diri. </w:t>
      </w:r>
      <w:r>
        <w:rPr>
          <w:rStyle w:val="FootnoteAnchor"/>
        </w:rPr>
        <w:footnoteReference w:id="131"/>
      </w:r>
      <w:r>
        <w:rPr>
          <w:rFonts w:eastAsia="Times New Roman" w:cs="Times New Roman" w:ascii="Times New Roman" w:hAnsi="Times New Roman"/>
          <w:color w:val="111111"/>
          <w:sz w:val="28"/>
          <w:szCs w:val="28"/>
          <w:lang w:val="en-US"/>
        </w:rPr>
        <w:t xml:space="preserve"> Muhammad Taqi Mishbâh Yazdî juga anggota dalam kuliah tentang  Falsafatunâ (Filsafat Kita) karya Muhamad Bâqir Shadr dan Bidâyat al-  Hikmah karya Thabâthabâ’i selama 10 tahun. Setelah beberapa waktu  bekerjasama dengan Yayasan Rah-e-Haq, atas usulan Mohsen Kharrâzî,  dibentuklah divisi pendidikan di bawah yayasan tersebut. Sejak itulah,  ia mengajarkan Falsafatunâ, Iqtishâduna (Ekonomi Kita), Nihâyat al-  Hikmah, dan tafsir tematik.</w:t>
      </w:r>
    </w:p>
    <w:p>
      <w:pPr>
        <w:pStyle w:val="BookText"/>
        <w:bidi w:val="0"/>
        <w:jc w:val="both"/>
        <w:rPr/>
      </w:pPr>
      <w:r>
        <w:rPr>
          <w:rFonts w:eastAsia="Times New Roman" w:cs="Times New Roman" w:ascii="Times New Roman" w:hAnsi="Times New Roman"/>
          <w:color w:val="111111"/>
          <w:sz w:val="28"/>
          <w:szCs w:val="28"/>
          <w:lang w:val="en-US"/>
        </w:rPr>
        <w:t>Muhammad Taqi Mishbâh Yazdî menjadi guru pertama yang  mengajarkan karya-karya tersebut, yang kemudian dijadikan sebagai  modul. Sebelumnya belum pernah ada buku daras hawzah 'Ilmiyah  yang membahas pemikiran-pemikiran filsafat modern. Selain itu, ia  juga menggunakan buku Dasar-dasar Filsafat dan Metode Realisme  Thabâthabâ’î, namun disebabkan buku-buku tersebut berbahasa Persia,  maka pihak hawzah belum mengakuinya sebagai modul. Di luar kegiatan  mengajarnya yang teratur dan sistematis di Madrasah Haqani dan Rahe-  Haq, ia juga mengajarkan karya-karya filsafat secara komprehensif,  seperti Asfar Arba'ah, kepada para peminatnya dalam kuliah khusus  filsafat.</w:t>
      </w:r>
    </w:p>
    <w:p>
      <w:pPr>
        <w:pStyle w:val="Heading3"/>
        <w:numPr>
          <w:ilvl w:val="2"/>
          <w:numId w:val="1"/>
        </w:numPr>
        <w:bidi w:val="0"/>
        <w:jc w:val="left"/>
        <w:rPr/>
      </w:pPr>
      <w:bookmarkStart w:id="73" w:name="__RefHeading___Toc688573_653776707"/>
      <w:bookmarkStart w:id="74" w:name="_Toc26"/>
      <w:bookmarkEnd w:id="73"/>
      <w:r>
        <w:rPr/>
        <w:t>C. Kiprah dalam Pendidikan</w:t>
      </w:r>
      <w:bookmarkEnd w:id="74"/>
    </w:p>
    <w:p>
      <w:pPr>
        <w:pStyle w:val="Heading4"/>
        <w:numPr>
          <w:ilvl w:val="3"/>
          <w:numId w:val="1"/>
        </w:numPr>
        <w:bidi w:val="0"/>
        <w:jc w:val="left"/>
        <w:rPr/>
      </w:pPr>
      <w:bookmarkStart w:id="75" w:name="__RefHeading___Toc688575_653776707"/>
      <w:bookmarkStart w:id="76" w:name="_Toc27"/>
      <w:bookmarkEnd w:id="75"/>
      <w:r>
        <w:rPr/>
        <w:t>Point</w:t>
      </w:r>
      <w:bookmarkEnd w:id="76"/>
    </w:p>
    <w:p>
      <w:pPr>
        <w:pStyle w:val="BookText"/>
        <w:bidi w:val="0"/>
        <w:jc w:val="both"/>
        <w:rPr/>
      </w:pPr>
      <w:r>
        <w:rPr>
          <w:rFonts w:eastAsia="Times New Roman" w:cs="Times New Roman" w:ascii="Times New Roman" w:hAnsi="Times New Roman"/>
          <w:color w:val="111111"/>
          <w:sz w:val="28"/>
          <w:szCs w:val="28"/>
          <w:lang w:val="en-US"/>
        </w:rPr>
        <w:t>Berkenaan dengan metode dan bobot kuliah yang disampaikan  Muhammad Taqi Mishbâh Yazdî, sejumlah kolega dan muridnya  memberikan komentar dan kesaksian di bawah ini.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Fayyadhi menuturkan,  “Kuliah-kuliah, khususnya kuliah-kuliah bertema makrifat dan  ‘mengenal diri untuk membentuk diri sedemikian (berbobotnya)  sehingga kami merasa bahwa tema-tema ini tak pernah diberikan di  hawzah mana pun. Pengetahuan al-Qur'an—seperti yang diajarkan,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dengan bersumberkan pada keimanan dan keyakinan terhadap  ilmuilmu agama dan kepercayaan pada Mahdi—memiliki pengaruh  yang sangat khusus. Pelajaran-pelajaran ini sangat diperlukan  semua institusi hawzah, supaya para pelajar tidak terbius dan  tergelincir dalam aliran kanan atau kiri dan mampu melangkah di  jalur agama yang lurus."</w:t>
      </w:r>
      <w:r>
        <w:rPr>
          <w:rStyle w:val="FootnoteAnchor"/>
        </w:rPr>
        <w:footnoteReference w:id="132"/>
      </w:r>
      <w:r>
        <w:rPr>
          <w:rFonts w:eastAsia="Times New Roman" w:cs="Times New Roman" w:ascii="Times New Roman" w:hAnsi="Times New Roman"/>
          <w:color w:val="111111"/>
          <w:sz w:val="28"/>
          <w:szCs w:val="28"/>
          <w:lang w:val="en-US"/>
        </w:rPr>
        <w:t xml:space="preserve"> Sementara Muhammad Garwi mengatakan,  “Pelajaran akhlak dan al-Qur'an yang diberikan sebetulnya  mencerminkan kepribadiannya sendiri—tanpa sedikitpun  mengurangi dan berlebihan memuji—sangat memberi pengaruh  yang sangat luar biasa. Ia sedemikian rupa membentuk karakter  pikiran dan kepribadian sahabat-sahabatya sehingga semua temante-  man kami, di mana saja berada, menjalani kehidupannya dengan  prinsip-prinsip yang ditanamkan lewat kuliah-kuliahnya. Saya tidak  lupa bagaimana seorang teman begitu tertarik dengan kuliahnya,  sampai-sampai selama seminggu, ia selalu menunggu tibanya hari  Kamis dan mengikuti kuliah akhlaknya. Sebagian muridnya bahkan  mendapatkan pengalaman rohani saat kuliah berlangsung, karena  memang, kuliah yang disampaikannya sangat menyentuh hati. ”</w:t>
      </w:r>
      <w:r>
        <w:rPr>
          <w:rStyle w:val="FootnoteAnchor"/>
        </w:rPr>
        <w:footnoteReference w:id="133"/>
      </w:r>
      <w:r>
        <w:rPr>
          <w:rFonts w:eastAsia="Times New Roman" w:cs="Times New Roman" w:ascii="Times New Roman" w:hAnsi="Times New Roman"/>
          <w:color w:val="111111"/>
          <w:sz w:val="28"/>
          <w:szCs w:val="28"/>
          <w:lang w:val="en-US"/>
        </w:rPr>
        <w:t xml:space="preserve"> Mahmud Rajabi juga memberikan komentarnya,  “Begitu kuliah periodik dibuka di Institut Rahe-Haq, proses  pengenalan saya terhadapnya segera dimulai. Saya mengikuti sebuah  tes penerimaan murid baru dan lulus. Dari semua kuliah sebelumnya  dan sebagian besar materi yang disampaikan dalam kuliah-kuliah  sejumlah guru, saya mendapatkan manfaat darinya. Kalau saya punya  suatu kelebihan, maka itu tak lain berkat kuliah yang disampaikannya  di sana. Semua itu diakui teman-teman yang mengikuti kuliah </w:t>
      </w:r>
    </w:p>
    <w:p>
      <w:pPr>
        <w:pStyle w:val="BookText"/>
        <w:bidi w:val="0"/>
        <w:rPr/>
      </w:pPr>
      <w:r>
        <w:rPr>
          <w:rFonts w:eastAsia="Times New Roman" w:cs="Times New Roman" w:ascii="Times New Roman" w:hAnsi="Times New Roman"/>
          <w:color w:val="111111"/>
          <w:sz w:val="28"/>
          <w:szCs w:val="28"/>
          <w:lang w:val="en-US"/>
        </w:rPr>
        <w:t>tersebut. Semua orang mengakui bahwa materi ulum al-Qur'an dan  pengenalan diri serta materi filsafat membentuk perjalanan hidup  dan sangat memengaruhi mereka. Meminjam ungkapan seorang  teman, Muhammad Taqi Mishbâh Yazdî adalah kebenaran hidup  yang melilit di leher kami.' Kehidupan spiritual, daya analisis, dan  semangat kami sangat berhutang besar pada percikan pemikiran  Islam yang benar dan kokoh.”</w:t>
      </w:r>
      <w:r>
        <w:rPr>
          <w:rStyle w:val="FootnoteAnchor"/>
        </w:rPr>
        <w:footnoteReference w:id="134"/>
      </w:r>
      <w:r>
        <w:rPr>
          <w:rFonts w:eastAsia="Times New Roman" w:cs="Times New Roman" w:ascii="Times New Roman" w:hAnsi="Times New Roman"/>
          <w:color w:val="111111"/>
          <w:sz w:val="28"/>
          <w:szCs w:val="28"/>
          <w:lang w:val="en-US"/>
        </w:rPr>
        <w:t xml:space="preserve"> Selanjutnya, Mahmud Rajabi mengungkapkan seputar kepakaran  dan kecendekiaan Muhammad Taqi Mishbâh Yazdî yang tercakup dalam  tiga hal dan terpaut dengan dimensi intelektualnya: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Pembaharuan dalam konteks pembinaan dan pendidikan manusia.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Kegiatan-kegitaan penelitiannya.</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Siapa pun yang jeli membaca dan merujuk karya-karyanya yang  berkenaan dengan filsafat, teologi, dan tafsir, akan menemukan  adanya gagasan-gagasan baru.</w:t>
      </w:r>
      <w:r>
        <w:rPr>
          <w:rStyle w:val="FootnoteAnchor"/>
        </w:rPr>
        <w:footnoteReference w:id="135"/>
      </w:r>
      <w:r>
        <w:rPr>
          <w:rFonts w:eastAsia="Times New Roman" w:cs="Times New Roman" w:ascii="Times New Roman" w:hAnsi="Times New Roman"/>
          <w:color w:val="111111"/>
          <w:sz w:val="28"/>
          <w:szCs w:val="28"/>
          <w:lang w:val="en-US"/>
        </w:rPr>
        <w:t xml:space="preserve"> Dalam bidang pendidikan dan pembinaan, terdapat beberapa hal  yang patut digarisbawahi. Pertama-tama, harus dipahami lebih dulu, apa  itu manusia berikut segenap potensinya. Selanjutnya, mesti dilakukan  survei seputar kebutuhan dan motif individu. Kedua hal ini merupakan  faktor kunci dalam pelaksanaan program pendidikan. Bila pembinaan  pribadi tidak diberangi dengan pemahaman tentangnya, berikut potensi-  potensinya, niscaya rencana dan program tersebut tidak akan selaras  dengan kondisi audiens (peserta), dan dipastikan bakal gagal. Seperti itu  pula bila kebutuhan-kebutuhan masyarakat tidak diperhatikan sehingga  tidak diketahui kelemahan dan kekurangannya, baik dari segi keagamaan  maupun problematika wacana pemikiran, politik, dan sosial, serta tidak  berusaha memahami kendala-kendala tersebut, maka kinerja dan upaya  mendidik pribadi-pribadi serta tekad untuk mengoperasikan tema-tema  penelitian, niscaya akan sia-sia belaka. Sosok-sosok hasil binaan itu  umumnya tidak akan berguna bagi masyarakat. </w:t>
      </w:r>
    </w:p>
    <w:p>
      <w:pPr>
        <w:pStyle w:val="BookText"/>
        <w:bidi w:val="0"/>
        <w:rPr/>
      </w:pPr>
      <w:r>
        <w:rPr>
          <w:rFonts w:eastAsia="Times New Roman" w:cs="Times New Roman" w:ascii="Times New Roman" w:hAnsi="Times New Roman"/>
          <w:color w:val="111111"/>
          <w:sz w:val="28"/>
          <w:szCs w:val="28"/>
          <w:lang w:val="en-US"/>
        </w:rPr>
        <w:t>Menurut pengamatan Rajabi, Muhammad Taqi Mishbâh Yazdî sangat  memperhatikan dua tema pokok tersebut. Untuk itu pula, ia banyak  memikirkan dan merancang persiapan-persiapan untuk menggapai  tujuan-tujuan tersebut, misalnya dengan mengadakan program-program  pendidikan dan penelitian. “Saya kira,” lanjut Rajabi, “kalau tidak  mengatakan yang paling berhasil, setidaknya lembaga yang relatif  berhasil memenuhi kepentingan masyarakat Muslim untuk mengenyam  ilmu-ilmu keislaman melalui proses pembinaan pribadi-pribadi manusia  adalah Yayasan Pendidikan dan Penelitian Imam Khomeini yang  dipimpin oleh Muhammad Taqi Mishbâh Yazdî.”  Dalam proses pendidikan dan pembinaan yang dilaksanakan lem-  baga ini, Muhammad Taqi Mishbâh_Yazdî pertama-tama membentuk  suatu kelompok dengan sejumlah tujuan yang telah direncanakan dan  diidentifikasi melalui individu-individu tertentu, yaitu guru-guru  hawzah. Kepada mereka lalu dikenalkan, siapa saja di antara pelajar  atau murid terbaik yang diketahui masing-masing. Tokoh-tokoh seperti  Ahmadî, Kharrazî, dan lainnya menunjuk pelajar-pelajar (talabeh) yang  mereka kenal baik. Orang-orang yang disebutkan antara lain Muham-  madî ‘Araqî, Fayadhî, Garwî, Mirsepâ’h, Syabzendehdâr, dan Mumin.</w:t>
      </w:r>
    </w:p>
    <w:p>
      <w:pPr>
        <w:pStyle w:val="BookText"/>
        <w:bidi w:val="0"/>
        <w:jc w:val="both"/>
        <w:rPr/>
      </w:pPr>
      <w:r>
        <w:rPr>
          <w:rFonts w:eastAsia="Times New Roman" w:cs="Times New Roman" w:ascii="Times New Roman" w:hAnsi="Times New Roman"/>
          <w:color w:val="111111"/>
          <w:sz w:val="28"/>
          <w:szCs w:val="28"/>
          <w:lang w:val="en-US"/>
        </w:rPr>
        <w:t>Mereka adalah para pelajar yang selama bertahun-tahun bertekun di tingkat  khârej (tingkat studi tertinggi) fiqh dan ushul fiqh. Hal ini juga diakui  para pakar. Mereka juga diharuskan menempuh ujian tulis. Namun jen-  jang ujian tulis juga belum dianggap memadai. Oleh karena itu, mereka  yang lulus tes tertulis harus menghadapi tes wawancara langsung,  dengan Muhammad Taqi Mishbâh Yazdî sendiri yang bertindak seba-  gai pewawancara. Saat itu, masing-masing pelajar itu diuji secara serius  dengan meminta mereka menerangkan materi pelajadan kharej. Dengan  demikian, kondisi para kandidat itu dapat diketahui dari semua sisi,  baik dari segi potensi, kemampuan, kapasitas, serta latar belakangnya.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berhasil lulus dari seluruh rangkaian ujian itulah, mereka baru  dinyatakan diterima dan berhak mengikuti perkuliahan. </w:t>
      </w:r>
    </w:p>
    <w:p>
      <w:pPr>
        <w:pStyle w:val="BookText"/>
        <w:bidi w:val="0"/>
        <w:rPr/>
      </w:pPr>
      <w:r>
        <w:rPr>
          <w:rFonts w:eastAsia="Times New Roman" w:cs="Times New Roman" w:ascii="Times New Roman" w:hAnsi="Times New Roman"/>
          <w:color w:val="111111"/>
          <w:sz w:val="28"/>
          <w:szCs w:val="28"/>
          <w:lang w:val="en-US"/>
        </w:rPr>
        <w:t>Selain berpengetahuan mendalam dan berwawasan luas, serta  memiliki jaringan dengan sejumlah figur besar, seperti almarhum  Behesyti, Qudûsî, dan lainnya. Muhammad Taqi Mishbâh Yazdî juga  kerap melakukan kontak dan berkomunikasi dengan sejumlah tokoh  penting, seperti Ahmadî—karena ia juga aktif mengajar di universitas.</w:t>
      </w:r>
    </w:p>
    <w:p>
      <w:pPr>
        <w:pStyle w:val="BookText"/>
        <w:bidi w:val="0"/>
        <w:jc w:val="both"/>
        <w:rPr/>
      </w:pPr>
      <w:r>
        <w:rPr>
          <w:rFonts w:eastAsia="Times New Roman" w:cs="Times New Roman" w:ascii="Times New Roman" w:hAnsi="Times New Roman"/>
          <w:color w:val="111111"/>
          <w:sz w:val="28"/>
          <w:szCs w:val="28"/>
          <w:lang w:val="en-US"/>
        </w:rPr>
        <w:t>Selain itu, mengingat kalangan pejabat Republik Islam Iran sesekali  harus bepergian ke berbagai negara, Muhammad Taqi Mishbâh Yazdî  mengungkapkan soal pentingnya sekarang ini menguasai bahasa Inggris,  selain bahasa Arab tentunya.</w:t>
      </w:r>
    </w:p>
    <w:p>
      <w:pPr>
        <w:pStyle w:val="BookText"/>
        <w:bidi w:val="0"/>
        <w:jc w:val="both"/>
        <w:rPr/>
      </w:pPr>
      <w:r>
        <w:rPr>
          <w:rFonts w:eastAsia="Times New Roman" w:cs="Times New Roman" w:ascii="Times New Roman" w:hAnsi="Times New Roman"/>
          <w:color w:val="111111"/>
          <w:sz w:val="28"/>
          <w:szCs w:val="28"/>
          <w:lang w:val="en-US"/>
        </w:rPr>
        <w:t>Sebagaimana kesaksian beberapa muridnya, selama mengikuti  kuliahnya (pendidikan dan pembinaan), mereka sama sekali belum  memahami bila segenap apa yang mereka cecap kelak akan berguna.</w:t>
      </w:r>
    </w:p>
    <w:p>
      <w:pPr>
        <w:pStyle w:val="BookText"/>
        <w:bidi w:val="0"/>
        <w:jc w:val="both"/>
        <w:rPr/>
      </w:pPr>
      <w:r>
        <w:rPr>
          <w:rFonts w:eastAsia="Times New Roman" w:cs="Times New Roman" w:ascii="Times New Roman" w:hAnsi="Times New Roman"/>
          <w:color w:val="111111"/>
          <w:sz w:val="28"/>
          <w:szCs w:val="28"/>
          <w:lang w:val="en-US"/>
        </w:rPr>
        <w:t>Kini, mereka baru memahami bahwa seluruh rangkaian kuliah yang  disampaikan Muhammad Taqî Mishbâh Yazdî berpengaruh besar dalam  memuaskan kebutuhan nalar masyarakat. Hal inilah bukti dirinya telah  berhasil memahami kebutuhan-kebutuhan masyarakatnya di masa depan  dan telah merancang program dan perencanaannya dengan begitu apik-  berikut pengukuran, survei, dan riset yang cermat.</w:t>
      </w:r>
    </w:p>
    <w:p>
      <w:pPr>
        <w:pStyle w:val="BookText"/>
        <w:bidi w:val="0"/>
        <w:jc w:val="both"/>
        <w:rPr/>
      </w:pPr>
      <w:r>
        <w:rPr>
          <w:rFonts w:eastAsia="Times New Roman" w:cs="Times New Roman" w:ascii="Times New Roman" w:hAnsi="Times New Roman"/>
          <w:color w:val="111111"/>
          <w:sz w:val="28"/>
          <w:szCs w:val="28"/>
          <w:lang w:val="en-US"/>
        </w:rPr>
        <w:t>Semasa mengikuti proses pendidikan, para pelajar diberi mater-  imateri filsafat yang sangat melimpah ruah, khususnya filsafat komparat-  if yang dimaksudkan untuk menelaah masalah-masalah dan pandangan-  pandangan filsufis baru dan aktual. Untuk itu, misalnya, Muhammad Taqî  Mishbâh Yazdî memilih buku Falsafatuna, juga Iqtishaduna (keduanya  karya Baqir Shadr) sebagai text-book perkuliahan, dengan alasan untuk  membandingkan aliran-aliran filsafat kontemporer atau mengenali lebih  jauh masalah-masalah Kapitalisme dan Marxisme. Kupasan mengenai  semua itu, secara rasional, dikaitkannya dengan prinsip-prinsip kerja.</w:t>
      </w:r>
    </w:p>
    <w:p>
      <w:pPr>
        <w:pStyle w:val="BookText"/>
        <w:bidi w:val="0"/>
        <w:jc w:val="both"/>
        <w:rPr/>
      </w:pPr>
      <w:r>
        <w:rPr>
          <w:rFonts w:eastAsia="Times New Roman" w:cs="Times New Roman" w:ascii="Times New Roman" w:hAnsi="Times New Roman"/>
          <w:color w:val="111111"/>
          <w:sz w:val="28"/>
          <w:szCs w:val="28"/>
          <w:lang w:val="en-US"/>
        </w:rPr>
        <w:t>Selain itu, ia juga menyampaikan materi kuliah ilmu-ilmu al-Qur'an.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ini diorientasikan untuk membangun pilar-pilar pemikiran  kalangan pelajar yang kelak menjadi para ilmuwan, di atas basis  pandangan al-Qur'an. Di sela-sela program pendidikan ini juga dis-  ampaikan ragam metodologi rasional, termasuk cara menghadapi dan </w:t>
      </w:r>
    </w:p>
    <w:p>
      <w:pPr>
        <w:pStyle w:val="BookText"/>
        <w:bidi w:val="0"/>
        <w:rPr/>
      </w:pPr>
      <w:r>
        <w:rPr>
          <w:rFonts w:eastAsia="Times New Roman" w:cs="Times New Roman" w:ascii="Times New Roman" w:hAnsi="Times New Roman"/>
          <w:color w:val="111111"/>
          <w:sz w:val="28"/>
          <w:szCs w:val="28"/>
          <w:lang w:val="en-US"/>
        </w:rPr>
        <w:t>mengatasi masalah-masalah naqli, seraya pula mendorong para pelajar  untuk giat melakukan penelitian.</w:t>
      </w:r>
    </w:p>
    <w:p>
      <w:pPr>
        <w:pStyle w:val="BookText"/>
        <w:bidi w:val="0"/>
        <w:jc w:val="both"/>
        <w:rPr/>
      </w:pPr>
      <w:r>
        <w:rPr>
          <w:rFonts w:eastAsia="Times New Roman" w:cs="Times New Roman" w:ascii="Times New Roman" w:hAnsi="Times New Roman"/>
          <w:color w:val="111111"/>
          <w:sz w:val="28"/>
          <w:szCs w:val="28"/>
          <w:lang w:val="en-US"/>
        </w:rPr>
        <w:t>Dalam hal ini, metode mengajar Muhammad Taqi Mishbâh Yazdî  memiliki kekhasan. Umpama, dalam setiap pertemuan, ia menetapkan dua  atau tiga orang dengan cara diundi untuk memaparkan ringkasan kuliah.</w:t>
      </w:r>
    </w:p>
    <w:p>
      <w:pPr>
        <w:pStyle w:val="BookText"/>
        <w:bidi w:val="0"/>
        <w:jc w:val="both"/>
        <w:rPr/>
      </w:pPr>
      <w:r>
        <w:rPr>
          <w:rFonts w:eastAsia="Times New Roman" w:cs="Times New Roman" w:ascii="Times New Roman" w:hAnsi="Times New Roman"/>
          <w:color w:val="111111"/>
          <w:sz w:val="28"/>
          <w:szCs w:val="28"/>
          <w:lang w:val="en-US"/>
        </w:rPr>
        <w:t>Cara ini ternyata sangat efektif, mendorong setiap orang belajar dengan  sungguh-sungguh dan melakukan telaah secara cermat. Muhammad Taqî  Mishbâh Yazdî juga acapkali meminta murid-muridnya melakukan  penelitian dengan beragam metode. Selain itu, ia kerap menyuruh  muridmuridnya mengkaji dan merangkum kuliah-kuliah yang  disampaikannya; lalu ia sendiri yang memeriksa hasilnya seraya mem-  berikan catatan pinggir (hâsyiyah) secukupnya. Ia juga sering memberi  motivasi, misalnya, dengan cara meminta semua murid melakukan  sebuah penelitian dalam setahun, untuk kemudian memberikan hadiah  bagi hasil penelitian terbaik. Dalam menyampaikan kuliah filsafat,  khususnya filsafat modern, ia selalu menunjukkan sumber-sumber  rujukan yang digunakannya. Pernah suatu ketika, setelah menyampaikan  kuliah seputar metode Realisme dan mendiskusikannya dalam beberapa  pertemuan, ia menyuruh murid-muridnya menelaahnya lebih jauh dan  menuangkannya dalam bentuk makalah dengan mengandalkan buku-  buku yang sudah disebutkannya. Dalam perkuliahan seputar al-Qur'an,  Muhammad Taqi Mishbâh Yazdî mengulas tafsir tematik tentang tema-  tema seperti makrifatullah, mengenal al-Qur'an, dan memahami manusia.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itu, biasanya ia menyebutkan sejumlah ayat yang berkenaan dengan  salah satu tema tersebut, dan meminta murid-muridnya mengklasifikasi,  menganalisis, dan menyimpulkan muatan yang dikandung ayat-ayat  tersebut (lalu ia sendiri yang memeriksa hasilnya dan memberi penilai-  an). Pada tahap berikutnya, ia menyodorkan sebuah tema kepada murid-  muridnya seraya meminta mereka menentukan ayat-ayat yang berkaitan  dengan tema dimaksud, untuk kemudian mengembangkan dan mengu-  lasnya secara mendalam. </w:t>
      </w:r>
    </w:p>
    <w:p>
      <w:pPr>
        <w:pStyle w:val="BookText"/>
        <w:bidi w:val="0"/>
        <w:rPr/>
      </w:pPr>
      <w:r>
        <w:rPr>
          <w:rFonts w:eastAsia="Times New Roman" w:cs="Times New Roman" w:ascii="Times New Roman" w:hAnsi="Times New Roman"/>
          <w:color w:val="111111"/>
          <w:sz w:val="28"/>
          <w:szCs w:val="28"/>
          <w:lang w:val="en-US"/>
        </w:rPr>
        <w:t>Kelebihan lain yang dimiliki Muhammad Taqi Mishbâh Yazdî adalah  kemampuannya dalam mengembangkan nalar dan menjadikan cara  berpikir para calon ilmuwan lebih fokus, logis, sistemis, dan sistematis  (sebagaimana dirinya). Semua itu diperagakan lewat kuliah-kuliahnya  selama masa studi. Hasilnya, para calon ilmuwan ini pun menjadi terlatih  dan lebih sistematis (dalam berpikir) serta mampu bersikap rasional  sehingga sanggup mengurai pernyataan yang berbelit-belit dan tidak  sistematis. Hal inilah salah satu warisan berharga yang benar-benar dirasakan  murid-muridnya selama ini.</w:t>
      </w:r>
    </w:p>
    <w:p>
      <w:pPr>
        <w:pStyle w:val="BookText"/>
        <w:bidi w:val="0"/>
        <w:jc w:val="both"/>
        <w:rPr/>
      </w:pPr>
      <w:r>
        <w:rPr>
          <w:rFonts w:eastAsia="Times New Roman" w:cs="Times New Roman" w:ascii="Times New Roman" w:hAnsi="Times New Roman"/>
          <w:color w:val="111111"/>
          <w:sz w:val="28"/>
          <w:szCs w:val="28"/>
          <w:lang w:val="en-US"/>
        </w:rPr>
        <w:t>Selain itu, gaya dan retorikanya dalam menyampaikan materi  kuliah juga sangat memikat—selain isinya memang sangat mencekam  dan mengakibatkan murid-muridnya selalu berhasrat untuk terus  mengikuti kuliah-kuliahnya. Misalnya, kuliah bertema ‘mengenal diri  untuk membentuk diri’. Tema kuliah ini disampaikan Muhammad Taqî  Mishbâh Yazdî dengan sangat ilmiah, namun juga dibarengi dengan  pancaran aura akhlak, sehingga murid-muridnya sempat hanyut secara  spiritual. Demikian pula dalam perkuliahan filsafat. Ia benar-benar  mampu merangsang dan menghidupkan (nalar) murid-muridnya yang  terus fokus dan antusias menyimak kupasannya yang sedemikian  memesona sejak awal sampai akhir. Hal ini menggambarkan kemampuan  intelektual Muhammad Taqî Mishbâh Yazdî yang sangat luar bi-  asa; sebentang kemampuan yang sangat bagus dalam hal menguraikan  tematema perkuliahan dan dengan gaya yang pas.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Ciri khas lain Muhammad Taqi Mishbâh Yazdî dalam mengajar  dan berceramah metode pembahasannya yang selalu disertasi solusi  dan jawaban atas sejumlah kesalahpahaman (syubuhât), tanpa memberi  celah sedikit pun bagi kemungkinan munculnya jenis kesalahpahaman  lain di benak audiensnya. Sementara itu, banyak pihak yang berusaha  melontarkan jawaban terhadap satu kesalahpahaman (syubuhât), pada  saat yang sama, secara sadar maupun tidak, justru menciptakan syubuhat  lain yang lebih rumit dalam pemahaman audiens. </w:t>
      </w:r>
    </w:p>
    <w:p>
      <w:pPr>
        <w:pStyle w:val="BookText"/>
        <w:bidi w:val="0"/>
        <w:rPr/>
      </w:pPr>
      <w:r>
        <w:rPr>
          <w:rFonts w:eastAsia="Times New Roman" w:cs="Times New Roman" w:ascii="Times New Roman" w:hAnsi="Times New Roman"/>
          <w:color w:val="111111"/>
          <w:sz w:val="28"/>
          <w:szCs w:val="28"/>
          <w:lang w:val="en-US"/>
        </w:rPr>
        <w:t>Berkenaan dengan modal intelektual Muhammad Taqi Mishbâh Yazdî,  tidak berlebihan jika dikatakan bahwa ia memiliki tingkat kecermatan,  semangat keilmuan, dan ketekunan yang sangat tinggi. Dalam melakukan  riset ilmiah dan pemikiran, ia cukup tekun. Selain itu, analisisnya  selalu tajam dan penarikan kesimpulannya relatif sangat akurat. Ia  sering mengatakan kepada murid-muridnya bahwa untuk menuntaskan  persoalan-persoalan yang dihadapi, mereka harus memulainya dari  aksioma-aksioma yang ada. Berkat prinsip ini, kerumitan pembahasan  seputar ayat-ayat mutasyabihat al-Qur'an dapat diuraikan. Satu demi satu  misteri yang dikandung ayat-ayat tersebut dapat diungkap dan terdefinisikan,  sehingga maksud yang dikandungnya dapat dipahami dengan jelas. Hal  inilah metode yang tepat untuk menganalisis semua persoalan.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Taqi Mishbâh Yazdî juga memiliki kemampuan untuk  memilah secara tegas, antara metode dan isi atau kandungan pen-  getahuan. Dalam salah satu kuliahnya, ia pernah mengutip ayat ke-7  surah Ali Imran yang mengatakan: Dan orang-orang yang memiliki  kekokohan dalam ilmu mengatakan, ya tuhan kami, kami beriman ke-  pada semua dari sisi tuhan kami. Maksud kata râsikh (orangorang yang  kokoh dalam ilmu), menurutnya, adalah orang-orang yang memahami  batasan setiap ilmu, termasuk batas-batas ilmu manusia. Orang-  orang semacam ini juga mengetahui bahwa mayoritas keterangan yang  tercantum dalam al-Qur'an (yang disampaikan Tuhan) berada di luar  kemampuan mereka. Tak ada lain bagi mereka kecuali meyakini  bahwa semua itu hak atau benar adanya. Yang dimaksud dengan kokoh  (rusukh) dalam ilmu, menurutnya, adalah “saya tahu betul batas-batas  pengetahuan saya  Dalam pada itu, Muhammad Taqi Mishbâh Yazdî sering mewanti-  wanti agar seseorang tidak sampai menyimpulkan bahwa disebabkan  filsafat menyatakan suatu persoalan sebagai begini dan begitu, maka  sudah seharusnya ayat juga mengatakan hal yang sama. Padahal persoalan  filsafat memiliki kekhasan, begitu pula persoalan-persoalan yang </w:t>
      </w:r>
    </w:p>
    <w:p>
      <w:pPr>
        <w:pStyle w:val="BookText"/>
        <w:bidi w:val="0"/>
        <w:rPr/>
      </w:pPr>
      <w:r>
        <w:rPr>
          <w:rFonts w:eastAsia="Times New Roman" w:cs="Times New Roman" w:ascii="Times New Roman" w:hAnsi="Times New Roman"/>
          <w:color w:val="111111"/>
          <w:sz w:val="28"/>
          <w:szCs w:val="28"/>
          <w:lang w:val="en-US"/>
        </w:rPr>
        <w:t>berkenaan dengan ayat-ayat suci al-Qur'an. Akibatnya, banyak mufasir  yang menciptakan bias dalam karya-karya tafsirnya. Apabila terbilang ahli  sastra, seorang mufasir akan lebih banyak berbicara tentang keindahan  sastrawi ayat-ayat al-Qur'an dan melahirkan kesimpulan beraroma satra.</w:t>
      </w:r>
    </w:p>
    <w:p>
      <w:pPr>
        <w:pStyle w:val="BookText"/>
        <w:bidi w:val="0"/>
        <w:jc w:val="both"/>
        <w:rPr/>
      </w:pPr>
      <w:r>
        <w:rPr>
          <w:rFonts w:eastAsia="Times New Roman" w:cs="Times New Roman" w:ascii="Times New Roman" w:hAnsi="Times New Roman"/>
          <w:color w:val="111111"/>
          <w:sz w:val="28"/>
          <w:szCs w:val="28"/>
          <w:lang w:val="en-US"/>
        </w:rPr>
        <w:t>Bila tergolong filsuf seperti Mullâ Sadrâ, niscaya sang mufasir akan  cenderung menafsirkan ayat-ayat al-Qur'an secara filsufis, yang hasilnya  boleh jadi berbeda atau sangat jauh dari maksud asli ayat-ayat tersebut.</w:t>
      </w:r>
    </w:p>
    <w:p>
      <w:pPr>
        <w:pStyle w:val="BookText"/>
        <w:bidi w:val="0"/>
        <w:jc w:val="both"/>
        <w:rPr/>
      </w:pPr>
      <w:r>
        <w:rPr>
          <w:rFonts w:eastAsia="Times New Roman" w:cs="Times New Roman" w:ascii="Times New Roman" w:hAnsi="Times New Roman"/>
          <w:color w:val="111111"/>
          <w:sz w:val="28"/>
          <w:szCs w:val="28"/>
          <w:lang w:val="en-US"/>
        </w:rPr>
        <w:t>Nah, dalam konteks ini, metode tafsir yang dikembangkan Muhammad  Taqi Mishbâh Yazdî benar-benar berbeda, khas, proporsional, dan nyaris  tidak dipengaruhi bidang utama keahliannya, yaitu filsafat dan pemikiran.</w:t>
      </w:r>
    </w:p>
    <w:p>
      <w:pPr>
        <w:pStyle w:val="BookText"/>
        <w:bidi w:val="0"/>
        <w:jc w:val="both"/>
        <w:rPr/>
      </w:pPr>
      <w:r>
        <w:rPr>
          <w:rFonts w:eastAsia="Times New Roman" w:cs="Times New Roman" w:ascii="Times New Roman" w:hAnsi="Times New Roman"/>
          <w:color w:val="111111"/>
          <w:sz w:val="28"/>
          <w:szCs w:val="28"/>
          <w:lang w:val="en-US"/>
        </w:rPr>
        <w:t>Perlu dicatat bahwa dalam bidang tafsir, ia acapkali menafsirkan ayat-ayat  al-Qur'an dengan tingkat akurasi dan kecermatan yang mengagumkan.</w:t>
      </w:r>
    </w:p>
    <w:p>
      <w:pPr>
        <w:pStyle w:val="BookText"/>
        <w:bidi w:val="0"/>
        <w:jc w:val="both"/>
        <w:rPr/>
      </w:pPr>
      <w:r>
        <w:rPr>
          <w:rFonts w:eastAsia="Times New Roman" w:cs="Times New Roman" w:ascii="Times New Roman" w:hAnsi="Times New Roman"/>
          <w:color w:val="111111"/>
          <w:sz w:val="28"/>
          <w:szCs w:val="28"/>
          <w:lang w:val="en-US"/>
        </w:rPr>
        <w:t>Muhammad Taqî Mishbâh Yazdî juga cukup menonjol dan berbakat  dalam bidang riset dan penelitian. Ia selalu mampu bersikap netral,  objektif, dan begitu menghargai bidang-bidang ilmu lainnya. Minat  dan selera pribadinya tidak pernah menodai kerja risetnya. Memang,  ia merupakan filsuf dan sangat bertalenta dalam bidang ini. Namun  begitu, sebagaimana telah dikatakan, kecenderungan ini sama sekali  tidak memengaruhi sedikit pun kegiatannya dalam bidang tafsir.</w:t>
      </w:r>
    </w:p>
    <w:p>
      <w:pPr>
        <w:pStyle w:val="BookText"/>
        <w:bidi w:val="0"/>
        <w:jc w:val="both"/>
        <w:rPr/>
      </w:pPr>
      <w:r>
        <w:rPr>
          <w:rFonts w:eastAsia="Times New Roman" w:cs="Times New Roman" w:ascii="Times New Roman" w:hAnsi="Times New Roman"/>
          <w:color w:val="111111"/>
          <w:sz w:val="28"/>
          <w:szCs w:val="28"/>
          <w:lang w:val="en-US"/>
        </w:rPr>
        <w:t>Dalam menanggapi, menerima, atau menolak suatu pendapat, ia selalu  melontarkan kritik, menerima, atau menolaknya dengan cara yang  sangat ilmiah, gamblang, terbuka, dan terbilang fair (tetap menghargai  dan mempertimbangkan posisi lawan).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 terlihat sebagai sosok yang santun, Muhammad Taqi Mishbâh  Yazdî tergolong pemberani sehingga acap kali melakukan terobosan  dan menciptakan kreasi dalam bidang pemikiran. Ia tidak segan-segan  menerima kebenaran suatu pendapat dan mengakuinya (sebagai kebenaran)  dalam waktu lama. Namun bila kemudian mengetahui adanya sejumlah  kelemahan yang dikandung dalam pendapat tersebut, maka ia juga tidak  akan segan-segan mematahkan dan menolaknya, seraya menyodorkan  alternatif lain yang tentu saja dilandasi dengan sejumlah argumen  rasional. </w:t>
      </w:r>
      <w:bookmarkStart w:id="77" w:name="pg6424_44802"/>
    </w:p>
    <w:p>
      <w:pPr>
        <w:pStyle w:val="BookText"/>
        <w:bidi w:val="0"/>
        <w:rPr/>
      </w:pPr>
      <w:bookmarkEnd w:id="77"/>
      <w:r>
        <w:rPr>
          <w:rFonts w:eastAsia="Times New Roman" w:cs="Times New Roman" w:ascii="Times New Roman" w:hAnsi="Times New Roman"/>
          <w:color w:val="111111"/>
          <w:sz w:val="28"/>
          <w:szCs w:val="28"/>
          <w:lang w:val="en-US"/>
        </w:rPr>
        <w:t>Selanjutnya, Rajabi juga menyebutkan beberapa terobosan baru  Muhammad Taqi Mishbâh Yazdî dalam bidang pemikiran:</w:t>
      </w:r>
    </w:p>
    <w:p>
      <w:pPr>
        <w:pStyle w:val="BookText"/>
        <w:bidi w:val="0"/>
        <w:jc w:val="both"/>
        <w:rPr/>
      </w:pPr>
      <w:r>
        <w:rPr>
          <w:rFonts w:eastAsia="Times New Roman" w:cs="Times New Roman" w:ascii="Times New Roman" w:hAnsi="Times New Roman"/>
          <w:color w:val="111111"/>
          <w:sz w:val="28"/>
          <w:szCs w:val="28"/>
          <w:lang w:val="en-US"/>
        </w:rPr>
        <w:t>Pertama, menemukan dan mengajukan pendapat-pendapat baru.</w:t>
      </w:r>
    </w:p>
    <w:p>
      <w:pPr>
        <w:pStyle w:val="BookText"/>
        <w:bidi w:val="0"/>
        <w:jc w:val="both"/>
        <w:rPr/>
      </w:pPr>
      <w:r>
        <w:rPr>
          <w:rFonts w:eastAsia="Times New Roman" w:cs="Times New Roman" w:ascii="Times New Roman" w:hAnsi="Times New Roman"/>
          <w:color w:val="111111"/>
          <w:sz w:val="28"/>
          <w:szCs w:val="28"/>
          <w:lang w:val="en-US"/>
        </w:rPr>
        <w:t>Muhammad Taqi Mishbâh Yazdî memiliki sejumlah pendapat baru, baik  dalam bidang filsafat, ilmu-ilmu (al-Qur'an), maupun tema-tema sosial  politik. Namun, sayangnya belum dikemukakan atau diuraikan, secara  lugas dan gamblang.</w:t>
      </w:r>
    </w:p>
    <w:p>
      <w:pPr>
        <w:pStyle w:val="BookText"/>
        <w:bidi w:val="0"/>
        <w:jc w:val="both"/>
        <w:rPr/>
      </w:pPr>
      <w:r>
        <w:rPr>
          <w:rFonts w:eastAsia="Times New Roman" w:cs="Times New Roman" w:ascii="Times New Roman" w:hAnsi="Times New Roman"/>
          <w:color w:val="111111"/>
          <w:sz w:val="28"/>
          <w:szCs w:val="28"/>
          <w:lang w:val="en-US"/>
        </w:rPr>
        <w:t>Kedua, terobosannya dalam bidang sistematisasi gagasan. Sudah  umum diketahui bahwa relasi atau keterkaitan antarsebagian besar ga-  gasan-gagasan Islam masih terlihat samar satu sama lain. Dalam hal ini,  Muhammad Taqi Mishbâh Yazdî telah membangun sebuah skema baru  yang lebih sistematis untuk mengungkapkan dan menunjukkan adanya  jalinan dan keterkaitan antargagasan-gagasan tersebut.</w:t>
      </w:r>
    </w:p>
    <w:p>
      <w:pPr>
        <w:pStyle w:val="BookText"/>
        <w:bidi w:val="0"/>
        <w:jc w:val="both"/>
        <w:rPr/>
      </w:pPr>
      <w:r>
        <w:rPr>
          <w:rFonts w:eastAsia="Times New Roman" w:cs="Times New Roman" w:ascii="Times New Roman" w:hAnsi="Times New Roman"/>
          <w:color w:val="111111"/>
          <w:sz w:val="28"/>
          <w:szCs w:val="28"/>
          <w:lang w:val="en-US"/>
        </w:rPr>
        <w:t>Ketiga, mentradisikan penyusunan buku daras (text-book) perkuliahan.</w:t>
      </w:r>
    </w:p>
    <w:p>
      <w:pPr>
        <w:pStyle w:val="BookText"/>
        <w:bidi w:val="0"/>
        <w:jc w:val="both"/>
        <w:rPr/>
      </w:pPr>
      <w:r>
        <w:rPr>
          <w:rFonts w:eastAsia="Times New Roman" w:cs="Times New Roman" w:ascii="Times New Roman" w:hAnsi="Times New Roman"/>
          <w:color w:val="111111"/>
          <w:sz w:val="28"/>
          <w:szCs w:val="28"/>
          <w:lang w:val="en-US"/>
        </w:rPr>
        <w:t>Dalam hal ini, Muhammad Taqi Mishbâh Yazdî menjadi orang pertama  yang menulis dan menyusun buku-buku kuliah akidah dan filsafat dalam  bentuk text-book. Tulisan-tulisannya itu, selain padat, cermat, sistematis,  dan sangat indah, juga enak dibaca. Jelas, ini merupakan terobosan baru  dalam tradisi perkuliahan di hawzah.</w:t>
      </w:r>
    </w:p>
    <w:p>
      <w:pPr>
        <w:pStyle w:val="Heading4"/>
        <w:numPr>
          <w:ilvl w:val="3"/>
          <w:numId w:val="1"/>
        </w:numPr>
        <w:bidi w:val="0"/>
        <w:jc w:val="left"/>
        <w:rPr/>
      </w:pPr>
      <w:bookmarkStart w:id="78" w:name="__RefHeading___Toc688577_653776707"/>
      <w:bookmarkStart w:id="79" w:name="_Toc28"/>
      <w:bookmarkEnd w:id="78"/>
      <w:r>
        <w:rPr/>
        <w:t>1. Bekerja sama dengan Behesyti dan Qudusi di Madrasah</w:t>
      </w:r>
      <w:bookmarkEnd w:id="79"/>
    </w:p>
    <w:p>
      <w:pPr>
        <w:pStyle w:val="BookText"/>
        <w:bidi w:val="0"/>
        <w:jc w:val="both"/>
        <w:rPr/>
      </w:pPr>
      <w:r>
        <w:rPr>
          <w:rFonts w:eastAsia="Times New Roman" w:cs="Times New Roman" w:ascii="Times New Roman" w:hAnsi="Times New Roman"/>
          <w:color w:val="111111"/>
          <w:sz w:val="28"/>
          <w:szCs w:val="28"/>
          <w:lang w:val="en-US"/>
        </w:rPr>
        <w:t>Haqani  Behesyti dan Qudusi mendirikan madrasah baru dengan program-  program baru agar dapat melahirkan lulusan yang matang dan siap dalam  waktu yang singkat. Madrasah ini dibawah pengawasan Golpaegânî.</w:t>
      </w:r>
    </w:p>
    <w:p>
      <w:pPr>
        <w:pStyle w:val="BookText"/>
        <w:bidi w:val="0"/>
        <w:jc w:val="both"/>
        <w:rPr/>
      </w:pPr>
      <w:r>
        <w:rPr>
          <w:rFonts w:eastAsia="Times New Roman" w:cs="Times New Roman" w:ascii="Times New Roman" w:hAnsi="Times New Roman"/>
          <w:color w:val="111111"/>
          <w:sz w:val="28"/>
          <w:szCs w:val="28"/>
          <w:lang w:val="en-US"/>
        </w:rPr>
        <w:t>Muhammad Taqi Mishbâh Yazdî bergabung dengan kelompok ini se-  cara aktif dengan memberikan masukan-masukan yang sangat berharga.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Taqi Mishbâh Yazdî dalam kelompok ini diangkat sebagai  anggota Dewan Syura. Kesempatan yang sangat baik ini digunakan oleh  profesor dan sahabat-sahabatnya untuk mencurahkan segala kemampuan  dalam melatih para cendekiawan masa depan Republik Islam Iran </w:t>
      </w:r>
      <w:bookmarkStart w:id="80" w:name="pg6424_44805"/>
    </w:p>
    <w:p>
      <w:pPr>
        <w:pStyle w:val="Heading4"/>
        <w:numPr>
          <w:ilvl w:val="3"/>
          <w:numId w:val="1"/>
        </w:numPr>
        <w:bidi w:val="0"/>
        <w:jc w:val="left"/>
        <w:rPr/>
      </w:pPr>
      <w:bookmarkStart w:id="81" w:name="__RefHeading___Toc688579_653776707"/>
      <w:bookmarkStart w:id="82" w:name="_Toc29"/>
      <w:bookmarkEnd w:id="80"/>
      <w:bookmarkEnd w:id="81"/>
      <w:r>
        <w:rPr/>
        <w:t>2. Mendirikan Divisi Pendidikan di Yayasan Rahe Haq</w:t>
      </w:r>
      <w:bookmarkEnd w:id="82"/>
    </w:p>
    <w:p>
      <w:pPr>
        <w:pStyle w:val="BookText"/>
        <w:bidi w:val="0"/>
        <w:jc w:val="both"/>
        <w:rPr/>
      </w:pPr>
      <w:r>
        <w:rPr>
          <w:rFonts w:eastAsia="Times New Roman" w:cs="Times New Roman" w:ascii="Times New Roman" w:hAnsi="Times New Roman"/>
          <w:color w:val="111111"/>
          <w:sz w:val="28"/>
          <w:szCs w:val="28"/>
          <w:lang w:val="en-US"/>
        </w:rPr>
        <w:t xml:space="preserve">Ia mendirikan lembaga ini sebelum Revolusi Islam Iran dengan  mengemban amanat untuk menolak tuduhan dan serangan-serangan  agama kristen yang bisa merusak akidah para mahasiswa dan para pela-  jar Iran. Pendiri utamanya adalah Muhsin Kharazi, salah seorang profe-  sor dan mujtahid terpandang dari hawzah. Kemudian di akhir dekade  40-an, menyusul berkembangnya paham marxisme di Iran dan keter-  tarikan para pemuda Iran kepada paham Materialisme dan Material-  isme, </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Rezim Syah sekalipun tampaknya mereka melawan kelompok kiri (istilah masa itu) tapi tidaklah  serius sekali, terbukti masih banyaknya buku-buku marxisme di penjara-penjara politik, padahal  sebenarnya bisa saja ia menyediakan buku-buku Islam. Tapi kadang-kadang demi kepentingan  politik, rezim juga menyita buku-buku kiri tersebut dari penjara.</w:t>
      </w:r>
    </w:p>
    <w:p>
      <w:pPr>
        <w:pStyle w:val="BookText"/>
        <w:bidi w:val="0"/>
        <w:jc w:val="both"/>
        <w:rPr/>
      </w:pPr>
      <w:r>
        <w:rPr>
          <w:rFonts w:eastAsia="Times New Roman" w:cs="Times New Roman" w:ascii="Times New Roman" w:hAnsi="Times New Roman"/>
          <w:color w:val="111111"/>
          <w:sz w:val="28"/>
          <w:szCs w:val="28"/>
          <w:lang w:val="en-US"/>
        </w:rPr>
        <w:t>datanglah rombongan para tokoh agamawan Tehran yang anak-  anak mereka terjerat dengan ajaran-ajaran ini ke hawzah-hawzah dan  juga termasuk ke Institut Râh-e Haq. Para penanggung jawab menyusun  strategi untuk menerbitkan majalah yang bisa memberikan jawaban atas  kekeliruan berpikir Paham marskisme dan materialisme. Untuk mereka  mengundang para tokoh dan cendekiawan dari hawzah termasuk  Muhammad Taqi Mishbâh Yazdî sendiri.</w:t>
      </w:r>
    </w:p>
    <w:p>
      <w:pPr>
        <w:pStyle w:val="BookText"/>
        <w:bidi w:val="0"/>
        <w:jc w:val="both"/>
        <w:rPr/>
      </w:pPr>
      <w:r>
        <w:rPr>
          <w:rFonts w:eastAsia="Times New Roman" w:cs="Times New Roman" w:ascii="Times New Roman" w:hAnsi="Times New Roman"/>
          <w:color w:val="111111"/>
          <w:sz w:val="28"/>
          <w:szCs w:val="28"/>
          <w:lang w:val="en-US"/>
        </w:rPr>
        <w:t>Muhammad Taqi Mishbâh Yazdî mengawali kiprahnya di yayasan  tersebut dengan menulis artikel dengan judul Pasdari az Sanggarha-ye  Ideologi (Membela Prinsip-prinsip Ideologi). Kemudian ia juga mengu-  sulkan kepada para talabeh untuk membentuk divisi pengajaran yang  bergerak dalam bidang pemikiran dan mempertahankan akidah islam.</w:t>
      </w:r>
    </w:p>
    <w:p>
      <w:pPr>
        <w:pStyle w:val="BookText"/>
        <w:bidi w:val="0"/>
        <w:jc w:val="both"/>
        <w:rPr/>
      </w:pPr>
      <w:r>
        <w:rPr>
          <w:rFonts w:eastAsia="Times New Roman" w:cs="Times New Roman" w:ascii="Times New Roman" w:hAnsi="Times New Roman"/>
          <w:color w:val="111111"/>
          <w:sz w:val="28"/>
          <w:szCs w:val="28"/>
          <w:lang w:val="en-US"/>
        </w:rPr>
        <w:t>Sebelum memulai aktivitasnya, ia ingin menimba pelajaran dari neg-  aranegara islam dalam melawan pemikiran-pemikiran Asing. Untuk  itu ia bersama Ahmadi yang juga mengadakan kerja sama dengan yayasan  Rahehaq berkunjung ke Mesir, Lebanon, dan Suriah. Namun ternyata  di neg-ara-negara itu tidak ada program baru dalam bidang tersebut.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Akhirnya ia berinisatif sendiri untuk menggerakan aktivitas divisi pen-  didikan. Untuk itu ia merekrut para talabeh yang memiliki perhatian </w:t>
      </w:r>
      <w:bookmarkStart w:id="83" w:name="pg6424_44807"/>
    </w:p>
    <w:p>
      <w:pPr>
        <w:pStyle w:val="BookText"/>
        <w:bidi w:val="0"/>
        <w:rPr/>
      </w:pPr>
      <w:bookmarkEnd w:id="83"/>
      <w:r>
        <w:rPr>
          <w:rFonts w:eastAsia="Times New Roman" w:cs="Times New Roman" w:ascii="Times New Roman" w:hAnsi="Times New Roman"/>
          <w:color w:val="111111"/>
          <w:sz w:val="28"/>
          <w:szCs w:val="28"/>
          <w:lang w:val="en-US"/>
        </w:rPr>
        <w:t>dan minat yaitu para talabeh yang telah sampai kepada pelajaran khraej,  untuk dibina selama 8 tahun dengan pelajaran-pelajaran akidah dan  prinsip-prinsip Islam. Syarat untuk diterima dalam proyek pendidian ini  adalah talabeh yang telah mengikuti pelajaran kharej selama 10 tahun.</w:t>
      </w:r>
    </w:p>
    <w:p>
      <w:pPr>
        <w:pStyle w:val="BookText"/>
        <w:bidi w:val="0"/>
        <w:jc w:val="both"/>
        <w:rPr/>
      </w:pPr>
      <w:r>
        <w:rPr>
          <w:rFonts w:eastAsia="Times New Roman" w:cs="Times New Roman" w:ascii="Times New Roman" w:hAnsi="Times New Roman"/>
          <w:color w:val="111111"/>
          <w:sz w:val="28"/>
          <w:szCs w:val="28"/>
          <w:lang w:val="en-US"/>
        </w:rPr>
        <w:t>Dalam program ini profesor adalah guru yang paling aktif menga-  jar. Materi-materi yang diajarkan dalam program ini meliputi Falsafa-  tuna, Nihâyat al-Hikmah, tafsir tematik al-Qur'an, tema-tema psikologi  dan ilmu-ilmu al-Qur'an. Para dosen lain juga diundang untuk ikut serta  memberikan kontribusinya seperti Hosein Mazhaherî dalam bidang  pengajaran ushul fiqh, Ali Taskhîrî dalam bidang pengajaran bahasa Arab,  dan juga Ahmadi yang mengajarkan bahasa Inggris. Setelah kemenan-  gan revolusi Islam Iran, Muhammad Taqi Mishbâh Yazdî beserta para  pengurus Yayasan Rahe-Haq seperti Muhammad Gîlanî mengadakan  pertemuan dengan Khomeini. Dalam pertemuan tersebut Khomeini meminta  agar Muhammad Taqi Mishbâh Yazdî meneruskan program-program  Yayasan Rah-e Haq. Ia sendiri mengatakan, “Yang di sana teruskan dan  kembangkan, selama aku masih hidup aku akan membiayainya.”</w:t>
      </w:r>
    </w:p>
    <w:p>
      <w:pPr>
        <w:pStyle w:val="Heading4"/>
        <w:numPr>
          <w:ilvl w:val="3"/>
          <w:numId w:val="1"/>
        </w:numPr>
        <w:bidi w:val="0"/>
        <w:jc w:val="left"/>
        <w:rPr/>
      </w:pPr>
      <w:bookmarkStart w:id="84" w:name="__RefHeading___Toc688581_653776707"/>
      <w:bookmarkStart w:id="85" w:name="_Toc30"/>
      <w:bookmarkEnd w:id="84"/>
      <w:r>
        <w:rPr/>
        <w:t>3. Mendirikan Biro Kerjasama Hawzah dan Universitas</w:t>
      </w:r>
      <w:bookmarkEnd w:id="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peran penting Muhammad Taqi Mishbâh Yazdî adalah  mendirikan biro kerjasama Hawzah-Universitas. Biro ini dibuat atas  saran Khomeini agar cita-cita dan aspirasi revolusi Islam Iran bisa  bersemi. Ia mengatakan, bahwa di tahun-tahun pertama kemenangan  revolusi ketika universitas-universitas masih libur, dibentuklah sebuah  Pusat Kebudayaan Revolusi demi memberikan warna islam kepada  perguruan tinggi. Tugasnya adalah melakukan evaluasi atas buku-buku  Di perguruan tinggi, Khomeini sangat menggarisbawahi usaha ini  dan meminta dukungan dari haw zah-hawzah. Untuk melaksakan saran  Khomeini ini, sebuah tim dikirim ke hawzah dan juga ke istitut Rah-e  Haq. Kemudian diadakan pertemuan yang juga dihadiri oleh Muhammad  Taqî Mishbâh Yazdî untuk membuat program yang lebih praktis dan  efektif. </w:t>
      </w:r>
      <w:bookmarkStart w:id="86" w:name="pg6424_44810"/>
    </w:p>
    <w:p>
      <w:pPr>
        <w:pStyle w:val="Heading4"/>
        <w:numPr>
          <w:ilvl w:val="3"/>
          <w:numId w:val="1"/>
        </w:numPr>
        <w:bidi w:val="0"/>
        <w:jc w:val="left"/>
        <w:rPr/>
      </w:pPr>
      <w:bookmarkStart w:id="87" w:name="__RefHeading___Toc688583_653776707"/>
      <w:bookmarkStart w:id="88" w:name="_Toc31"/>
      <w:bookmarkEnd w:id="86"/>
      <w:bookmarkEnd w:id="87"/>
      <w:r>
        <w:rPr/>
        <w:t>4. Mendirikan Institut Cultural Baqir Ulum</w:t>
      </w:r>
      <w:bookmarkEnd w:id="88"/>
    </w:p>
    <w:p>
      <w:pPr>
        <w:pStyle w:val="BookText"/>
        <w:bidi w:val="0"/>
        <w:jc w:val="both"/>
        <w:rPr/>
      </w:pPr>
      <w:r>
        <w:rPr>
          <w:rFonts w:eastAsia="Times New Roman" w:cs="Times New Roman" w:ascii="Times New Roman" w:hAnsi="Times New Roman"/>
          <w:color w:val="111111"/>
          <w:sz w:val="28"/>
          <w:szCs w:val="28"/>
          <w:lang w:val="en-US"/>
        </w:rPr>
        <w:t>Institut ini didirikan untuk menampung lulusan Yayasan Rahe Haq  yang ingin meneruskan kuliah dalam bidang mata pelajaran ilmu-ilmu  sosial dan kajian perbandingan antara ragam paham dan pandangan Is-  lam</w:t>
      </w:r>
    </w:p>
    <w:p>
      <w:pPr>
        <w:pStyle w:val="Heading4"/>
        <w:numPr>
          <w:ilvl w:val="3"/>
          <w:numId w:val="1"/>
        </w:numPr>
        <w:bidi w:val="0"/>
        <w:jc w:val="left"/>
        <w:rPr/>
      </w:pPr>
      <w:bookmarkStart w:id="89" w:name="__RefHeading___Toc688585_653776707"/>
      <w:bookmarkStart w:id="90" w:name="_Toc32"/>
      <w:bookmarkEnd w:id="89"/>
      <w:r>
        <w:rPr/>
        <w:t>5. Mendirikan Pusat Pendidikan dan Penelitian Imam Khomeini</w:t>
      </w:r>
      <w:bookmarkEnd w:id="90"/>
    </w:p>
    <w:p>
      <w:pPr>
        <w:pStyle w:val="BookText"/>
        <w:bidi w:val="0"/>
        <w:jc w:val="both"/>
        <w:rPr/>
      </w:pPr>
      <w:r>
        <w:rPr>
          <w:rFonts w:eastAsia="Times New Roman" w:cs="Times New Roman" w:ascii="Times New Roman" w:hAnsi="Times New Roman"/>
          <w:color w:val="111111"/>
          <w:sz w:val="28"/>
          <w:szCs w:val="28"/>
          <w:lang w:val="en-US"/>
        </w:rPr>
        <w:t>Muhammad Taqi Mishbâh Yazdî juga sangat aktif dalam melakukan  kegiatan-kegiatan keilmuan, politik dan kebudyaan di luar Iran (ada 30  negara yang dikunjunginya). Selama dalam perjalanan di luar negeri, ia  tidak pernah lalai dalam menyampaikan misi dan nilai-nilai Islam serta  kewajiban untuk mempertahakankan nilai-nilai tersebut.</w:t>
      </w:r>
    </w:p>
    <w:p>
      <w:pPr>
        <w:pStyle w:val="Heading3"/>
        <w:numPr>
          <w:ilvl w:val="2"/>
          <w:numId w:val="1"/>
        </w:numPr>
        <w:bidi w:val="0"/>
        <w:jc w:val="left"/>
        <w:rPr/>
      </w:pPr>
      <w:bookmarkStart w:id="91" w:name="__RefHeading___Toc688587_653776707"/>
      <w:bookmarkStart w:id="92" w:name="_Toc33"/>
      <w:bookmarkEnd w:id="91"/>
      <w:r>
        <w:rPr/>
        <w:t>D. Kiprah dalam penelitian dan Pengembangan Metodologi</w:t>
      </w:r>
      <w:bookmarkEnd w:id="92"/>
    </w:p>
    <w:p>
      <w:pPr>
        <w:pStyle w:val="Heading4"/>
        <w:numPr>
          <w:ilvl w:val="3"/>
          <w:numId w:val="1"/>
        </w:numPr>
        <w:bidi w:val="0"/>
        <w:jc w:val="left"/>
        <w:rPr/>
      </w:pPr>
      <w:bookmarkStart w:id="93" w:name="__RefHeading___Toc688589_653776707"/>
      <w:bookmarkStart w:id="94" w:name="_Toc34"/>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Melakukan penelitian dan riset dalam berbagai bidang disiplin ilmu  seperti fiqh, ushul fiqh, tafsir, filsafat, dan juga mata kuliah-mata kuliah  perguruan tinggai dalam bidang ilmu sosial dan bahasa asing (Inggris  dan Perancis)</w:t>
      </w:r>
    </w:p>
    <w:p>
      <w:pPr>
        <w:pStyle w:val="Heading4"/>
        <w:numPr>
          <w:ilvl w:val="3"/>
          <w:numId w:val="1"/>
        </w:numPr>
        <w:bidi w:val="0"/>
        <w:jc w:val="left"/>
        <w:rPr/>
      </w:pPr>
      <w:bookmarkStart w:id="95" w:name="__RefHeading___Toc688591_653776707"/>
      <w:bookmarkStart w:id="96" w:name="_Toc35"/>
      <w:bookmarkEnd w:id="95"/>
      <w:r>
        <w:rPr/>
        <w:t>1. Fiqh dan Ushul Fiqh</w:t>
      </w:r>
      <w:bookmarkEnd w:id="96"/>
    </w:p>
    <w:p>
      <w:pPr>
        <w:pStyle w:val="BookText"/>
        <w:bidi w:val="0"/>
        <w:jc w:val="both"/>
        <w:rPr/>
      </w:pPr>
      <w:r>
        <w:rPr>
          <w:rFonts w:eastAsia="Times New Roman" w:cs="Times New Roman" w:ascii="Times New Roman" w:hAnsi="Times New Roman"/>
          <w:color w:val="111111"/>
          <w:sz w:val="28"/>
          <w:szCs w:val="28"/>
          <w:lang w:val="en-US"/>
        </w:rPr>
        <w:t>Muhammad Taqi Mishbâh Yazdî mempelajari ilmu fiqh dari para  guru hawzah terkemuka seperti Burujerdi, Araki, Khomeini dan Behjat,  dan ia berhasil meraih hadiah dari Burujerdi dan kemudian mencapai  posisi ijtihad (mujtahid). Atas dasar ini bisa disimpulkan bahwa ia juga  memiliki penelitan dan kajian yang mencukupi mendalam dalam sub  materi pelajaran yaitu seperti ushul fiqh, rijal dan dirayah.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Mahmud Rajabi, dalam bidang tafsir di hawzah 'Ilmiyah  Qom-Muhammad Taqi Mishbâh Yazdî selama 8 tahun secara aktif </w:t>
      </w:r>
      <w:bookmarkStart w:id="97" w:name="pg6424_44812"/>
    </w:p>
    <w:p>
      <w:pPr>
        <w:pStyle w:val="BookText"/>
        <w:bidi w:val="0"/>
        <w:rPr/>
      </w:pPr>
      <w:bookmarkEnd w:id="97"/>
      <w:r>
        <w:rPr>
          <w:rFonts w:eastAsia="Times New Roman" w:cs="Times New Roman" w:ascii="Times New Roman" w:hAnsi="Times New Roman"/>
          <w:color w:val="111111"/>
          <w:sz w:val="28"/>
          <w:szCs w:val="28"/>
          <w:lang w:val="en-US"/>
        </w:rPr>
        <w:t>Pemikiran Filsafat Ayatullah M.T. Mishbah Yazdi  mengikuti pelajaran fiqh dari Burujerdi. Dalam tes/imtihan pertama level  kharej yang diadakan oleh Burujerdi dan yang memberi imtihan adalah  Sulthani dan Muqadasi Araki, ia berhasil menjadi seorang pelajar yang  istimewa, berprestasi sangat baik. Malahan sebagian dosen mengusulkan  bahwa kalau ia meneruskan pelajatan itu empat tahun lagi, maka ia pasti  akan mencapai derajat ijtihad.</w:t>
      </w:r>
    </w:p>
    <w:p>
      <w:pPr>
        <w:pStyle w:val="BookText"/>
        <w:bidi w:val="0"/>
        <w:jc w:val="both"/>
        <w:rPr/>
      </w:pPr>
      <w:r>
        <w:rPr>
          <w:rFonts w:eastAsia="Times New Roman" w:cs="Times New Roman" w:ascii="Times New Roman" w:hAnsi="Times New Roman"/>
          <w:color w:val="111111"/>
          <w:sz w:val="28"/>
          <w:szCs w:val="28"/>
          <w:lang w:val="en-US"/>
        </w:rPr>
        <w:t>Tidak lama kemudian ramalan ini terbukti. Dalam usia 27 tahun  ia mencapai derajat ijtihad, tapi dalam waktu yang sama ia juga tetap  meneruskan mengikuti pelajaran-pelajaran Fiqh dan ushul dari Khomeini  selama 8 tahun dan 15 tahun mengikuti pelajaran fiqh dari Behjat dan 2  tahun mengikuti pelajaran dari Araki.</w:t>
      </w:r>
    </w:p>
    <w:p>
      <w:pPr>
        <w:pStyle w:val="BookText"/>
        <w:bidi w:val="0"/>
        <w:jc w:val="both"/>
        <w:rPr/>
      </w:pPr>
      <w:r>
        <w:rPr>
          <w:rFonts w:eastAsia="Times New Roman" w:cs="Times New Roman" w:ascii="Times New Roman" w:hAnsi="Times New Roman"/>
          <w:color w:val="111111"/>
          <w:sz w:val="28"/>
          <w:szCs w:val="28"/>
          <w:lang w:val="en-US"/>
        </w:rPr>
        <w:t>Behjati (imam Jumat Urdukan) berkomentar tentang mubahasah ini:</w:t>
      </w:r>
    </w:p>
    <w:p>
      <w:pPr>
        <w:pStyle w:val="BookText"/>
        <w:bidi w:val="0"/>
        <w:jc w:val="both"/>
        <w:rPr/>
      </w:pPr>
      <w:r>
        <w:rPr>
          <w:rFonts w:eastAsia="Times New Roman" w:cs="Times New Roman" w:ascii="Times New Roman" w:hAnsi="Times New Roman"/>
          <w:color w:val="111111"/>
          <w:sz w:val="28"/>
          <w:szCs w:val="28"/>
          <w:lang w:val="en-US"/>
        </w:rPr>
        <w:t xml:space="preserve">Pertemuan-pertemuan ini adalah diskusi (mubahasah) yang sangat  serius untuk menetapkan (itsbat) kewajiban berjuang (mubarazah)  di zaman dan situasi seperti itu, mereka ingin membuktikan bahwa  secara fiqh perjuangan yang digelorakan oleh Khomeini adalah wajib  karena, pilar-pilar islam sedang dalam keadaan bahaya. Saya ka-  dangkadang sesekali ikut dalam mubahasah tersebut. Muhammad  Taqi Mishbâh Yazdî sangat antusias supaya diskusi terus berlanjut  dan memang kemudian dilanjutkan. Di masa itu efek, hasil dari  mubahasah memang tampak dalam jenjang studi. </w:t>
      </w:r>
      <w:r>
        <w:rPr>
          <w:rStyle w:val="FootnoteAnchor"/>
        </w:rPr>
        <w:footnoteReference w:id="137"/>
      </w:r>
    </w:p>
    <w:p>
      <w:pPr>
        <w:pStyle w:val="Heading4"/>
        <w:numPr>
          <w:ilvl w:val="3"/>
          <w:numId w:val="1"/>
        </w:numPr>
        <w:bidi w:val="0"/>
        <w:jc w:val="left"/>
        <w:rPr/>
      </w:pPr>
      <w:bookmarkStart w:id="98" w:name="__RefHeading___Toc688593_653776707"/>
      <w:bookmarkStart w:id="99" w:name="_Toc36"/>
      <w:bookmarkEnd w:id="98"/>
      <w:r>
        <w:rPr/>
        <w:t>2. Tafsir</w:t>
      </w:r>
      <w:bookmarkEnd w:id="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Mengenal ‘Thabâthabâ'î banyak mendorong Muhammad Taqî  Mishbâh Yazdî untuk lebih memaksimalkan usahanya dalam mengajarkan  ilmu-ilmu al-Qur'an dan tafsir. Pada awalnya ia banyak mengikuti  pelajaran tafsir Alamah dan dengan bimbingan dan pengajarannya secara  khusus. Ia bisa lebih mendalami al-Qur'an dan menguasai susunan-  susunan ayatnya yang sangat indah. Ia sendiri menjadi seorang ahli dalam  al-Qur'an dan karena semakin matang, maka Alamah ingin meminta </w:t>
      </w:r>
    </w:p>
    <w:p>
      <w:pPr>
        <w:pStyle w:val="BookText"/>
        <w:bidi w:val="0"/>
        <w:rPr/>
      </w:pPr>
      <w:r>
        <w:rPr>
          <w:rFonts w:eastAsia="Times New Roman" w:cs="Times New Roman" w:ascii="Times New Roman" w:hAnsi="Times New Roman"/>
          <w:color w:val="111111"/>
          <w:sz w:val="28"/>
          <w:szCs w:val="28"/>
          <w:lang w:val="en-US"/>
        </w:rPr>
        <w:t>bantuan pandangan-pandangan dan ketajaman analisisnya, untuk itu ia  menyerahkan pembacaan kembali tafsir Al-Mizan kepadanya sebelum  naik cetak.</w:t>
      </w:r>
    </w:p>
    <w:p>
      <w:pPr>
        <w:pStyle w:val="BookText"/>
        <w:bidi w:val="0"/>
        <w:jc w:val="both"/>
        <w:rPr/>
      </w:pPr>
      <w:r>
        <w:rPr>
          <w:rFonts w:eastAsia="Times New Roman" w:cs="Times New Roman" w:ascii="Times New Roman" w:hAnsi="Times New Roman"/>
          <w:color w:val="111111"/>
          <w:sz w:val="28"/>
          <w:szCs w:val="28"/>
          <w:lang w:val="en-US"/>
        </w:rPr>
        <w:t>Muhammad Taqi Mishbâh Yazdî sendiri menganggap kepercayaan  Thabâthabâ’i ini sebagai kebaikan hati (lutf) dan kerendahan hatinya. Ia  mengatakan:</w:t>
      </w:r>
    </w:p>
    <w:p>
      <w:pPr>
        <w:pStyle w:val="BookText"/>
        <w:bidi w:val="0"/>
        <w:jc w:val="both"/>
        <w:rPr/>
      </w:pPr>
      <w:r>
        <w:rPr>
          <w:rFonts w:eastAsia="Times New Roman" w:cs="Times New Roman" w:ascii="Times New Roman" w:hAnsi="Times New Roman"/>
          <w:color w:val="111111"/>
          <w:sz w:val="28"/>
          <w:szCs w:val="28"/>
          <w:lang w:val="en-US"/>
        </w:rPr>
        <w:t>Suatu hari, sebelum menyerahkan buku tafsirnya ke penerbit, ia  menyerahkan kepadaku dan berkata, “Anda juga harus melihatnya,”  katanya. Karena suka mempelajari tafsir, saya terima lalumembacanya  lembar demi lembar. Bila ada sesuatu yang harus aku kritik dan  analisa, saya tanyakan kepadanya. Kadang-kadang ia membenarkan  dan menerima kritik itu dan kadang melakukan klarifikasi. Satu  saat saya memberikan saran dan ia menerima dengan meralatnya;  mengurangi dan menambahnya. Dalam acara peluncuran itu, ia  mencari-cari saya di antara teman-teman seraya berkata, “seseorang  ikut membantu saya dalam penyusunan buku tafsir ini.</w:t>
      </w:r>
      <w:r>
        <w:rPr>
          <w:rStyle w:val="FootnoteAnchor"/>
        </w:rPr>
        <w:footnoteReference w:id="138"/>
      </w:r>
      <w:r>
        <w:rPr>
          <w:rFonts w:eastAsia="Times New Roman" w:cs="Times New Roman" w:ascii="Times New Roman" w:hAnsi="Times New Roman"/>
          <w:color w:val="111111"/>
          <w:sz w:val="28"/>
          <w:szCs w:val="28"/>
          <w:lang w:val="en-US"/>
        </w:rPr>
        <w:t xml:space="preserve"> Ia juga melakukan kajian besar-besaran dalam bidang tafsir dengan  menelaah berbagai tafsir-baik itu tafsir-tafsir ulama Syi'ah dan ahlusunah.</w:t>
      </w:r>
    </w:p>
    <w:p>
      <w:pPr>
        <w:pStyle w:val="BookText"/>
        <w:bidi w:val="0"/>
        <w:jc w:val="both"/>
        <w:rPr/>
      </w:pPr>
      <w:r>
        <w:rPr>
          <w:rFonts w:eastAsia="Times New Roman" w:cs="Times New Roman" w:ascii="Times New Roman" w:hAnsi="Times New Roman"/>
          <w:color w:val="111111"/>
          <w:sz w:val="28"/>
          <w:szCs w:val="28"/>
          <w:lang w:val="en-US"/>
        </w:rPr>
        <w:t>Buah dari kajian-kajian ini adalah silsilah pelajaran tafsir tematik al-  Qur’an, Pelajaran pertama tafsir tematik di hawzah 'Ilmiyah Qom.</w:t>
      </w:r>
    </w:p>
    <w:p>
      <w:pPr>
        <w:pStyle w:val="BookText"/>
        <w:bidi w:val="0"/>
        <w:jc w:val="both"/>
        <w:rPr/>
      </w:pPr>
      <w:r>
        <w:rPr>
          <w:rFonts w:eastAsia="Times New Roman" w:cs="Times New Roman" w:ascii="Times New Roman" w:hAnsi="Times New Roman"/>
          <w:color w:val="111111"/>
          <w:sz w:val="28"/>
          <w:szCs w:val="28"/>
          <w:lang w:val="en-US"/>
        </w:rPr>
        <w:t>Fayadhi dengan latar belakang sebagai pengkaji karya-karya tafsir  al-Qur’an selama bertahun-tahun mengatakan demikian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juga sampai sekarang mengakui bahwa diantara para tokoh yang  saya kenal ia adalah seorang mufasir paling terdepan , jarang orang  yang saya kenal dalam bidang ini, seperti beleiau yang menafsirkan  al-Qur’an berdasarkan prinsip-prinsip ijtihad dan sumber-sumber  yang sahih. </w:t>
      </w:r>
      <w:r>
        <w:rPr>
          <w:rStyle w:val="FootnoteAnchor"/>
        </w:rPr>
        <w:footnoteReference w:id="139"/>
      </w:r>
      <w:bookmarkStart w:id="100" w:name="pg6424_44818"/>
    </w:p>
    <w:p>
      <w:pPr>
        <w:pStyle w:val="Heading4"/>
        <w:numPr>
          <w:ilvl w:val="3"/>
          <w:numId w:val="1"/>
        </w:numPr>
        <w:bidi w:val="0"/>
        <w:jc w:val="left"/>
        <w:rPr/>
      </w:pPr>
      <w:bookmarkStart w:id="101" w:name="__RefHeading___Toc688595_653776707"/>
      <w:bookmarkStart w:id="102" w:name="_Toc37"/>
      <w:bookmarkEnd w:id="100"/>
      <w:bookmarkEnd w:id="101"/>
      <w:r>
        <w:rPr/>
        <w:t>3. Filsafat</w:t>
      </w:r>
      <w:bookmarkEnd w:id="102"/>
    </w:p>
    <w:p>
      <w:pPr>
        <w:pStyle w:val="BookText"/>
        <w:bidi w:val="0"/>
        <w:jc w:val="both"/>
        <w:rPr/>
      </w:pPr>
      <w:r>
        <w:rPr>
          <w:rFonts w:eastAsia="Times New Roman" w:cs="Times New Roman" w:ascii="Times New Roman" w:hAnsi="Times New Roman"/>
          <w:color w:val="111111"/>
          <w:sz w:val="28"/>
          <w:szCs w:val="28"/>
          <w:lang w:val="en-US"/>
        </w:rPr>
        <w:t>Muhammad Taqi Mishbâh Yazdî lebih banyak lagi menghabiskan  waktu dan energi ilmunya dalam bidang ini. Latar belakang  kegandrungannya kepada filsafat karena kecintaan dan ketertarikan  dengan Thabâthabâ’î. belajar Asfar dan Syifa darinya. Ia melakukan  berbagai kreatifitas dan pembaharuan-pembaharuan dengan menerapkan  metodologi filsafat Thabâthabâ’i ia pun mencapai posisinya, dimana  sekarang ini dianggap sebagai salah filsafat paling terpandang di hawzah  ’Ilmiyah Qom. Ia pun seperti gurunya memiliki pandangan bahwa kajian  filsafat harus ditempatkan sebagai pokok kajian-kajian keilmuan.</w:t>
      </w:r>
    </w:p>
    <w:p>
      <w:pPr>
        <w:pStyle w:val="BookText"/>
        <w:bidi w:val="0"/>
        <w:jc w:val="both"/>
        <w:rPr/>
      </w:pPr>
      <w:r>
        <w:rPr>
          <w:rFonts w:eastAsia="Times New Roman" w:cs="Times New Roman" w:ascii="Times New Roman" w:hAnsi="Times New Roman"/>
          <w:color w:val="111111"/>
          <w:sz w:val="28"/>
          <w:szCs w:val="28"/>
          <w:lang w:val="en-US"/>
        </w:rPr>
        <w:t>Ruang lingkup penelitian filsafat sangat luas dan menarik perhatian.</w:t>
      </w:r>
    </w:p>
    <w:p>
      <w:pPr>
        <w:pStyle w:val="BookText"/>
        <w:bidi w:val="0"/>
        <w:jc w:val="both"/>
        <w:rPr/>
      </w:pPr>
      <w:r>
        <w:rPr>
          <w:rFonts w:eastAsia="Times New Roman" w:cs="Times New Roman" w:ascii="Times New Roman" w:hAnsi="Times New Roman"/>
          <w:color w:val="111111"/>
          <w:sz w:val="28"/>
          <w:szCs w:val="28"/>
          <w:lang w:val="en-US"/>
        </w:rPr>
        <w:t>Ia melakukan kajian dan penelitian kitab-kitab filsafat Ibnu Sinâ,  Bahmaniyâr, Suhrawardî, Fakhr al-din al-Razi, Khâjeh Nashîr al-dîn  Thûsî, Abû al-Barakât al-Baghdadi, Mîrdâmâd, Mullâ Sadra, Mullâ Hâdî  Sabzawârî, demikian juga dengan cataan pinggir dan syarah atas kitab-  kitab tersebut. Setelah melakukan penelitian yang tak terkira jumlahnya,  lahirlah kitab hasiyyah atas Nihâyat al-Hikmah (ke dalam bahasa Arab)  dan ia juga menuangkan pandangan-pandanganya sendiri dalam kitab  Âmûzesy-e Falsafeh (dalam bahasa Persia). Di samping menguasai  filsafat Islam, juga memahami filsafat barat dibuktikan dengan kutipanku-  tipan dan melakukan perbandingan berbagai pemikiran Filsafat barat.</w:t>
      </w:r>
    </w:p>
    <w:p>
      <w:pPr>
        <w:pStyle w:val="BookText"/>
        <w:bidi w:val="0"/>
        <w:jc w:val="both"/>
        <w:rPr/>
      </w:pPr>
      <w:r>
        <w:rPr>
          <w:rFonts w:eastAsia="Times New Roman" w:cs="Times New Roman" w:ascii="Times New Roman" w:hAnsi="Times New Roman"/>
          <w:color w:val="111111"/>
          <w:sz w:val="28"/>
          <w:szCs w:val="28"/>
          <w:lang w:val="en-US"/>
        </w:rPr>
        <w:t>Gholam Reza Fayyâdhî, seorang pakar filsafat Islam mengomentari  demikian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yang memberikan bahan pemikian dan sangat membangun  kami adalah sikap dan tindakan kepakaran dan ilmiah dalam masalah  filsafat. Dalam masalah filsafat adalah ia seseorang yang berpikiran  netral, objektif, dan kritis. Ia sebelum melakukan elaborasi setiap  masalah, terlebih dahulu masalah itu dikaji secara ketat, yaitu  dengan mengkritisi pemikiran-pemikiran para filsuf. Kami juga  melihat bahwa semangat ijtihad yang selalu dominan dalam fiqh dan  ushul fiqh di hawzah, tampak lebih kuat lagi terlihat dalam metode </w:t>
      </w:r>
    </w:p>
    <w:p>
      <w:pPr>
        <w:pStyle w:val="BookText"/>
        <w:bidi w:val="0"/>
        <w:rPr/>
      </w:pPr>
      <w:r>
        <w:rPr>
          <w:rFonts w:eastAsia="Times New Roman" w:cs="Times New Roman" w:ascii="Times New Roman" w:hAnsi="Times New Roman"/>
          <w:color w:val="111111"/>
          <w:sz w:val="28"/>
          <w:szCs w:val="28"/>
          <w:lang w:val="en-US"/>
        </w:rPr>
        <w:t>filsafat, sehingga seorang fakih tidak hanya cukup mengandalkan  pendapat-pendapat penyusun kitab Jawhar atau anshari atau fukaha  besar yang lain, namun ia juga harus, selain (memahami) pendapat-  pendapat mereka juga mengkritisinya. Ia juga dengan terbuka dan  tanpa dibebani, tentu saja dengan penuh penghormatan kepada  para ahli pemikir, melakukan kritik kepada pemikiran-pemikiran  filsafat mereka, sebab -menguktip sebuah ayat- al-Haq ahaqqu an  yuttaba'(kebenaran lebih berhak untuk diikuti).</w:t>
      </w:r>
    </w:p>
    <w:p>
      <w:pPr>
        <w:pStyle w:val="BookText"/>
        <w:bidi w:val="0"/>
        <w:jc w:val="both"/>
        <w:rPr/>
      </w:pPr>
      <w:r>
        <w:rPr>
          <w:rFonts w:eastAsia="Times New Roman" w:cs="Times New Roman" w:ascii="Times New Roman" w:hAnsi="Times New Roman"/>
          <w:color w:val="111111"/>
          <w:sz w:val="28"/>
          <w:szCs w:val="28"/>
          <w:lang w:val="en-US"/>
        </w:rPr>
        <w:t>Sayangnya, sejauh pengamatan penulis, keterlibatan Muhammad  Taqi Mishbâh Yazdî dalam proses politik di Iran, terutama menjelang dan  setelah Mahmoud Ahmadinejad terpilih menjadi presiden, menimbulkan  kekhawatiran sejumlah kalangan mengenai kemungkinan pemikirannya  menjadi bias dan tereduksi oleh kepentingan politik kelompok tertentu  dalam konstelasi politik di Iran dewasa ini.</w:t>
      </w:r>
    </w:p>
    <w:p>
      <w:pPr>
        <w:pStyle w:val="BookText"/>
        <w:bidi w:val="0"/>
        <w:jc w:val="both"/>
        <w:rPr/>
      </w:pPr>
      <w:r>
        <w:rPr>
          <w:rFonts w:eastAsia="Times New Roman" w:cs="Times New Roman" w:ascii="Times New Roman" w:hAnsi="Times New Roman"/>
          <w:color w:val="111111"/>
          <w:sz w:val="28"/>
          <w:szCs w:val="28"/>
          <w:lang w:val="en-US"/>
        </w:rPr>
        <w:t>Hanya saja kekhawatiran ini tidak cukup beralasan mengingat  keterlibatan Muhammad Taqi Mishbâh Yazdî, seperti umumnya ulama  di sana, dalam proses politik lebih bersifat tidak langsung. Pengalaman  politiknya pasca revolusi hingga kini menegaskan konsistensinya  untuk tetap berada dalam kapasitasnya sebagai ideologi revolusi dan  Negara. Dan kapasitas ini tidak mewajibkan dirinya berada dalam  kekuasaan dan perebutannya. Dengan kata lain, konstelasi politik di  iran sesungguhnya selalu menguji tingkat aplikasi, kompatibilitas dan  akseptabilits pemikiran-pandangan Muhammad Taqî Mishbâh Yazdî  sepanjang pergantian generasi bangsa di sana. Hal ini justru telah dialami  sebelumnya oleh kawan seniornya, Mutahhari.</w:t>
      </w:r>
    </w:p>
    <w:p>
      <w:pPr>
        <w:pStyle w:val="BookText"/>
        <w:bidi w:val="0"/>
        <w:jc w:val="both"/>
        <w:rPr/>
      </w:pPr>
      <w:r>
        <w:rPr>
          <w:rFonts w:eastAsia="Times New Roman" w:cs="Times New Roman" w:ascii="Times New Roman" w:hAnsi="Times New Roman"/>
          <w:color w:val="111111"/>
          <w:sz w:val="28"/>
          <w:szCs w:val="28"/>
          <w:lang w:val="en-US"/>
        </w:rPr>
        <w:t>Proteksi dirinya dari pembiasan dan reduksi oleh kepentingan  kelompok dan politik praktis diperkuat dengan tetap melakukan kritik  terhadap pemerintahan Ahmadinejad yang didukungnya melalui media  koran mingguan lembaganya “Partou”.</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di sisi lain, sebagai ideolog Revolusi Islam Iran, Muhammad  Taqî Mishbâh Yazdî tampil lebih konsisten daripada sebagian rekan- </w:t>
      </w:r>
    </w:p>
    <w:p>
      <w:pPr>
        <w:pStyle w:val="BookText"/>
        <w:bidi w:val="0"/>
        <w:rPr/>
      </w:pPr>
      <w:r>
        <w:rPr>
          <w:rFonts w:eastAsia="Times New Roman" w:cs="Times New Roman" w:ascii="Times New Roman" w:hAnsi="Times New Roman"/>
          <w:color w:val="111111"/>
          <w:sz w:val="28"/>
          <w:szCs w:val="28"/>
          <w:lang w:val="en-US"/>
        </w:rPr>
        <w:t xml:space="preserve">rekan seperjuangannya, sepertti Ali Akbar Hasyemi Rafsanjani, </w:t>
      </w:r>
      <w:r>
        <w:rPr>
          <w:rStyle w:val="FootnoteAnchor"/>
        </w:rPr>
        <w:footnoteReference w:id="140"/>
      </w:r>
      <w:r>
        <w:rPr>
          <w:rFonts w:eastAsia="Times New Roman" w:cs="Times New Roman" w:ascii="Times New Roman" w:hAnsi="Times New Roman"/>
          <w:color w:val="111111"/>
          <w:sz w:val="28"/>
          <w:szCs w:val="28"/>
          <w:lang w:val="en-US"/>
        </w:rPr>
        <w:t xml:space="preserve"> Muhammad Khatami.</w:t>
      </w:r>
      <w:r>
        <w:rPr>
          <w:rStyle w:val="FootnoteAnchor"/>
        </w:rPr>
        <w:footnoteReference w:id="141"/>
      </w:r>
      <w:r>
        <w:rPr>
          <w:rFonts w:eastAsia="Times New Roman" w:cs="Times New Roman" w:ascii="Times New Roman" w:hAnsi="Times New Roman"/>
          <w:color w:val="111111"/>
          <w:sz w:val="28"/>
          <w:szCs w:val="28"/>
          <w:lang w:val="en-US"/>
        </w:rPr>
        <w:t xml:space="preserve"> Boleh jadi, bagi sebagian tokoh ulama seperti Jawadi Âmulî yang-  d lam masalah ideologi dan visi negara—punya kesamaan pandangan  dengan Muhammad Taqi Mishbâh Yazdî, konsistensi itu berlangsung  hingga kini lantaran mereka berada di luar kekuasaan dan politik se-  hingga pandangan mereka tidak pernah diuji oleh desakan-desakan ruang  dan waktu sebagaimana yang telah dialami oleh Rafsanjani dan lainnya.</w:t>
      </w:r>
    </w:p>
    <w:p>
      <w:pPr>
        <w:pStyle w:val="BookText"/>
        <w:bidi w:val="0"/>
        <w:jc w:val="both"/>
        <w:rPr/>
      </w:pPr>
      <w:r>
        <w:rPr>
          <w:rFonts w:eastAsia="Times New Roman" w:cs="Times New Roman" w:ascii="Times New Roman" w:hAnsi="Times New Roman"/>
          <w:color w:val="111111"/>
          <w:sz w:val="28"/>
          <w:szCs w:val="28"/>
          <w:lang w:val="en-US"/>
        </w:rPr>
        <w:t>Namun, ini tidak berlaku sepenuhnya ada dalam diri Muhammad Taqî  Mishbâh Yazdî. Sedikit banyaknya ia terlibat dalam konstelasi politik di  iran, meski lebih bersifat tidak langsung.</w:t>
      </w:r>
    </w:p>
    <w:p>
      <w:pPr>
        <w:pStyle w:val="BookText"/>
        <w:bidi w:val="0"/>
        <w:jc w:val="both"/>
        <w:rPr/>
      </w:pPr>
      <w:r>
        <w:rPr>
          <w:rFonts w:eastAsia="Times New Roman" w:cs="Times New Roman" w:ascii="Times New Roman" w:hAnsi="Times New Roman"/>
          <w:color w:val="111111"/>
          <w:sz w:val="28"/>
          <w:szCs w:val="28"/>
          <w:lang w:val="en-US"/>
        </w:rPr>
        <w:t>Dengan semua ketokohannya dalam bidang filsafat Islam, Muhammad  Taqi Mishbâh Yazdî tidak menunjukkan konsistensi dalam menerapkan  pola pikir rasional dan filsufis terhadap tema-tema dan keagamaan dan  kemazhaban. Ia terlihat sangat rasional mana kala mengupas tema-tema  filsafat pengetahuan (epistemologi), filsafat keberadaan (ontologi) dan  filsafat ketuhanan (teologi), namun tampak tidak bisa menerapkannya  mana kala memasuki tema-tema agama, terutama dalam bingkai mazhab  yang dianutnya, yaitu Syi'ah Itsna-asyariyyah. Terbukti, ia tetap saja  menggunakan pendekatan tekstual–yang diambil dari sumber-sumber  utama riwayat jalur Syi'ah, atau enggan mengupas secara rasional sub-  sub keyakinan dalam mazhab Syi'ah.</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saja, ia mempersiapkan alasan untuk menjustifikasi hal ini. Saat  ditanyakan oleh penulis ‘inkonsistensi ini, Muhammad Taqi Mishbâh  Yazdî menejlaskan adanya dua himpunan tema dalam keyakinan,  yaitu tema mayor dan tema minor. Menurutnya, tema keberadaan dan  ketuhanan merupakan prinsip mayor yang harus dipahami secara rasional,  sedangkan tema-tema yang berada di bawahnya merupakan prinsip  minor yang merupakan konsekuensi rasional, termasuk keyakinan akan  kenabian yang merupakan turunan dari prinisp ketuhanan dan prisnip </w:t>
      </w:r>
      <w:bookmarkStart w:id="103" w:name="pg6424_44827"/>
    </w:p>
    <w:p>
      <w:pPr>
        <w:pStyle w:val="BookText"/>
        <w:bidi w:val="0"/>
        <w:rPr/>
      </w:pPr>
      <w:bookmarkEnd w:id="103"/>
      <w:r>
        <w:rPr>
          <w:rFonts w:eastAsia="Times New Roman" w:cs="Times New Roman" w:ascii="Times New Roman" w:hAnsi="Times New Roman"/>
          <w:color w:val="111111"/>
          <w:sz w:val="28"/>
          <w:szCs w:val="28"/>
          <w:lang w:val="en-US"/>
        </w:rPr>
        <w:t>kebangkitan (eskatologi) yang dapat dipahami secara rasional sekaligus  tekstual, karena telah melewati prinsip kenabian yang memuat supremasi  wahyu sebagai dasar.</w:t>
      </w:r>
    </w:p>
    <w:p>
      <w:pPr>
        <w:pStyle w:val="BookText"/>
        <w:bidi w:val="0"/>
        <w:jc w:val="both"/>
        <w:rPr/>
      </w:pPr>
      <w:r>
        <w:rPr>
          <w:rFonts w:eastAsia="Times New Roman" w:cs="Times New Roman" w:ascii="Times New Roman" w:hAnsi="Times New Roman"/>
          <w:color w:val="111111"/>
          <w:sz w:val="28"/>
          <w:szCs w:val="28"/>
          <w:lang w:val="en-US"/>
        </w:rPr>
        <w:t>Karena pembedaan antara prinsip mayor yang mesti dipahami  secara rasional dan prinsip minor yang bisa dipahami secara rasional  dan tekstual itulah, Muhammad Taqi Mishbâh Yazdî tidak bisa bersikap  eklektik, bebas dan independen total dalam sejumlah tema, terutama saat  mengafirmasi eskatologi fisikal dan spiritual yang dipilih oleh Mullâ  Sadrà.</w:t>
      </w:r>
    </w:p>
    <w:p>
      <w:pPr>
        <w:pStyle w:val="BookText"/>
        <w:bidi w:val="0"/>
        <w:jc w:val="both"/>
        <w:rPr/>
      </w:pPr>
      <w:r>
        <w:rPr>
          <w:rFonts w:eastAsia="Times New Roman" w:cs="Times New Roman" w:ascii="Times New Roman" w:hAnsi="Times New Roman"/>
          <w:color w:val="111111"/>
          <w:sz w:val="28"/>
          <w:szCs w:val="28"/>
          <w:lang w:val="en-US"/>
        </w:rPr>
        <w:t>Padahal, menurut penulis, bila Muhammad Taqi Mishbâh Yazdî  membiarkan dirinya memilih setiap pendapat tanpa beban kemazhaban  sebagaimana Sayed Hossein Nasr, maka pandangan-pandangannya  akan lebih mendunia dan diterima oleh semua kalangan, karena ia bisa  dipandang sebagai tokoh pemikir tanpa atribut kemazhaban yang bisa  membatasi ruang geraknya. Meski demikian, keberanian dan sikap  kritisnya dalam pemikiran filsafat Islam di hawzah 'Ilmiyah Qom  merupakan sebuah gebrakan baru yang cukup mengundang kontroversi.</w:t>
      </w:r>
    </w:p>
    <w:p>
      <w:pPr>
        <w:pStyle w:val="Heading3"/>
        <w:numPr>
          <w:ilvl w:val="2"/>
          <w:numId w:val="1"/>
        </w:numPr>
        <w:bidi w:val="0"/>
        <w:jc w:val="left"/>
        <w:rPr/>
      </w:pPr>
      <w:bookmarkStart w:id="104" w:name="__RefHeading___Toc688597_653776707"/>
      <w:bookmarkStart w:id="105" w:name="_Toc38"/>
      <w:bookmarkEnd w:id="104"/>
      <w:r>
        <w:rPr/>
        <w:t>E. Guru-gurunya</w:t>
      </w:r>
      <w:bookmarkEnd w:id="105"/>
    </w:p>
    <w:p>
      <w:pPr>
        <w:pStyle w:val="Heading4"/>
        <w:numPr>
          <w:ilvl w:val="3"/>
          <w:numId w:val="1"/>
        </w:numPr>
        <w:bidi w:val="0"/>
        <w:jc w:val="left"/>
        <w:rPr/>
      </w:pPr>
      <w:bookmarkStart w:id="106" w:name="__RefHeading___Toc688599_653776707"/>
      <w:bookmarkStart w:id="107" w:name="_Toc39"/>
      <w:bookmarkEnd w:id="106"/>
      <w:r>
        <w:rPr/>
        <w:t>Point</w:t>
      </w:r>
      <w:bookmarkEnd w:id="107"/>
    </w:p>
    <w:p>
      <w:pPr>
        <w:pStyle w:val="BookText"/>
        <w:bidi w:val="0"/>
        <w:jc w:val="both"/>
        <w:rPr/>
      </w:pPr>
      <w:r>
        <w:rPr>
          <w:rFonts w:eastAsia="Times New Roman" w:cs="Times New Roman" w:ascii="Times New Roman" w:hAnsi="Times New Roman"/>
          <w:color w:val="111111"/>
          <w:sz w:val="28"/>
          <w:szCs w:val="28"/>
          <w:lang w:val="en-US"/>
        </w:rPr>
        <w:t>Muhammad Taqi Mishbâh Yazdîmerupakan produk sistem pendidikan  tradisional hawzah ‘Ilmiyah Qom. Ia banyak melewati semua jenjang  pendidikan hawzah hingga pendidikan tertinggi dalam berbagai bidang,  seperti fiqh, ushul fiqh. Namun di luar itu, ia adalah hasil didikan dua  tiga tokoh terkemuka hawzah, yaitu Thabâthabâ’î, Behjat Fumani dan  Ruhullah Khomeini. Kecenderungannya pada ilmu-ilmu rasional, seperti  filsafat, teologi, logika, dan matematika serta ‘irfan telah menjadikannya  sebagai salah ikon ilmu-ilmu rasional.</w:t>
      </w:r>
    </w:p>
    <w:p>
      <w:pPr>
        <w:pStyle w:val="Heading4"/>
        <w:numPr>
          <w:ilvl w:val="3"/>
          <w:numId w:val="1"/>
        </w:numPr>
        <w:bidi w:val="0"/>
        <w:jc w:val="left"/>
        <w:rPr/>
      </w:pPr>
      <w:bookmarkStart w:id="108" w:name="__RefHeading___Toc688601_653776707"/>
      <w:bookmarkStart w:id="109" w:name="_Toc40"/>
      <w:bookmarkEnd w:id="108"/>
      <w:r>
        <w:rPr/>
        <w:t>1.Thabâthabâ'i</w:t>
      </w:r>
      <w:bookmarkEnd w:id="1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Nama lengkapnya adalah Muhammad Hosein bin Muhammad bin  Ali Asghar Thabâthabâî Tabrîzî Qâdhî. Ia dilahirkan pada tanggal 29 </w:t>
      </w:r>
    </w:p>
    <w:p>
      <w:pPr>
        <w:pStyle w:val="BookText"/>
        <w:bidi w:val="0"/>
        <w:rPr/>
      </w:pPr>
      <w:r>
        <w:rPr>
          <w:rFonts w:eastAsia="Times New Roman" w:cs="Times New Roman" w:ascii="Times New Roman" w:hAnsi="Times New Roman"/>
          <w:color w:val="111111"/>
          <w:sz w:val="28"/>
          <w:szCs w:val="28"/>
          <w:lang w:val="en-US"/>
        </w:rPr>
        <w:t>Dzulhijjah 1321 H (1892 M), di desa Shâdegan (Propinsi Tabriz).</w:t>
      </w:r>
    </w:p>
    <w:p>
      <w:pPr>
        <w:pStyle w:val="BookText"/>
        <w:bidi w:val="0"/>
        <w:jc w:val="both"/>
        <w:rPr/>
      </w:pPr>
      <w:r>
        <w:rPr>
          <w:rFonts w:eastAsia="Times New Roman" w:cs="Times New Roman" w:ascii="Times New Roman" w:hAnsi="Times New Roman"/>
          <w:color w:val="111111"/>
          <w:sz w:val="28"/>
          <w:szCs w:val="28"/>
          <w:lang w:val="en-US"/>
        </w:rPr>
        <w:t>Ia memadukan ilmu-ilmu 'naqliyyah dan ‘aqliyyah dalam dirinya.</w:t>
      </w:r>
    </w:p>
    <w:p>
      <w:pPr>
        <w:pStyle w:val="BookText"/>
        <w:bidi w:val="0"/>
        <w:jc w:val="both"/>
        <w:rPr/>
      </w:pPr>
      <w:r>
        <w:rPr>
          <w:rFonts w:eastAsia="Times New Roman" w:cs="Times New Roman" w:ascii="Times New Roman" w:hAnsi="Times New Roman"/>
          <w:color w:val="111111"/>
          <w:sz w:val="28"/>
          <w:szCs w:val="28"/>
          <w:lang w:val="en-US"/>
        </w:rPr>
        <w:t>Sayed Hossein Nasr menyebutnya sebagai filsuf, teolog, dan sufi yang  dalam dirinya kerendahan hati seorang sufi dan kemampuan analisis  intelektual terpadu. Yang membedakannya dari Mullâ Sadrâ dan  Sabzewari ialah bahwa ia tidak menggabungkan dzauq dengan nalar. Ia  sangat menjunjung Faidh al-Kasyani, karena begitu mengusai ilmu-ilmu  keislaman sehingga tak pernah memasukkan sebuah disiplin ilmu ke  disiplinyang lain. Demikian pula iamemujiIbnu Sina, danmenganggapnya  lebih kokoh dari Mullâ Sadrâ dalam argumentasi filsufis. Namun pada  saat yang sama, ia terheran-heran oleh implementasi baru Mullâ Sadrâ  terhadap filsafat Yunani dengan teori-teori seperti ashâlat al-wujûd,  ittihâd al-âgil wa al-ma'qûl, dan harakah jaw hariyyah. Ia menganggap  filsafat Mullâ Sadrâ lebih mendekati kenyataan.</w:t>
      </w:r>
    </w:p>
    <w:p>
      <w:pPr>
        <w:pStyle w:val="BookText"/>
        <w:bidi w:val="0"/>
        <w:jc w:val="both"/>
        <w:rPr/>
      </w:pPr>
      <w:r>
        <w:rPr>
          <w:rFonts w:eastAsia="Times New Roman" w:cs="Times New Roman" w:ascii="Times New Roman" w:hAnsi="Times New Roman"/>
          <w:color w:val="111111"/>
          <w:sz w:val="28"/>
          <w:szCs w:val="28"/>
          <w:lang w:val="en-US"/>
        </w:rPr>
        <w:t>Thabâthabâ’î adalah sosok yang memiliki wewenang keagamaan  yang dihormati masyarakat Syi'ah karena menjadi mujtahid yang  mendapat gelar unik al-(yang sangat pandai). Namun pada saat yang  sama, ia cukup mengenal baik dunia Barat dan suasana kejiwaan para  pembaca Barat.</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Untuk tujuan inilah, Morgan menghubungi Sayed Hossein Nasr agar mengawasi penulisan satu  seri yang terdiri dari sudut pandang orang Syi'ah sendiri. Setelah mengadakan studi bertahun-  tahun bersama Thabåthabâ'i dalam bidang filsafat dan teosofi klasik, Nasr mengetahui bahwa di  antara ulama-ulama tradisional Syi'ah, Thabathabâ'i adalah orang yang memenuhi syarat untuk  menulis buku semacam itu. Buku karya Thabathabâ'i berjudul Shi'a (edisi Indonesia-nya: Islam Syi'ah)  memenuhi harapan dan keinginan Morgan. Buku tersebut ditulis dengan prinsip-prinsip intelektual  dan dari sudut pandang Syi'ahyang autentik. R. M. Burrel dan D. O. Morgan menilai buku Thabâthabâ'i  tersebut sebagai buku yang menjelaskan ajaran Islam Syi'ah dengan sebuah pendekatan sintesis  berdasarkan pendapat ahli-ahli Barat dan pendapat dari kalangan Syi'ah sendiri. Oleh karena itu,  buku ini sering menjadi rujukan para penulis tentang Syi'ah, baik dari kalangan Islam ataupun dari  kalangan Barat. Karya lain Thabathabâ'i yang sering dijadikan rujukan para penulis Syi'ah dan Sunni  adalah al-Mizan fi Tafsir al-Qur'an, sebuah tafsir al-Qur'an yang dianggap sebagai magnum opus  dalam bidang tafsir al-Qur'an.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Thabâthabâ’î merupakan sosok yang memberikan banyak  pengaruh terhadap Muhammad Taqi Mishbâh Yazdî. Darinya ia banyak  memperdalam ilmu-ilmu filsafat. Namun, ia pun banyak mengkritisi</w:t>
      </w:r>
      <w:bookmarkStart w:id="110" w:name="pg6424_44832"/>
    </w:p>
    <w:p>
      <w:pPr>
        <w:pStyle w:val="BookText"/>
        <w:bidi w:val="0"/>
        <w:rPr/>
      </w:pPr>
      <w:bookmarkEnd w:id="110"/>
      <w:r>
        <w:rPr>
          <w:rFonts w:eastAsia="Times New Roman" w:cs="Times New Roman" w:ascii="Times New Roman" w:hAnsi="Times New Roman"/>
          <w:color w:val="111111"/>
          <w:sz w:val="28"/>
          <w:szCs w:val="28"/>
          <w:lang w:val="en-US"/>
        </w:rPr>
        <w:t>gurunya. Dalam berbagai karya-karya Muhammad Taqî Mishbâh  Yazdî, ia banyak mengutip pendapat-pendapat yang dikemukakan oleh  Thabâthabâ’î dan melakukan analisis kritis terhadap pemikirannya,  terutama dalam masalah ontologi.</w:t>
      </w:r>
      <w:r>
        <w:rPr>
          <w:rStyle w:val="FootnoteAnchor"/>
        </w:rPr>
        <w:footnoteReference w:id="143"/>
      </w:r>
      <w:r>
        <w:rPr>
          <w:rFonts w:eastAsia="Times New Roman" w:cs="Times New Roman" w:ascii="Times New Roman" w:hAnsi="Times New Roman"/>
          <w:color w:val="111111"/>
          <w:sz w:val="28"/>
          <w:szCs w:val="28"/>
          <w:lang w:val="en-US"/>
        </w:rPr>
        <w:t xml:space="preserve"> Tentang sosok Thabâthabâ’î, ia bertutur:</w:t>
      </w:r>
    </w:p>
    <w:p>
      <w:pPr>
        <w:pStyle w:val="BookText"/>
        <w:bidi w:val="0"/>
        <w:jc w:val="both"/>
        <w:rPr/>
      </w:pPr>
      <w:r>
        <w:rPr>
          <w:rFonts w:eastAsia="Times New Roman" w:cs="Times New Roman" w:ascii="Times New Roman" w:hAnsi="Times New Roman"/>
          <w:color w:val="111111"/>
          <w:sz w:val="28"/>
          <w:szCs w:val="28"/>
          <w:lang w:val="en-US"/>
        </w:rPr>
        <w:t xml:space="preserve">Saya masih ingat semasa alamah Thabâthabâ’î masih hidup,  ia pernah mengatakan kalau orang-orang mengenal Thabâthabâ’î dan  Muhamamd Taqi Behjat maka debu sepatu mereka akan dijadikan  obat matanya, namun meskipun demikian percayanya terhadap  pribadi dan Behjat, ia tetap saja dalam masalah –masalah keilmuan  berpikiran kritis dan netral. Berkat jiwa mereka dan berkat murid-  muridnya yang ada di hadapan mereka, kita ditulari semangat ini. Kita  melakukan ijtihad dalam filsafat sebagimana kita juga menggunakan  dalam persoalan-persoalan fiqh dan ushul fiqh. Ijtihad harus  digunakan sesuai salurannya (pintu). Dalam fiqh kita menggunakan  dalil-dalil lafdhi berdasarkan al-Qur'an dan sunnah, sementara dalam  filsafat kita memakai rasio, nalar, seorang harus bersikap akademis  dalam masalah ini. Kuliah-kuliah yang disampaikan telah mengikis  semangat ta’abud (dogmatis) kami dalam menghadapi segala macam  pemikiran. Kami sekarang menyadari bahwa kami tidak memilik  lagi ruh ta’abud, ketika menghadapi pemikiran Ibn Sina, Mullâ  Sadrâ dan lainnya. Hal ini berkat kuliah-kuliah kritis. Semangat kritis  dan analisis selama tahun-tahun ini dan juga dalam kajian-kajian  ilmiahnya juga tampak dalam diri kami. </w:t>
      </w:r>
      <w:r>
        <w:rPr>
          <w:rStyle w:val="FootnoteAnchor"/>
        </w:rPr>
        <w:footnoteReference w:id="144"/>
      </w:r>
    </w:p>
    <w:p>
      <w:pPr>
        <w:pStyle w:val="Heading4"/>
        <w:numPr>
          <w:ilvl w:val="3"/>
          <w:numId w:val="1"/>
        </w:numPr>
        <w:bidi w:val="0"/>
        <w:jc w:val="left"/>
        <w:rPr/>
      </w:pPr>
      <w:bookmarkStart w:id="111" w:name="__RefHeading___Toc688603_653776707"/>
      <w:bookmarkStart w:id="112" w:name="_Toc41"/>
      <w:bookmarkEnd w:id="111"/>
      <w:r>
        <w:rPr/>
        <w:t>2. Khomeini</w:t>
      </w:r>
      <w:bookmarkEnd w:id="11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Khomeini dilahirkan pada 20 Jumadil Akhir 1320 H (24 September  1902) di kota Khomain, sebelah barat Iran, dan meninggal pada bulan  Juni 1989. Ayahnya adalah Mustafa yang berasal-usul dari kintar, sekitar </w:t>
      </w:r>
    </w:p>
    <w:p>
      <w:pPr>
        <w:pStyle w:val="BookText"/>
        <w:bidi w:val="0"/>
        <w:rPr/>
      </w:pPr>
      <w:r>
        <w:rPr>
          <w:rFonts w:eastAsia="Times New Roman" w:cs="Times New Roman" w:ascii="Times New Roman" w:hAnsi="Times New Roman"/>
          <w:color w:val="111111"/>
          <w:sz w:val="28"/>
          <w:szCs w:val="28"/>
          <w:lang w:val="en-US"/>
        </w:rPr>
        <w:t>40 mil arah timur laut Locknow, India, dan bergaris keturunan dari al-  Hosain dari Musa al-Kazhim. Ibunya, Hajar, adalah putri Mirza Ahmad  Mujtahid Khunsari, seorang guru madrasah di Najaf dan Karbala.</w:t>
      </w:r>
    </w:p>
    <w:p>
      <w:pPr>
        <w:pStyle w:val="BookText"/>
        <w:bidi w:val="0"/>
        <w:jc w:val="both"/>
        <w:rPr/>
      </w:pPr>
      <w:r>
        <w:rPr>
          <w:rFonts w:eastAsia="Times New Roman" w:cs="Times New Roman" w:ascii="Times New Roman" w:hAnsi="Times New Roman"/>
          <w:color w:val="111111"/>
          <w:sz w:val="28"/>
          <w:szCs w:val="28"/>
          <w:lang w:val="en-US"/>
        </w:rPr>
        <w:t>Ayahnya meninggal dunia ketika ia berumur lima bulan, dan dalam usia  16 tahun, ibunya pun meninggal dunia. Ia memasuki maktab. Salah satu  gurunya adalah Mullâ Abu al-Qasim. Pada tahun 1918, ia menempuh  pendidikan Islam di dekat kota Arak melalui bimbingan Abd al-Karim  Haeri. Pada tahun 1920, Haerî hijrah ke Qom.</w:t>
      </w:r>
    </w:p>
    <w:p>
      <w:pPr>
        <w:pStyle w:val="BookText"/>
        <w:bidi w:val="0"/>
        <w:jc w:val="both"/>
        <w:rPr/>
      </w:pPr>
      <w:r>
        <w:rPr>
          <w:rFonts w:eastAsia="Times New Roman" w:cs="Times New Roman" w:ascii="Times New Roman" w:hAnsi="Times New Roman"/>
          <w:color w:val="111111"/>
          <w:sz w:val="28"/>
          <w:szCs w:val="28"/>
          <w:lang w:val="en-US"/>
        </w:rPr>
        <w:t>Tidak lama setelah kepindahan Haerî ke Qom, Khomeini juga  hijrah ke kota itu. Tanpa menyia-nyiakan waktu, ia menyempurnakan  pendidikan hawzah-nya di bawah bimbingan guru-guru besar kota Qom.</w:t>
      </w:r>
    </w:p>
    <w:p>
      <w:pPr>
        <w:pStyle w:val="BookText"/>
        <w:bidi w:val="0"/>
        <w:jc w:val="both"/>
        <w:rPr/>
      </w:pPr>
      <w:r>
        <w:rPr>
          <w:rFonts w:eastAsia="Times New Roman" w:cs="Times New Roman" w:ascii="Times New Roman" w:hAnsi="Times New Roman"/>
          <w:color w:val="111111"/>
          <w:sz w:val="28"/>
          <w:szCs w:val="28"/>
          <w:lang w:val="en-US"/>
        </w:rPr>
        <w:t>Muhammad Taqi Khunsârî, Yatsrebî, dan Abd al-Karîm Haerî adalah  guru-guru Khomeini. Ia juga mempelajari matematika, geometri, filsafat,  ahlak, serta gnostik (irfan) teoritis dan praktis.</w:t>
      </w:r>
    </w:p>
    <w:p>
      <w:pPr>
        <w:pStyle w:val="BookText"/>
        <w:bidi w:val="0"/>
        <w:jc w:val="both"/>
        <w:rPr/>
      </w:pPr>
      <w:r>
        <w:rPr>
          <w:rFonts w:eastAsia="Times New Roman" w:cs="Times New Roman" w:ascii="Times New Roman" w:hAnsi="Times New Roman"/>
          <w:color w:val="111111"/>
          <w:sz w:val="28"/>
          <w:szCs w:val="28"/>
          <w:lang w:val="en-US"/>
        </w:rPr>
        <w:t>Setelah berselang 10 tahun di Iran, Haeri meninggal dunia. Khomeini  bersama para ulama di Iran menggagas dan Burujurdi untuk menjadi  pemimpin hawzah 'Ilmiyah di kota Qom. Saat itu, Khomeini adalah  salah satu pengajar dan mujtahid yang punya pandangan luas di bidang-  bidang fiqh, ushul, filsafat, teosofi, dan akhlak.</w:t>
      </w:r>
    </w:p>
    <w:p>
      <w:pPr>
        <w:pStyle w:val="BookText"/>
        <w:bidi w:val="0"/>
        <w:jc w:val="both"/>
        <w:rPr/>
      </w:pPr>
      <w:r>
        <w:rPr>
          <w:rFonts w:eastAsia="Times New Roman" w:cs="Times New Roman" w:ascii="Times New Roman" w:hAnsi="Times New Roman"/>
          <w:color w:val="111111"/>
          <w:sz w:val="28"/>
          <w:szCs w:val="28"/>
          <w:lang w:val="en-US"/>
        </w:rPr>
        <w:t>Sejak Borûjerdî wafat, Khomeini didukung secara luas oleh para  pelajar dan tokoh-tokoh Islam sebagai salah satu marja’ taqlid.</w:t>
      </w:r>
    </w:p>
    <w:p>
      <w:pPr>
        <w:pStyle w:val="BookText"/>
        <w:bidi w:val="0"/>
        <w:jc w:val="both"/>
        <w:rPr/>
      </w:pPr>
      <w:r>
        <w:rPr>
          <w:rFonts w:eastAsia="Times New Roman" w:cs="Times New Roman" w:ascii="Times New Roman" w:hAnsi="Times New Roman"/>
          <w:color w:val="111111"/>
          <w:sz w:val="28"/>
          <w:szCs w:val="28"/>
          <w:lang w:val="en-US"/>
        </w:rPr>
        <w:t>Khomeini banyak menghabiskan waktunya dengan mengajar fiqh, ushul  fiqh, dan filsafat di hawzah 'Ilmiyah Qom. Di hawzah ‘Ilmiyah Najaf,  ia mengajar di kelas tertinggi selama lebih kurang 14 tahun. Di Najaf  itulah, pertama kalinya ia mencuatkan wacana wilâyah al-faqih sebagai  konsep kepemimpinan Islam pasca Imamah dan menjadikannya sebagai  mata kuliah untuk level bahts kharij (tingkat lanjut).</w:t>
      </w:r>
    </w:p>
    <w:p>
      <w:pPr>
        <w:pStyle w:val="BookText"/>
        <w:bidi w:val="0"/>
        <w:jc w:val="both"/>
        <w:rPr/>
      </w:pPr>
      <w:r>
        <w:rPr>
          <w:rFonts w:eastAsia="Times New Roman" w:cs="Times New Roman" w:ascii="Times New Roman" w:hAnsi="Times New Roman"/>
          <w:color w:val="111111"/>
          <w:sz w:val="28"/>
          <w:szCs w:val="28"/>
          <w:lang w:val="en-US"/>
        </w:rPr>
        <w:t>Ali Mishbâh, putra Muhammad Taqi Mishbâh Yazdî, menerangkan  hubungan Muhammad Taqî Mishbâh Yazdî dengan Khomeini: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mengikuti Khomeini, dalam masa liburan pelajaran tersebut  ia memberikan perintah kepada murid-muridnya agar meneruskan </w:t>
      </w:r>
      <w:bookmarkStart w:id="113" w:name="pg6424_44838"/>
    </w:p>
    <w:p>
      <w:pPr>
        <w:pStyle w:val="BookText"/>
        <w:bidi w:val="0"/>
        <w:rPr/>
      </w:pPr>
      <w:bookmarkEnd w:id="113"/>
      <w:r>
        <w:rPr>
          <w:rFonts w:eastAsia="Times New Roman" w:cs="Times New Roman" w:ascii="Times New Roman" w:hAnsi="Times New Roman"/>
          <w:color w:val="111111"/>
          <w:sz w:val="28"/>
          <w:szCs w:val="28"/>
          <w:lang w:val="en-US"/>
        </w:rPr>
        <w:t xml:space="preserve">pelajarannya dengan mubâhatsah. Muhammad Taqî Mishbâh  Yazdî dan beberapa orang yang terkemuka seperti Muhammad  Gilani Muhamad Yazdi, Hosain Mazhaheri, Ali Akbar Musawi, dan  Muhammad Taqi Mishbâh Yazdî melaksanakan perintah Khomeini  tersebut dengan mubahasah secara bersama-sama. Mubahatsah ini  terus berlangsung sampai menangnya revolusi Islam Iran. Tem-  atema yang dibahas dalam masalah ini sangat penting dan berkualitas,  yang umumnya adalah masalah-masalah sosial islam seperti ammar  ma'ruf nahi munkar dan lain-lain. </w:t>
      </w:r>
      <w:r>
        <w:rPr>
          <w:rStyle w:val="FootnoteAnchor"/>
        </w:rPr>
        <w:footnoteReference w:id="145"/>
      </w:r>
    </w:p>
    <w:p>
      <w:pPr>
        <w:pStyle w:val="Heading3"/>
        <w:numPr>
          <w:ilvl w:val="2"/>
          <w:numId w:val="1"/>
        </w:numPr>
        <w:bidi w:val="0"/>
        <w:jc w:val="left"/>
        <w:rPr/>
      </w:pPr>
      <w:bookmarkStart w:id="114" w:name="__RefHeading___Toc688605_653776707"/>
      <w:bookmarkStart w:id="115" w:name="_Toc42"/>
      <w:bookmarkEnd w:id="114"/>
      <w:r>
        <w:rPr/>
        <w:t>F. Murid-muridnya</w:t>
      </w:r>
      <w:bookmarkEnd w:id="115"/>
    </w:p>
    <w:p>
      <w:pPr>
        <w:pStyle w:val="BookText"/>
        <w:bidi w:val="0"/>
        <w:jc w:val="both"/>
        <w:rPr/>
      </w:pPr>
      <w:r>
        <w:rPr>
          <w:rFonts w:eastAsia="Times New Roman" w:cs="Times New Roman" w:ascii="Times New Roman" w:hAnsi="Times New Roman"/>
          <w:color w:val="111111"/>
          <w:sz w:val="28"/>
          <w:szCs w:val="28"/>
          <w:lang w:val="en-US"/>
        </w:rPr>
        <w:t>Buah dari kegiatan menyampaikan ilmu dan mengajar, yang tiada  henti dilakukannya dengan penuh perhatian, adalah tercetaknya sejumlah  murid istimewa dan pelajar teladan yang dapat diandalkan Islam di  masa depan. Kekayaan tak ternilai yang diwarisi murid-muridnya untuk  masa sekarang dan masa mendatang lewat pengajarannya adalah nalar  logis, kekuatan argumentasi, dan kebebasan menyatakan pendapat,  yang dibarengi akhak Islam, idealisme, selera, intuisi, kepekaan, serta  kemampuan untuk mengelola, mengatur, dan mengayomi masyarakat.</w:t>
      </w:r>
    </w:p>
    <w:p>
      <w:pPr>
        <w:pStyle w:val="BookText"/>
        <w:bidi w:val="0"/>
        <w:jc w:val="both"/>
        <w:rPr/>
      </w:pPr>
      <w:r>
        <w:rPr>
          <w:rFonts w:eastAsia="Times New Roman" w:cs="Times New Roman" w:ascii="Times New Roman" w:hAnsi="Times New Roman"/>
          <w:color w:val="111111"/>
          <w:sz w:val="28"/>
          <w:szCs w:val="28"/>
          <w:lang w:val="en-US"/>
        </w:rPr>
        <w:t>Mereka semua mengecap seluruh potensi, kapasitas, dan kekayaan  ilmuakhlak tersebut berkat kerja keras dan upaya gigihnya.</w:t>
      </w:r>
    </w:p>
    <w:p>
      <w:pPr>
        <w:pStyle w:val="BookText"/>
        <w:bidi w:val="0"/>
        <w:jc w:val="both"/>
        <w:rPr/>
      </w:pPr>
      <w:r>
        <w:rPr>
          <w:rFonts w:eastAsia="Times New Roman" w:cs="Times New Roman" w:ascii="Times New Roman" w:hAnsi="Times New Roman"/>
          <w:color w:val="111111"/>
          <w:sz w:val="28"/>
          <w:szCs w:val="28"/>
          <w:lang w:val="en-US"/>
        </w:rPr>
        <w:t>Mengingat ruang dan waktu yang sangat terbatas, serta relevansinya  dengan tujuan penulisan disertasi ini, maka dalam kesempatan ini, penulis  hanya menyebutkan beberapa muridnya yang dianggap paling menonjol.</w:t>
      </w:r>
    </w:p>
    <w:p>
      <w:pPr>
        <w:pStyle w:val="BookText"/>
        <w:bidi w:val="0"/>
        <w:jc w:val="both"/>
        <w:rPr/>
      </w:pPr>
      <w:r>
        <w:rPr>
          <w:rFonts w:eastAsia="Times New Roman" w:cs="Times New Roman" w:ascii="Times New Roman" w:hAnsi="Times New Roman"/>
          <w:color w:val="111111"/>
          <w:sz w:val="28"/>
          <w:szCs w:val="28"/>
          <w:lang w:val="en-US"/>
        </w:rPr>
        <w:t>Meraka masing-masing menjadi guru-guru terkemuka, pemikir di hawzah  saat ini. Murid-murid utama Muhammad Taqi Mishbâh Yazdî antara lain: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Gholam Reza Faiyazhi, Hasan Moallemî, Khorso Panah, Ali Syirwani,  Fanâê Eshkavari, Mahmud Rajabi (kepala bidang penelitian ilmu-ilmu al-  Qur’an di Institut Pendidikan dan Riset Imam Khomeini), Akbar Mir Sepah  (guru besar etika Islam), Rasul Obudiyat, Muhammad Taqi Fa’ali, </w:t>
      </w:r>
      <w:bookmarkStart w:id="116" w:name="pg6424_44840"/>
    </w:p>
    <w:p>
      <w:pPr>
        <w:pStyle w:val="BookText"/>
        <w:bidi w:val="0"/>
        <w:rPr/>
      </w:pPr>
      <w:bookmarkEnd w:id="116"/>
      <w:r>
        <w:rPr>
          <w:rFonts w:eastAsia="Times New Roman" w:cs="Times New Roman" w:ascii="Times New Roman" w:hAnsi="Times New Roman"/>
          <w:color w:val="111111"/>
          <w:sz w:val="28"/>
          <w:szCs w:val="28"/>
          <w:lang w:val="en-US"/>
        </w:rPr>
        <w:t xml:space="preserve">Muhammad Legenhausen (doktor filsafat Barat berkebangsaan Amerika  Serikat dan menjadi salah seorang pengajar di pusat kajian-penelitian  budaya dan pemikiran Khomeini), Ali Reza A’rafi (direktur Institut Riset  Hawzah-Universitas dan International Center of Islamic Studies). </w:t>
      </w:r>
      <w:r>
        <w:rPr>
          <w:rStyle w:val="FootnoteAnchor"/>
        </w:rPr>
        <w:footnoteReference w:id="146"/>
      </w:r>
    </w:p>
    <w:p>
      <w:pPr>
        <w:pStyle w:val="Heading3"/>
        <w:numPr>
          <w:ilvl w:val="2"/>
          <w:numId w:val="1"/>
        </w:numPr>
        <w:bidi w:val="0"/>
        <w:jc w:val="left"/>
        <w:rPr/>
      </w:pPr>
      <w:bookmarkStart w:id="117" w:name="__RefHeading___Toc688607_653776707"/>
      <w:bookmarkStart w:id="118" w:name="_Toc43"/>
      <w:bookmarkEnd w:id="117"/>
      <w:r>
        <w:rPr/>
        <w:t>G. Muhammad Taqi Mishbâh Yazdî dan Para Pemikir Hawzah</w:t>
      </w:r>
      <w:bookmarkEnd w:id="118"/>
    </w:p>
    <w:p>
      <w:pPr>
        <w:pStyle w:val="Heading4"/>
        <w:numPr>
          <w:ilvl w:val="3"/>
          <w:numId w:val="1"/>
        </w:numPr>
        <w:bidi w:val="0"/>
        <w:jc w:val="left"/>
        <w:rPr/>
      </w:pPr>
      <w:bookmarkStart w:id="119" w:name="__RefHeading___Toc688609_653776707"/>
      <w:bookmarkStart w:id="120" w:name="_Toc44"/>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Ketiga, mentradisikan penyusunan buku daras (text-book) perkuliahan.</w:t>
      </w:r>
    </w:p>
    <w:p>
      <w:pPr>
        <w:pStyle w:val="BookText"/>
        <w:bidi w:val="0"/>
        <w:jc w:val="both"/>
        <w:rPr/>
      </w:pPr>
      <w:r>
        <w:rPr>
          <w:rFonts w:eastAsia="Times New Roman" w:cs="Times New Roman" w:ascii="Times New Roman" w:hAnsi="Times New Roman"/>
          <w:color w:val="111111"/>
          <w:sz w:val="28"/>
          <w:szCs w:val="28"/>
          <w:lang w:val="en-US"/>
        </w:rPr>
        <w:t>Dalam hal ini, Muhammad Taqi Mishbâh Yazdî menjadi orang pertama  yang menulis dan menyusun buku-buku kuliah akidah dan filsafat dalam  bentuk text-book. Tulisan-tulisannya itu, selain padat, cermat, sistematis,  dan sangat indah, juga enak dibaca. Jelas, ini merupakan terobosan baru  dalam tradisi perkuliahan di haw zah.</w:t>
      </w:r>
    </w:p>
    <w:p>
      <w:pPr>
        <w:pStyle w:val="BookText"/>
        <w:bidi w:val="0"/>
        <w:jc w:val="both"/>
        <w:rPr/>
      </w:pPr>
      <w:r>
        <w:rPr>
          <w:rFonts w:eastAsia="Times New Roman" w:cs="Times New Roman" w:ascii="Times New Roman" w:hAnsi="Times New Roman"/>
          <w:color w:val="111111"/>
          <w:sz w:val="28"/>
          <w:szCs w:val="28"/>
          <w:lang w:val="en-US"/>
        </w:rPr>
        <w:t>Bisa dikatakan, Shadraisme mencapai puncak kejayaannya di era  Thabathaba'i. Ia bahkan rela mengorbankan karir fiqhnya sehingga  tidak menjadi marja' atau menyandang gelar ”Ayatullah al-Uzhma”,  sebagaimana rekan-rekan semasanya, demi menekuni bidang filsafat  yang mulanya kurang populer di kalangan hawzah Najaf dan Qom saat  itu. Ia berhasil mendirikan sebuah akademi tradisional yang mengajarkan  filsafat al-Hikmah al-Muta’aliyyah pada kuliah level tertinggi (bahts  kharej), sementara selainnya mengajarkan teknik-teknik penyimpulan  hukum (ijtihad).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Berkat kegigihan dan perhatiannya yang total, filsafat di hawzah  Qom dan Iran secara umum kini telah sejajar dengan fiqh dan ushul fiqh,  sehingga dijadikan mata pelajaran untuk pelajar tingkat pertama atau  muqaddimat (setingkat strata satu), menengah atau suthuh, dan tingkat  lanjut (al-bahts al-kharij). Bukunya, Bidâyat al-Hikmah dan Nihâyat  al-Hikmah, kini dijadikan buku pelajaran resmi hawzah dalam bidang  filsafat sebelum Syarh al-Manzhûmah karya Mullâ Sabzewari dan al-  Asfâr al-Arba'ah-nya Mullâ Sadrâ. </w:t>
      </w:r>
      <w:bookmarkStart w:id="121" w:name="pg6424_44843"/>
    </w:p>
    <w:p>
      <w:pPr>
        <w:pStyle w:val="BookText"/>
        <w:bidi w:val="0"/>
        <w:rPr/>
      </w:pPr>
      <w:bookmarkEnd w:id="121"/>
      <w:r>
        <w:rPr>
          <w:rFonts w:eastAsia="Times New Roman" w:cs="Times New Roman" w:ascii="Times New Roman" w:hAnsi="Times New Roman"/>
          <w:color w:val="111111"/>
          <w:sz w:val="28"/>
          <w:szCs w:val="28"/>
          <w:lang w:val="en-US"/>
        </w:rPr>
        <w:t>Berkat kegigihan yang rela mengabdikan umur dan karir  keulamaannnya demi memperjuangkan studi filsafat di hawzah sehingga  kesempatannya untuk menjadi marja'—sebuah posisi paling prestisius  di hawzah—terhambat, filsafat dan ilmu-ilmu rasional lainnya berdiri  sejajar dengan ilmu-ilmu tradisional lainnya, seperti fiqh dan ushul fiqh.</w:t>
      </w:r>
    </w:p>
    <w:p>
      <w:pPr>
        <w:pStyle w:val="BookText"/>
        <w:bidi w:val="0"/>
        <w:jc w:val="both"/>
        <w:rPr/>
      </w:pPr>
      <w:r>
        <w:rPr>
          <w:rFonts w:eastAsia="Times New Roman" w:cs="Times New Roman" w:ascii="Times New Roman" w:hAnsi="Times New Roman"/>
          <w:color w:val="111111"/>
          <w:sz w:val="28"/>
          <w:szCs w:val="28"/>
          <w:lang w:val="en-US"/>
        </w:rPr>
        <w:t>Ia telah mencetak puluhan ulama dan pemikir yang memberikan  kontribusi besar dalam pengembangan studi filsafat, politik, ‘irfan,  tafsir, dan lainnya. Diantara puluhan muridnya yang dikenal luas adalah  Murtadha Muthahhari; Hasan Hasan Zâdeh Âmulî; Mehdi Hae’ri Yazdi;  Muhammad Taqi Mishbâh Yazdî; Sayed Hossein Nasr. Akibatnya,  persaingan intelektual samar di_ hawzah 'Ilmiyah Qom saat ini  antar tokoh-tokoh tersebut pun tak terelakkan.</w:t>
      </w:r>
    </w:p>
    <w:p>
      <w:pPr>
        <w:pStyle w:val="Heading4"/>
        <w:numPr>
          <w:ilvl w:val="3"/>
          <w:numId w:val="1"/>
        </w:numPr>
        <w:bidi w:val="0"/>
        <w:jc w:val="left"/>
        <w:rPr/>
      </w:pPr>
      <w:bookmarkStart w:id="122" w:name="__RefHeading___Toc688611_653776707"/>
      <w:bookmarkStart w:id="123" w:name="_Toc45"/>
      <w:bookmarkEnd w:id="122"/>
      <w:r>
        <w:rPr/>
        <w:t>1. Muthahhri dan Muhammad Taqi Mishbâh Yazdî</w:t>
      </w:r>
      <w:bookmarkEnd w:id="123"/>
    </w:p>
    <w:p>
      <w:pPr>
        <w:pStyle w:val="BookText"/>
        <w:bidi w:val="0"/>
        <w:jc w:val="both"/>
        <w:rPr/>
      </w:pPr>
      <w:r>
        <w:rPr>
          <w:rFonts w:eastAsia="Times New Roman" w:cs="Times New Roman" w:ascii="Times New Roman" w:hAnsi="Times New Roman"/>
          <w:color w:val="111111"/>
          <w:sz w:val="28"/>
          <w:szCs w:val="28"/>
          <w:lang w:val="en-US"/>
        </w:rPr>
        <w:t>Ditinjau dari segiwawasan filsafat dan teologi, kemiripan ini bukanlah  tidak pada tempatnya. Barangkali Yazdî bukan Mutahhari itu sendiri  sekalipun prototipe keduanya sangat dekat sekali</w:t>
      </w:r>
      <w:r>
        <w:rPr>
          <w:rStyle w:val="FootnoteAnchor"/>
        </w:rPr>
        <w:footnoteReference w:id="147"/>
      </w:r>
      <w:r>
        <w:rPr>
          <w:rFonts w:eastAsia="Times New Roman" w:cs="Times New Roman" w:ascii="Times New Roman" w:hAnsi="Times New Roman"/>
          <w:color w:val="111111"/>
          <w:sz w:val="28"/>
          <w:szCs w:val="28"/>
          <w:lang w:val="en-US"/>
        </w:rPr>
        <w:t>dan pernah hidup  sezaman. Perbedaan keduanya berkaitan dengan masa hidup atau periode  masing-masing; yang satu (Muthahhari) lebih dulu wafat daripada yang  lain (Yazdî). Lebih dari itu, tantangan dan formasi wacana intelektual  yang dialami keduanya juga jauh berbeda. Di masa Muthahhari,  tantangan intelektual yang paling mengemuka berkaitan dengan isu  (kritik) peradaban dan purifikasi kebudayaan, konsep pergerakan dan  Revolusi Islam, memosisikan tradisi dalam konteks kemodernan, prinsip  politik Islam, polemik dan kritik ideologi akibat meruyaknya pengaruh  grand-ideologies seperti Marxisme dan Sosialisme, serta pen-  dasaran rasionalisme dalam bidang keimanan.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di masa Muhammad Taqi Mishbâh Yazdî Yazdî sekarang  ini, tantangan dan formasi wacananya lebih mengarah pada dialog  antar-peradaban, fenomena akademis pemikiran, kritik nalar filsafat </w:t>
      </w:r>
    </w:p>
    <w:p>
      <w:pPr>
        <w:pStyle w:val="BookText"/>
        <w:bidi w:val="0"/>
        <w:rPr/>
      </w:pPr>
      <w:r>
        <w:rPr>
          <w:rFonts w:eastAsia="Times New Roman" w:cs="Times New Roman" w:ascii="Times New Roman" w:hAnsi="Times New Roman"/>
          <w:color w:val="111111"/>
          <w:sz w:val="28"/>
          <w:szCs w:val="28"/>
          <w:lang w:val="en-US"/>
        </w:rPr>
        <w:t>(ontologi dan epistemologi), reformasi bidang pendidikan akibat pengaruh  globalisasi, isu-isu modern (seperti HAM, liberalisme, humanisme,  demokrasi, pluralisme, industrialisme, kapitalisme, dan lain-lain), hingga  gelagat pascaisme berikut segenap pengaruhnya yang berasal dari bursa  gagasan Barat kontemporer (seperti pascatradisionalisme yang berkenaan  dengan tradisi keagamaan, pascamodernisme yang berkaitan dengan  basis kebudayaan masyarakat, pascastrukturalisme sebagai kritik sastra  atau literatur dan filsafat, dan seterusnya) dan berkembangnya ilmu-ilmu  baru berlabel humaniora.</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Dengan demikian, tentunya kurang fair jika membandingkan  Muthahhari dengan Muhammad Taqi Mishbâh Yazdî secara historis.</w:t>
      </w:r>
      <w:r>
        <w:rPr>
          <w:rStyle w:val="FootnoteAnchor"/>
        </w:rPr>
        <w:footnoteReference w:id="148"/>
      </w:r>
      <w:r>
        <w:rPr>
          <w:rFonts w:eastAsia="Times New Roman" w:cs="Times New Roman" w:ascii="Times New Roman" w:hAnsi="Times New Roman"/>
          <w:color w:val="111111"/>
          <w:sz w:val="28"/>
          <w:szCs w:val="28"/>
          <w:lang w:val="en-US"/>
        </w:rPr>
        <w:t xml:space="preserve"> Pasalnya, masing-masing pemikir tersebut, sebagaimana telah dijelaskan,  menghadapi tantangan historis dan formasi wacana intelektual yang  khas zamannya. Dalam hal ini, terdapat hubungan saling pengaruh  yang bersifat kreatif dan dialektis antara kedua individu yang bertalenta  dan tergolong pakar dalam bidang pemikiran, dengan zaman yang  melingkupinya. Karenanya, kedua sosok ulama cendekia ini “mencipta”  sekaligus “dicipta” struktur zamannya masing-masing. </w:t>
      </w:r>
    </w:p>
    <w:p>
      <w:pPr>
        <w:pStyle w:val="BookText"/>
        <w:bidi w:val="0"/>
        <w:rPr/>
      </w:pPr>
      <w:r>
        <w:rPr>
          <w:rFonts w:eastAsia="Times New Roman" w:cs="Times New Roman" w:ascii="Times New Roman" w:hAnsi="Times New Roman"/>
          <w:color w:val="111111"/>
          <w:sz w:val="28"/>
          <w:szCs w:val="28"/>
          <w:lang w:val="en-US"/>
        </w:rPr>
        <w:t>Kendati demikian, corak pemikiran politik Muhammad Taqi Misbâh  Yazdî diakui sendiri, tergolong “keras”—dibanding Muthahhari yang  agak moderat. Sekalipun kecenderungan ini tidak berlandaskan filsafat,  namun itu bukan berarti tidak ada kaitannya dengan pemikiran teologi  dan filsafatnya. Dari segi pemikiran, pola pikirnya sangat bagus. Akan  tetapi, di masa awal revolusi, metode yang digunakan untuk memaparkan  pemikiran ini dan membela agama, mirip dengan metode Ali Syariati.</w:t>
      </w:r>
    </w:p>
    <w:p>
      <w:pPr>
        <w:pStyle w:val="BookText"/>
        <w:bidi w:val="0"/>
        <w:jc w:val="both"/>
        <w:rPr/>
      </w:pPr>
      <w:r>
        <w:rPr>
          <w:rFonts w:eastAsia="Times New Roman" w:cs="Times New Roman" w:ascii="Times New Roman" w:hAnsi="Times New Roman"/>
          <w:color w:val="111111"/>
          <w:sz w:val="28"/>
          <w:szCs w:val="28"/>
          <w:lang w:val="en-US"/>
        </w:rPr>
        <w:t xml:space="preserve">Seluruh metode yang digunakan tergolong keras, dan efek negatifnya  cenderung lebih banyak daripada manfaatnya. Muhammad Taqî  Misbâh Yazdî sendiri pernah mengaku bahwa terkadang sikpanya bisa  seketika mengeras takala berurusan dengan masalah politik. </w:t>
      </w:r>
      <w:r>
        <w:rPr>
          <w:rStyle w:val="FootnoteAnchor"/>
        </w:rPr>
        <w:footnoteReference w:id="149"/>
      </w:r>
      <w:r>
        <w:rPr>
          <w:rFonts w:eastAsia="Times New Roman" w:cs="Times New Roman" w:ascii="Times New Roman" w:hAnsi="Times New Roman"/>
          <w:color w:val="111111"/>
          <w:sz w:val="28"/>
          <w:szCs w:val="28"/>
          <w:lang w:val="en-US"/>
        </w:rPr>
        <w:t xml:space="preserve"> Menurut Haidar Bagir, Muthahhari berkiprah di suatu masa yang  menyaksikan derasnya arus pengaruh pemikiran yang datang dari Barat.</w:t>
      </w:r>
    </w:p>
    <w:p>
      <w:pPr>
        <w:pStyle w:val="BookText"/>
        <w:bidi w:val="0"/>
        <w:jc w:val="both"/>
        <w:rPr/>
      </w:pPr>
      <w:r>
        <w:rPr>
          <w:rFonts w:eastAsia="Times New Roman" w:cs="Times New Roman" w:ascii="Times New Roman" w:hAnsi="Times New Roman"/>
          <w:color w:val="111111"/>
          <w:sz w:val="28"/>
          <w:szCs w:val="28"/>
          <w:lang w:val="en-US"/>
        </w:rPr>
        <w:t>Disamping adanya pengaruh-pengaruh positif dari Barat, Muthahhari  merasakan tantangan pemikiran-pemikiran Barat tertentu terhadap  agama. Di antara tantangan yang terasa sangat menekan adalah Marxisme.</w:t>
      </w:r>
    </w:p>
    <w:p>
      <w:pPr>
        <w:pStyle w:val="BookText"/>
        <w:bidi w:val="0"/>
        <w:jc w:val="both"/>
        <w:rPr/>
      </w:pPr>
      <w:r>
        <w:rPr>
          <w:rFonts w:eastAsia="Times New Roman" w:cs="Times New Roman" w:ascii="Times New Roman" w:hAnsi="Times New Roman"/>
          <w:color w:val="111111"/>
          <w:sz w:val="28"/>
          <w:szCs w:val="28"/>
          <w:lang w:val="en-US"/>
        </w:rPr>
        <w:t>Iran sejak tahun 60-an memang banyak diterpa oleh pengaruh aliran ini.</w:t>
      </w:r>
    </w:p>
    <w:p>
      <w:pPr>
        <w:pStyle w:val="BookText"/>
        <w:bidi w:val="0"/>
        <w:jc w:val="both"/>
        <w:rPr/>
      </w:pPr>
      <w:r>
        <w:rPr>
          <w:rFonts w:eastAsia="Times New Roman" w:cs="Times New Roman" w:ascii="Times New Roman" w:hAnsi="Times New Roman"/>
          <w:color w:val="111111"/>
          <w:sz w:val="28"/>
          <w:szCs w:val="28"/>
          <w:lang w:val="en-US"/>
        </w:rPr>
        <w:t>Pengaruhnya terasa makin lama makin kuat. Hal ini tampak antara lain  dalam bermunculan dan menguatnya partai dan kelompok-kelompok  yang bersifat kekiri-kirian.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Masyarakat dan Sejarah—yang merupakan bagian dari  Pengantar terhadap Pandangan Dunia Islam (Muqaddima-ye Jahan  Biniy Islamiy)—ia menyatakan: “Saat ini, di kalangan penulis-penulis  Muslim tertentu (kecenderungan kepada Marxisme dan pandangan  bahwa Islam mengandung paham-paham Marxistik) mendapatkan  penerimaan yang luas dan dipandang sebagai tanda keluasan pikiran dan  mode yang lagi in... ” Pada saat yang sama, Muthahhari juga merasakan  adanya pengaruh paham lain Barat yang mencengkeram kuat atas  negara-negara Muslim, termasuk Iran. Itulah materialisme. Ia bahkan  merupakan soko guru berbagai paham yang muncul dalam peradaban  Barat modern. Untuk meng-address isu-isu ini, Muthahhari pun ia banyak </w:t>
      </w:r>
    </w:p>
    <w:p>
      <w:pPr>
        <w:pStyle w:val="BookText"/>
        <w:bidi w:val="0"/>
        <w:rPr/>
      </w:pPr>
      <w:r>
        <w:rPr>
          <w:rFonts w:eastAsia="Times New Roman" w:cs="Times New Roman" w:ascii="Times New Roman" w:hAnsi="Times New Roman"/>
          <w:color w:val="111111"/>
          <w:sz w:val="28"/>
          <w:szCs w:val="28"/>
          <w:lang w:val="en-US"/>
        </w:rPr>
        <w:t>menghasilkan karya-karya yang berupa kritik terhadap paham-paham  ini, termasuk Masyarakat dan Sejarah dan (Argumentasi-argumentasi)  Pendukung (Paham) Materialisme. Berbeda dengan karya-karya yang,  kurang lebih, popular di atas, Muthahhari juga menelurkan karya-karya  yang benar-benar bersifat filsufis, antara lain komentar ekstensifnya  atas karya salah seorang guru utamanya, Allamah Thabathaba'i yang  berjudul Usus-e Falsafah wa Raw isy-e Rialism (Dasar-dasar Falsafah.</w:t>
      </w:r>
    </w:p>
    <w:p>
      <w:pPr>
        <w:pStyle w:val="BookText"/>
        <w:bidi w:val="0"/>
        <w:jc w:val="both"/>
        <w:rPr/>
      </w:pPr>
      <w:r>
        <w:rPr>
          <w:rFonts w:eastAsia="Times New Roman" w:cs="Times New Roman" w:ascii="Times New Roman" w:hAnsi="Times New Roman"/>
          <w:color w:val="111111"/>
          <w:sz w:val="28"/>
          <w:szCs w:val="28"/>
          <w:lang w:val="en-US"/>
        </w:rPr>
        <w:t>Dan Mazhab Realisme). Karya 4 jilid yang berupaya mengkritik  materialisme sekaligus memaparkan dasar-dasar filsafat dan pandangan  dunia Islam yang dianggap dapat merupakan alternatif yang lebih bisa  dipertanggungjawabkan. Hal inilah tujuan ketiga Muthahhari.</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Dasar pemikiran yang sama kiranya terkait dengan tujuan keempat di  balik segala kegetolan Muthahhari untuk membangun landasan filosofis  dan pandangan dunia Islam ini adalah kesadarannya akan perlunya suatu  landasan yang kuat dan koheren bagi pembangunan sistem-sistem Islam  di berbagai bidang kehidupan, termasuk di dalamnya sistem politik,  sistem ekonomi, sistem sosial, dan sebagainya. Muthahhari memang  dikenal juga dengan tulisan-tulisannya mengenai soal-soal ekonomi,  sosial, bahkan budaya dalam sorotan ajaran-ajaran Islam. Dalam  Pengantar kepada Pandangan Dunia Islam itu Muthahhari memasukkan  berbagai tema pembahasan yang dianggapnya sebagai unsur-unsur dari  pandangan dunia: Konsepsi tentang Manusia, Pandangan Dunia Tauhid,  Konsepsi Kenabian dan Wahyu, Konsepsi tentang Masyarakat dan  Sejarah, Imamah, dan Konsepsi tentang Hari Akhir. </w:t>
      </w:r>
      <w:r>
        <w:rPr>
          <w:rStyle w:val="FootnoteAnchor"/>
        </w:rPr>
        <w:footnoteReference w:id="150"/>
      </w:r>
      <w:r>
        <w:rPr>
          <w:rFonts w:eastAsia="Times New Roman" w:cs="Times New Roman" w:ascii="Times New Roman" w:hAnsi="Times New Roman"/>
          <w:color w:val="111111"/>
          <w:sz w:val="28"/>
          <w:szCs w:val="28"/>
          <w:lang w:val="en-US"/>
        </w:rPr>
        <w:t xml:space="preserve"> Sejak wafatnya Murtadha Mutahhari, </w:t>
      </w:r>
      <w:r>
        <w:rPr>
          <w:rStyle w:val="FootnoteAnchor"/>
        </w:rPr>
        <w:footnoteReference w:id="151"/>
      </w:r>
      <w:r>
        <w:rPr>
          <w:rFonts w:eastAsia="Times New Roman" w:cs="Times New Roman" w:ascii="Times New Roman" w:hAnsi="Times New Roman"/>
          <w:color w:val="111111"/>
          <w:sz w:val="28"/>
          <w:szCs w:val="28"/>
          <w:lang w:val="en-US"/>
        </w:rPr>
        <w:t xml:space="preserve">Muhammad Taqi Mishbâh  Yazdî menjadi figur pemikir produk hawzah Qom yang paling menonjol </w:t>
      </w:r>
      <w:bookmarkStart w:id="124" w:name="pg6424_44854"/>
    </w:p>
    <w:p>
      <w:pPr>
        <w:pStyle w:val="BookText"/>
        <w:bidi w:val="0"/>
        <w:rPr/>
      </w:pPr>
      <w:bookmarkEnd w:id="124"/>
      <w:r>
        <w:rPr>
          <w:rFonts w:eastAsia="Times New Roman" w:cs="Times New Roman" w:ascii="Times New Roman" w:hAnsi="Times New Roman"/>
          <w:color w:val="111111"/>
          <w:sz w:val="28"/>
          <w:szCs w:val="28"/>
          <w:lang w:val="en-US"/>
        </w:rPr>
        <w:t>dan produktif. Bahkan sebagian kalangan menjulukinya sebagai  ‘Muthahhari kedua'. Ia memainkan peran penting dalam menciptakan  iklim yang kondusif bagi perkembangan wacana filsafat Islam  yang berusaha mengharmoniskan antara Sadraisme, Masyyaʼiyyah  (Peripatetisme Ibnu Sina), filsafat modern, dan visi politik Khomeini  yang berpijak di atas basis welayat-e faqih (wilâyat al-faqih).</w:t>
      </w:r>
    </w:p>
    <w:p>
      <w:pPr>
        <w:pStyle w:val="BookText"/>
        <w:bidi w:val="0"/>
        <w:jc w:val="both"/>
        <w:rPr/>
      </w:pPr>
      <w:r>
        <w:rPr>
          <w:rFonts w:eastAsia="Times New Roman" w:cs="Times New Roman" w:ascii="Times New Roman" w:hAnsi="Times New Roman"/>
          <w:color w:val="111111"/>
          <w:sz w:val="28"/>
          <w:szCs w:val="28"/>
          <w:lang w:val="en-US"/>
        </w:rPr>
        <w:t>Sebagaimana Muthahari, Muhammad Taqi Mishbâh Yazdî memiliki  ciri khas dalam pemikiran maupun dalam pola dan metode pembahasan  filsafat. Sebagaimana Muthahhari pula, iaa dapat dianggap sebagai produk  orisinal hawzah 'Ilmiyah Qom yang diyakini mampu memberikan respon  terhadap wacana-wacana pemikiran kontemporer, termasuk sejumlah  aliran pemikiran modern dan postmodern. Selain, sebagaimana telah  diuraikan sebelumnya, berupaya untuk mendialogkan tradisionalisme  dan modernisme dalam wawasan filsafat yang diproyeksikan pada  terciptanya reformasi sistem pendidikan hawzah.</w:t>
      </w:r>
    </w:p>
    <w:p>
      <w:pPr>
        <w:pStyle w:val="Heading4"/>
        <w:numPr>
          <w:ilvl w:val="3"/>
          <w:numId w:val="1"/>
        </w:numPr>
        <w:bidi w:val="0"/>
        <w:jc w:val="left"/>
        <w:rPr/>
      </w:pPr>
      <w:bookmarkStart w:id="125" w:name="__RefHeading___Toc688613_653776707"/>
      <w:bookmarkStart w:id="126" w:name="_Toc46"/>
      <w:bookmarkEnd w:id="125"/>
      <w:r>
        <w:rPr/>
        <w:t>2. Jawadi Âmulî dan Muhammad Taqi Mishbâh Yazdî</w:t>
      </w:r>
      <w:bookmarkEnd w:id="126"/>
    </w:p>
    <w:p>
      <w:pPr>
        <w:pStyle w:val="BookText"/>
        <w:bidi w:val="0"/>
        <w:jc w:val="both"/>
        <w:rPr/>
      </w:pPr>
      <w:r>
        <w:rPr>
          <w:rFonts w:eastAsia="Times New Roman" w:cs="Times New Roman" w:ascii="Times New Roman" w:hAnsi="Times New Roman"/>
          <w:color w:val="111111"/>
          <w:sz w:val="28"/>
          <w:szCs w:val="28"/>
          <w:lang w:val="en-US"/>
        </w:rPr>
        <w:t>Keduanya adalah generasi kedua stoa Thabâthabâ’î dan Khomeini.</w:t>
      </w:r>
    </w:p>
    <w:p>
      <w:pPr>
        <w:pStyle w:val="BookText"/>
        <w:bidi w:val="0"/>
        <w:jc w:val="both"/>
        <w:rPr/>
      </w:pPr>
      <w:r>
        <w:rPr>
          <w:rFonts w:eastAsia="Times New Roman" w:cs="Times New Roman" w:ascii="Times New Roman" w:hAnsi="Times New Roman"/>
          <w:color w:val="111111"/>
          <w:sz w:val="28"/>
          <w:szCs w:val="28"/>
          <w:lang w:val="en-US"/>
        </w:rPr>
        <w:t xml:space="preserve">Yang membedakan keduanya antara lain sebagai berikut: pertama,  Jawadi Âmulî </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Ayahnya adalah salah seorang pemuka agama di kota tersebut. Setelah menyelesaikan studi agama  tingkat dasar pada 1325 H. Sy, ia bergabung dengan pusat seminari Islam di Amul, Madrasah Im-  am askari, di bawah bimbingan ayahnya sendiri dan sejumlah ulama besar Amul, antara lain Raja'i,  l'timadi, Mirza Reza Rouhani, Tabarsi, Muhammad Garawi, Zhiya’u-Din Amoli. Sejak saat itu,  ia mendapatkan kulaih-kuliah dalam berbagai bidang ilmu, terutama fiqh, ushul fiqh, logika, ilmu  Kalam, filsafat dan dasar-dasar kesusastraan Arab. Bahkan pada masa libur musim panas ia  tetap belajar secara pribadi di bawah bimbingan Zhiya'al-Din Amoli dalam pelbagai bidang ilmu.</w:t>
      </w:r>
    </w:p>
    <w:p>
      <w:pPr>
        <w:pStyle w:val="BookText"/>
        <w:bidi w:val="0"/>
        <w:jc w:val="both"/>
        <w:rPr/>
      </w:pPr>
      <w:r>
        <w:rPr>
          <w:rFonts w:eastAsia="Times New Roman" w:cs="Times New Roman" w:ascii="Times New Roman" w:hAnsi="Times New Roman"/>
          <w:color w:val="111111"/>
          <w:sz w:val="28"/>
          <w:szCs w:val="28"/>
          <w:lang w:val="en-US"/>
        </w:rPr>
        <w:t>lebih mewakili sebagai pembela pandangan-pandangan  Thabâthabâ’î dan mempertahankan metode tradisional hawzah.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Sedangkan Muhammad Taqi Mishbâh Yazdî cenderung bersikap  kritis terhadap pandangan-pandangan flsafat Thabâthabâ’î dan  para pendahulunya, termasuk Mullâ Sadrâ.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Kedua, Jawadi Âmulî terlihat lebih low profile, terutama dalam  menghadapi diskursus-diskursus kalangan liberal.</w:t>
      </w:r>
      <w:r>
        <w:rPr>
          <w:rStyle w:val="FootnoteAnchor"/>
        </w:rPr>
        <w:footnoteReference w:id="153"/>
      </w:r>
      <w:r>
        <w:rPr>
          <w:rFonts w:eastAsia="Times New Roman" w:cs="Times New Roman" w:ascii="Times New Roman" w:hAnsi="Times New Roman"/>
          <w:color w:val="111111"/>
          <w:sz w:val="28"/>
          <w:szCs w:val="28"/>
          <w:lang w:val="en-US"/>
        </w:rPr>
        <w:t xml:space="preserve">Sedangkan Muhammad  Taqi Mishbâh Yazdî terlihat sangat intens menanggapinya. Dalam sejum-  lah jurnal ilmiah, bahkan dalam surat kabar dan televisi polemik antara  Muhammad Taqi Mishbâh Yazdî dan para pemikir liberal yang dikenal  dengan sebutan para pengusung Kalâm-e jadîd ( Teologi baru), terutama  dengan Abdul-Kareem Shorous sering menjadi pusat perhatian. </w:t>
      </w:r>
      <w:r>
        <w:rPr>
          <w:rStyle w:val="FootnoteAnchor"/>
        </w:rPr>
        <w:footnoteReference w:id="154"/>
      </w:r>
      <w:r>
        <w:rPr>
          <w:rFonts w:eastAsia="Times New Roman" w:cs="Times New Roman" w:ascii="Times New Roman" w:hAnsi="Times New Roman"/>
          <w:color w:val="111111"/>
          <w:sz w:val="28"/>
          <w:szCs w:val="28"/>
          <w:lang w:val="en-US"/>
        </w:rPr>
        <w:t xml:space="preserve"> Ketiga, Jawadi Âmulî tetap aktif menekuni bidangnya dalam  pendidikan, terutama misistisme (ʻirfan) dan tafsir al-Qur'an, dan menjaga  jarak dengan persoalan politik. Sedangkan Muhammad Taqi Mishbâh  Yazdî membagi aktivitasnya dalam bidang pendidikan dan politik. Dalam  bidang pendidikan, Muhammad Taqi Mishbâh Yazdî cenderung menjaga  jarak dengan kalangan tradisional hawzah dengan berkonsentrasi penuh  dalam mengelola Imam Khomeini Institute for Reaseach and Education,  yang dijadikan sebagai pilot project penggabungan sistem tradisional  dan modern. Sejak saat itu, ia menghentikan kuliah filsafat untuk strata  bahts Kharij dan giat menghadiri seminar di luar negeri sebagai bagian  dari usaha untuk memperluas jaringan lembaga yang dikelolanya. Dalam  bidang politik, keterlibatannya secara tidak langsung dalam proses  pemilihan presiden dan dukungannya yang tersirat pada Mahmoud  Ahamdinejad yang berhadapan dengan figur Hasyemi Rafsanjani, yang  didukung oleh mayoritas kalangan Hawzah, yang berujung dengan  kemenangan tak terduga Ahamdinejad merupakan sebuah inisiator  yang melawan arus utama di Hawzah saat itu. </w:t>
      </w:r>
      <w:r>
        <w:rPr>
          <w:rStyle w:val="FootnoteAnchor"/>
        </w:rPr>
        <w:footnoteReference w:id="155"/>
      </w:r>
    </w:p>
    <w:p>
      <w:pPr>
        <w:pStyle w:val="BookText"/>
        <w:bidi w:val="0"/>
        <w:rPr/>
      </w:pPr>
      <w:r>
        <w:rPr>
          <w:rFonts w:eastAsia="Times New Roman" w:cs="Times New Roman" w:ascii="Times New Roman" w:hAnsi="Times New Roman"/>
          <w:color w:val="111111"/>
          <w:sz w:val="28"/>
          <w:szCs w:val="28"/>
          <w:lang w:val="en-US"/>
        </w:rPr>
        <w:t>Keempat, Jawadi Âmulî melahirkan karya-karya besar dan bersi-  nambung dan berseri. Tema-tema pembahasannya runut, panjang lebar  dan melebar. Namun, metode penyajiannya cenderung tradisional dan  tidak inovatif, bahkan kadang terkesan rigit dan sukar dipahami karena  menggunakan terminologi yang be-lum bisa ditemukan padanananya.</w:t>
      </w:r>
      <w:r>
        <w:rPr>
          <w:rStyle w:val="FootnoteAnchor"/>
        </w:rPr>
        <w:footnoteReference w:id="156"/>
      </w:r>
      <w:r>
        <w:rPr>
          <w:rFonts w:eastAsia="Times New Roman" w:cs="Times New Roman" w:ascii="Times New Roman" w:hAnsi="Times New Roman"/>
          <w:color w:val="111111"/>
          <w:sz w:val="28"/>
          <w:szCs w:val="28"/>
          <w:lang w:val="en-US"/>
        </w:rPr>
        <w:t xml:space="preserve"> Boleh jadi, ini merupakan salah satu sikapnya kehati-hati dalam menjelaskan  tema-tema filsafat dan ‘irfan. Sedangkan Muhammad Taqi Mishbâh terlihat  lebih inovatif, meski sebagian karyanya tidak mencerminkan pemikiran  filsafatnya, bahkan kadang tidak mendalam. Muhammad Taqi Mishbâh  Yazdî tampak tidak berminat menulis karya-karya referensial, karena ia  lebih menitikberatkan pada upaya pengkaderan dan pembibitan gen-  erasi muda yang kritis melalui lembaga yang dikelolanya.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Taqî Mishbâh Yazdî telah menawarkan sebuah sistem  dan metode baru dalam pengajaran filsafat melalui karya besarnya  Âmûzesy-e Falsafeh. Namun karena gagasannya dalam filsafat, terutama  yang tertuang dalam buku tersebut, bertentangan dengan mainstream  filsafat di hawzah 'Ilmiyah yang cenderung mempertahankan tradisi  Mullâ Sadrâ dan Thabâthabâ’î pada paruh pertama kehidupannya, maka  gagasan reformasi terhadap sistem pengajaran terutama filsafat yang  digulirkan oleh Muhammad Taqi Misbah Yazdî tidak tidak mendapat  respon yang memadai. Bahkan buku tersebut tidak berhasil menggeser  buku-buku wajib pelajaran filsafat, yaitu Bidâyat al-Hikmah dan Nihâyat  al-Hikmah</w:t>
      </w:r>
      <w:r>
        <w:rPr>
          <w:rStyle w:val="FootnoteAnchor"/>
        </w:rPr>
        <w:footnoteReference w:id="157"/>
      </w:r>
      <w:r>
        <w:rPr>
          <w:rFonts w:eastAsia="Times New Roman" w:cs="Times New Roman" w:ascii="Times New Roman" w:hAnsi="Times New Roman"/>
          <w:color w:val="111111"/>
          <w:sz w:val="28"/>
          <w:szCs w:val="28"/>
          <w:lang w:val="en-US"/>
        </w:rPr>
        <w:t xml:space="preserve">karya Thabâthabâ’î, gurunya. Selain itu, sejauh pengamatan  penulis, Muhammad Taqi Mishbâh Yazdî kurang diterima secara luas  oleh kalangan pemikir hawzah karena dia lebih dikenal sebagai seorang </w:t>
      </w:r>
    </w:p>
    <w:p>
      <w:pPr>
        <w:pStyle w:val="BookText"/>
        <w:bidi w:val="0"/>
        <w:rPr/>
      </w:pPr>
      <w:r>
        <w:rPr>
          <w:rFonts w:eastAsia="Times New Roman" w:cs="Times New Roman" w:ascii="Times New Roman" w:hAnsi="Times New Roman"/>
          <w:color w:val="111111"/>
          <w:sz w:val="28"/>
          <w:szCs w:val="28"/>
          <w:lang w:val="en-US"/>
        </w:rPr>
        <w:t>pemikir dan pewacana daripada ulama bergaya tradisional yang lebih  diakui posisi sipitualnya. Alasan lain, Muhammad Taqi Mishbâh Yazdî  tidak diakui sebagai mujtahid yang menonjol dalam bidang fiqh. Ia  sendiri bahkan tidak membuka kelas kuliah tingkat atas (kharej), yang  diakui secara historis sebagai jenjang karir kemarjaan yang sangat  dihormati. Kelima, Muhammad Taqi Mishbâh Yazdî memang tidak  pernah berada dalam struktur inti kepengurusan hawzah tradisional.</w:t>
      </w:r>
    </w:p>
    <w:p>
      <w:pPr>
        <w:pStyle w:val="BookText"/>
        <w:bidi w:val="0"/>
        <w:jc w:val="both"/>
        <w:rPr/>
      </w:pPr>
      <w:r>
        <w:rPr>
          <w:rFonts w:eastAsia="Times New Roman" w:cs="Times New Roman" w:ascii="Times New Roman" w:hAnsi="Times New Roman"/>
          <w:color w:val="111111"/>
          <w:sz w:val="28"/>
          <w:szCs w:val="28"/>
          <w:lang w:val="en-US"/>
        </w:rPr>
        <w:t>Sejak kepindahannya ke Qom ia hanya menjadi salah satu guru besar.</w:t>
      </w:r>
    </w:p>
    <w:p>
      <w:pPr>
        <w:pStyle w:val="BookText"/>
        <w:bidi w:val="0"/>
        <w:jc w:val="both"/>
        <w:rPr/>
      </w:pPr>
      <w:r>
        <w:rPr>
          <w:rFonts w:eastAsia="Times New Roman" w:cs="Times New Roman" w:ascii="Times New Roman" w:hAnsi="Times New Roman"/>
          <w:color w:val="111111"/>
          <w:sz w:val="28"/>
          <w:szCs w:val="28"/>
          <w:lang w:val="en-US"/>
        </w:rPr>
        <w:t>Mungkin karena itulah, semua gagasan filsafat dan politiknya terbatas  pada lembaga yang didirikannya.</w:t>
      </w:r>
    </w:p>
    <w:p>
      <w:pPr>
        <w:pStyle w:val="BookText"/>
        <w:bidi w:val="0"/>
        <w:jc w:val="both"/>
        <w:rPr/>
      </w:pPr>
      <w:r>
        <w:rPr>
          <w:rFonts w:eastAsia="Times New Roman" w:cs="Times New Roman" w:ascii="Times New Roman" w:hAnsi="Times New Roman"/>
          <w:color w:val="111111"/>
          <w:sz w:val="28"/>
          <w:szCs w:val="28"/>
          <w:lang w:val="en-US"/>
        </w:rPr>
        <w:t>Namun, keadaan tampak berbeda pada paruh kedua dari kehidupan  Muhammad Taqi Mishbâh Yazdî. Keberadaan namanya dalam susunan  kepengurusan pusat Hawzah ‘Ilmiyah Qom dan keterlibatannya dalam  Jamiah mudarrisin menempatkannya sebagai ulama yang dipercaya dan  disegani. Terutama dari itu, pengalaman lembaga yang didirikannya  dinilai oleh banyak kalangan hawzah sukses melakukan sejumlah  terobosan, sehingga banyak murid-muridnya dan karya-karya menjadi  pedoman pengajran di sekolah-sekolah hawzah. Sudah barang tentu,  keadaan ini membantu posisi karya besarnya Âmûzesy-e Falsafeh  di kelas-kelas filsafat dasar sejak awal 90 dewasa ini dan menjadi  alternative untuk memulai pengajaran filsafat di samping buku-buku  wajib pelajaran filsafat, yaitu Bidâyat al-Hikmah dan Nihâyat al-Hikmah  karya Thabâthabâ’î, gurunya.</w:t>
      </w:r>
    </w:p>
    <w:p>
      <w:pPr>
        <w:pStyle w:val="BookText"/>
        <w:bidi w:val="0"/>
        <w:jc w:val="both"/>
        <w:rPr/>
      </w:pPr>
      <w:r>
        <w:rPr>
          <w:rFonts w:eastAsia="Times New Roman" w:cs="Times New Roman" w:ascii="Times New Roman" w:hAnsi="Times New Roman"/>
          <w:color w:val="111111"/>
          <w:sz w:val="28"/>
          <w:szCs w:val="28"/>
          <w:lang w:val="en-US"/>
        </w:rPr>
        <w:t>Menurut penulis, salah satu kekurangan Muhammad Taqi Mishbâh  Yazdî dibandingkan dengan Jawadi Âmulî adalah keputusannya untuk  memberikan kuliah filsafat di hawzah 'Ilmiyah Qom.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Kuliah filsafat Muhammad Taqi Mishbâh Yazdî telah dibuka sebelum  Revolusi Islam Iran. kuliah aplikatif' filsafatnya digagas dalam rangka  melawan arus pemikiran marxisme yang pada masa itu cukup dominan  di kalangan remaja Iran. Melalui lembaga Dar Râh-e Haq, ia membuka  kuliah-kuliah filsafat dan agama yang kemudian didiskripsikan dan  dicetak menjadi buku. </w:t>
      </w:r>
    </w:p>
    <w:p>
      <w:pPr>
        <w:pStyle w:val="BookText"/>
        <w:bidi w:val="0"/>
        <w:rPr/>
      </w:pPr>
      <w:r>
        <w:rPr>
          <w:rFonts w:eastAsia="Times New Roman" w:cs="Times New Roman" w:ascii="Times New Roman" w:hAnsi="Times New Roman"/>
          <w:color w:val="111111"/>
          <w:sz w:val="28"/>
          <w:szCs w:val="28"/>
          <w:lang w:val="en-US"/>
        </w:rPr>
        <w:t>Pengagasan ini sebenarnya tidak terbilang baru, karena jauh  sebelumnya oleh gururnya sendiri, Thabâthabâ’î dan teman seniornya;  Muthahhari, telah disadari dan diawali pembukaan kuliah filsafat Islam.</w:t>
      </w:r>
    </w:p>
    <w:p>
      <w:pPr>
        <w:pStyle w:val="BookText"/>
        <w:bidi w:val="0"/>
        <w:jc w:val="both"/>
        <w:rPr/>
      </w:pPr>
      <w:r>
        <w:rPr>
          <w:rFonts w:eastAsia="Times New Roman" w:cs="Times New Roman" w:ascii="Times New Roman" w:hAnsi="Times New Roman"/>
          <w:color w:val="111111"/>
          <w:sz w:val="28"/>
          <w:szCs w:val="28"/>
          <w:lang w:val="en-US"/>
        </w:rPr>
        <w:t>Hal ini beranjak dari kesadaran kolektif mereka bahwa pemikiran  Marxisme dan ekses-ekses psikologis dan sosiologis adalah ancaman  utama di hadapan tugas hawzah 'Ilmiyah dan misi Revolusi Islam Iran.</w:t>
      </w:r>
    </w:p>
    <w:p>
      <w:pPr>
        <w:pStyle w:val="BookText"/>
        <w:bidi w:val="0"/>
        <w:jc w:val="both"/>
        <w:rPr/>
      </w:pPr>
      <w:r>
        <w:rPr>
          <w:rFonts w:eastAsia="Times New Roman" w:cs="Times New Roman" w:ascii="Times New Roman" w:hAnsi="Times New Roman"/>
          <w:color w:val="111111"/>
          <w:sz w:val="28"/>
          <w:szCs w:val="28"/>
          <w:lang w:val="en-US"/>
        </w:rPr>
        <w:t>Kuliah filsafatnya tentang filsafat Islam membuahkan hasil dan  dapat menghambat sampai menghancurkan benih-benih Marxisme,  dengan kemenangan Revolusi Islam Iran. Sejak itu, beberapa rangkaian  kuliah filsafatnya terfokus pada ontologi dan epsitemologi semata denga  mengacu pada beberapa buku induk seperti al-Asfâr al-Arba'ah, Ilâhiyât  al-Syifâ' dan Manthiq al-Syifa'.</w:t>
      </w:r>
      <w:r>
        <w:rPr>
          <w:rStyle w:val="FootnoteAnchor"/>
        </w:rPr>
        <w:footnoteReference w:id="158"/>
      </w:r>
      <w:r>
        <w:rPr>
          <w:rFonts w:eastAsia="Times New Roman" w:cs="Times New Roman" w:ascii="Times New Roman" w:hAnsi="Times New Roman"/>
          <w:color w:val="111111"/>
          <w:sz w:val="28"/>
          <w:szCs w:val="28"/>
          <w:lang w:val="en-US"/>
        </w:rPr>
        <w:t>Namun tetap saja kecendungannya  menurunkan tema-tema dan kajian-kajian metafisisnya secara aplikatif  tampak menonjol pascarevolusi. Hal ini lebih disebabkan oleh kepeduliannya  pada revolusi, ideologi negara, dan tantangan demi tantangan yang  muncul pasca kemenangannya. Maka dari itu, kuliah filsafat ontologism  dan logisnya dikembangkan sampai kepada filsafat etika, filsafat sejarah,  dan lainnya.</w:t>
      </w:r>
    </w:p>
    <w:p>
      <w:pPr>
        <w:pStyle w:val="BookText"/>
        <w:bidi w:val="0"/>
        <w:jc w:val="both"/>
        <w:rPr/>
      </w:pPr>
      <w:r>
        <w:rPr>
          <w:rFonts w:eastAsia="Times New Roman" w:cs="Times New Roman" w:ascii="Times New Roman" w:hAnsi="Times New Roman"/>
          <w:color w:val="111111"/>
          <w:sz w:val="28"/>
          <w:szCs w:val="28"/>
          <w:lang w:val="en-US"/>
        </w:rPr>
        <w:t>Meski demikian, Muhammad Taqi Mishbâh Yazdî masih diakui  sebagai salah satu ikon pemikiran yang paling handal dalam menghadapi  trend pemikiran liberal yang dikembangkan oleh Abdelkareem Soroush  dan para intelektual modern yang cenderung melakukan gugutan terhadap  beberapa pandangan klasik yang masih dipertahankan oleh kalangan  hawzah.</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Muhammad Taqi Mishbâh Yazdî bisa dianggap sebagai  satu-satunya alumnus akademi filsafat Thabâthabâ’î —tentunya setelah  mutahhari yang mau melakukan elaborasi secara berani dengan karya-  karya Barat, bahkan melakukan kunjungan dan kerjasama dengan  sejumlah pemikir Katolik, Protestan dan Yahudi dalam bidang pemikiran  dan dialog wacana </w:t>
      </w:r>
    </w:p>
    <w:p>
      <w:pPr>
        <w:pStyle w:val="BookText"/>
        <w:bidi w:val="0"/>
        <w:rPr/>
      </w:pPr>
      <w:r>
        <w:rPr>
          <w:rFonts w:eastAsia="Times New Roman" w:cs="Times New Roman" w:ascii="Times New Roman" w:hAnsi="Times New Roman"/>
          <w:color w:val="111111"/>
          <w:sz w:val="28"/>
          <w:szCs w:val="28"/>
          <w:lang w:val="en-US"/>
        </w:rPr>
        <w:t>Muhammad Taqi Mishbâh Yazdî telah melakukan sebuah gebrakan  yang spektakuler dengan melakukan kritik atas pemikiran Mullâ Sadrâ  dan Thabâthabâ’î yang hingga saat ini masih dipertahankan oleh rekan-  rekannya, seperti Abdullah Jawadi Âmulî dan Hasan Zadeh Amoli.</w:t>
      </w:r>
    </w:p>
    <w:p>
      <w:pPr>
        <w:pStyle w:val="BookText"/>
        <w:bidi w:val="0"/>
        <w:jc w:val="both"/>
        <w:rPr/>
      </w:pPr>
      <w:r>
        <w:rPr>
          <w:rFonts w:eastAsia="Times New Roman" w:cs="Times New Roman" w:ascii="Times New Roman" w:hAnsi="Times New Roman"/>
          <w:color w:val="111111"/>
          <w:sz w:val="28"/>
          <w:szCs w:val="28"/>
          <w:lang w:val="en-US"/>
        </w:rPr>
        <w:t>Penulis berpendapat, bahwa Muhammad Taqi Mishbâh Yazdî dengan  semua ketokohannya dalam bidang filsafat Islam, tidak menunjukkan  konsistensi dalam menerapkan pola pikir rasional dan filsufis terhadap  tema-tema dan keagamaan dan kemazhaban. Ia terlihat sangat rasional  mana kala mengupas tema-tema filsafat pengetahuan (epistemologi),  filsafat keberadaan (ontologi) dan filsafat ketuhanan (teologi), namun  tampak tidak bisa menerapkannya mana kala memasuki tema-tema  agama, terutama dalam bingkai mazhab yang dianutnya, yaitu Syi'ah  Itsna-asyariyyah. Terbukti, ia tetap saja menggunakan pendekatan  tekstual -yang diambil dari sumber-sumber utama riwayat jalur Syi'ah,  atau enggan mengupas secara rasional sub-sub keyakinan dalam mazhab  Syi'ah.</w:t>
      </w:r>
    </w:p>
    <w:p>
      <w:pPr>
        <w:pStyle w:val="BookText"/>
        <w:bidi w:val="0"/>
        <w:jc w:val="both"/>
        <w:rPr/>
      </w:pPr>
      <w:r>
        <w:rPr>
          <w:rFonts w:eastAsia="Times New Roman" w:cs="Times New Roman" w:ascii="Times New Roman" w:hAnsi="Times New Roman"/>
          <w:color w:val="111111"/>
          <w:sz w:val="28"/>
          <w:szCs w:val="28"/>
          <w:lang w:val="en-US"/>
        </w:rPr>
        <w:t>Tentu saja, ia mempersiapkan alasan untuk menjustifikasi hal ini. Saat  ditanyakan oleh penulis ‘inkonsistensi' ini, Muhammad Taqi Mishbâh  Yazdî menejlaskan adanya dua himpunan tema dalam keyakinan,  yaitu tema mayor dan tema minor. Menurutnya, tema keberadaan dan  ketuhanan merupakan prinsip mayor yang harus dipahami secara rasional,  sedangkan tema-tema yang berada di bawahnya merupakan prinsip  minor yang merupakan konsekuensi rasional, termasuk keyakinan akan  kenabian yang merupakan turunan dari prinisp ketuhanan dan prisnip  kebangkitan (eskatologi) yang dapat dipahami secara rasional sekaligus  tekstual, karena telah melewati prinsip kenabian yang memuat supremasi  wahyu sebagai dasar.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pembedaan antara prinsip mayor yang mesti dipahami  secara rasional dan prinsip minor yang bisa dipahami secara rasional  dan tekstual itulah, Muhammad Taqi Mishbâh Yazdî tidak bisa bersikap  eklektik, bebas dan independen total dalam sejumlah tema, terutama saat </w:t>
      </w:r>
    </w:p>
    <w:p>
      <w:pPr>
        <w:pStyle w:val="BookText"/>
        <w:bidi w:val="0"/>
        <w:rPr/>
      </w:pPr>
      <w:r>
        <w:rPr>
          <w:rFonts w:eastAsia="Times New Roman" w:cs="Times New Roman" w:ascii="Times New Roman" w:hAnsi="Times New Roman"/>
          <w:color w:val="111111"/>
          <w:sz w:val="28"/>
          <w:szCs w:val="28"/>
          <w:lang w:val="en-US"/>
        </w:rPr>
        <w:t>mengafirmasi eskatologi fisikal dan spiritual yang dipilih oleh Mullâ  Sadrã.</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Padahal, menurut penulis, bila Muhammad Taqi Mishbâh Yazdî  membiarkan dirinya memilih setiap pendapat tanpa beban kemazhaban  sebagaimana Seyed Hossein Nasr, maka pandangan-pandangannya  akan lebih mendunia dan diterima oleh semua kalangan, karena ia bisa  dipandang sebagai tokoh pemikir tanpa atribut kemazhaban yang bisa  membatasi ruang geraknya. Meski demikian, keberanian dan sikap  kritisnya dalam pemikiran filsafat Islam di hawzah ‘Ilmiyah Qom  merupakan sebuah gebrakan baru yang cukup mengundang kontroversi.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7" w:name="pg6424_44876"/>
      <w:bookmarkStart w:id="128" w:name="pg6424_44876"/>
      <w:bookmarkEnd w:id="128"/>
    </w:p>
    <w:p>
      <w:pPr>
        <w:pStyle w:val="Heading2"/>
        <w:numPr>
          <w:ilvl w:val="1"/>
          <w:numId w:val="1"/>
        </w:numPr>
        <w:bidi w:val="0"/>
        <w:jc w:val="left"/>
        <w:rPr/>
      </w:pPr>
      <w:bookmarkStart w:id="129" w:name="pg6424_44876"/>
      <w:bookmarkStart w:id="130" w:name="__RefHeading___Toc688615_653776707"/>
      <w:bookmarkStart w:id="131" w:name="_Toc47"/>
      <w:bookmarkEnd w:id="129"/>
      <w:bookmarkEnd w:id="130"/>
      <w:r>
        <w:rPr/>
        <w:t>BAB IV: PEMIKIRAN FILSAFAT MUHAMMAD TAQI MISHBAH YAZDI</w:t>
      </w:r>
      <w:bookmarkEnd w:id="131"/>
    </w:p>
    <w:p>
      <w:pPr>
        <w:pStyle w:val="Heading3"/>
        <w:numPr>
          <w:ilvl w:val="2"/>
          <w:numId w:val="1"/>
        </w:numPr>
        <w:bidi w:val="0"/>
        <w:jc w:val="left"/>
        <w:rPr/>
      </w:pPr>
      <w:bookmarkStart w:id="132" w:name="__RefHeading___Toc688617_653776707"/>
      <w:bookmarkStart w:id="133" w:name="_Toc48"/>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Menelaah pemikiran filsafat Muhammad Taqi Misbâh Yazdî tidaklah  mudah. Hal itu karena beberapa fakta: pertama, Muhammad Taqi Misbâh  Yazdî tidak membangun sebuah aliran filsafat yang utuh dan terencana.</w:t>
      </w:r>
    </w:p>
    <w:p>
      <w:pPr>
        <w:pStyle w:val="BookText"/>
        <w:bidi w:val="0"/>
        <w:jc w:val="both"/>
        <w:rPr/>
      </w:pPr>
      <w:r>
        <w:rPr>
          <w:rFonts w:eastAsia="Times New Roman" w:cs="Times New Roman" w:ascii="Times New Roman" w:hAnsi="Times New Roman"/>
          <w:color w:val="111111"/>
          <w:sz w:val="28"/>
          <w:szCs w:val="28"/>
          <w:lang w:val="en-US"/>
        </w:rPr>
        <w:t>Dalam wawancara dengan penulis, ia mengaku hanyalah berusaha untuk  konsisten dengan pandangan-pandangan rasionalnya. Sehingga karena  itu, kadang ia mendukung Mullâ Sadrâ, dan kadang pula memihak Ibn  Sina, atau memilih pendapat lain. Hal inilah yang juga bisa dianggap sebagai  pembeda antara dia dan Muthahhari. Muhammad Taqi Misbâh Yazdî  cenderung mempertajam kritik dan pendalaman terhadap filsafat Islam,  baik Mullâ Sadrâ maupun Ibn Sina. Sedangkan Muthahhari cenderung  menerima filsafat Shdara dan tanpa berlam-lama melakukan kritik  menariknya ke sisi samping dengan melakukan komparasi dan kritik  terhadap pemikiran filsafat yang berkembang pada masanya. Artinya,  Muthahhari tidak bersikap kritis terhadap filsafat Sadrian, dan lebih  memfokuskan perhatian terhadap wacana pemikiran kontemporer.</w:t>
      </w:r>
    </w:p>
    <w:p>
      <w:pPr>
        <w:pStyle w:val="BookText"/>
        <w:bidi w:val="0"/>
        <w:jc w:val="both"/>
        <w:rPr/>
      </w:pPr>
      <w:r>
        <w:rPr>
          <w:rFonts w:eastAsia="Times New Roman" w:cs="Times New Roman" w:ascii="Times New Roman" w:hAnsi="Times New Roman"/>
          <w:color w:val="111111"/>
          <w:sz w:val="28"/>
          <w:szCs w:val="28"/>
          <w:lang w:val="en-US"/>
        </w:rPr>
        <w:t>Kedua, hampir seluruh pandangan dan pendapat Muhammad Taqi  Misbah Yazdî dalam filsafat bersifat polemis, tidak demonstratif.</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itu, merangkum pendapat-pendapatnya menjadi persoalan yang  memerlukan kehati-hatian dan kecermatan. Itulah yang diperagakannya  dalam Syarh al-Asfâr al-Arba'ah, Ta lîqah bar Nihâyat al-Hikmah dan  Âmûzesy-e Falsafeh. Hanya pada tema-tema tertentu, ia melakukan kritik  atau isykâl, dan terkadang tidak dilengkapi dengan argumentasi yang  cukup. Menurut penulis, Muhammad Taqi Misbâh Yazdî melalui kritik- </w:t>
      </w:r>
    </w:p>
    <w:p>
      <w:pPr>
        <w:pStyle w:val="BookText"/>
        <w:bidi w:val="0"/>
        <w:rPr/>
      </w:pPr>
      <w:r>
        <w:rPr>
          <w:rFonts w:eastAsia="Times New Roman" w:cs="Times New Roman" w:ascii="Times New Roman" w:hAnsi="Times New Roman"/>
          <w:color w:val="111111"/>
          <w:sz w:val="28"/>
          <w:szCs w:val="28"/>
          <w:lang w:val="en-US"/>
        </w:rPr>
        <w:t>kritik sporadis dan kecenderungan eklektiknya dalam filsafat Islam ingin  memberikan kesempatan kepada generasi berikutnya, terutama murid-  muridnya, untuk lebih berani melakukan inovasi, kritik, rekonstruksi  bahkan dekonsktruksi agar filsafat Sadrian tidak menjadi mitos dan al-  Asfâr al-Arba'ah diperlakukan laksana kitab suci.</w:t>
      </w:r>
    </w:p>
    <w:p>
      <w:pPr>
        <w:pStyle w:val="BookText"/>
        <w:bidi w:val="0"/>
        <w:jc w:val="both"/>
        <w:rPr/>
      </w:pPr>
      <w:r>
        <w:rPr>
          <w:rFonts w:eastAsia="Times New Roman" w:cs="Times New Roman" w:ascii="Times New Roman" w:hAnsi="Times New Roman"/>
          <w:color w:val="111111"/>
          <w:sz w:val="28"/>
          <w:szCs w:val="28"/>
          <w:lang w:val="en-US"/>
        </w:rPr>
        <w:t>Ketiga, ketidaktegasannya memihak menjadikannya lebih pantas  dipandang sebagai kritikus filsafat, daripada filsuf dan pelaku filsafat.</w:t>
      </w:r>
    </w:p>
    <w:p>
      <w:pPr>
        <w:pStyle w:val="BookText"/>
        <w:bidi w:val="0"/>
        <w:jc w:val="both"/>
        <w:rPr/>
      </w:pPr>
      <w:r>
        <w:rPr>
          <w:rFonts w:eastAsia="Times New Roman" w:cs="Times New Roman" w:ascii="Times New Roman" w:hAnsi="Times New Roman"/>
          <w:color w:val="111111"/>
          <w:sz w:val="28"/>
          <w:szCs w:val="28"/>
          <w:lang w:val="en-US"/>
        </w:rPr>
        <w:t>Namun, di sisi lain, kehadirannya sebagai kritikus telah membuka angin  perubahan dalam tradisi studi filsafat di hawzah, yang sebelumnya hanya  mengapresiasi guru dan mulla yang mengajarkan karya-karya filsafat  Mullâ Sadrâ. Atas dasar itu, menurut penulis, sebagian besar pengajar  filsafat di hawzah, selain bukan kritikus, juga bukan filsuf, namun  komentator (syârih).</w:t>
      </w:r>
    </w:p>
    <w:p>
      <w:pPr>
        <w:pStyle w:val="BookText"/>
        <w:bidi w:val="0"/>
        <w:jc w:val="both"/>
        <w:rPr/>
      </w:pPr>
      <w:r>
        <w:rPr>
          <w:rFonts w:eastAsia="Times New Roman" w:cs="Times New Roman" w:ascii="Times New Roman" w:hAnsi="Times New Roman"/>
          <w:color w:val="111111"/>
          <w:sz w:val="28"/>
          <w:szCs w:val="28"/>
          <w:lang w:val="en-US"/>
        </w:rPr>
        <w:t>Keempat, adanya tarik ulur antara pemisahan epistemologi(tema-tema  pengetahuan dan kebenaran) dari ontologi dan penggabuan epistemologi  dalam ontologi, terutama bila dikaitkan dengan prinsip ilmu hudhûrî,  menjadi faktor yang menyulitkan upaya penyajian pemikirannya secara  anatomis. Persoalan lain, adanya relasi interseksional antar tema-tema  ontologi, teologi dan epistemologi. Fenomena ini akan terlihat dengan  jelas saat penulis berusaha untuk merekonstruksi pandangan-pandangan  khasnya dalam filsafat.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Kelima, begitu banyak tema filsafat yang dibahas Muhammad Taqî  Misbâh Yazdî dalam empat karya utama filsafatnya, namun karena tidak  semua pandangan alternatifnya dan kritiknya tertuang dalam satu karya,  maka penulis merasa perlu memilah-milah dan memilih pandangan-  pandangan khas. Selain itu, ada kalanya pandangan kritisnya ditujukan  kepada tema mayor atau isu utama filsafat, sebagaimana pandangannya  yang menolak dimasukkannya quwwah (materi pertama, potensi) dalam  deretan jawâhir maujûdah. Kadangkala, ia mengkritik sebuah tema  minor yang merupakan sub isu utama, sebagaimana penolakannya  terhadap pembagian gerak susbtansi (harakah jawhariyyah) kepada pola  gerak vertikal (harakah jawhariyyah thûliyyah) dan pola gerak horizontal </w:t>
      </w:r>
    </w:p>
    <w:p>
      <w:pPr>
        <w:pStyle w:val="BookText"/>
        <w:bidi w:val="0"/>
        <w:rPr/>
      </w:pPr>
      <w:r>
        <w:rPr>
          <w:rFonts w:eastAsia="Times New Roman" w:cs="Times New Roman" w:ascii="Times New Roman" w:hAnsi="Times New Roman"/>
          <w:color w:val="111111"/>
          <w:sz w:val="28"/>
          <w:szCs w:val="28"/>
          <w:lang w:val="en-US"/>
        </w:rPr>
        <w:t>(harakah jawhariyyah ‘aradhiyyah). Dasar penolakan Muhammad  Taqî Misbâh Yazdî adalah konsistensinya pada prinsip kausalitas, yang  menurutnya, hanya meniscayakan akibat secara vertikal. Kadangkala,  Muhammad Taqi Misbâh Yazdî mengkritik metode penyajian tema  dan struktur pembahasan juga pengajaran tema-tema filsafat, seperti  pendapatnya yang menganggap ‘irfan nazharî (mistisisme praktis)  yang dianalisis dengan pendekatan filsafat sebagai bagian dari filsafat.</w:t>
      </w:r>
    </w:p>
    <w:p>
      <w:pPr>
        <w:pStyle w:val="BookText"/>
        <w:bidi w:val="0"/>
        <w:jc w:val="both"/>
        <w:rPr/>
      </w:pPr>
      <w:r>
        <w:rPr>
          <w:rFonts w:eastAsia="Times New Roman" w:cs="Times New Roman" w:ascii="Times New Roman" w:hAnsi="Times New Roman"/>
          <w:color w:val="111111"/>
          <w:sz w:val="28"/>
          <w:szCs w:val="28"/>
          <w:lang w:val="en-US"/>
        </w:rPr>
        <w:t>Lagi-lagi, ia tidak merasa perlu mengargumentasikannya lagi, karena  konsistensinya pada rasionalisme. Sebenarnya, pandangan yang tampak  sporadis ini, bisa dianggap sebagai dekonstruksi terhadap filsafat  Sadrian.</w:t>
      </w:r>
    </w:p>
    <w:p>
      <w:pPr>
        <w:pStyle w:val="BookText"/>
        <w:bidi w:val="0"/>
        <w:jc w:val="both"/>
        <w:rPr/>
      </w:pPr>
      <w:r>
        <w:rPr>
          <w:rFonts w:eastAsia="Times New Roman" w:cs="Times New Roman" w:ascii="Times New Roman" w:hAnsi="Times New Roman"/>
          <w:color w:val="111111"/>
          <w:sz w:val="28"/>
          <w:szCs w:val="28"/>
          <w:lang w:val="en-US"/>
        </w:rPr>
        <w:t>Dengan semua alasan-alasan itu, penulis berusaha untuk memasuki  belantara pemikiran filsafat Muhammad Taqi Misbâh Yazdî dan gagasan-  gagasan alternatif serta kritisnya yang berserak di berbagai karyanya,  kemudian mengkonfrontasikannya dengan Muhammad Taqî Misbah  Yazdî secara langsung dan dengan murid-muridnya. Sebelum memasuki  tiga bidang filsafat yang menjadi subjek utama dalam disertasi ini,  penulis merasa perlu untuk memulainya dengan menjelaskan beberapa  tema filsafat dalam pemikiran Muhammad Taqi Misbâh Yazdî sebagai  gambaran umum  Menurut penulis, yang patut disayangkan ialah ketidakterusterangan  Muhammad Taqi Mishbâh Yazdî untuk membangun sebuah pemikiran  alternatif, atau paling tidak neo-Sadraisme, sebagaimana penulis  simpulkan dari wawancara dengan beliau. Hal itu, menurut pengamatan  penulis, karena ia tidak terlalu gigih melawan arus besar yang dihadapinya  dari kalangan hauzah yang sangat kritis dan jeli. Alasan lain yang  mungkin tidak patut diabaikan, Muhammad Taqi Mishbâh Yazdî tidak  sunguh-sungguh berencana membangun sebuah submazhab Sadraisme  yang baru secara utuh, namun hanya memberikan catatan-catatan kritis  yang menurut kalangan hauzah sudah cukup berani.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Boleh jadi, rencana membangun sebuah mazhab baru dan pemikiran  alternatif bukanlah bagian dari niat dan konsentrasi Muhammad Taqî </w:t>
      </w:r>
      <w:bookmarkStart w:id="134" w:name="pg6424_44884"/>
    </w:p>
    <w:p>
      <w:pPr>
        <w:pStyle w:val="BookText"/>
        <w:bidi w:val="0"/>
        <w:rPr/>
      </w:pPr>
      <w:bookmarkEnd w:id="134"/>
      <w:r>
        <w:rPr>
          <w:rFonts w:eastAsia="Times New Roman" w:cs="Times New Roman" w:ascii="Times New Roman" w:hAnsi="Times New Roman"/>
          <w:color w:val="111111"/>
          <w:sz w:val="28"/>
          <w:szCs w:val="28"/>
          <w:lang w:val="en-US"/>
        </w:rPr>
        <w:t>Mishbâh Yazdî. Seperti yang dia tuangkan pada pendahuluan karya  perdananya, Ta'lîqat ala Nihâyat al-Hikmah, dapat dipahami bahwa  catatan-catatan kritis atas filsafat Mullâ Sadrâ adalah dalam rangka  mengetengahkan filsafat Mullâ Sadrâ secara lebih koheran dan utuh  di atas akal demonstratif. Dari sekian karya-karyanya yang lain, wajar  kiranya bila terjadi pengembangan dan penyempitan Muhammad Taqi  Mishbâh Yazdî atas sebagian tema dan argumentasi al-Hikmah al-  Muta âliyyah.</w:t>
      </w:r>
    </w:p>
    <w:p>
      <w:pPr>
        <w:pStyle w:val="Heading3"/>
        <w:numPr>
          <w:ilvl w:val="2"/>
          <w:numId w:val="1"/>
        </w:numPr>
        <w:bidi w:val="0"/>
        <w:jc w:val="left"/>
        <w:rPr/>
      </w:pPr>
      <w:bookmarkStart w:id="135" w:name="__RefHeading___Toc688619_653776707"/>
      <w:bookmarkStart w:id="136" w:name="_Toc49"/>
      <w:bookmarkEnd w:id="135"/>
      <w:r>
        <w:rPr/>
        <w:t>A. Pengertian, Subjek, dan Tujuan Studi Filsafat dalam Tradisi Hawzah</w:t>
      </w:r>
      <w:bookmarkEnd w:id="13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Problem dalam disiplin filsafat bukan hanya rumit dan bervariasi  dalam hal objek dan eksposisinya, melainkan bahkan definisinya itu  sendiri. Tidak satupun definisi filsafat yang tidak mengundang perdebatan,  alias selalu penuh kontroversi, dan secara historis mengalami perluasan  dan perubahan, tergantung pada jenis persoalan apa yang diminati atau  relevan dengan kondisi zaman yang ada. Namun demikian, secara umum  disepakati bahwa filsafat adalah sebuah metode daripada seperangkat  klaim, proposisi, atau teori. Penyelidikannya dilandasi pemikiran rasional,  diorientasikan untuk menciptakan asumsi-asumsi yang aksiomatis, dan  tidak melompat begitu saja pada tema-tema keimanan atau analogi  murni.</w:t>
      </w:r>
      <w:r>
        <w:rPr>
          <w:rStyle w:val="FootnoteAnchor"/>
        </w:rPr>
        <w:footnoteReference w:id="159"/>
      </w:r>
      <w:r>
        <w:rPr>
          <w:rFonts w:eastAsia="Times New Roman" w:cs="Times New Roman" w:ascii="Times New Roman" w:hAnsi="Times New Roman"/>
          <w:color w:val="111111"/>
          <w:sz w:val="28"/>
          <w:szCs w:val="28"/>
          <w:lang w:val="en-US"/>
        </w:rPr>
        <w:t xml:space="preserve"> Karena itu, diperlukan sedikit penjelasan tentang maksud dan  pengertian kata filsafat yang berkembang dalam tradisi Barat dan  pengertian kata filsafat dalam tradisi Islam terutama hauzah 'Ilmiyah  Qom. Selain itu, perlu diperjelas maksud dari pengertian kata 'ilmu'  dalam tradisi Barat dan dalam tradisi hawzah 'Ilmiyah Qom. Penjelasan  ini diperlukan agar pemikiran filsafat Muhammad Taqi Misbah Yazdî  dapat dilihat dalam konteks dan tradisinya. </w:t>
      </w:r>
    </w:p>
    <w:p>
      <w:pPr>
        <w:pStyle w:val="BookText"/>
        <w:bidi w:val="0"/>
        <w:rPr/>
      </w:pPr>
      <w:r>
        <w:rPr>
          <w:rFonts w:eastAsia="Times New Roman" w:cs="Times New Roman" w:ascii="Times New Roman" w:hAnsi="Times New Roman"/>
          <w:color w:val="111111"/>
          <w:sz w:val="28"/>
          <w:szCs w:val="28"/>
          <w:lang w:val="en-US"/>
        </w:rPr>
        <w:t>Hampir semua filsuf hingga kalangan sarjana dan sejarahwan  filsafat menyepakati atau setidaknya acapkali mengembalikan definisi  filsafat pada pengertiannya yang paling purba, yang dirumuskan pada  masa kemunculannya oleh para pemikir Yunani kuno; philos (cinta) dan  sophia (kebijaksanaan). Sejak itulah, pengertian filsafat berkembang  dalam berbagai varian, sesuai dengan orientasi, paradigma, objek/subjek,  dan metode yang digunakan masing-masing filsuf.</w:t>
      </w:r>
    </w:p>
    <w:p>
      <w:pPr>
        <w:pStyle w:val="BookText"/>
        <w:bidi w:val="0"/>
        <w:jc w:val="both"/>
        <w:rPr/>
      </w:pPr>
      <w:r>
        <w:rPr>
          <w:rFonts w:eastAsia="Times New Roman" w:cs="Times New Roman" w:ascii="Times New Roman" w:hAnsi="Times New Roman"/>
          <w:color w:val="111111"/>
          <w:sz w:val="28"/>
          <w:szCs w:val="28"/>
          <w:lang w:val="en-US"/>
        </w:rPr>
        <w:t>Menurut Muhammad Taqi Misbah Yazdî, istilah “filsafat” sejak semula  diterapkan sebagai sebutan umum untuk semua ilmu hakiki (sebagai  lawan dari ilmu-ilmu konvensional). Pada abad pertengahan, wilayah  filsafat direntangkan hingga meliputi beberapa ilmu konvensional, seperti  sastra dan retorika. Kemudian, para positivis meletakkan pengetahuan  ilmiah (scientific knowledge) sebagai lawan dari pengetahuan filsufis  dan metafisis, dan memandang bahwa ilmu empiris semata yang laik  menyandang nama “ilmiah”.</w:t>
      </w:r>
    </w:p>
    <w:p>
      <w:pPr>
        <w:pStyle w:val="BookText"/>
        <w:bidi w:val="0"/>
        <w:jc w:val="both"/>
        <w:rPr/>
      </w:pPr>
      <w:r>
        <w:rPr>
          <w:rFonts w:eastAsia="Times New Roman" w:cs="Times New Roman" w:ascii="Times New Roman" w:hAnsi="Times New Roman"/>
          <w:color w:val="111111"/>
          <w:sz w:val="28"/>
          <w:szCs w:val="28"/>
          <w:lang w:val="en-US"/>
        </w:rPr>
        <w:t>Lebih lanjut menurutnya, mengikuti pengertian pertama, yang juga  lazim pada periode filsafat Islam, filsafat mempunyai banyak bagian.</w:t>
      </w:r>
    </w:p>
    <w:p>
      <w:pPr>
        <w:pStyle w:val="BookText"/>
        <w:bidi w:val="0"/>
        <w:jc w:val="both"/>
        <w:rPr/>
      </w:pPr>
      <w:r>
        <w:rPr>
          <w:rFonts w:eastAsia="Times New Roman" w:cs="Times New Roman" w:ascii="Times New Roman" w:hAnsi="Times New Roman"/>
          <w:color w:val="111111"/>
          <w:sz w:val="28"/>
          <w:szCs w:val="28"/>
          <w:lang w:val="en-US"/>
        </w:rPr>
        <w:t>Tiap-tiap bagiannya disebut dengan ilmu khusus. Wajar bila tidak ada  pertentangan antara filsafat dan ilmu pengetahuan. Pengertian kedua  muncul di Eropa pada abad pertengahan, dan segera diabaikan setelah  berakhirnya era tersebut. Menurut pengertian ketiga, yang tetap lazim  di Barat sampai sekarang, filsafat dan metafisika diletakkan berhadap-  hadapan dengan ilmu.</w:t>
      </w:r>
    </w:p>
    <w:p>
      <w:pPr>
        <w:pStyle w:val="BookText"/>
        <w:bidi w:val="0"/>
        <w:jc w:val="both"/>
        <w:rPr/>
      </w:pPr>
      <w:r>
        <w:rPr>
          <w:rFonts w:eastAsia="Times New Roman" w:cs="Times New Roman" w:ascii="Times New Roman" w:hAnsi="Times New Roman"/>
          <w:color w:val="111111"/>
          <w:sz w:val="28"/>
          <w:szCs w:val="28"/>
          <w:lang w:val="en-US"/>
        </w:rPr>
        <w:t>Menurutnya, lantaran pengertian ketiga ini juga cukup menyebar di  negara-negara Timur, Muhammad Taqi Misbâh Yazdî memilih makna  filsafat mencakup logika, epistemologi, ontologi atau metafisika, teologi,  psikologi teoretis (lawan psikologis empiris), estetika, etika dan politik.</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Meskipun terdapat sejumlah perbedaan pendapat dan kadang-kadang  filsafat dipakai hanya untuk filsafat pertama atau metafisika, dan ini bisa  dikatakan sebagai makna teknis filsafat keempat.</w:t>
      </w:r>
      <w:r>
        <w:rPr>
          <w:rStyle w:val="FootnoteAnchor"/>
        </w:rPr>
        <w:footnoteReference w:id="160"/>
      </w:r>
      <w:r>
        <w:rPr>
          <w:rFonts w:eastAsia="Times New Roman" w:cs="Times New Roman" w:ascii="Times New Roman" w:hAnsi="Times New Roman"/>
          <w:color w:val="111111"/>
          <w:sz w:val="28"/>
          <w:szCs w:val="28"/>
          <w:lang w:val="en-US"/>
        </w:rPr>
        <w:t xml:space="preserve">Istilah “filsafat” juga </w:t>
      </w:r>
    </w:p>
    <w:p>
      <w:pPr>
        <w:pStyle w:val="BookText"/>
        <w:bidi w:val="0"/>
        <w:rPr/>
      </w:pPr>
      <w:r>
        <w:rPr>
          <w:rFonts w:eastAsia="Times New Roman" w:cs="Times New Roman" w:ascii="Times New Roman" w:hAnsi="Times New Roman"/>
          <w:color w:val="111111"/>
          <w:sz w:val="28"/>
          <w:szCs w:val="28"/>
          <w:lang w:val="en-US"/>
        </w:rPr>
        <w:t xml:space="preserve">mempunya beberapa penggunaan teknis lain yang biasanya dimodifikasi  dengan kata adjektif atau genitif, seperti “filsafat ilmiah” atau “filsafat  ilmu” </w:t>
      </w:r>
      <w:r>
        <w:rPr>
          <w:rStyle w:val="FootnoteAnchor"/>
        </w:rPr>
        <w:footnoteReference w:id="161"/>
      </w:r>
      <w:r>
        <w:rPr>
          <w:rFonts w:eastAsia="Times New Roman" w:cs="Times New Roman" w:ascii="Times New Roman" w:hAnsi="Times New Roman"/>
          <w:color w:val="111111"/>
          <w:sz w:val="28"/>
          <w:szCs w:val="28"/>
          <w:lang w:val="en-US"/>
        </w:rPr>
        <w:t xml:space="preserve"> Muhammad Taqi Misbâh Yazdî mengkritik partikularisasi oleh Barat  terhadap bidang filsafat sehingga “filsafat” dipakai dalam konstruksi-  konstruksi genitif seperti “filsafat moral”, “filsafat hukum”, dan lain-lain.</w:t>
      </w:r>
    </w:p>
    <w:p>
      <w:pPr>
        <w:pStyle w:val="BookText"/>
        <w:bidi w:val="0"/>
        <w:jc w:val="both"/>
        <w:rPr/>
      </w:pPr>
      <w:r>
        <w:rPr>
          <w:rFonts w:eastAsia="Times New Roman" w:cs="Times New Roman" w:ascii="Times New Roman" w:hAnsi="Times New Roman"/>
          <w:color w:val="111111"/>
          <w:sz w:val="28"/>
          <w:szCs w:val="28"/>
          <w:lang w:val="en-US"/>
        </w:rPr>
        <w:t>Menurutnya, penggunaan semacam ini acapkali digunakan oleh mereka  yang mengetatkan istilah “ilmu” pada ilmu-ilmu empiris dan “filsafat”  untuk bidang-bidang ilmu kemanusiaan yang tidak bisa dibuktikan  lewat pengalaman indrawi. Alih-alih menggunakan “ilmu teologi”,  umpamanya, kalangan ini menggunakan “filsafat teologi”. Penggunaan  “filsafat” secara genitif ini semata-mata demi menyisyaratkan jenis  kandungan dan topik-topik yang dibahas pada ilmu bersangkutan.</w:t>
      </w:r>
      <w:r>
        <w:rPr>
          <w:rStyle w:val="FootnoteAnchor"/>
        </w:rPr>
        <w:footnoteReference w:id="162"/>
      </w:r>
      <w:r>
        <w:rPr>
          <w:rFonts w:eastAsia="Times New Roman" w:cs="Times New Roman" w:ascii="Times New Roman" w:hAnsi="Times New Roman"/>
          <w:color w:val="111111"/>
          <w:sz w:val="28"/>
          <w:szCs w:val="28"/>
          <w:lang w:val="en-US"/>
        </w:rPr>
        <w:t xml:space="preserve"> Demikian pula, kalangan yang tidak memandang soal-soal yang  berkaitan dengan tindak-tanduk dan nilai sebagai “ilmiah” dan  menganggapnya tidak mempunyai pijakan objektif dalam kenyataan  dan sepenuhnya diatur oleh hasrat dan kecenderungan masyarakat,  menggolongkan corak soal-soal ini dalam wilayah filsafat. Sebagai  misal, alih-alih menyebut “ilmu akhlak”, mereka menyebutnya “filsafat  akhlak”, dan alih-alih menyebut “ilmu politik”, mereka menyebutnya  "filsafat politik”  Muhammad Taqî Misbâh Yazdî juga mengkritik pelebaran pengertian  filsafat yang tidak lagi membahas substansi, namun lebih menekankan  pada aspek formal. Sehingga terkadang istilah filsafat dipakai untuk  menjelaskan prinsip-prinsip ilmu lain. Lebih jauh, soal-soal seperti  sejarah, pendiri, tujuan, metode penelitian, dan jalan perkembangan  suatu ilmu juga dibahas dalam tajuk (filsafat) ini.</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Istilah ini tidak khas dipakai kalangan positivis dan yang sepaham  dengan mereka, melainkan juga dipakai oleh kalangan yang memandang  pengetahuan filsafat dan nilai serta metode penelitian dan penyelidikannya </w:t>
      </w:r>
    </w:p>
    <w:p>
      <w:pPr>
        <w:pStyle w:val="BookText"/>
        <w:bidi w:val="0"/>
        <w:rPr/>
      </w:pPr>
      <w:r>
        <w:rPr>
          <w:rFonts w:eastAsia="Times New Roman" w:cs="Times New Roman" w:ascii="Times New Roman" w:hAnsi="Times New Roman"/>
          <w:color w:val="111111"/>
          <w:sz w:val="28"/>
          <w:szCs w:val="28"/>
          <w:lang w:val="en-US"/>
        </w:rPr>
        <w:t>sebagai “ilmiah”. Untuk menghindarkan tumpang-tindih dengan  penggunaan sebelumnya, terkadang mereka mengimbuhkan kata “ilmu”  pada konstruksi genitif tersebut. Misalnya, mereka menyebut “filsafat  ilmu sejarah” sebagai bandingan “filsafat sejarah”, atau mereka menyebut  “filsafat ilmu akhlak” sebagai bandingan “filsafat akhlak” dalam arti  yang digunakan kalangan positivis.</w:t>
      </w:r>
    </w:p>
    <w:p>
      <w:pPr>
        <w:pStyle w:val="BookText"/>
        <w:bidi w:val="0"/>
        <w:jc w:val="both"/>
        <w:rPr/>
      </w:pPr>
      <w:r>
        <w:rPr>
          <w:rFonts w:eastAsia="Times New Roman" w:cs="Times New Roman" w:ascii="Times New Roman" w:hAnsi="Times New Roman"/>
          <w:color w:val="111111"/>
          <w:sz w:val="28"/>
          <w:szCs w:val="28"/>
          <w:lang w:val="en-US"/>
        </w:rPr>
        <w:t>Istilah lain yang dipakai sebagai lawan “ilmu” adalah “metafisika”.</w:t>
      </w:r>
    </w:p>
    <w:p>
      <w:pPr>
        <w:pStyle w:val="BookText"/>
        <w:bidi w:val="0"/>
        <w:jc w:val="both"/>
        <w:rPr/>
      </w:pPr>
      <w:r>
        <w:rPr>
          <w:rFonts w:eastAsia="Times New Roman" w:cs="Times New Roman" w:ascii="Times New Roman" w:hAnsi="Times New Roman"/>
          <w:color w:val="111111"/>
          <w:sz w:val="28"/>
          <w:szCs w:val="28"/>
          <w:lang w:val="en-US"/>
        </w:rPr>
        <w:t>Istilah ini sendiri berakar dari kata Yunani metataphysica. Dengan  membuang ta tambahan dan mengubah physica ke fisika (physics),  jadilah istilah metafisika. Kata ini di-Arab-kan menjadi hewball sesto / mâ  ba’da al-thabî'ah (sesuatu setelah fisika). Metafisika (Bahasa Yunani:</w:t>
      </w:r>
    </w:p>
    <w:p>
      <w:pPr>
        <w:pStyle w:val="BookText"/>
        <w:bidi w:val="0"/>
        <w:jc w:val="both"/>
        <w:rPr/>
      </w:pPr>
      <w:r>
        <w:rPr>
          <w:rFonts w:eastAsia="Times New Roman" w:cs="Times New Roman" w:ascii="Times New Roman" w:hAnsi="Times New Roman"/>
          <w:color w:val="111111"/>
          <w:sz w:val="28"/>
          <w:szCs w:val="28"/>
          <w:lang w:val="en-US"/>
        </w:rPr>
        <w:t>uetá (meta)=”setelah atau di balik”, qúoika (phúsika)=”hal-hal di alam”)  adalah cabang filsafat yang mempelajari penjelasan asal atau hakikat  objek (fisik) di dunia. Metafisika adalah studi keberadaan atau realitas.</w:t>
      </w:r>
    </w:p>
    <w:p>
      <w:pPr>
        <w:pStyle w:val="BookText"/>
        <w:bidi w:val="0"/>
        <w:jc w:val="both"/>
        <w:rPr/>
      </w:pPr>
      <w:r>
        <w:rPr>
          <w:rFonts w:eastAsia="Times New Roman" w:cs="Times New Roman" w:ascii="Times New Roman" w:hAnsi="Times New Roman"/>
          <w:color w:val="111111"/>
          <w:sz w:val="28"/>
          <w:szCs w:val="28"/>
          <w:lang w:val="en-US"/>
        </w:rPr>
        <w:t>Metafisika mencoba menjawab pertanyaan-pertanyaan seperti: Apakah  sumber dari suatu realitas? Apakah Tuhan ada? Apa tempat manusia di  dalam semesta? Cabang utama metafisika adalah ontologi, studi mengenai  kategorisasi benda-benda di alam dan hubungan antara satu dan lainnya.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Ahli metafisika juga berupaya memperjelas pemikiran-pemikiran  manusia mengenai dunia, termasuk keberadaan, kebendaan, sifat, ruang,  waktu, hubungan sebab akibat, dan kemungkinan. Penggunaan istilah  “metafisika” telah berkembang untuk merujuk pada “hal-hal yang di luar  dunia fisik”. “Toko buku metafisika”, sebagai contoh, bukanlah menjual  buku mengenai ontologi, melainkan lebih kepada buku-buku mengenai  ilmu gaib, pengobatan alternatif, dan hal-hal sejenisnya. </w:t>
      </w:r>
      <w:r>
        <w:rPr>
          <w:rStyle w:val="FootnoteAnchor"/>
        </w:rPr>
        <w:footnoteReference w:id="163"/>
      </w:r>
      <w:r>
        <w:rPr>
          <w:rFonts w:eastAsia="Times New Roman" w:cs="Times New Roman" w:ascii="Times New Roman" w:hAnsi="Times New Roman"/>
          <w:color w:val="111111"/>
          <w:sz w:val="28"/>
          <w:szCs w:val="28"/>
          <w:lang w:val="en-US"/>
        </w:rPr>
        <w:t xml:space="preserve"> Menurut penuturan para sejarawan filsafat, kata ini pertama kali  digunakan sebagai judul buku Aristoteles setelah bagian Fisika dan  memuat pembahasan umum tentang eksistensi. Pada Era Islam, bagian  ini dinamai dengan umûr ‘âmmah (perkara-perkara umum). Sebagian  filsuf Muslim merasa lebih cocok menggunakan istilah </w:t>
      </w:r>
      <w:r>
        <w:rPr>
          <w:rFonts w:ascii="IRNazanin" w:hAnsi="IRNazanin" w:eastAsia="IRNazanin"/>
          <w:color w:val="111111"/>
          <w:sz w:val="28"/>
          <w:sz w:val="28"/>
          <w:szCs w:val="28"/>
          <w:rtl w:val="true"/>
          <w:lang w:bidi="fa-IR"/>
        </w:rPr>
        <w:t>ما قبل الطبیعة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mâ qabla al-thabî'ah (sesuatu sebelum fisika) untuk menamai bagian </w:t>
      </w:r>
    </w:p>
    <w:p>
      <w:pPr>
        <w:pStyle w:val="BookText"/>
        <w:bidi w:val="0"/>
        <w:rPr/>
      </w:pPr>
      <w:r>
        <w:rPr>
          <w:rFonts w:eastAsia="Times New Roman" w:cs="Times New Roman" w:ascii="Times New Roman" w:hAnsi="Times New Roman"/>
          <w:color w:val="111111"/>
          <w:sz w:val="28"/>
          <w:szCs w:val="28"/>
          <w:lang w:val="en-US"/>
        </w:rPr>
        <w:t>ini. Tampaknya, bagian di atas berbeda dengan teologi atau 6 gg.</w:t>
      </w:r>
    </w:p>
    <w:p>
      <w:pPr>
        <w:pStyle w:val="BookText"/>
        <w:bidi w:val="0"/>
        <w:jc w:val="both"/>
        <w:rPr/>
      </w:pPr>
      <w:r>
        <w:rPr>
          <w:rFonts w:eastAsia="Times New Roman" w:cs="Times New Roman" w:ascii="Times New Roman" w:hAnsi="Times New Roman"/>
          <w:color w:val="111111"/>
          <w:sz w:val="28"/>
          <w:szCs w:val="28"/>
          <w:lang w:val="en-US"/>
        </w:rPr>
        <w:t>Dalam karya-karya para filsuf Muslim, semua pembahasan di atas  digabungkan dalam bagian “ketuhanan dalam arti umum. Sedangkan  teologi dikhususkan denagn nama “ketuhanan dalam arti khusus”.</w:t>
      </w:r>
    </w:p>
    <w:p>
      <w:pPr>
        <w:pStyle w:val="BookText"/>
        <w:bidi w:val="0"/>
        <w:jc w:val="both"/>
        <w:rPr/>
      </w:pPr>
      <w:r>
        <w:rPr>
          <w:rFonts w:eastAsia="Times New Roman" w:cs="Times New Roman" w:ascii="Times New Roman" w:hAnsi="Times New Roman"/>
          <w:color w:val="111111"/>
          <w:sz w:val="28"/>
          <w:szCs w:val="28"/>
          <w:lang w:val="en-US"/>
        </w:rPr>
        <w:t>Sebagian mengira bahwa metafisika setara dengan “transphysical  atau sesuatu di luar alam fisik (baca: adialami). Mereka menganggap  penggunaan istilah tersebut untuk bagian ini sebagai contoh penggunaan  istilah umum untuk sesuatu yang lebih khusus. Pasalnya, pada bagian  “ketuhanan dalam arti luas”, terdapat pula pembahasan tentang Tuhan dan  hal-hal mujarad (di luar alam fisik). Bagaimanapun, agaknya pengertian  pertamalah yang paling tepat.</w:t>
      </w:r>
    </w:p>
    <w:p>
      <w:pPr>
        <w:pStyle w:val="BookText"/>
        <w:bidi w:val="0"/>
        <w:jc w:val="both"/>
        <w:rPr/>
      </w:pPr>
      <w:r>
        <w:rPr>
          <w:rFonts w:eastAsia="Times New Roman" w:cs="Times New Roman" w:ascii="Times New Roman" w:hAnsi="Times New Roman"/>
          <w:color w:val="111111"/>
          <w:sz w:val="28"/>
          <w:szCs w:val="28"/>
          <w:lang w:val="en-US"/>
        </w:rPr>
        <w:t>Metafisika dipakai untuk menyebut kumpulan soal-soal teoretis-  intelektual filsafat dalam arti umum. Kini, istilah filsafat telah diketatkan  pada soal-soal ini, dan salah satu makna baru filsafat adalah “metafisika”.</w:t>
      </w:r>
    </w:p>
    <w:p>
      <w:pPr>
        <w:pStyle w:val="BookText"/>
        <w:bidi w:val="0"/>
        <w:jc w:val="both"/>
        <w:rPr/>
      </w:pPr>
      <w:r>
        <w:rPr>
          <w:rFonts w:eastAsia="Times New Roman" w:cs="Times New Roman" w:ascii="Times New Roman" w:hAnsi="Times New Roman"/>
          <w:color w:val="111111"/>
          <w:sz w:val="28"/>
          <w:szCs w:val="28"/>
          <w:lang w:val="en-US"/>
        </w:rPr>
        <w:t>Alasan para positivis mengira soal-soal macam ini sebagai tidak ilmia  ialah ketidakmungkinan mereka diverifikasi dengan pengalaman indrawi.</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Begitu juga Kant menganggap nalar teoretis tidak memadai untuk  memverifikasi soal-soal ini dan menyebut mereka sebagai “dialektis”  atau bisa diperdebatkan dari dua sudut-pandang.</w:t>
      </w:r>
      <w:r>
        <w:rPr>
          <w:rStyle w:val="FootnoteAnchor"/>
        </w:rPr>
        <w:footnoteReference w:id="164"/>
      </w:r>
      <w:r>
        <w:rPr>
          <w:rFonts w:eastAsia="Times New Roman" w:cs="Times New Roman" w:ascii="Times New Roman" w:hAnsi="Times New Roman"/>
          <w:color w:val="111111"/>
          <w:sz w:val="28"/>
          <w:szCs w:val="28"/>
          <w:lang w:val="en-US"/>
        </w:rPr>
        <w:t xml:space="preserve"> Namun, menurut Muhammad Taqi Misbâh Yazdî, mengingat filsafat  setara atau setidaknya berasal-muasal dari filsafat pertama (proto-  philosopia) atau metafisika, dengan subjek “maujud mutlak” (bukan  maujud secara mutlak), maka filsafat layak didefinisikan sebagai ilmu  yang membahas keadaan-keadaan maujud mutlak atau ilmu yang  memaparkan hukum-hukum umum ke-maujud-an; atau serangkaian  persoalan yang menyangkut maujud sejauh itu adalah maujud (existent  qua existent).</w:t>
      </w:r>
      <w:r>
        <w:rPr>
          <w:rStyle w:val="FootnoteAnchor"/>
        </w:rPr>
        <w:footnoteReference w:id="165"/>
      </w:r>
    </w:p>
    <w:p>
      <w:pPr>
        <w:pStyle w:val="BookText"/>
        <w:bidi w:val="0"/>
        <w:rPr/>
      </w:pPr>
      <w:r>
        <w:rPr>
          <w:rFonts w:eastAsia="Times New Roman" w:cs="Times New Roman" w:ascii="Times New Roman" w:hAnsi="Times New Roman"/>
          <w:color w:val="111111"/>
          <w:sz w:val="28"/>
          <w:szCs w:val="28"/>
          <w:lang w:val="en-US"/>
        </w:rPr>
        <w:t>Sebagaimana subjek fisika elementer adalah “benda mutlak”, maka  subjek metafisika adalah “maujud mutlak” atau “maujud qua maujuď”.</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Maujud mutlak</w:t>
      </w:r>
      <w:r>
        <w:rPr>
          <w:rStyle w:val="FootnoteAnchor"/>
        </w:rPr>
        <w:footnoteReference w:id="166"/>
      </w:r>
      <w:r>
        <w:rPr>
          <w:rFonts w:eastAsia="Times New Roman" w:cs="Times New Roman" w:ascii="Times New Roman" w:hAnsi="Times New Roman"/>
          <w:color w:val="111111"/>
          <w:sz w:val="28"/>
          <w:szCs w:val="28"/>
          <w:lang w:val="en-US"/>
        </w:rPr>
        <w:t xml:space="preserve">bukanlah subjek ilmu yang bersifat spesifik; karena itu,  ilmu dengan nama metafisika atau belakangan disebut “ilmu universal” (   </w:t>
      </w:r>
      <w:r>
        <w:rPr>
          <w:rFonts w:ascii="IRNazanin" w:hAnsi="IRNazanin" w:eastAsia="IRNazanin"/>
          <w:color w:val="111111"/>
          <w:sz w:val="28"/>
          <w:sz w:val="28"/>
          <w:szCs w:val="28"/>
          <w:rtl w:val="true"/>
          <w:lang w:bidi="fa-IR"/>
        </w:rPr>
        <w:t>العلم الکلی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atau filsafat utama ( </w:t>
      </w:r>
      <w:r>
        <w:rPr>
          <w:rFonts w:ascii="IRNazanin" w:hAnsi="IRNazanin" w:eastAsia="IRNazanin"/>
          <w:color w:val="111111"/>
          <w:sz w:val="28"/>
          <w:sz w:val="28"/>
          <w:szCs w:val="28"/>
          <w:rtl w:val="true"/>
          <w:lang w:bidi="fa-IR"/>
        </w:rPr>
        <w:t>الفلسفة الاولی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mulai mengemuka </w:t>
      </w:r>
      <w:r>
        <w:rPr>
          <w:rStyle w:val="FootnoteAnchor"/>
        </w:rPr>
        <w:footnoteReference w:id="167"/>
      </w:r>
      <w:r>
        <w:rPr>
          <w:rFonts w:eastAsia="Times New Roman" w:cs="Times New Roman" w:ascii="Times New Roman" w:hAnsi="Times New Roman"/>
          <w:color w:val="111111"/>
          <w:sz w:val="28"/>
          <w:szCs w:val="28"/>
          <w:lang w:val="en-US"/>
        </w:rPr>
        <w:t>Dengan  kata lain, pengertian filsafat di hawzah ‘Ilmiyah Qom berbeda dengan  pengertian filsafat yang berkembang di Barat. Artinya, metafisika adalah  induk fisafat bukan cabangnya. Semua istilah filasafat dalam bab ini  mengacu pada definisi di atas.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lain yang perlu diperjelas adalah subjek filsafat dalam tradisi  hawzah 'Ilmiyah. Muhammad Taqi Misbâh Yazdî beranggapan bahwa  karena manusia menghadapi serangkaian masalah pokok dan mendasar  yang tidak bisa dijawab oleh sebarang ilmu, maka mesti ada ilmu khusus  yang disebut dengan metafisika atau ilmu umum atau filsafat pertama  yang menjadi bidangnya. Subjek ilmu ini tidak khusus menyangkut satu  jenis maujud atau zat partikular dan tertentu. Karena mencakup kedua  dimensi itu, maka subjeknya mestilah berupa konsep paling universal  yang berlaku pada semua yang nyata dan objektif, yaitu “maujud  mutlak”, atau maujud qua maujud. Ilmu semacam ini patut diberi gelar  “induk segala ilmu”. Karena ia mendahului ilmu, maka konsep masalah  utama filsafat (baca: maujud) adalah aprior (self-evident) dan tidak </w:t>
      </w:r>
      <w:bookmarkStart w:id="137" w:name="pg6424_44901"/>
    </w:p>
    <w:p>
      <w:pPr>
        <w:pStyle w:val="BookText"/>
        <w:bidi w:val="0"/>
        <w:rPr/>
      </w:pPr>
      <w:bookmarkEnd w:id="137"/>
      <w:r>
        <w:rPr>
          <w:rFonts w:eastAsia="Times New Roman" w:cs="Times New Roman" w:ascii="Times New Roman" w:hAnsi="Times New Roman"/>
          <w:color w:val="111111"/>
          <w:sz w:val="28"/>
          <w:szCs w:val="28"/>
          <w:lang w:val="en-US"/>
        </w:rPr>
        <w:t>membutuhkan pada definisi, yang didasarkan pada ilmu yang berada  pada urutan setelah filsafat.</w:t>
      </w:r>
    </w:p>
    <w:p>
      <w:pPr>
        <w:pStyle w:val="BookText"/>
        <w:bidi w:val="0"/>
        <w:jc w:val="both"/>
        <w:rPr/>
      </w:pPr>
      <w:r>
        <w:rPr>
          <w:rFonts w:eastAsia="Times New Roman" w:cs="Times New Roman" w:ascii="Times New Roman" w:hAnsi="Times New Roman"/>
          <w:color w:val="111111"/>
          <w:sz w:val="28"/>
          <w:szCs w:val="28"/>
          <w:lang w:val="en-US"/>
        </w:rPr>
        <w:t>Menurut penulis, pendapat Muhammad Taqi Misbâh yang membatasi  subjek filsafat hanya pada wujud menimbulkan ambiguitas, karena  mestinya subjek filsafat berbeda dalam cakupan dengan ontologi yang  juga menjadikan wujud sebagai subjek pembahasannya. Itulah sebabnya  mengapa istilah ontologi kurang digunakan dalam literatur filsafat di  hawzah ‘Ilmiyah Qom, karena ontologi telah diperlakukan sama dengan  filsafat. Akibatnya, bangunan anatomi ilmu yang memposisikan filsafat  sebagai induk pengetahuan menimbulkan tanda tanya. Mungkin yang  perlu diperjelas oleh Muhammad Taqi Misbah memposisikan filsafat  sebagai induk lalu membaginya dalam filsafat teoritis dan filsafat praktis  dengan semua bagiannya.</w:t>
      </w:r>
    </w:p>
    <w:p>
      <w:pPr>
        <w:pStyle w:val="Heading3"/>
        <w:numPr>
          <w:ilvl w:val="2"/>
          <w:numId w:val="1"/>
        </w:numPr>
        <w:bidi w:val="0"/>
        <w:jc w:val="left"/>
        <w:rPr/>
      </w:pPr>
      <w:bookmarkStart w:id="138" w:name="__RefHeading___Toc688621_653776707"/>
      <w:bookmarkStart w:id="139" w:name="_Toc50"/>
      <w:bookmarkEnd w:id="138"/>
      <w:r>
        <w:rPr/>
        <w:t>B. Anatomi Filsafat dan Ilmu</w:t>
      </w:r>
      <w:bookmarkEnd w:id="139"/>
    </w:p>
    <w:p>
      <w:pPr>
        <w:pStyle w:val="BookText"/>
        <w:bidi w:val="0"/>
        <w:jc w:val="both"/>
        <w:rPr/>
      </w:pPr>
      <w:r>
        <w:rPr>
          <w:rFonts w:eastAsia="Times New Roman" w:cs="Times New Roman" w:ascii="Times New Roman" w:hAnsi="Times New Roman"/>
          <w:color w:val="111111"/>
          <w:sz w:val="28"/>
          <w:szCs w:val="28"/>
          <w:lang w:val="en-US"/>
        </w:rPr>
        <w:t xml:space="preserve">Karena subjeknya adalah sesuatu yang mendului konsep itu sendiri,  yaitu wujud, maka filsafat tidak memerlukan prinsip-prinsip konseptual,  sedangkan definisi pokok-pokok masalah partikularnya tertera pada  permulaan setiap pembahasan—sebagaimana biasanya terjadi dalam  ilmu-ilmu lain. </w:t>
      </w:r>
      <w:r>
        <w:rPr>
          <w:rStyle w:val="FootnoteAnchor"/>
        </w:rPr>
        <w:footnoteReference w:id="168"/>
      </w:r>
      <w:r>
        <w:rPr>
          <w:rFonts w:eastAsia="Times New Roman" w:cs="Times New Roman" w:ascii="Times New Roman" w:hAnsi="Times New Roman"/>
          <w:color w:val="111111"/>
          <w:sz w:val="28"/>
          <w:szCs w:val="28"/>
          <w:lang w:val="en-US"/>
        </w:rPr>
        <w:t xml:space="preserve"> Sejak pertama kali Socrates menyebut dirinya sebagai filsuf,  istilah filsafat digunakan sebagai lawan dari sophistry (ke-sophis-an  atau kerancuan berpikir), dan memuat seluruh ilmu hakiki seperti fisika,  kimia, kedokteran, astronomi, matematika dan teologi. Sampai sekarang,  dalam banyak perpustakaan terkenal dunia, buku-buku fisika dan kimia  masih dikelompokkan dalam kategori filsafat. Haya bidang-bidang  berdasarkan kesepakatan seperti bidang kosakata, tata kalimat dan tata  bahasa yang berada di luar wilayah filsafat.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itu, Muhammad Taqi Misbâh Yazdî lebih memilih  pola pembagian Yunani daripada pola pembgain modern, dengan  menjadikan filsafat sebagai kata umum untuk seluruh ilmu hakiki, yang </w:t>
      </w:r>
    </w:p>
    <w:p>
      <w:pPr>
        <w:pStyle w:val="BookText"/>
        <w:bidi w:val="0"/>
        <w:rPr/>
      </w:pPr>
      <w:r>
        <w:rPr>
          <w:rFonts w:eastAsia="Times New Roman" w:cs="Times New Roman" w:ascii="Times New Roman" w:hAnsi="Times New Roman"/>
          <w:color w:val="111111"/>
          <w:sz w:val="28"/>
          <w:szCs w:val="28"/>
          <w:lang w:val="en-US"/>
        </w:rPr>
        <w:t>dibagi menjadi dua kelompok umum: ilmu-ilmu teoretis dan praktis.</w:t>
      </w:r>
    </w:p>
    <w:p>
      <w:pPr>
        <w:pStyle w:val="BookText"/>
        <w:bidi w:val="0"/>
        <w:jc w:val="both"/>
        <w:rPr/>
      </w:pPr>
      <w:r>
        <w:rPr>
          <w:rFonts w:eastAsia="Times New Roman" w:cs="Times New Roman" w:ascii="Times New Roman" w:hAnsi="Times New Roman"/>
          <w:color w:val="111111"/>
          <w:sz w:val="28"/>
          <w:szCs w:val="28"/>
          <w:lang w:val="en-US"/>
        </w:rPr>
        <w:t>Ilmu-ilmu teoretis meliputi ilmu-ilmu alam, matematika dan teologi.</w:t>
      </w:r>
    </w:p>
    <w:p>
      <w:pPr>
        <w:pStyle w:val="BookText"/>
        <w:bidi w:val="0"/>
        <w:jc w:val="both"/>
        <w:rPr/>
      </w:pPr>
      <w:r>
        <w:rPr>
          <w:rFonts w:eastAsia="Times New Roman" w:cs="Times New Roman" w:ascii="Times New Roman" w:hAnsi="Times New Roman"/>
          <w:color w:val="111111"/>
          <w:sz w:val="28"/>
          <w:szCs w:val="28"/>
          <w:lang w:val="en-US"/>
        </w:rPr>
        <w:t xml:space="preserve">Ilmu-ilmu alam pada gilirannya meliputi kosmogoni, mineralogi, botani  dan zoologi; matematika meliputi aritmetika, geometri, astronomi  dan musik. Teologi dibagi menjadi dua kelompok: metafisika atau  perbincangan umum seputar wujud; dan teologi ketuhanan. Ilmu-ilmu  praktis bercabang tiga: moralitas atau akhlak; ekonomi. </w:t>
      </w:r>
      <w:r>
        <w:rPr>
          <w:rStyle w:val="FootnoteAnchor"/>
        </w:rPr>
        <w:footnoteReference w:id="169"/>
      </w:r>
      <w:r>
        <w:rPr>
          <w:rFonts w:eastAsia="Times New Roman" w:cs="Times New Roman" w:ascii="Times New Roman" w:hAnsi="Times New Roman"/>
          <w:color w:val="111111"/>
          <w:sz w:val="28"/>
          <w:szCs w:val="28"/>
          <w:lang w:val="en-US"/>
        </w:rPr>
        <w:t xml:space="preserve"> Karena perbedaan makna yang disebutkan tentang ilmu dan filsafat,  hubungan di antaranya juga menjadi berbeda sesuai dengan makna yang  digunakan. Jika “ilmu” dipakai untuk arti kesadaran secara tidak terikat,  atau jika ia dipakai untuk arti kumpulan proposisi yang saling berkaitan,  maka ia artinya jadi lebih umum daripada filsafat. Soalnya, ia mencakup  proposisi-proposisi partikular dan ilmu-ilmu konvensional. Jika ilmu  dipakai untuk arti proposisi-proposisi universal hakiki, ia menjadi  setara dengan filsafat dalam arti kuno. Jika dipakai untuk arti proposisi-  proposisi empiris, ia menjadi lebih sempit daripada filsafat dalam arti  kuno dan bertentangan dengan filsafat dalam arti modern. Demikian  pula, metafisika merupakan bagian filsafat dalam arti kuno dan setara  dengann filsafat dalam salah satu makna modernnya.</w:t>
      </w:r>
    </w:p>
    <w:p>
      <w:pPr>
        <w:pStyle w:val="BookText"/>
        <w:bidi w:val="0"/>
        <w:jc w:val="both"/>
        <w:rPr/>
      </w:pPr>
      <w:r>
        <w:rPr>
          <w:rFonts w:eastAsia="Times New Roman" w:cs="Times New Roman" w:ascii="Times New Roman" w:hAnsi="Times New Roman"/>
          <w:color w:val="111111"/>
          <w:sz w:val="28"/>
          <w:szCs w:val="28"/>
          <w:lang w:val="en-US"/>
        </w:rPr>
        <w:t>Demikian ia menjelaskan:</w:t>
      </w:r>
    </w:p>
    <w:p>
      <w:pPr>
        <w:pStyle w:val="BookText"/>
        <w:bidi w:val="0"/>
        <w:jc w:val="both"/>
        <w:rPr/>
      </w:pPr>
      <w:r>
        <w:rPr>
          <w:rFonts w:eastAsia="Times New Roman" w:cs="Times New Roman" w:ascii="Times New Roman" w:hAnsi="Times New Roman"/>
          <w:color w:val="111111"/>
          <w:sz w:val="28"/>
          <w:szCs w:val="28"/>
          <w:lang w:val="en-US"/>
        </w:rPr>
        <w:t>Perlu dicatat bahwa pertentangan filsafat dan ilmu dalam arti modern,  seperti diketengahkan oleh para positivis, tidak lain bertujuan untuk  merendahkan nilai filsafat dan mengingkari kedudukan akal dan  nilai pemahaman intelektual. Anggapan itu jelas-jelas tidak benar.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Saat mengupas epistemologi, saya akan menerangkan bahwa nilai  pemahaman intelektual bukan saja tidak kurang dibandingkan  dengan pengetahuan indrawi dan hasil pengalaman (experiential),  melainkan lebih tinggi daripada keduanya. Bahkan, nilai pengetahuan  hasil pengalaman bermuara pada nilai pemahaman intelektual dan  proposisi-proposisi filsufis. </w:t>
      </w:r>
    </w:p>
    <w:p>
      <w:pPr>
        <w:pStyle w:val="BookText"/>
        <w:bidi w:val="0"/>
        <w:rPr/>
      </w:pPr>
      <w:r>
        <w:rPr>
          <w:rFonts w:eastAsia="Times New Roman" w:cs="Times New Roman" w:ascii="Times New Roman" w:hAnsi="Times New Roman"/>
          <w:color w:val="111111"/>
          <w:sz w:val="28"/>
          <w:szCs w:val="28"/>
          <w:lang w:val="en-US"/>
        </w:rPr>
        <w:t>Atas dasar itu, penyempitan makna ilmu pada pengetahuan empiris  dan filsafat pada sesuatu yang non empiris bisa diterima kalau hanya  sebatas perkara terminologi, tetapi perbedaan kedua istilah itu tidak  untuk mencitrakan soal-soal filsafat dan metafisika sebagai persangkaan  kosong. Demikian pula, label “ilmiah” tidak memberikan keunggulan  pada suatu kecenderungan filsufis. Label itu laksana tambalan yang  tidak pas pada filsafat, sehingga hanya akan menandakan kebodohan dan  upaya demagogis pemasangnya.</w:t>
      </w:r>
    </w:p>
    <w:p>
      <w:pPr>
        <w:pStyle w:val="BookText"/>
        <w:bidi w:val="0"/>
        <w:jc w:val="both"/>
        <w:rPr/>
      </w:pPr>
      <w:r>
        <w:rPr>
          <w:rFonts w:eastAsia="Times New Roman" w:cs="Times New Roman" w:ascii="Times New Roman" w:hAnsi="Times New Roman"/>
          <w:color w:val="111111"/>
          <w:sz w:val="28"/>
          <w:szCs w:val="28"/>
          <w:lang w:val="en-US"/>
        </w:rPr>
        <w:t>Klaim bahwa prinsip-prinsip filsafat seperti materialisme dialektika  berasal dari hukum-hukum empiris adalah keliru, lantaran tiada hukum-  hukum suatu ilmu (empiris) yang dapat digeneralisasikan pada ilmu  lain, apalagi pada seluruh eksistensi. Misalnya, hukum-hukum psikologi  dan biologi tidak dapat digeneralisasikan pada fisika atau kimia atau  matematika dan demikian pula sebaliknya. Hukum-hukum suatu ilmu  tidak berarti apa-apa di luar bidangnya sendiri.</w:t>
      </w:r>
      <w:r>
        <w:rPr>
          <w:rStyle w:val="FootnoteAnchor"/>
        </w:rPr>
        <w:footnoteReference w:id="170"/>
      </w:r>
      <w:r>
        <w:rPr>
          <w:rFonts w:eastAsia="Times New Roman" w:cs="Times New Roman" w:ascii="Times New Roman" w:hAnsi="Times New Roman"/>
          <w:color w:val="111111"/>
          <w:sz w:val="28"/>
          <w:szCs w:val="28"/>
          <w:lang w:val="en-US"/>
        </w:rPr>
        <w:t xml:space="preserve"> Dari penjelasan diatas, Muhammad Taqi Misbâh Yazdî mengajukan  alasan pemilahan ilmu. Menurutnya, masalah-masalah yang bisa dikenali  merupakan spektrum yang luas. Dalam spektrum itu, sebagian masalah  saling berhubungan erat, sedang sebagian lainnya tidak. Pada sisi lain,  pemahaman satu jenis pengetahuan bergantung pada pemahaman  lainnya, atau paling tidak pemahanan satu jenis pengetahuan membantu  pemahaman lainnya, sementara hubungan ini tidak terwujud pada jenis-  jenis pengetahuan lainnya.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Menurutnya, karena adanya fakta bahwa memperoleh seluruh  pengetahuan mustahil bagi seseorang, dan kalaupun mungkin, tidak semua  tergerak untuk itu, sejak dahulu para pengajar memutuskan untuk secara  jitu mengklasifikasi topik-topik yang bertalian, kemudian menentukan  pelbagai tipe ilmu dan pengetahuan. Beragam ilmu dikategorikan dan  kebutuhan atas masing-masingnya dijabarkan, dan akibtanya prioritas  masing-masing tertandaskan. Dengan begitu, pertama, seorang yang  berbakat dan berselera tertentu bisa menemukan apa yang dicarinya dari </w:t>
      </w:r>
    </w:p>
    <w:p>
      <w:pPr>
        <w:pStyle w:val="BookText"/>
        <w:bidi w:val="0"/>
        <w:rPr/>
      </w:pPr>
      <w:r>
        <w:rPr>
          <w:rFonts w:eastAsia="Times New Roman" w:cs="Times New Roman" w:ascii="Times New Roman" w:hAnsi="Times New Roman"/>
          <w:color w:val="111111"/>
          <w:sz w:val="28"/>
          <w:szCs w:val="28"/>
          <w:lang w:val="en-US"/>
        </w:rPr>
        <w:t>tumpukan masalah tak berbilang dan jalan untuk mencapai tujuannya.</w:t>
      </w:r>
    </w:p>
    <w:p>
      <w:pPr>
        <w:pStyle w:val="BookText"/>
        <w:bidi w:val="0"/>
        <w:jc w:val="both"/>
        <w:rPr/>
      </w:pPr>
      <w:r>
        <w:rPr>
          <w:rFonts w:eastAsia="Times New Roman" w:cs="Times New Roman" w:ascii="Times New Roman" w:hAnsi="Times New Roman"/>
          <w:color w:val="111111"/>
          <w:sz w:val="28"/>
          <w:szCs w:val="28"/>
          <w:lang w:val="en-US"/>
        </w:rPr>
        <w:t>Kedua, orang yang hendak mengenal bidang pengetahuan lain bisa  mengetahui titik memulai dan mempermudah jalan untuk memperoleh  bidang pengetahuan lain itu.</w:t>
      </w:r>
    </w:p>
    <w:p>
      <w:pPr>
        <w:pStyle w:val="BookText"/>
        <w:bidi w:val="0"/>
        <w:jc w:val="both"/>
        <w:rPr/>
      </w:pPr>
      <w:r>
        <w:rPr>
          <w:rFonts w:eastAsia="Times New Roman" w:cs="Times New Roman" w:ascii="Times New Roman" w:hAnsi="Times New Roman"/>
          <w:color w:val="111111"/>
          <w:sz w:val="28"/>
          <w:szCs w:val="28"/>
          <w:lang w:val="en-US"/>
        </w:rPr>
        <w:t>Oleh sebab itu, ilmu-ilmu dipilah-pilah ke dalam beberapa bagian.</w:t>
      </w:r>
    </w:p>
    <w:p>
      <w:pPr>
        <w:pStyle w:val="BookText"/>
        <w:bidi w:val="0"/>
        <w:jc w:val="both"/>
        <w:rPr/>
      </w:pPr>
      <w:r>
        <w:rPr>
          <w:rFonts w:eastAsia="Times New Roman" w:cs="Times New Roman" w:ascii="Times New Roman" w:hAnsi="Times New Roman"/>
          <w:color w:val="111111"/>
          <w:sz w:val="28"/>
          <w:szCs w:val="28"/>
          <w:lang w:val="en-US"/>
        </w:rPr>
        <w:t>Tiap-tiap bagian, pada gilirannya, diletakkan pada kategori dan tingkat  tertentu. Secara umum, ilmu dibagi menjadi teoretis dan praktis. Ilmu-  ilmu teoretis dipecah menjadi ilmu-ilmu alam, matematika dan ketuhanan,  sedang ilmu-ilmu praktis dipecah menjadi etika, ekonomi rumah tangga  dan politik—sebagaimana disebutkan sebelumnya.</w:t>
      </w:r>
    </w:p>
    <w:p>
      <w:pPr>
        <w:pStyle w:val="BookText"/>
        <w:bidi w:val="0"/>
        <w:jc w:val="both"/>
        <w:rPr/>
      </w:pPr>
      <w:r>
        <w:rPr>
          <w:rFonts w:eastAsia="Times New Roman" w:cs="Times New Roman" w:ascii="Times New Roman" w:hAnsi="Times New Roman"/>
          <w:color w:val="111111"/>
          <w:sz w:val="28"/>
          <w:szCs w:val="28"/>
          <w:lang w:val="en-US"/>
        </w:rPr>
        <w:t>Setelah menjelaskan pendapatnya tentang kemestian klasifikasi  ilmu, Muhammad Taqi Misbâh Yazdî membahas tolok ukur dan dasar  klasifikasinya. Menurutnya, ilmu dapat diklasifikasi sesuai dengan beragam  standar, di antara yang terpenting adalah sebagai berikut.</w:t>
      </w:r>
    </w:p>
    <w:p>
      <w:pPr>
        <w:pStyle w:val="BookText"/>
        <w:bidi w:val="0"/>
        <w:jc w:val="both"/>
        <w:rPr/>
      </w:pPr>
      <w:r>
        <w:rPr>
          <w:rFonts w:eastAsia="Times New Roman" w:cs="Times New Roman" w:ascii="Times New Roman" w:hAnsi="Times New Roman"/>
          <w:color w:val="111111"/>
          <w:sz w:val="28"/>
          <w:szCs w:val="28"/>
          <w:lang w:val="en-US"/>
        </w:rPr>
        <w:t>Menurut metode dan prosedur penelitian. Sebelumnya telah  dijelaskan bahwa semua soal tidak bisa dikaji dan diteliti dengan satu  metode. Berdasarkan metode umum penyelidikannya, semua ilmu dapat  dipecah menjadi tiga kelompok: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Ilmu-ilmu rasional, yang diselidiki lewat bukti-bukti rasional dan  penyimpulan mental belaka, seperti logika dan filsafat ketuhanan.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Ilmu-ilmu empiris, yang diverifikasi lewat metode-metode empiris,  seperti fisika, kimia dan biologi.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Ilmu-ilmunukilan(narrative sciences), yang ditilik lewat dokumentasi  naratif atau historis, seperti sejarah, biografi (‘ilm al-rijâl) dan fiqh.</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tujuan dan sasaran. Tolok-ukur lain untuk mengelompokkan  ilmu ialah berdasarkan pelbagai manfaat dan akibatnya. Hal inilah tujuan  dan sasaran yang dituju oleh mereka yang hendak mempelajarinya,  semisal tujuan-tujuan material, spiritual, individual, dan sosial dari  ilmu bersangkutan. Jelas bahwa orang yang hendak mencari jalan  penyempurnaan spiritual harus mempelajari berbagai hal yang tidak  dibutuhkan oleh seorang yang ingin menjadi hartawan dengan bertani dan  berindustri. Begitu pula seorang pemimpin masyarakat membutuhkan </w:t>
      </w:r>
    </w:p>
    <w:p>
      <w:pPr>
        <w:pStyle w:val="BookText"/>
        <w:bidi w:val="0"/>
        <w:rPr/>
      </w:pPr>
      <w:r>
        <w:rPr>
          <w:rFonts w:eastAsia="Times New Roman" w:cs="Times New Roman" w:ascii="Times New Roman" w:hAnsi="Times New Roman"/>
          <w:color w:val="111111"/>
          <w:sz w:val="28"/>
          <w:szCs w:val="28"/>
          <w:lang w:val="en-US"/>
        </w:rPr>
        <w:t>jenis pengetahuan yang khusus. Karenanya, ilmu-ilmu manusia juga bisa  diklasifikasi sesuai dengan tujuan-tujuan tersebut.</w:t>
      </w:r>
    </w:p>
    <w:p>
      <w:pPr>
        <w:pStyle w:val="BookText"/>
        <w:bidi w:val="0"/>
        <w:jc w:val="both"/>
        <w:rPr/>
      </w:pPr>
      <w:r>
        <w:rPr>
          <w:rFonts w:eastAsia="Times New Roman" w:cs="Times New Roman" w:ascii="Times New Roman" w:hAnsi="Times New Roman"/>
          <w:color w:val="111111"/>
          <w:sz w:val="28"/>
          <w:szCs w:val="28"/>
          <w:lang w:val="en-US"/>
        </w:rPr>
        <w:t>Menurut pokok soal (subject matter). Mengingat bahwa semua  masalah mempunyai pokok soal dan sejumlah soal bisa dihimpun dalam  satu topik induk, maka topik induk inilah yang berperan sebagai poros  bagi semua masalah yang di bawahnya, seperti angka adalah pokok  masalah aritmatika, volume (kuantitas-kuantitas bersinambung) adalah  pokok masalah geometri dan tubuh manusia adalah pokok masalah ilmu  kedokteran.</w:t>
      </w:r>
    </w:p>
    <w:p>
      <w:pPr>
        <w:pStyle w:val="BookText"/>
        <w:bidi w:val="0"/>
        <w:jc w:val="both"/>
        <w:rPr/>
      </w:pPr>
      <w:r>
        <w:rPr>
          <w:rFonts w:eastAsia="Times New Roman" w:cs="Times New Roman" w:ascii="Times New Roman" w:hAnsi="Times New Roman"/>
          <w:color w:val="111111"/>
          <w:sz w:val="28"/>
          <w:szCs w:val="28"/>
          <w:lang w:val="en-US"/>
        </w:rPr>
        <w:t>Klasifikasi ilmu berdasarkan pokok-pokok masalah kiranya lebih  menjamin tercapainya tujuan pemilahan ilmu, lantaran dengan metode ini  kaitan-kaitan internal dalam tatanan dan susunan mereka tetap terpelihara.</w:t>
      </w:r>
    </w:p>
    <w:p>
      <w:pPr>
        <w:pStyle w:val="BookText"/>
        <w:bidi w:val="0"/>
        <w:jc w:val="both"/>
        <w:rPr/>
      </w:pPr>
      <w:r>
        <w:rPr>
          <w:rFonts w:eastAsia="Times New Roman" w:cs="Times New Roman" w:ascii="Times New Roman" w:hAnsi="Times New Roman"/>
          <w:color w:val="111111"/>
          <w:sz w:val="28"/>
          <w:szCs w:val="28"/>
          <w:lang w:val="en-US"/>
        </w:rPr>
        <w:t>Oleh sebab itu, sejah dahulu para filsuf besar menggunakan metode ini  dalam klasifikasi ilmu. Tetapi, dalam subdivisinya dapat dipertimbangan  metode-metode lain. Umpamanya, seorang bisa menetapkan suatu  ilmu bernama teologi, yang pokok masalahnya berkisat tentang Tuhan  Mahabesar. Kemudian, ilmu ini sendiri dapat disubdivisikan ke dalam  teologi filsufis, gnostis dan religius, yang masing-masingnya dapat  diselidiki dengan prosedur yang khas. Dalam kenyataannya, tolok-ukur  subdivisi ini ialah metode penelitiannya. Dengan cara yang sama, pokok  masalah matematika bisa dibagi menjadi beberapa cabang berdasarkan  tujuan spesifiknya masing-masing, seperti matematika, fisika, dan  matematika ekonomi.</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Muhammad Taqi Misbâh Yazdî menjelaskan tujuan  studi filsafat. Menurutnya, tujuan jangka pendek dan langsung semua  ilmu adalah menyadarkan manusia terhadap pelbagai masalah yang  terungkap dalam ilmu tersebut, serta memuaskan dahaga kodratinya  untuk memahami kebenaran. Pasalnya, salah satu naluri paling mendasar  manusia adalah mencari kebenaran atau keingintahuan yang tidak  terhingga dan tidak terpuaskan. Pemuasan relatif atas naluri ini akan  memenuhi salah satu kebutuhan jiwa. Walaupun tidak semua individu  memilikinya dalam tingkat yang sangat aktif dan penuh gelora, namun </w:t>
      </w:r>
    </w:p>
    <w:p>
      <w:pPr>
        <w:pStyle w:val="BookText"/>
        <w:bidi w:val="0"/>
        <w:rPr/>
      </w:pPr>
      <w:r>
        <w:rPr>
          <w:rFonts w:eastAsia="Times New Roman" w:cs="Times New Roman" w:ascii="Times New Roman" w:hAnsi="Times New Roman"/>
          <w:color w:val="111111"/>
          <w:sz w:val="28"/>
          <w:szCs w:val="28"/>
          <w:lang w:val="en-US"/>
        </w:rPr>
        <w:t xml:space="preserve">naluri ini tidak pernah sepenuhnya lenyap dari diri manusia. </w:t>
      </w:r>
      <w:r>
        <w:rPr>
          <w:rStyle w:val="FootnoteAnchor"/>
        </w:rPr>
        <w:footnoteReference w:id="171"/>
      </w:r>
      <w:r>
        <w:rPr>
          <w:rFonts w:eastAsia="Times New Roman" w:cs="Times New Roman" w:ascii="Times New Roman" w:hAnsi="Times New Roman"/>
          <w:color w:val="111111"/>
          <w:sz w:val="28"/>
          <w:szCs w:val="28"/>
          <w:lang w:val="en-US"/>
        </w:rPr>
        <w:t xml:space="preserve"> Pada galibnya, setiap ilmu mempunyai pelbagai manfaat dan dampak  tidak langsung serta bertindak sebagai medium kehidupan material dan  spiritual manusia. Umpamanya, ilmu-ilmu alam lebih memudahkan  proses pemanfaatan alam dan meningkatkan kesejahteraan fisik manusia,  serta terpaut dengan kehidupan alami dan hewani manusia melalui satu  sarana. Matematika memiliki dua medium untuk mencapai tujuan-tujuan  di atas-kendati dengan cara lain, dapat pula memengaruhi kehidupan  spiritual dan dimensi maknawi manusia. Khususnya, saat matematika  berkelindan dengan isu-isu filsafat, ketuhanan, dan penghayatan gnotis  ('irfâniyyah) hati, serta membeberkan gejala-gejala alam sebagai imbas  keteraturan, keagungan, kebijaksanaan, dan kasih sayang (luthf) ilahi. </w:t>
      </w:r>
      <w:r>
        <w:rPr>
          <w:rStyle w:val="FootnoteAnchor"/>
        </w:rPr>
        <w:footnoteReference w:id="172"/>
      </w:r>
      <w:r>
        <w:rPr>
          <w:rFonts w:eastAsia="Times New Roman" w:cs="Times New Roman" w:ascii="Times New Roman" w:hAnsi="Times New Roman"/>
          <w:color w:val="111111"/>
          <w:sz w:val="28"/>
          <w:szCs w:val="28"/>
          <w:lang w:val="en-US"/>
        </w:rPr>
        <w:t xml:space="preserve"> Hubungan dimensi-dimensi spiritual dan maknawi manusia dengan  ilmu-ilmu filsafat lebih dekat daripada hubungannya dengan ilmu-ilmu  alam. Bahkan, ilmu-ilmu alam berhubungkan dengan dimensi maknawi  manusia melalui perantaraan ilmu-ilmu filsafat. Hubungan tersebut  paling tampak dalam teologi, psikologi filsufis, dan etika. Demikian itu  karena filsafat ketuhanan (teologi) memperkenalkan seseorang kepada  Tuhan, Sang Mahabesar, berikut sifat-sifat keindahan dan keagungan-  Nya, seraya mempersiapkan manusia untuk berhubungan dengan sumber  pengetahuan, kekuasaan, dan keindahan tidak terhingga.</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Psikologi filsufis, menurut Muhammad Taqi Misbâh Yazdî,  memudahkan manusia untuk mengenali ruh berikut sifat-sifat dan  ciri-cirinya serta menggugah kesadaran terhadap substansi (jawhar)  kemanusiaan. Ia memperluas cakrawala seputar hakikat diri manusia,  seraya mengajaknya melampaui alam fisik berdimensi spasio-temporal  (ruang-waktu). Selain pula memasok pemahaman bahwa hidup manusia  tidaklah terbatas dan terkungkung dalam bingkai kehidupan duniawi dan  material yang serba sempit dan gelap. Etika dan akhlak menjabarkan  pola-pola menyucikan dan menghiasi kalbu serta menggapai kebahagiaan </w:t>
      </w:r>
    </w:p>
    <w:p>
      <w:pPr>
        <w:pStyle w:val="BookText"/>
        <w:bidi w:val="0"/>
        <w:rPr/>
      </w:pPr>
      <w:r>
        <w:rPr>
          <w:rFonts w:eastAsia="Times New Roman" w:cs="Times New Roman" w:ascii="Times New Roman" w:hAnsi="Times New Roman"/>
          <w:color w:val="111111"/>
          <w:sz w:val="28"/>
          <w:szCs w:val="28"/>
          <w:lang w:val="en-US"/>
        </w:rPr>
        <w:t xml:space="preserve">abadi dan kesempurnaan puncak. </w:t>
      </w:r>
      <w:r>
        <w:rPr>
          <w:rStyle w:val="FootnoteAnchor"/>
        </w:rPr>
        <w:footnoteReference w:id="173"/>
      </w:r>
      <w:r>
        <w:rPr>
          <w:rFonts w:eastAsia="Times New Roman" w:cs="Times New Roman" w:ascii="Times New Roman" w:hAnsi="Times New Roman"/>
          <w:color w:val="111111"/>
          <w:sz w:val="28"/>
          <w:szCs w:val="28"/>
          <w:lang w:val="en-US"/>
        </w:rPr>
        <w:t xml:space="preserve"> Dalam upaya mencecap semua pengetahuan tidak terhingga itu,  Muhammad Taqi Misbâh Yazdî menyarankan sejumlah masalah dalam  epistemologi dan ontologi mestilah dipecahkan terlebih dahulu. Karena  itu, menurutnya, filsafat pertama merupakan kunci perbendaharaan  tidak terhingga dan tidak tertandingi, yang menjajakan kebahagian dan  keuntungan abadi itu. Itulah akar yang diberkahi dari “pohon yang baik”.</w:t>
      </w:r>
    </w:p>
    <w:p>
      <w:pPr>
        <w:pStyle w:val="BookText"/>
        <w:bidi w:val="0"/>
        <w:jc w:val="both"/>
        <w:rPr/>
      </w:pPr>
      <w:r>
        <w:rPr>
          <w:rFonts w:eastAsia="Times New Roman" w:cs="Times New Roman" w:ascii="Times New Roman" w:hAnsi="Times New Roman"/>
          <w:color w:val="111111"/>
          <w:sz w:val="28"/>
          <w:szCs w:val="28"/>
          <w:lang w:val="en-US"/>
        </w:rPr>
        <w:t xml:space="preserve">Setiap saat ia membuahkan beraneka kebajikan spiritual dan intelektual  serta kesempurnaan spirtual dan Ilahi yang tiada habis-habisnya. Dengan  demikian, ia berperan sangat besar dalam menyiapkan landasan bagi  kesempurnaan dan kememuncakan manusia. </w:t>
      </w:r>
      <w:r>
        <w:rPr>
          <w:rStyle w:val="FootnoteAnchor"/>
        </w:rPr>
        <w:footnoteReference w:id="174"/>
      </w:r>
      <w:r>
        <w:rPr>
          <w:rFonts w:eastAsia="Times New Roman" w:cs="Times New Roman" w:ascii="Times New Roman" w:hAnsi="Times New Roman"/>
          <w:color w:val="111111"/>
          <w:sz w:val="28"/>
          <w:szCs w:val="28"/>
          <w:lang w:val="en-US"/>
        </w:rPr>
        <w:t xml:space="preserve"> Selain itu, filsafat juga membantu manusia menghalau godaan was-  was setan dan menampik gelenyar materialisme dan ateisme; menjaganya  dari penyimpangan berpikir dan ragam jerat yang memerangkap;  melindunginya dengan senjata pamungkas di arena adu gagasan dan  membuatnya mampu membela pandangan-pandangan dan aliran-aliran  yang benar, sekaligus menyerbu dan membidas pandangan-padangan dan  aliran-aliran keliru, palsu, dan tidak sehat. </w:t>
      </w:r>
      <w:r>
        <w:rPr>
          <w:rStyle w:val="FootnoteAnchor"/>
        </w:rPr>
        <w:footnoteReference w:id="175"/>
      </w:r>
      <w:r>
        <w:rPr>
          <w:rFonts w:eastAsia="Times New Roman" w:cs="Times New Roman" w:ascii="Times New Roman" w:hAnsi="Times New Roman"/>
          <w:color w:val="111111"/>
          <w:sz w:val="28"/>
          <w:szCs w:val="28"/>
          <w:lang w:val="en-US"/>
        </w:rPr>
        <w:t>Selain dengan unik berperan  positif dan konstruktif, filsafat juga punya peran tidak tertandingi dalam  hal pertahanan dan serangan. Pengaruhnya sungguh kuat dalam konteks  penyebaran budaya Islam serta penggusuran budaya-budaya lawan.</w:t>
      </w:r>
    </w:p>
    <w:p>
      <w:pPr>
        <w:pStyle w:val="BookText"/>
        <w:bidi w:val="0"/>
        <w:jc w:val="both"/>
        <w:rPr/>
      </w:pPr>
      <w:r>
        <w:rPr>
          <w:rFonts w:eastAsia="Times New Roman" w:cs="Times New Roman" w:ascii="Times New Roman" w:hAnsi="Times New Roman"/>
          <w:color w:val="111111"/>
          <w:sz w:val="28"/>
          <w:szCs w:val="28"/>
          <w:lang w:val="en-US"/>
        </w:rPr>
        <w:t>Dari penjelasannya tentang subjek dan tujuan filsafat, penulis  menyimpulkan bahwa Muhammad Taqî Misbah Yazdî berpandangan  bahwa filsafat yang terutama adalah ontologi, dan yang terutama dalam  ontologi adalah teologi, dan bahwa tujuan ultimumnya adalah pengenalan  terhadap Causa Prima, Tuhan.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penulis, sebagaimana pada kritik atas penentuan Muhammad  Taqi Misbah terhadap subjek dan pengertian filsafat dan subjek ontologi  yang menyisakan tanda tanya, klarifikasinya tentang isytirak lafzhi dan  isytirak ma'nawi kata ‘wujud merupakan indikasi nyata ketidadisiplinan </w:t>
      </w:r>
      <w:bookmarkStart w:id="140" w:name="pg6424_44921"/>
    </w:p>
    <w:p>
      <w:pPr>
        <w:pStyle w:val="BookText"/>
        <w:bidi w:val="0"/>
        <w:rPr/>
      </w:pPr>
      <w:bookmarkEnd w:id="140"/>
      <w:r>
        <w:rPr>
          <w:rFonts w:eastAsia="Times New Roman" w:cs="Times New Roman" w:ascii="Times New Roman" w:hAnsi="Times New Roman"/>
          <w:color w:val="111111"/>
          <w:sz w:val="28"/>
          <w:szCs w:val="28"/>
          <w:lang w:val="en-US"/>
        </w:rPr>
        <w:t>para filsuf hawzah pada khususnya dan para filsuf Muslim pada  umumnya dalam menggunakan terminologi. Sedemikian rancu dan  menimbulkan penafsiran ganda pengertian di balik kata “wujud” sehingga  Muhammad Taqî Misbâh perlu membahas masalah ini secara panjang  lebar. Harus diakui, langkah dan inisiatif ini sangat berguna, namun pada  saat yang sama, ini memberikan kesan bahwa sebagian polemik dalam  literatur filsafat Islam boleh jadi diakibatkan oleh sengketa etimologis  dan hermuentik, bukan filsufis.</w:t>
      </w:r>
    </w:p>
    <w:p>
      <w:pPr>
        <w:pStyle w:val="Heading3"/>
        <w:numPr>
          <w:ilvl w:val="2"/>
          <w:numId w:val="1"/>
        </w:numPr>
        <w:bidi w:val="0"/>
        <w:jc w:val="left"/>
        <w:rPr/>
      </w:pPr>
      <w:bookmarkStart w:id="141" w:name="__RefHeading___Toc688623_653776707"/>
      <w:bookmarkStart w:id="142" w:name="_Toc51"/>
      <w:bookmarkEnd w:id="141"/>
      <w:r>
        <w:rPr/>
        <w:t>C. Klarifikasi tentang Homonimitas dalam Pembahasan Filsafat</w:t>
      </w:r>
      <w:bookmarkEnd w:id="142"/>
    </w:p>
    <w:p>
      <w:pPr>
        <w:pStyle w:val="BookText"/>
        <w:bidi w:val="0"/>
        <w:jc w:val="both"/>
        <w:rPr/>
      </w:pPr>
      <w:r>
        <w:rPr>
          <w:rFonts w:eastAsia="Times New Roman" w:cs="Times New Roman" w:ascii="Times New Roman" w:hAnsi="Times New Roman"/>
          <w:color w:val="111111"/>
          <w:sz w:val="28"/>
          <w:szCs w:val="28"/>
          <w:lang w:val="en-US"/>
        </w:rPr>
        <w:t>Karena menyadari adanya kerancuan istilah dan pengertiannya dalam  pembahasan tema-tema filsafat, Muhammad Taqi Misbâh Yazdî merasa  perlu memulai membahas dan mengkarifikasi (al-isytirak al-lafdhi),  dengan harapan agar perbedaan-perbedaan dalam makna dan makna-  makna teknis suatu kata dalam pembahasan filsafat dapat ditangkap  dengan benar dan tidak mengalami distorsi. Menurutnya, dalam semua  bahasa (sejauh yang saya ketahui), terdapat kosakata yang mempunyai  makna harfiah yang umum diterima masyarakat dan makna teknis. Hal  inilah yang disebut dengan homonimitas (kesekataan), bill sljüy!  | isytirâk al-lafzhy. Sebagai misal, dalam bahasa Persia, kata dûsy  mempunyai arti ‘tadi malam”, “pundak' dan ‘mandi', dan kata syîr (dalam  bhasa Persia) dipakai untuk menunjuk ‘singa', 'susu' dan ‘kran'.</w:t>
      </w:r>
    </w:p>
    <w:p>
      <w:pPr>
        <w:pStyle w:val="BookText"/>
        <w:bidi w:val="0"/>
        <w:jc w:val="both"/>
        <w:rPr/>
      </w:pPr>
      <w:r>
        <w:rPr>
          <w:rFonts w:eastAsia="Times New Roman" w:cs="Times New Roman" w:ascii="Times New Roman" w:hAnsi="Times New Roman"/>
          <w:color w:val="111111"/>
          <w:sz w:val="28"/>
          <w:szCs w:val="28"/>
          <w:lang w:val="en-US"/>
        </w:rPr>
        <w:t>Keberadaan homonimitas berperan penting dalam sastra dan sajak.</w:t>
      </w:r>
    </w:p>
    <w:p>
      <w:pPr>
        <w:pStyle w:val="BookText"/>
        <w:bidi w:val="0"/>
        <w:jc w:val="both"/>
        <w:rPr/>
      </w:pPr>
      <w:r>
        <w:rPr>
          <w:rFonts w:eastAsia="Times New Roman" w:cs="Times New Roman" w:ascii="Times New Roman" w:hAnsi="Times New Roman"/>
          <w:color w:val="111111"/>
          <w:sz w:val="28"/>
          <w:szCs w:val="28"/>
          <w:lang w:val="en-US"/>
        </w:rPr>
        <w:t>Tetapi, dalam ilmu pengetahuan, utamanya dalam filsafat, ia melahirkan  berbagai kesulitan. Khususnya apabila makna-makna yang berbeda itu  sangat dekat satu sama lain hingga membedakannya menjadi pelik.</w:t>
      </w:r>
    </w:p>
    <w:p>
      <w:pPr>
        <w:pStyle w:val="BookText"/>
        <w:bidi w:val="0"/>
        <w:jc w:val="both"/>
        <w:rPr/>
      </w:pPr>
      <w:r>
        <w:rPr>
          <w:rFonts w:eastAsia="Times New Roman" w:cs="Times New Roman" w:ascii="Times New Roman" w:hAnsi="Times New Roman"/>
          <w:color w:val="111111"/>
          <w:sz w:val="28"/>
          <w:szCs w:val="28"/>
          <w:lang w:val="en-US"/>
        </w:rPr>
        <w:t>Banyak kekeliruan (kesalahan) timbul akibat homonimitas seperti ini,  dan adakalanya para pakar pun terjebak dalam perangkapnya.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itu, beberapa filsuf besar, seperti Ibn Sina, harus  menjernihkan makna pelbagai istilah dan nuansa-nuansa perbedaan </w:t>
      </w:r>
    </w:p>
    <w:p>
      <w:pPr>
        <w:pStyle w:val="BookText"/>
        <w:bidi w:val="0"/>
        <w:rPr/>
      </w:pPr>
      <w:r>
        <w:rPr>
          <w:rFonts w:eastAsia="Times New Roman" w:cs="Times New Roman" w:ascii="Times New Roman" w:hAnsi="Times New Roman"/>
          <w:color w:val="111111"/>
          <w:sz w:val="28"/>
          <w:szCs w:val="28"/>
          <w:lang w:val="en-US"/>
        </w:rPr>
        <w:t>antara satu makna teknis dan makna teknis lainnya sebelum memulai  perbincangan filsafat yang tepat, supaya kebingungan dan kekeliruan  dapat dielakkan. Ia mengilustrasikan makna ambigu dari kata jabr yang  kerap melahirkan banyak kesalahpahaman, yaitu istilah</w:t>
      </w:r>
      <w:r>
        <w:rPr>
          <w:rFonts w:ascii="IRNazanin" w:hAnsi="IRNazanin" w:eastAsia="IRNazanin"/>
          <w:color w:val="111111"/>
          <w:sz w:val="28"/>
          <w:sz w:val="28"/>
          <w:szCs w:val="28"/>
          <w:rtl w:val="true"/>
          <w:lang w:bidi="fa-IR"/>
        </w:rPr>
        <w:t>جبر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jabr. Makna  harfiah jabr adalah menutupi atau membuang kekurangan. Selanjutnya,  kata ini dipakai dalam artian “membalut tulang patah”. Mungkin ia  mengambil makna kedua itu karena membalut luka adalah cara menutupi  kekurangan. Boleh jadi, kata ini mula-mula dipakai untuk membalut  luka kemudian dirampatkan (generalized) untuk semua tindakan  menutupi semua jenis kekurangan atau kecacatan. Makna ketiga kata  ini adalah memaksa atau menekan seseorang. Mungkin ia mengambil  makna ini akibat perampatan (generalization) atas kemestian tindak  membalut tulang patah. Yakni, karena membalut tulang patah biasanya  mengharuskan bagian yang patah untuk ditekan agar bisa benar-benar  rapat, perampatan ini lantas mencakup semua tindakan orang untuk  menekan pihak lain secara paksa. Mungkin saja mula-mula kata ini  dikapai cuma untuk tekanan fisik lalu tekanan mental, dan akhirnya  konsep ini direnggangkan hingga mencakup semua jenis perasaan  tertekan, sekalipun tidak diakibatkan oleh pihak lain.</w:t>
      </w:r>
    </w:p>
    <w:p>
      <w:pPr>
        <w:pStyle w:val="BookText"/>
        <w:bidi w:val="0"/>
        <w:jc w:val="both"/>
        <w:rPr/>
      </w:pPr>
      <w:r>
        <w:rPr>
          <w:rFonts w:eastAsia="Times New Roman" w:cs="Times New Roman" w:ascii="Times New Roman" w:hAnsi="Times New Roman"/>
          <w:color w:val="111111"/>
          <w:sz w:val="28"/>
          <w:szCs w:val="28"/>
          <w:lang w:val="en-US"/>
        </w:rPr>
        <w:t>Sedangkan salah satu makna ilmiah jabr dipakai dalam matematika  dalam arti kalkulasi yang menggunakan tanda-tanda atau huruf-huruf  untuk menggambarkan atau mewakili angka-angka (aljabar). Boleh jadi  makna ini dipakai karena dalam kalkulasi-kalkulasi aljabar kuantitas  positif dan negatif saling menutupi (mengkompensasi) atau karena  kuantitas yang tidak diketahui pada satu sisi persamaan menjadi diketahui  dengan melihat pada sisi lain atau dengan mengalihkannya ke sisi lain,  dan kesemuanya itu membawa makna harfiah jabr.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 teknis lainnya terkait dengan psikologi, dan dipakai sebagai  lawan dari kehendak-bebas. Serupa dengan makna itu adalah masalah  ‘kehendak-bebas dan determinisme yang dikaji dalam teologi. Istilah ini  juga dipakai dalam etika, hukum dan fikih. Penjelasan masing-masingnya  akan terlalu panjang. </w:t>
      </w:r>
    </w:p>
    <w:p>
      <w:pPr>
        <w:pStyle w:val="BookText"/>
        <w:bidi w:val="0"/>
        <w:rPr/>
      </w:pPr>
      <w:r>
        <w:rPr>
          <w:rFonts w:eastAsia="Times New Roman" w:cs="Times New Roman" w:ascii="Times New Roman" w:hAnsi="Times New Roman"/>
          <w:color w:val="111111"/>
          <w:sz w:val="28"/>
          <w:szCs w:val="28"/>
          <w:lang w:val="en-US"/>
        </w:rPr>
        <w:t xml:space="preserve">Sejak masa lampau konsep jabr (sebagai lawan kehendak-bebas)  dikacaukan dengan kepastian, keniscayaan dan keniscayaan filsufis  ( </w:t>
      </w:r>
      <w:r>
        <w:rPr>
          <w:rFonts w:ascii="IRNazanin" w:hAnsi="IRNazanin" w:eastAsia="IRNazanin"/>
          <w:color w:val="111111"/>
          <w:sz w:val="28"/>
          <w:sz w:val="28"/>
          <w:szCs w:val="28"/>
          <w:rtl w:val="true"/>
          <w:lang w:bidi="fa-IR"/>
        </w:rPr>
        <w:t>الوجوب الفلسفی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al-wujûb al-falsafy). Dalam kenyataannya, istilah jabr  telah dirancukan dengan kepastian dan keniscayaan, dan “determinisme”  sering dianggap sebagai padanannya dalam bahasa-bahasa asing (non-  Arab dan Persia). Juntrungnya, terciptalah waham bahwa setiap kali  ada keniscayaan (hubungan) sebab-akibat, kehendak-bebas tiada.</w:t>
      </w:r>
    </w:p>
    <w:p>
      <w:pPr>
        <w:pStyle w:val="BookText"/>
        <w:bidi w:val="0"/>
        <w:jc w:val="both"/>
        <w:rPr/>
      </w:pPr>
      <w:r>
        <w:rPr>
          <w:rFonts w:eastAsia="Times New Roman" w:cs="Times New Roman" w:ascii="Times New Roman" w:hAnsi="Times New Roman"/>
          <w:color w:val="111111"/>
          <w:sz w:val="28"/>
          <w:szCs w:val="28"/>
          <w:lang w:val="en-US"/>
        </w:rPr>
        <w:t>Sebaliknya juga demikian: pengingkaran kepastian dan keniscayaan  berarti peneguhan kehendak-bebas.</w:t>
      </w:r>
    </w:p>
    <w:p>
      <w:pPr>
        <w:pStyle w:val="BookText"/>
        <w:bidi w:val="0"/>
        <w:jc w:val="both"/>
        <w:rPr/>
      </w:pPr>
      <w:r>
        <w:rPr>
          <w:rFonts w:eastAsia="Times New Roman" w:cs="Times New Roman" w:ascii="Times New Roman" w:hAnsi="Times New Roman"/>
          <w:color w:val="111111"/>
          <w:sz w:val="28"/>
          <w:szCs w:val="28"/>
          <w:lang w:val="en-US"/>
        </w:rPr>
        <w:t>Dampak waham ini kentara sekali dalam beberapa masalah filsafat.</w:t>
      </w:r>
    </w:p>
    <w:p>
      <w:pPr>
        <w:pStyle w:val="BookText"/>
        <w:bidi w:val="0"/>
        <w:jc w:val="both"/>
        <w:rPr/>
      </w:pPr>
      <w:r>
        <w:rPr>
          <w:rFonts w:eastAsia="Times New Roman" w:cs="Times New Roman" w:ascii="Times New Roman" w:hAnsi="Times New Roman"/>
          <w:color w:val="111111"/>
          <w:sz w:val="28"/>
          <w:szCs w:val="28"/>
          <w:lang w:val="en-US"/>
        </w:rPr>
        <w:t>Umpamanya, para teolog terdahulumenyangkalkeniscayaankausal dalam  kaitan dengan pelaku-pelaku berswakarsa ( liso mukhtâr). Buntutnya,  mereka menuduh para filsuf tidak meyakini Tuhan yang Mahasuci  bersifat swakarsa. Pada sisi lain, para determinis (jabriyyûn) meyakini  adanya nasib tertentu sebagai dalil pendapat mereka. Di seberangannya,  kaum Mu'tazilah yang meyakini kehendak-bebas mengingkari adanya  nasib atau takdir pasti. Padahal, jabr sama sekali tidak tersambit dengan  soal kepastian takdir atau nasib. Semua gegap-gempita yang bersejarah  panjang ini sebenarnya diakibatkan oleh tumpang-tindih antara konsep  jabr dan keniscayaan.</w:t>
      </w:r>
    </w:p>
    <w:p>
      <w:pPr>
        <w:pStyle w:val="BookText"/>
        <w:bidi w:val="0"/>
        <w:jc w:val="both"/>
        <w:rPr/>
      </w:pPr>
      <w:r>
        <w:rPr>
          <w:rFonts w:eastAsia="Times New Roman" w:cs="Times New Roman" w:ascii="Times New Roman" w:hAnsi="Times New Roman"/>
          <w:color w:val="111111"/>
          <w:sz w:val="28"/>
          <w:szCs w:val="28"/>
          <w:lang w:val="en-US"/>
        </w:rPr>
        <w:t xml:space="preserve">Walhasil, munculnya homonimitas, khususnya bilamana makna-  maknanya saling berdekatan atau bermiripan, telah membawa pelbagai  masalah dalam pembahasan-pembahasan filsafat. Kepelikan-kepelikan  ini berlipat-ganda manakala dalam satu ilmu terdapat satu istilah yang  mempunya banyak makna teknis, seperti istilah “intelek' ( </w:t>
      </w:r>
      <w:r>
        <w:rPr>
          <w:rFonts w:ascii="IRNazanin" w:hAnsi="IRNazanin" w:eastAsia="IRNazanin"/>
          <w:color w:val="111111"/>
          <w:sz w:val="28"/>
          <w:sz w:val="28"/>
          <w:szCs w:val="28"/>
          <w:rtl w:val="true"/>
          <w:lang w:bidi="fa-IR"/>
        </w:rPr>
        <w:t>عقل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laql)  dalam filsafat dan istilah “esensial (</w:t>
      </w:r>
      <w:r>
        <w:rPr>
          <w:rFonts w:ascii="IRNazanin" w:hAnsi="IRNazanin" w:eastAsia="IRNazanin"/>
          <w:color w:val="111111"/>
          <w:sz w:val="28"/>
          <w:sz w:val="28"/>
          <w:szCs w:val="28"/>
          <w:rtl w:val="true"/>
          <w:lang w:bidi="fa-IR"/>
        </w:rPr>
        <w:t>ذاتی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dzâty) dan “aksidental (</w:t>
      </w:r>
      <w:r>
        <w:rPr>
          <w:rFonts w:ascii="IRNazanin" w:hAnsi="IRNazanin" w:eastAsia="IRNazanin"/>
          <w:color w:val="111111"/>
          <w:sz w:val="28"/>
          <w:sz w:val="28"/>
          <w:szCs w:val="28"/>
          <w:rtl w:val="true"/>
          <w:lang w:bidi="fa-IR"/>
        </w:rPr>
        <w:t>عرضی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ardhy) dalam logika. Oleh sebab itu, jelas sekali kita mesti menjabarkan  aneka-rupa makna dan menentukan makna yang dituju dalam masing-  masing pembahasan.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penulis, klarifikasi Muhammad Taqi Misbâh Yazdî ini  mengantisipasi kerancuan yang dikhawatirkan menghinggapi para  peneliti filsafat Hawzah ‘Ilmiyah saat memasuki pembahasan wujud </w:t>
      </w:r>
    </w:p>
    <w:p>
      <w:pPr>
        <w:pStyle w:val="BookText"/>
        <w:bidi w:val="0"/>
        <w:rPr/>
      </w:pPr>
      <w:r>
        <w:rPr>
          <w:rFonts w:eastAsia="Times New Roman" w:cs="Times New Roman" w:ascii="Times New Roman" w:hAnsi="Times New Roman"/>
          <w:color w:val="111111"/>
          <w:sz w:val="28"/>
          <w:szCs w:val="28"/>
          <w:lang w:val="en-US"/>
        </w:rPr>
        <w:t>dan maujud. Salah satu persoalan yang rentan disalahpahami adalah  kata wujud. Lebih-lebih ketika Mullâ Sadrâ membagi pengertian wujud  ke dalam wujud kopulatif (wujud rabthi) dan wujud predikatif (wujud  hamli).</w:t>
      </w:r>
    </w:p>
    <w:p>
      <w:pPr>
        <w:pStyle w:val="BookText"/>
        <w:bidi w:val="0"/>
        <w:jc w:val="both"/>
        <w:rPr/>
      </w:pPr>
      <w:r>
        <w:rPr>
          <w:rFonts w:eastAsia="Times New Roman" w:cs="Times New Roman" w:ascii="Times New Roman" w:hAnsi="Times New Roman"/>
          <w:color w:val="111111"/>
          <w:sz w:val="28"/>
          <w:szCs w:val="28"/>
          <w:lang w:val="en-US"/>
        </w:rPr>
        <w:t>Selain mempunyai dua konsep substantif dan bebas (subjek dan  predikat), proposisi-proposisi logika juga mempunyai konsep lain yang  menunjukkan hubungan di antara keduanya. Dalam bahasa Indonesia,  konsep penghubung itu disimbolkan secara verbal dengan adalah atau ast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dalam bahasa Persia atau is dalam bahasa Inggris. Tetapi, bahasa  Arab tidak mempunyai padanan untuk konsep penghubung seperti itu,  melainkan susunan-susunan kalimatnya yang menunjukkan hubungan  tersebut (dengan ciri khas hukum gramatik yang berlaku atas kata yang  berposisi sebagai mubtada' (subjek) bila terbentuk mu'arraf dan sebagai  khabar bila terbentuk munakkar sviso dan ). Konsep itu mirip dengan  konsep verbal, seperti konsep-konsep yang menggunakan preposisi  yang tidak bisa dipahami secara independen, melainkan mesti dipahami  melalui konteks kalimat. Para ahli logika menyebut makna verbal ini  dengan ‘wujud relasional (</w:t>
      </w:r>
      <w:r>
        <w:rPr>
          <w:rFonts w:ascii="IRNazanin" w:hAnsi="IRNazanin" w:eastAsia="IRNazanin"/>
          <w:color w:val="111111"/>
          <w:sz w:val="28"/>
          <w:sz w:val="28"/>
          <w:szCs w:val="28"/>
          <w:rtl w:val="true"/>
          <w:lang w:bidi="fa-IR"/>
        </w:rPr>
        <w:t>وجود رابط</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atau,</w:t>
      </w:r>
      <w:r>
        <w:rPr>
          <w:rFonts w:ascii="IRNazanin" w:hAnsi="IRNazanin" w:eastAsia="IRNazanin"/>
          <w:color w:val="111111"/>
          <w:sz w:val="28"/>
          <w:sz w:val="28"/>
          <w:szCs w:val="28"/>
          <w:rtl w:val="true"/>
          <w:lang w:bidi="fa-IR"/>
        </w:rPr>
        <w:t>وجود ربطی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Makna “wujud”  ini dilawankan dengan makna substantifnya yang dapat dijadikan  sebagai predikat bagi subjek faktual, dan karenanya dinamakan ‘wujud  predikatif' (</w:t>
      </w:r>
      <w:r>
        <w:rPr>
          <w:rFonts w:ascii="IRNazanin" w:hAnsi="IRNazanin" w:eastAsia="IRNazanin"/>
          <w:color w:val="111111"/>
          <w:sz w:val="28"/>
          <w:sz w:val="28"/>
          <w:szCs w:val="28"/>
          <w:rtl w:val="true"/>
          <w:lang w:bidi="fa-IR"/>
        </w:rPr>
        <w:t>وجود حملی</w:t>
      </w:r>
      <w:r>
        <w:rPr>
          <w:rFonts w:eastAsia="IRNazanin" w:cs="IRNazanin"/>
          <w:color w:val="111111"/>
          <w:sz w:val="28"/>
          <w:szCs w:val="28"/>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al-Asfâr al-Arba'ah, Mullâ Sadrâ menegaskan bahwa  penggunaan kata "wujud” pada makna kopulatif itu merupakan istilah  khas yang berbeda dengan makna umumnya yang substantif dan  independen. Karena itu, penggunaan kata wujud untuk dua makna dan  . pengertian berbeda ini mestilah dilihat sebagai ekuivokasi (</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Meski berusaha untuk memberikan justifikasi atas penggunaan yang  terkesan serampangan ini, Muhammad Taqi Misbâh Yazdî terlihat sangat  kecewa dengan ketidakdisiplinan sebagian filsuf Muslim, yang ceroboh  menyangka bahwa konsep wujud berlaku secara univokal. Sebagian lain  bahkan mencoba mengisbatkan (mengafirmasi) wujud nyata (entified  existence, wujud ‘aini) dalam konsep relasional itu. Muhammad Taqî </w:t>
      </w:r>
    </w:p>
    <w:p>
      <w:pPr>
        <w:pStyle w:val="BookText"/>
        <w:bidi w:val="0"/>
        <w:rPr/>
      </w:pPr>
      <w:r>
        <w:rPr>
          <w:rFonts w:eastAsia="Times New Roman" w:cs="Times New Roman" w:ascii="Times New Roman" w:hAnsi="Times New Roman"/>
          <w:color w:val="111111"/>
          <w:sz w:val="28"/>
          <w:szCs w:val="28"/>
          <w:lang w:val="en-US"/>
        </w:rPr>
        <w:t>Misbâh Yazdî mencontohkan kerancuan itu saat para filsuf menggunakan  contoh sebagai berikut: Saat kita berkata, misalnya, “Ali adalah orang  yang berilmu”, maka kata Ali, misalnya, menunjukkan orang tertentu  dan berilmu menunjukkan keberadaan ilmu eksternal, sedangkan konsep  hubungan yang diisyaratkan dengan adalah dalam perkataan tersebut  merujuk pada hubungan objektif antara ilmu dan Ali. Dengan demikian,  dalam konteks eksternal terdapat juga apa yang disebut dengan wujud  relasional tersebut.</w:t>
      </w:r>
    </w:p>
    <w:p>
      <w:pPr>
        <w:pStyle w:val="BookText"/>
        <w:bidi w:val="0"/>
        <w:jc w:val="both"/>
        <w:rPr/>
      </w:pPr>
      <w:r>
        <w:rPr>
          <w:rFonts w:eastAsia="Times New Roman" w:cs="Times New Roman" w:ascii="Times New Roman" w:hAnsi="Times New Roman"/>
          <w:color w:val="111111"/>
          <w:sz w:val="28"/>
          <w:szCs w:val="28"/>
          <w:lang w:val="en-US"/>
        </w:rPr>
        <w:t>Menurutnya, kerancuan dan pencampura-adukan ini terjadi karena  ketidakmampuan mereka membedakan konsep-konsep dan prinsip-  prinsip logika dengan konsep-konsep dan prinsip-prinsip filsafat  (ontolog). Akibatnya, prinsip-prinsip logika yang hanya mengatur  proposisi diperluas hingga mencakup (prinsip-prinsip yang mengatur)  instanta-instanta objektf. Atas dasar itu, kalangan ini mengingkari adanya  hubungan dalam proposisi sederhana (yaitu dalam pernyataan “X adalah  maujud”), lantaran orang tidak bisa membayangkan hubungan sesuatu  dengan dirinya sendiri.</w:t>
      </w:r>
    </w:p>
    <w:p>
      <w:pPr>
        <w:pStyle w:val="BookText"/>
        <w:bidi w:val="0"/>
        <w:jc w:val="both"/>
        <w:rPr/>
      </w:pPr>
      <w:r>
        <w:rPr>
          <w:rFonts w:eastAsia="Times New Roman" w:cs="Times New Roman" w:ascii="Times New Roman" w:hAnsi="Times New Roman"/>
          <w:color w:val="111111"/>
          <w:sz w:val="28"/>
          <w:szCs w:val="28"/>
          <w:lang w:val="en-US"/>
        </w:rPr>
        <w:t>Akan tetapi, hubungan dalam proposisi yang merujuk pada sesuatu  yang sederhana tidak meniscayakan wujud objektif hubungan itu  dalam instanta (aktual-individualnya), malahan mustahil menganggap  hubungan semacam itu sebagai sesuatu yang terjelmakan secara  objektif. Sebenarnya dapat dikatakan bahwa hubungan dalam ‘proposisi  sederhana' (yaitu proposisi eksistensial yang menyatakan wujud sesuatu)  merupakan tanda kemanunggalan instanta (aktual-individual) subjek  dengan instanta predikatnya (yaitu perwujudan luarnya). Adapun dalam  ‘proposisi-proposisi kompleks' (yang tidak menyatakan wujud subjek),  hubungan semacam itu menandakan kesatuan objektif subjek dan  predikat.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implisit Muhammad TaqîMisbâh Yazdîmenyesalkan intervensi  Mullâ Sadrâ yang terkesan ‘asal comot' terminologi yang sudah mapan  dalam bidang lain, yaitu logika, untuk digunakan dalam pembahasan  ontologi. Menurutnya, mestinya bahasan-bahasan filsafat (ontologi, </w:t>
      </w:r>
      <w:bookmarkStart w:id="143" w:name="pg6424_44935"/>
    </w:p>
    <w:p>
      <w:pPr>
        <w:pStyle w:val="BookText"/>
        <w:bidi w:val="0"/>
        <w:rPr/>
      </w:pPr>
      <w:bookmarkEnd w:id="143"/>
      <w:r>
        <w:rPr>
          <w:rFonts w:eastAsia="Times New Roman" w:cs="Times New Roman" w:ascii="Times New Roman" w:hAnsi="Times New Roman"/>
          <w:color w:val="111111"/>
          <w:sz w:val="28"/>
          <w:szCs w:val="28"/>
          <w:lang w:val="en-US"/>
        </w:rPr>
        <w:t xml:space="preserve">maksudnya) tidak mengandalkan otak-atik bahasa. Ia menjelaskan bahwa  mestinya aturan-aturan gramatika dan linguistika tidak dijadikan sebagai  landasan pemecahan tema-tema filsafat. Diperlukan kewaspadaan agar  tidak terjebak pada ciri-ciri kata untuk mengetahui konsep-konsep secara  tepat dan agar ciri-ciri konsep tidak merancukan pengetahuan tentang  prinsip-prinsip segenap maujud yang menjelma (entified existents). </w:t>
      </w:r>
      <w:r>
        <w:rPr>
          <w:rStyle w:val="FootnoteAnchor"/>
        </w:rPr>
        <w:footnoteReference w:id="176"/>
      </w:r>
      <w:r>
        <w:rPr>
          <w:rFonts w:eastAsia="Times New Roman" w:cs="Times New Roman" w:ascii="Times New Roman" w:hAnsi="Times New Roman"/>
          <w:color w:val="111111"/>
          <w:sz w:val="28"/>
          <w:szCs w:val="28"/>
          <w:lang w:val="en-US"/>
        </w:rPr>
        <w:t xml:space="preserve"> Menurut penulis, penolakan Muhammad Taqi Misbâh Yazdî diatas  lebih disebabkan oleh banyaknya kompilasi dan elaborasi yang terkesan  "serampangan”. Penolakannya terhadap penggunaan argumentasi logika  dalam bidang filsafat juga disadarkan pada kekhawatiran munculnya  kesalahpahaman sebagai akibat dari ketidakcermatan membedakan  konteks satu kata yang digunakan dengan dua pengertian berbeda.</w:t>
      </w:r>
    </w:p>
    <w:p>
      <w:pPr>
        <w:pStyle w:val="BookText"/>
        <w:bidi w:val="0"/>
        <w:jc w:val="both"/>
        <w:rPr/>
      </w:pPr>
      <w:r>
        <w:rPr>
          <w:rFonts w:eastAsia="Times New Roman" w:cs="Times New Roman" w:ascii="Times New Roman" w:hAnsi="Times New Roman"/>
          <w:color w:val="111111"/>
          <w:sz w:val="28"/>
          <w:szCs w:val="28"/>
          <w:lang w:val="en-US"/>
        </w:rPr>
        <w:t>Namun, semestinya penolakan Muhammad Taqi Misbâh Yazdî diatas  tidak bersifat permanen karena hal itu malah menunjukkan bahwa  filsafat, yang diyakininya sebagai induk ilmu, adalah sebuah bidang ilmu  yang tidak melampaui dan meliputi bidang ilmu lain.</w:t>
      </w:r>
    </w:p>
    <w:p>
      <w:pPr>
        <w:pStyle w:val="Heading3"/>
        <w:numPr>
          <w:ilvl w:val="2"/>
          <w:numId w:val="1"/>
        </w:numPr>
        <w:bidi w:val="0"/>
        <w:jc w:val="left"/>
        <w:rPr/>
      </w:pPr>
      <w:bookmarkStart w:id="144" w:name="__RefHeading___Toc688625_653776707"/>
      <w:bookmarkStart w:id="145" w:name="_Toc52"/>
      <w:bookmarkEnd w:id="144"/>
      <w:r>
        <w:rPr/>
        <w:t>D. Klarifikasi seputar Konsep-konsep Universal</w:t>
      </w:r>
      <w:bookmarkEnd w:id="145"/>
    </w:p>
    <w:p>
      <w:pPr>
        <w:pStyle w:val="BookText"/>
        <w:bidi w:val="0"/>
        <w:jc w:val="both"/>
        <w:rPr/>
      </w:pPr>
      <w:r>
        <w:rPr>
          <w:rFonts w:eastAsia="Times New Roman" w:cs="Times New Roman" w:ascii="Times New Roman" w:hAnsi="Times New Roman"/>
          <w:color w:val="111111"/>
          <w:sz w:val="28"/>
          <w:szCs w:val="28"/>
          <w:lang w:val="en-US"/>
        </w:rPr>
        <w:t>Salah satu temuan Muhammad Taqî Misbâh Yazdî adalah usahanya  untuk memperjelas posisi universalia (al-amafahim al-kulliyyah) sebagai  bekal bagi setiap pengkaji filsafat sebelum memasuki bidang-bidangnya.</w:t>
      </w:r>
    </w:p>
    <w:p>
      <w:pPr>
        <w:pStyle w:val="BookText"/>
        <w:bidi w:val="0"/>
        <w:jc w:val="both"/>
        <w:rPr/>
      </w:pPr>
      <w:r>
        <w:rPr>
          <w:rFonts w:eastAsia="Times New Roman" w:cs="Times New Roman" w:ascii="Times New Roman" w:hAnsi="Times New Roman"/>
          <w:color w:val="111111"/>
          <w:sz w:val="28"/>
          <w:szCs w:val="28"/>
          <w:lang w:val="en-US"/>
        </w:rPr>
        <w:t>Ia mengklasifikasinya secara umum dalam dua kategori: Pertama,  universalia, yaitu pengetahuan hushûlî yang tidak akan berubah meski  objeknya mengalami perubahan. Gambar atau konsep rumah’, misalnya,  dalam diri dan benak arsitek atau tukang bangunan saat membangunnya,  tidak akan pernah berubah meski realitas dan objek rumahnya berubah  atau bahkan hancur.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partikularia, yaitu pengetahuan hushûlî yang berubah  karena 'objek yang diketahui’-nya mengalami perubahan. Contohnya,  pengetahuan saya melalui indra mata tentang ‘gerak Agus' ketika sedang </w:t>
      </w:r>
    </w:p>
    <w:p>
      <w:pPr>
        <w:pStyle w:val="BookText"/>
        <w:bidi w:val="0"/>
        <w:rPr/>
      </w:pPr>
      <w:r>
        <w:rPr>
          <w:rFonts w:eastAsia="Times New Roman" w:cs="Times New Roman" w:ascii="Times New Roman" w:hAnsi="Times New Roman"/>
          <w:color w:val="111111"/>
          <w:sz w:val="28"/>
          <w:szCs w:val="28"/>
          <w:lang w:val="en-US"/>
        </w:rPr>
        <w:t>bergerak. Bila Agus tidak lagi bergerak, maka pengetahuan saya (tentang  gerak Agus saat bergerak) akan berubah. Contoh lain, konsep tentang  “Socrates” yang hanya berlaku terhadap sosok objektif tertentu yang  pernah hidup di Yunani dan menjadi guru Plato.</w:t>
      </w:r>
      <w:r>
        <w:rPr>
          <w:rStyle w:val="FootnoteAnchor"/>
        </w:rPr>
        <w:footnoteReference w:id="177"/>
      </w:r>
      <w:r>
        <w:rPr>
          <w:rFonts w:eastAsia="Times New Roman" w:cs="Times New Roman" w:ascii="Times New Roman" w:hAnsi="Times New Roman"/>
          <w:color w:val="111111"/>
          <w:sz w:val="28"/>
          <w:szCs w:val="28"/>
          <w:lang w:val="en-US"/>
        </w:rPr>
        <w:t xml:space="preserve"> Selanjutnya, berdasarkan sumber kemunculannya, partikularia  terbagi dalam tiga jenis: Pertama, partikularia parsial sensual (juz'iyyah  hissiyyah), yaitu konsep parsial yang muncul akibat pengindraan langsung  dengan objeknya yang ada di sekelilingnya, seperti konsep atau gambar  telapak tangan kiri yang tengah disaksikan dengan kasat mata atau diraba  dengan tangan kanan.</w:t>
      </w:r>
    </w:p>
    <w:p>
      <w:pPr>
        <w:pStyle w:val="BookText"/>
        <w:bidi w:val="0"/>
        <w:jc w:val="both"/>
        <w:rPr/>
      </w:pPr>
      <w:r>
        <w:rPr>
          <w:rFonts w:eastAsia="Times New Roman" w:cs="Times New Roman" w:ascii="Times New Roman" w:hAnsi="Times New Roman"/>
          <w:color w:val="111111"/>
          <w:sz w:val="28"/>
          <w:szCs w:val="28"/>
          <w:lang w:val="en-US"/>
        </w:rPr>
        <w:t>Kedua, partikularia imajinatif (juz'iyyah khayâliyyah), yaitu konsep  parsial yang muncul akibat mengingat dan membayangkan (imagine) suatu  objek yang telah diindra, seperti gambar atau konsep telapak tangan kiri  tadi saat kita merogoh kocek. Parsial imajinatif dalam terminologi David  Hume disebut “idea”, sedangkan parsial sensual disebut “impresi”.</w:t>
      </w:r>
    </w:p>
    <w:p>
      <w:pPr>
        <w:pStyle w:val="BookText"/>
        <w:bidi w:val="0"/>
        <w:jc w:val="both"/>
        <w:rPr/>
      </w:pPr>
      <w:r>
        <w:rPr>
          <w:rFonts w:eastAsia="Times New Roman" w:cs="Times New Roman" w:ascii="Times New Roman" w:hAnsi="Times New Roman"/>
          <w:color w:val="111111"/>
          <w:sz w:val="28"/>
          <w:szCs w:val="28"/>
          <w:lang w:val="en-US"/>
        </w:rPr>
        <w:t>Ketiga, partikularia intuitif, yaitu konsep parsial yang muncul dari  kondisi-kondisi emosional dan perasaaan psikologis, seperti konsep  tentang cinta, benci, jengkel, malu, dan lain-lain. Sebagian pakar  memaknai partikularia intuitif sebagai perasaan psikologis itu sendiri.</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Namun, akan lebih tepat jika makna-makna itu digolongkan dalam  pengetahuan hudhûrî.</w:t>
      </w:r>
      <w:r>
        <w:rPr>
          <w:rStyle w:val="FootnoteAnchor"/>
        </w:rPr>
        <w:footnoteReference w:id="178"/>
      </w:r>
      <w:r>
        <w:rPr>
          <w:rFonts w:eastAsia="Times New Roman" w:cs="Times New Roman" w:ascii="Times New Roman" w:hAnsi="Times New Roman"/>
          <w:color w:val="111111"/>
          <w:sz w:val="28"/>
          <w:szCs w:val="28"/>
          <w:lang w:val="en-US"/>
        </w:rPr>
        <w:t xml:space="preserve"> Muhammad Taqi Misbâh Yazdî bahkan menyayangkan keteledoran  para filsuf Barat, seperti Immanuel Kant dan Hegel, dalam menggunakan  terminologi tanpa rujukan yang jelas. Hal ini bukan hanya tidak dapat  dipahami, melainkan malah membingungkan. Muhammad Taqi Misbâh  Yazdî membahas masalah kerancuan dalam memahami universalia ini  secara mendetail. </w:t>
      </w:r>
      <w:r>
        <w:rPr>
          <w:rStyle w:val="FootnoteAnchor"/>
        </w:rPr>
        <w:footnoteReference w:id="17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Muhammad Taqi Misbâh Yazdî merasa perlu mengulas secara  terperinci tema al-ma</w:t>
      </w:r>
      <w:r>
        <w:rPr>
          <w:rFonts w:eastAsia="Consolas" w:cs="Consolas" w:ascii="Consolas" w:hAnsi="Consolas"/>
          <w:color w:val="111111"/>
          <w:sz w:val="28"/>
          <w:szCs w:val="28"/>
          <w:lang w:val="en-US"/>
        </w:rPr>
        <w:t>qûlat demi menghindarkan peminat filsafat  dari kekeliruan yang muncul akibat kerancuan memahami perbedaaan  pengertian di balik terminologi yang sama. Karena itulah, pertama-  tama, ia berusaha menjelaskan titik perbedaan dan signifikansi konsep-  konsep yang hanya berbasis pada prinsip ashalah al-wujud, yang disebut  ma</w:t>
      </w:r>
      <w:r>
        <w:rPr>
          <w:rFonts w:eastAsia="Times New Roman" w:cs="Times New Roman" w:ascii="Times New Roman" w:hAnsi="Times New Roman"/>
          <w:color w:val="111111"/>
          <w:sz w:val="28"/>
          <w:szCs w:val="28"/>
          <w:lang w:val="en-US"/>
        </w:rPr>
        <w:t>qûlat falsafiyyah.</w:t>
      </w:r>
      <w:r>
        <w:rPr>
          <w:rStyle w:val="FootnoteAnchor"/>
        </w:rPr>
        <w:footnoteReference w:id="180"/>
      </w:r>
      <w:r>
        <w:rPr>
          <w:rFonts w:eastAsia="Times New Roman" w:cs="Times New Roman" w:ascii="Times New Roman" w:hAnsi="Times New Roman"/>
          <w:color w:val="111111"/>
          <w:sz w:val="28"/>
          <w:szCs w:val="28"/>
          <w:lang w:val="en-US"/>
        </w:rPr>
        <w:t>Di hadapannya terhampar istililah-istilah yang  hanya digunakan bukan untuk menunjuk sesuatu yang hadir secara  objektif, namun diperlakukan sebagai sesuatu yang riil. Sebagaimana  diakui Muhammad Taqi Misbah Yazdî sendiri, konsep-konsep esensial  hanyalah bersifat artifisial namun harus selalu disertakan dalam  pembahasan ontologi. Konsep-konsep universal (universalia) inilah  yang disebut dengan ma'qûlat awwaliyyah mâhawiyyah.</w:t>
      </w:r>
      <w:r>
        <w:rPr>
          <w:rStyle w:val="FootnoteAnchor"/>
        </w:rPr>
        <w:footnoteReference w:id="181"/>
      </w:r>
      <w:r>
        <w:rPr>
          <w:rFonts w:eastAsia="Times New Roman" w:cs="Times New Roman" w:ascii="Times New Roman" w:hAnsi="Times New Roman"/>
          <w:color w:val="111111"/>
          <w:sz w:val="28"/>
          <w:szCs w:val="28"/>
          <w:lang w:val="en-US"/>
        </w:rPr>
        <w:t xml:space="preserve"> Dalam pada itu, universalia terdiri dari dua jenis. Pertama, konsep  primer atau universalia esensial (maʼqûlât mâhawiyyah), yaitu konsep  universal yang tercerap benak setelah menetapkan individu-individu  yang berada dalam himpunannya, seperti konsep tentang pena, buku,  dan manusia. Universalia jenis ini merupakan konsep universal yang  diidentifikasi setelah pertanyaan ‘apakah itu' (mâ hiya). Dengan kata lain,  ia menjelaskan ke-apa-an (whatness) atau esensi sesuatu. Oleh karena itu,  universalia ini disebut juga universalia esensial atau maʼqûl awwali atau  maʼqûl mâhawî. Lebih jauh, ia juga didefinisikan sebagai konsep-konsep  yang dicerap dari realitas objektif. Universalia primer atau esensial (kulli  awwali) adalah konsep-konsep yang menentukan batas wujud esensi dan </w:t>
      </w:r>
    </w:p>
    <w:p>
      <w:pPr>
        <w:pStyle w:val="BookText"/>
        <w:bidi w:val="0"/>
        <w:rPr/>
      </w:pPr>
      <w:r>
        <w:rPr>
          <w:rFonts w:eastAsia="Times New Roman" w:cs="Times New Roman" w:ascii="Times New Roman" w:hAnsi="Times New Roman"/>
          <w:color w:val="111111"/>
          <w:sz w:val="28"/>
          <w:szCs w:val="28"/>
          <w:lang w:val="en-US"/>
        </w:rPr>
        <w:t>realitas segala sesuatu, seperti genus dan diferensia bagi esensi spesies  manusia. Namun, sebagian filsuf memasukkannya dalam himpunan  universalia sekunder.</w:t>
      </w:r>
    </w:p>
    <w:p>
      <w:pPr>
        <w:pStyle w:val="BookText"/>
        <w:bidi w:val="0"/>
        <w:jc w:val="both"/>
        <w:rPr/>
      </w:pPr>
      <w:r>
        <w:rPr>
          <w:rFonts w:eastAsia="Times New Roman" w:cs="Times New Roman" w:ascii="Times New Roman" w:hAnsi="Times New Roman"/>
          <w:color w:val="111111"/>
          <w:sz w:val="28"/>
          <w:szCs w:val="28"/>
          <w:lang w:val="en-US"/>
        </w:rPr>
        <w:t>Kedua, konsep universal (universalia) sekunder atau ma`qûlât  tsânawiyyah. Universalia sekunder ini tidak berkaitan dengan pertanyaan  ‘apakah”.</w:t>
      </w:r>
      <w:r>
        <w:rPr>
          <w:rStyle w:val="FootnoteAnchor"/>
        </w:rPr>
        <w:footnoteReference w:id="182"/>
      </w:r>
      <w:r>
        <w:rPr>
          <w:rFonts w:eastAsia="Times New Roman" w:cs="Times New Roman" w:ascii="Times New Roman" w:hAnsi="Times New Roman"/>
          <w:color w:val="111111"/>
          <w:sz w:val="28"/>
          <w:szCs w:val="28"/>
          <w:lang w:val="en-US"/>
        </w:rPr>
        <w:t xml:space="preserve"> Berkenaan dengan universalia primer (maʼqûlât mâhawiyyah),  Muhammad Taqi Misbah Yazdî mengemukakan sejumlah kekhasannya,  di antaranya:</w:t>
      </w:r>
    </w:p>
    <w:p>
      <w:pPr>
        <w:pStyle w:val="BookText"/>
        <w:bidi w:val="0"/>
        <w:jc w:val="both"/>
        <w:rPr/>
      </w:pPr>
      <w:r>
        <w:rPr>
          <w:rFonts w:eastAsia="Times New Roman" w:cs="Times New Roman" w:ascii="Times New Roman" w:hAnsi="Times New Roman"/>
          <w:color w:val="111111"/>
          <w:sz w:val="28"/>
          <w:szCs w:val="28"/>
          <w:lang w:val="en-US"/>
        </w:rPr>
        <w:t>a) Universalia primer diperoleh melalui kontak langsung antara fakultas  mental dan realitas objektif segala sesuatu. Artinya, ia bergantung  sejak awal pada peran alat-alat indra;  b) Universalia primer dapat disandangkan pada entitas-entitas objektif,  seperti konsep ‘manusia' yang disandangkan pada Agus, Budiman,  dan Ahmad, sehingga dikatakan ‘Budiman adalah manusia”;  c) Universalia primer merupakan komunikator dan indikator esensi  segala sesuatu. Dengan kata lain, ia memperjelas batas segala  sesuatu.</w:t>
      </w:r>
    </w:p>
    <w:p>
      <w:pPr>
        <w:pStyle w:val="BookText"/>
        <w:bidi w:val="0"/>
        <w:jc w:val="both"/>
        <w:rPr/>
      </w:pPr>
      <w:r>
        <w:rPr>
          <w:rFonts w:eastAsia="Times New Roman" w:cs="Times New Roman" w:ascii="Times New Roman" w:hAnsi="Times New Roman"/>
          <w:color w:val="111111"/>
          <w:sz w:val="28"/>
          <w:szCs w:val="28"/>
          <w:lang w:val="en-US"/>
        </w:rPr>
        <w:t>Sedangkan universalia sekunder, menurutnya lagi, terbagi dalam dua  jenis: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Universalia sekunder logis atau universalia sekunder artifisial, yang  merupakan konsep-konsep universal yang menjelaskan karakter segala  konsep mental, seperti spesies, genus, definisi, proposisi atau universalia  dan partikularia, antesenden dan konsekuen, dan sebagainya. Objek-objek  tersebut hanya eksis secara mental. Istilah-istilah dalam logika muncul  dari sini. Ia juga disebut maʼqûl tsânawi manthiqi atau maʼqûlât kulliyyah  tsanawiyyah manthiqiyyah yang merupakan konsep-konsep universal  yang perwujudannya hanya terjadi dalam benak, seperti konsep mengenai  ‘konsep’, ‘manifes', 'proposisi’, dan istilah-istilah yang digunakan dalam  logika.</w:t>
      </w:r>
      <w:r>
        <w:rPr>
          <w:rStyle w:val="FootnoteAnchor"/>
        </w:rPr>
        <w:footnoteReference w:id="183"/>
      </w:r>
      <w:r>
        <w:rPr>
          <w:rFonts w:eastAsia="Times New Roman" w:cs="Times New Roman" w:ascii="Times New Roman" w:hAnsi="Times New Roman"/>
          <w:color w:val="111111"/>
          <w:sz w:val="28"/>
          <w:szCs w:val="28"/>
          <w:lang w:val="en-US"/>
        </w:rPr>
        <w:t xml:space="preserve">Menurut Muhammad Taqi Misbah Yazdî, konsep-konsep sekunder </w:t>
      </w:r>
    </w:p>
    <w:p>
      <w:pPr>
        <w:pStyle w:val="BookText"/>
        <w:bidi w:val="0"/>
        <w:rPr/>
      </w:pPr>
      <w:r>
        <w:rPr>
          <w:rFonts w:eastAsia="Times New Roman" w:cs="Times New Roman" w:ascii="Times New Roman" w:hAnsi="Times New Roman"/>
          <w:color w:val="111111"/>
          <w:sz w:val="28"/>
          <w:szCs w:val="28"/>
          <w:lang w:val="en-US"/>
        </w:rPr>
        <w:t>logis sebenarnya tidak termasuk dalam kategori universalia sekunder dalam  pandangan sebagian filsuf, melainkan termasuk ‘universalia primer'.</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Artinya, konsep-konsep universal ini tidak dapat melakukan assensi (tashdiq) atau mengkon-  firmasi sesuatu dalam realitas objektif, namun manifestasi-manifestasi (mashadiq)nya hanya  berlangsung dalam ranah mental semata. Dengan kata lain, ia tidak mempunyai hubungan dengan  realitas objektif. Universlia-universalia sekunder logis ini, meski bersifat subjektif dan hanya  memiliki perwujudan dalam ranah mental, adalah sifat-sifat subjektif (awshaf zihniyyah) bagi  univeralia-universalia primer. (Muhammad Taqi Misbah Yazdi, Âmûzesy-e Falsafeh, Muassasah In-  tisyarat Amir Kabir, Tehran; juz 1, hlm 300).</w:t>
      </w:r>
    </w:p>
    <w:p>
      <w:pPr>
        <w:pStyle w:val="BookText"/>
        <w:bidi w:val="0"/>
        <w:jc w:val="both"/>
        <w:rPr/>
      </w:pPr>
      <w:r>
        <w:rPr>
          <w:rFonts w:eastAsia="Times New Roman" w:cs="Times New Roman" w:ascii="Times New Roman" w:hAnsi="Times New Roman"/>
          <w:color w:val="111111"/>
          <w:sz w:val="28"/>
          <w:szCs w:val="28"/>
          <w:lang w:val="en-US"/>
        </w:rPr>
        <w:t>Universalia sekunder eksistensial atau universalia filsufis ontologis;  konsep-konsep universal yang menjelaskan kenyataan atau hakikat  sesuatu, serta sifat-sifat eksistensi, seperti konsep ‘ada’, ‘mungkin',  sebab, akibat, dan lain-lain. Konsep universal ini biasanya muncul lewat  pengamatan dan perbandingan mental di antara konsep-konsep yang ada  di dalammya.</w:t>
      </w:r>
    </w:p>
    <w:p>
      <w:pPr>
        <w:pStyle w:val="BookText"/>
        <w:bidi w:val="0"/>
        <w:jc w:val="both"/>
        <w:rPr/>
      </w:pPr>
      <w:r>
        <w:rPr>
          <w:rFonts w:eastAsia="Times New Roman" w:cs="Times New Roman" w:ascii="Times New Roman" w:hAnsi="Times New Roman"/>
          <w:color w:val="111111"/>
          <w:sz w:val="28"/>
          <w:szCs w:val="28"/>
          <w:lang w:val="en-US"/>
        </w:rPr>
        <w:t>Istilah-istilah dalam metafisika dan ontologi merupakan produk  konsep-konsep ini. Para filsuf abad Pertengahan menyebut universalia  ini sebagai ihwal transendental. Ia juga disebut maʼqûl tsanawî falsafi  atau maʼqûlât kulliyyah tsânawiyyah falsafiyyah,</w:t>
      </w:r>
      <w:r>
        <w:rPr>
          <w:rStyle w:val="FootnoteAnchor"/>
        </w:rPr>
        <w:footnoteReference w:id="185"/>
      </w:r>
      <w:r>
        <w:rPr>
          <w:rFonts w:eastAsia="Times New Roman" w:cs="Times New Roman" w:ascii="Times New Roman" w:hAnsi="Times New Roman"/>
          <w:color w:val="111111"/>
          <w:sz w:val="28"/>
          <w:szCs w:val="28"/>
          <w:lang w:val="en-US"/>
        </w:rPr>
        <w:t>yaitu konsep-konsep  yang dilahirkan dalam bidang filsafat melalui komparasi dan diskusi.</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Istilah-istilah dalam ontologi atau metafisika adalah produk dari  universalia pertama; seperti pengertian “kausa” (illah) dan “efekta”  (ma`lûl) yang disimpulkan secara reflektif melalui interaksi kongkrit.</w:t>
      </w:r>
      <w:r>
        <w:rPr>
          <w:rStyle w:val="FootnoteAnchor"/>
        </w:rPr>
        <w:footnoteReference w:id="186"/>
      </w:r>
    </w:p>
    <w:p>
      <w:pPr>
        <w:pStyle w:val="BookText"/>
        <w:bidi w:val="0"/>
        <w:rPr/>
      </w:pPr>
      <w:r>
        <w:rPr>
          <w:rFonts w:eastAsia="Times New Roman" w:cs="Times New Roman" w:ascii="Times New Roman" w:hAnsi="Times New Roman"/>
          <w:color w:val="111111"/>
          <w:sz w:val="28"/>
          <w:szCs w:val="28"/>
          <w:lang w:val="en-US"/>
        </w:rPr>
        <w:t>Selanjutnya, Muhammad Taqî Misbah Yazdî, sebagaimana Mullâ  Sadrâ, memilah universalia ontologis ke dalam tiga jenis: 1) Pasti ada  (wujûb), yaitu keberadaan (ke-ada-an) sesuatu yang tidak diakibatkan  penyebab lain atau sesuatu yang eksis secara pasti dan niscaya. Hal inilah  yang disebut wâjib al-wujûd li dzâtihi. Dengan kata lain, ‘keniscaya-  ada-an' adalah bentuk hubungan niscaya antara subjek dan predikat; 2)  Pasti tiada (imtinâ'), yaitu kenir-ada-an yang tidak diakibatkan penyebab  selain dirinya, atau 'sesuatu yang tiada secara pasti dan niscaya. Dengan  kata lain, keniscaya-tiada-an adalah bentuk hubungan niscaya antara  subjek dan predikat; 3) Tidak pasti (imkân), yaitu ke-ada-an sesuatu yang  diakibatkan sebab yang mengadakannya, atau sesuatu yang ke-ada-an  dan ketiadaannya tidak pasti. Hal inilah yang disebut dengan wâjib al-wujûd  li ghairihi. Dengan kata lain, ketidakpastian' (imkân) adalah bentuk  hubungan tidak niscaya antara subjek dan predikat.</w:t>
      </w:r>
      <w:r>
        <w:rPr>
          <w:rStyle w:val="FootnoteAnchor"/>
        </w:rPr>
        <w:footnoteReference w:id="187"/>
      </w:r>
      <w:r>
        <w:rPr>
          <w:rFonts w:eastAsia="Times New Roman" w:cs="Times New Roman" w:ascii="Times New Roman" w:hAnsi="Times New Roman"/>
          <w:color w:val="111111"/>
          <w:sz w:val="28"/>
          <w:szCs w:val="28"/>
          <w:lang w:val="en-US"/>
        </w:rPr>
        <w:t xml:space="preserve"> Ketiga pembagian di atas dipahami berkat pengamatan terhadap  relasi konsep dengan wujûd. Oleh karena itu, wujûb, imkân, dan  imtinâ’ merupakan sifat-sifat relasi. Dengan demikian, maqsam (pokok  pembagian)nya adalah relasi, dan bagian-bagiannya adalah wujûb, imkân,  atau imtinâ'. Ketiga bagian ini juga, dengan relasi sebagai maqsamnya,  masih sebatas konsep yang yang dibahas dalam logika. Maqsam semua  itu bukanlah wujûd muthlaq, apalagi wujûd dzihnî (eksistensi mental)  sebagai qism (bagian)nya, karena wujud muthlaq hanya terbagi dua;  wujûb dan imkân.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Taqî Misbâh Yazdî mengkritik pembagian Thabâthabã’î  dalam dalam Nihâyat al-Hikmah di atas. Menurutnya, pembagian itu  tidak bersifat filsufis karena lebih patut dianggap sebagai bagian dari  tema-tema logika.</w:t>
      </w:r>
      <w:r>
        <w:rPr>
          <w:rStyle w:val="FootnoteAnchor"/>
        </w:rPr>
        <w:footnoteReference w:id="188"/>
      </w:r>
      <w:r>
        <w:rPr>
          <w:rFonts w:eastAsia="Times New Roman" w:cs="Times New Roman" w:ascii="Times New Roman" w:hAnsi="Times New Roman"/>
          <w:color w:val="111111"/>
          <w:sz w:val="28"/>
          <w:szCs w:val="28"/>
          <w:lang w:val="en-US"/>
        </w:rPr>
        <w:t xml:space="preserve"> Sebenarnya, dalam filsafat Sadrian terdapat universalia universal  maupun partikular, mengikuti prinsip pembagian lain, yang dapat </w:t>
      </w:r>
    </w:p>
    <w:p>
      <w:pPr>
        <w:pStyle w:val="BookText"/>
        <w:bidi w:val="0"/>
        <w:rPr/>
      </w:pPr>
      <w:r>
        <w:rPr>
          <w:rFonts w:eastAsia="Times New Roman" w:cs="Times New Roman" w:ascii="Times New Roman" w:hAnsi="Times New Roman"/>
          <w:color w:val="111111"/>
          <w:sz w:val="28"/>
          <w:szCs w:val="28"/>
          <w:lang w:val="en-US"/>
        </w:rPr>
        <w:t>dikategorikan ke dalam beberapa tipologi. Pertama, gagasan-gagasan  indrawi. Ia dalah gejala-gejala sederhana yang terdapat dalam jiwa sebagai  hasil hubungan antara organ-organ pancaindra dan kenyataan-kenyataan  material, seperti citra pemandangan yang disaksikan dengan mata atau  suara yang didengar telinga. Kelangsungan gagasan ini sepenuhnya  bergantung pada kelangsungan kontak dengan realitas eksternal. Begitu  kontak terputus, gagasan-gagasan ini pun kontan akan lenyap (misalnya,  dalam hitungan seper-sepuluh detik).</w:t>
      </w:r>
    </w:p>
    <w:p>
      <w:pPr>
        <w:pStyle w:val="BookText"/>
        <w:bidi w:val="0"/>
        <w:jc w:val="both"/>
        <w:rPr/>
      </w:pPr>
      <w:r>
        <w:rPr>
          <w:rFonts w:eastAsia="Times New Roman" w:cs="Times New Roman" w:ascii="Times New Roman" w:hAnsi="Times New Roman"/>
          <w:color w:val="111111"/>
          <w:sz w:val="28"/>
          <w:szCs w:val="28"/>
          <w:lang w:val="en-US"/>
        </w:rPr>
        <w:t>Kedua, gagasan-gagasan khayali (imaginary ideas). Ia adalah gejala-  gejala sederhana dan khas dalam jiwa yang secara langsung diakibatkan  oleh timbulnya gagasan-gagasan indrawi dan hubungan dengan realitas  eksternal. Berbeda dengan gagasan indrawi, kelangsungan gagasan  khayali tidak bergantung pada hubungannya dengan realitas eksternal.</w:t>
      </w:r>
    </w:p>
    <w:p>
      <w:pPr>
        <w:pStyle w:val="BookText"/>
        <w:bidi w:val="0"/>
        <w:jc w:val="both"/>
        <w:rPr/>
      </w:pPr>
      <w:r>
        <w:rPr>
          <w:rFonts w:eastAsia="Times New Roman" w:cs="Times New Roman" w:ascii="Times New Roman" w:hAnsi="Times New Roman"/>
          <w:color w:val="111111"/>
          <w:sz w:val="28"/>
          <w:szCs w:val="28"/>
          <w:lang w:val="en-US"/>
        </w:rPr>
        <w:t>Sebagai misal, citra mental mengenai pemandangan kebun akan menetap  dalam jiwa kendati kedua mata kita terpejam, dan ingatan tentangnya  akan dapat dimunculkan kembali bertahun-tahun setelah peristiwa itu  berlalu.</w:t>
      </w:r>
    </w:p>
    <w:p>
      <w:pPr>
        <w:pStyle w:val="BookText"/>
        <w:bidi w:val="0"/>
        <w:jc w:val="both"/>
        <w:rPr/>
      </w:pPr>
      <w:r>
        <w:rPr>
          <w:rFonts w:eastAsia="Times New Roman" w:cs="Times New Roman" w:ascii="Times New Roman" w:hAnsi="Times New Roman"/>
          <w:color w:val="111111"/>
          <w:sz w:val="28"/>
          <w:szCs w:val="28"/>
          <w:lang w:val="en-US"/>
        </w:rPr>
        <w:t xml:space="preserve">Ketiga, gagasan-gagasan kewahaman (Jypas /al-wahmiyyah atau  ideas of apprehension). </w:t>
      </w:r>
      <w:r>
        <w:rPr>
          <w:rStyle w:val="FootnoteAnchor"/>
        </w:rPr>
        <w:footnoteReference w:id="189"/>
      </w:r>
      <w:r>
        <w:rPr>
          <w:rFonts w:eastAsia="Times New Roman" w:cs="Times New Roman" w:ascii="Times New Roman" w:hAnsi="Times New Roman"/>
          <w:color w:val="111111"/>
          <w:sz w:val="28"/>
          <w:szCs w:val="28"/>
          <w:lang w:val="en-US"/>
        </w:rPr>
        <w:t>Para filsuf menyebutkan adanya jenis lain  gagasan partikular yang terkait dengan makna-makna partikular seperti  rasa permusuhan antar-binatang yang menyebabkan mereka saling  menjauh. Sebagian filsuf memperluasnya untuk mencakup segenap  pengertian dan makna partikular lain, termasuk rasa kasih-sayang  (affection) dan benci (enmity) dalam diri manusia.</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Terhadap gagasan-gagasan kewahaman, Muhammad Taqi Misbah  Yazdî melontarkan kritiknya dengan menambahkan bahwa konsep-  konsep universal seputar kasih-sayang dan kebencian pada hakikatnya  tergolong gagasan-gagasan universal, bukan partikular. Afeksi dan  kebencian dalam diri pelaku persepsi sebenarnya adalah pengetahuan  presentasional seputar kualitas-kualitas jiwa, dan bukan termasuk  pengetahuan perolehan (acquired knowledge). Menurutnya, perasaan </w:t>
      </w:r>
    </w:p>
    <w:p>
      <w:pPr>
        <w:pStyle w:val="BookText"/>
        <w:bidi w:val="0"/>
        <w:rPr/>
      </w:pPr>
      <w:r>
        <w:rPr>
          <w:rFonts w:eastAsia="Times New Roman" w:cs="Times New Roman" w:ascii="Times New Roman" w:hAnsi="Times New Roman"/>
          <w:color w:val="111111"/>
          <w:sz w:val="28"/>
          <w:szCs w:val="28"/>
          <w:lang w:val="en-US"/>
        </w:rPr>
        <w:t>tentang kebencian pihak lain, sesungguhnya bukanlah perasaan langsung  yang mengemuka tanpa mediasi (bukan pengetahuan presentasional),  melainkan terjadi melalui perbandingan keadaan diri kita dengan orang  lain yang berada dalam situasi dan kondisi sama.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yang dapat diterima sebagai bagian gagasan partikular ialah  gagasan yang ditimbulkan oleh keadaan-keadaan jiwa yang sewaktu-  waktu dapat diingat kembali, mirip dengan gagasan imajinal dalam  kaitannya dengan gagasan indrawi. Ia mencontohkan ingatan tentang  ketakutan tertentu yang mengemuka pada saat tertentu atau afeksi  tertentu yang muncul pada saat tertentu. Patut dicatat bahwa adakalanya  gagasan-gagasan pad / wahm digunakan untuk mengacu pada gagasan-  gagasan yang tidak bersandarkan pada realitas apa pun dan ada kalanya  juga dimaksudkan sebagai “fantasi' (ző gäll/at-tawahhum). </w:t>
      </w:r>
      <w:r>
        <w:rPr>
          <w:rStyle w:val="FootnoteAnchor"/>
        </w:rPr>
        <w:footnoteReference w:id="190"/>
      </w:r>
      <w:r>
        <w:rPr>
          <w:rFonts w:eastAsia="Times New Roman" w:cs="Times New Roman" w:ascii="Times New Roman" w:hAnsi="Times New Roman"/>
          <w:color w:val="111111"/>
          <w:sz w:val="28"/>
          <w:szCs w:val="28"/>
          <w:lang w:val="en-US"/>
        </w:rPr>
        <w:t xml:space="preserve"> Menurut penulis, inisiatif Muhammad Taqi Misbâh Yazdî menjadikan  tema seputar konsep-konsep universal sebagai pendahuluan demi  mengantisipasi munculnya kerancuan, malah menimbulkan kebimbangan  tentang ketidakjelasan kedudukan epistemologi dalam pemikiran filsafat  Muhammad Taqi Misbah Yazdî. Hal itu karena sebagian universalia  (maʼqûlât) yang dipilah-pilah sesuai bidang, memuncukan kesan bahwa  sebenarnya para filsuf Muslim tergopoh-gopoh mengikuti sistematika  pembagian modern filsafat, epistemologi, ontologi dan aksiologi. Karena  itu, menurut penulis, sebaiknya istilah ma</w:t>
      </w:r>
      <w:r>
        <w:rPr>
          <w:rFonts w:eastAsia="Consolas" w:cs="Consolas" w:ascii="Consolas" w:hAnsi="Consolas"/>
          <w:color w:val="111111"/>
          <w:sz w:val="28"/>
          <w:szCs w:val="28"/>
          <w:lang w:val="en-US"/>
        </w:rPr>
        <w:t>qûlât tsanawiyyah falsafiyah  (universalia sekunder filsufis) diganti dengan ma</w:t>
      </w:r>
      <w:r>
        <w:rPr>
          <w:rFonts w:eastAsia="Times New Roman" w:cs="Times New Roman" w:ascii="Times New Roman" w:hAnsi="Times New Roman"/>
          <w:color w:val="111111"/>
          <w:sz w:val="28"/>
          <w:szCs w:val="28"/>
          <w:lang w:val="en-US"/>
        </w:rPr>
        <w:t xml:space="preserve">qûlât tsanawiyah  wujûdiyyah (universalia sekunder ontologis) agar kedudukan filsafat  sebagai induk pembagian tetap terjaga, atau maʼqulât wujûdiyyah  (universalia eksistensial) yang berposisi sebagai lawan maʼqulât  mâhawiyyah (universalia esensial).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6" w:name="pg6424_44960"/>
      <w:bookmarkStart w:id="147" w:name="pg6424_44960"/>
      <w:bookmarkEnd w:id="147"/>
    </w:p>
    <w:p>
      <w:pPr>
        <w:pStyle w:val="Heading2"/>
        <w:numPr>
          <w:ilvl w:val="1"/>
          <w:numId w:val="1"/>
        </w:numPr>
        <w:bidi w:val="0"/>
        <w:jc w:val="left"/>
        <w:rPr/>
      </w:pPr>
      <w:bookmarkStart w:id="148" w:name="pg6424_44960"/>
      <w:bookmarkStart w:id="149" w:name="__RefHeading___Toc688627_653776707"/>
      <w:bookmarkStart w:id="150" w:name="_Toc53"/>
      <w:bookmarkEnd w:id="148"/>
      <w:bookmarkEnd w:id="149"/>
      <w:r>
        <w:rPr/>
        <w:t>BAB V: PEMIKIRAN EPISTEMOLOGI MUHAMMAD TAQÎ MISHBÂH YAZDÎ</w:t>
      </w:r>
      <w:bookmarkEnd w:id="150"/>
    </w:p>
    <w:p>
      <w:pPr>
        <w:pStyle w:val="Heading3"/>
        <w:numPr>
          <w:ilvl w:val="2"/>
          <w:numId w:val="1"/>
        </w:numPr>
        <w:bidi w:val="0"/>
        <w:jc w:val="left"/>
        <w:rPr/>
      </w:pPr>
      <w:bookmarkStart w:id="151" w:name="__RefHeading___Toc688629_653776707"/>
      <w:bookmarkStart w:id="152" w:name="_Toc54"/>
      <w:bookmarkEnd w:id="151"/>
      <w:r>
        <w:rPr/>
        <w:t>A. Pengertian</w:t>
      </w:r>
      <w:bookmarkEnd w:id="152"/>
    </w:p>
    <w:p>
      <w:pPr>
        <w:pStyle w:val="BookText"/>
        <w:bidi w:val="0"/>
        <w:jc w:val="both"/>
        <w:rPr/>
      </w:pPr>
      <w:r>
        <w:rPr>
          <w:rFonts w:eastAsia="Times New Roman" w:cs="Times New Roman" w:ascii="Times New Roman" w:hAnsi="Times New Roman"/>
          <w:color w:val="111111"/>
          <w:sz w:val="28"/>
          <w:szCs w:val="28"/>
          <w:lang w:val="en-US"/>
        </w:rPr>
        <w:t>Epistemologi (logos mengetahui) dan ontologi (logos ada sebagai  ada atau being qua being) merupakan dua cabang dalam displin filsafat,  khususnya filsafat Barat. Sekalipun secara etimologis, keduanya berakar  dari kosa kata Yunani, namun statusnya sebagai cabang filsafat baru  dirumuskan beberapa abad belakangan.</w:t>
      </w:r>
    </w:p>
    <w:p>
      <w:pPr>
        <w:pStyle w:val="BookText"/>
        <w:bidi w:val="0"/>
        <w:jc w:val="both"/>
        <w:rPr/>
      </w:pPr>
      <w:r>
        <w:rPr>
          <w:rFonts w:eastAsia="Times New Roman" w:cs="Times New Roman" w:ascii="Times New Roman" w:hAnsi="Times New Roman"/>
          <w:color w:val="111111"/>
          <w:sz w:val="28"/>
          <w:szCs w:val="28"/>
          <w:lang w:val="en-US"/>
        </w:rPr>
        <w:t>Upaya merumuskan keduanya lebih didorong oleh tuntutan diskursif  untuk memahami, dan mensistematisasi gagasan-gagasan filsafat yang  berserakan dalam sejarah filsafat Barat sejak zaman Yunani kuno, serta  mengkarakterisasi ide-ide yang muncul kemudian. Gagasan dualisme  Plato, misalnya, tentang realitas imaterial (dunia ide) dan material  (dunia inderawi), serta teori anamnesis (pengingatan kembali) yang  ditolak Aristoteles. Dualisme Plato merupakan ontologi, sementara  teori anamnesisnya adalah epistemologi. Secara historis, kedua cabang  ini disemai dalam tradisi metafisika sejak Aristoteles menganut asumsi  bahwa pada prinsipnya pengetahuan harus memusatkan perhatian pada  esensi universal.</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Istilah ontologi yang berasal dari kata Yunani: to on hei on, pertama  kali diintroduksikan ke dalam wacana filsafat Barat oleh seorang pemikir  Skolastik-Protestan dari Jerman, Rudolphus Gockel dalam bukunya  Lexicon Philosophicum yang terbit pada tahun 1613. Immanuel Kant </w:t>
      </w:r>
    </w:p>
    <w:p>
      <w:pPr>
        <w:pStyle w:val="BookText"/>
        <w:bidi w:val="0"/>
        <w:rPr/>
      </w:pPr>
      <w:r>
        <w:rPr>
          <w:rFonts w:eastAsia="Times New Roman" w:cs="Times New Roman" w:ascii="Times New Roman" w:hAnsi="Times New Roman"/>
          <w:color w:val="111111"/>
          <w:sz w:val="28"/>
          <w:szCs w:val="28"/>
          <w:lang w:val="en-US"/>
        </w:rPr>
        <w:t>(1724—1804) menjadi filsuf yang pertama kali “membalik” orientasi  filsafat yang sebelumnya ontological-minded menjadi kental bernuansa  epistemologis setelah merumuskan relasi subjek-objek yang diketahui  dalam proses kognitif. Dalam pada itu, misalnya, kategori-kategori  yang dipercaya Aristoteles menata realitas eksternal apa adanya,  justru dipahami Kant dalam semangat epistemologi sebagai kategori-  kategori yang inheren dalam benak, bukan di luar benak. Atau asumsi  metafisis sejak Thales (580 SM) yang lebih menyoal objek, diputar-balik  berdasarkan prinsip “revolusi Copernican"nya, menjadi mempersoalkan  subjek itu sendiri (syarat-syarat kemungkinan subjek memahami objek  yang juga berorientasi kepada subjek).</w:t>
      </w:r>
      <w:r>
        <w:rPr>
          <w:rStyle w:val="FootnoteAnchor"/>
        </w:rPr>
        <w:footnoteReference w:id="191"/>
      </w:r>
      <w:r>
        <w:rPr>
          <w:rFonts w:eastAsia="Times New Roman" w:cs="Times New Roman" w:ascii="Times New Roman" w:hAnsi="Times New Roman"/>
          <w:color w:val="111111"/>
          <w:sz w:val="28"/>
          <w:szCs w:val="28"/>
          <w:lang w:val="en-US"/>
        </w:rPr>
        <w:t xml:space="preserve"> Para filsuf terpecah menjadi aliran besar dalam epistemologi.</w:t>
      </w:r>
    </w:p>
    <w:p>
      <w:pPr>
        <w:pStyle w:val="BookText"/>
        <w:bidi w:val="0"/>
        <w:jc w:val="both"/>
        <w:rPr/>
      </w:pPr>
      <w:r>
        <w:rPr>
          <w:rFonts w:eastAsia="Times New Roman" w:cs="Times New Roman" w:ascii="Times New Roman" w:hAnsi="Times New Roman"/>
          <w:color w:val="111111"/>
          <w:sz w:val="28"/>
          <w:szCs w:val="28"/>
          <w:lang w:val="en-US"/>
        </w:rPr>
        <w:t>Pertama adalah Representasionisme. Sebagian besar filsuf, termasuk  kaum idealis seperti Josiah Royce (1855–1916) berpendapat bahwa  mental manusia dalam konteks persepsi, tidak cukup dengan sendirinya  berhubungan dengan suatu objek. Ia hanya akan bisa mengetahuinya lewat  perantara, yaitu gambar yang ada pada mental dari objek tersebut. John  Stuart Mill (1806–1873), W. James (1842–1910) dan Baldwin secara  radikal mengatakan bahwa pengetahuan kita akan diri kita sendiripun  hushûlî (representatif) dan tidak aksiomatis.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 adalah Presentasionisme. Pendangan ini didukung oleh  Perseptionisme dan neo realisme yang dibidani oleh William Pepperell  Montaque (1873—1955), sebagai reaksi atas kritik-kritik Royce atas  filsuf-filsuf seperjuangannya.</w:t>
      </w:r>
      <w:r>
        <w:rPr>
          <w:rStyle w:val="FootnoteAnchor"/>
        </w:rPr>
        <w:footnoteReference w:id="192"/>
      </w:r>
      <w:r>
        <w:rPr>
          <w:rFonts w:eastAsia="Times New Roman" w:cs="Times New Roman" w:ascii="Times New Roman" w:hAnsi="Times New Roman"/>
          <w:color w:val="111111"/>
          <w:sz w:val="28"/>
          <w:szCs w:val="28"/>
          <w:lang w:val="en-US"/>
        </w:rPr>
        <w:t xml:space="preserve"> Ketiga adalah Empirisme Nominalistik, yang meyakini independensi  setiap entitas, dan segala relasi yang kita cermati di antara entitas mesti  dipandang sebagai entitas mandiri pula. Menurut mereka, mental manusia  dengansendirinyabisamengetahui langsung objek-objek pengetahuannya,  tanpa perlu perantara gambar apa pun. Klaim ini dibubuhi dengan kritik </w:t>
      </w:r>
    </w:p>
    <w:p>
      <w:pPr>
        <w:pStyle w:val="BookText"/>
        <w:bidi w:val="0"/>
        <w:rPr/>
      </w:pPr>
      <w:r>
        <w:rPr>
          <w:rFonts w:eastAsia="Times New Roman" w:cs="Times New Roman" w:ascii="Times New Roman" w:hAnsi="Times New Roman"/>
          <w:color w:val="111111"/>
          <w:sz w:val="28"/>
          <w:szCs w:val="28"/>
          <w:lang w:val="en-US"/>
        </w:rPr>
        <w:t>balik Montaque atas Royce yang dipandang oleh sebagian filsuf, seperti  A.O. Lovejoy (1873–1962), G. Santayana (1863—1952), C.A. Strong  (1862–1940) sebagai sikap penyepelean terhadap Royce. Dengan cara  ini, mereka menggalang barisan baru di dalam tubuh Realisme yang  dikenal dengan Critical Realism of America.</w:t>
      </w:r>
      <w:r>
        <w:rPr>
          <w:rStyle w:val="FootnoteAnchor"/>
        </w:rPr>
        <w:footnoteReference w:id="193"/>
      </w:r>
      <w:r>
        <w:rPr>
          <w:rFonts w:eastAsia="Times New Roman" w:cs="Times New Roman" w:ascii="Times New Roman" w:hAnsi="Times New Roman"/>
          <w:color w:val="111111"/>
          <w:sz w:val="28"/>
          <w:szCs w:val="28"/>
          <w:lang w:val="en-US"/>
        </w:rPr>
        <w:t xml:space="preserve"> Perbincangan di atas tidak tebatas pada sastra filsafat Barat Anglo  Saxon, tetapi dua pandangan itu dapat kita saksikan di dunia Islam.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Mullâ Sadrâ berpendapat bahwa seluruh pengetahuan manusia pada  dasarnya diperoleh secara langsung dan presentif, kendati pada prima  facie (tinjauan awal) penegetahuan berperantara atau representatif berikut  pembagian pengetahuan di atas tadi dianggap valid, sebagaimana yang  diyakini oleh filsuf-filsuf sebelumnya.</w:t>
      </w:r>
      <w:r>
        <w:rPr>
          <w:rStyle w:val="FootnoteAnchor"/>
        </w:rPr>
        <w:footnoteReference w:id="194"/>
      </w:r>
      <w:r>
        <w:rPr>
          <w:rFonts w:eastAsia="Times New Roman" w:cs="Times New Roman" w:ascii="Times New Roman" w:hAnsi="Times New Roman"/>
          <w:color w:val="111111"/>
          <w:sz w:val="28"/>
          <w:szCs w:val="28"/>
          <w:lang w:val="en-US"/>
        </w:rPr>
        <w:t xml:space="preserve"> Kelak pandangan ontologis Mullâ Sadrâ baru menemukan harmon-  inya di Barat di tangan Martin Heidegger (1889–1976), yang  membalikkan lagi arah perjalanan filsafat kepada ontologi yang  dibedakan dengan ontoteologi (ontologi semu yang sebenarnya adalah  teologi implisit Kristiani). Justru epistemologi, dalam terang ontologi  fundamental (lawan dari ontologi tradisional) yang dirumuskan  Heidegger, cenderung menjadi rezim pengetahuan yang menangkap lalu  memasung, mengosongkan, dan mereduksi “ada” yang kongkrit, riil, dan  timbul-tenggelam sepanjang sejarah. Sebelum semua persoalan “tahu”  (epistemologi) dikemukakan, semestinya penyelidikan difokuskan lebih  dulu pada “ada” yang mengajukan persoalan itu sendiri. Eksistensi yang  diposisikan Kant sebagai subordinat esensi manusia, justru dipandang  Heidegger sebagai esensi manusia itu sendiri lewat diktumnya “esensi  das sein terletak pada eksistensinya.”</w:t>
      </w:r>
      <w:r>
        <w:rPr>
          <w:rStyle w:val="FootnoteAnchor"/>
        </w:rPr>
        <w:footnoteReference w:id="195"/>
      </w:r>
      <w:r>
        <w:rPr>
          <w:rFonts w:eastAsia="Times New Roman" w:cs="Times New Roman" w:ascii="Times New Roman" w:hAnsi="Times New Roman"/>
          <w:color w:val="111111"/>
          <w:sz w:val="28"/>
          <w:szCs w:val="28"/>
          <w:lang w:val="en-US"/>
        </w:rPr>
        <w:t xml:space="preserve"> Menurut hemat penulis, pada mulanya filsafat Islam tidak mengenal  pencabangan ini, setidaknya sampai abad ke-19. Baru belakangan ini,  akibat interaksi yang semakin intensif dengan pemikiran Barat dan mulai </w:t>
      </w:r>
    </w:p>
    <w:p>
      <w:pPr>
        <w:pStyle w:val="BookText"/>
        <w:bidi w:val="0"/>
        <w:rPr/>
      </w:pPr>
      <w:r>
        <w:rPr>
          <w:rFonts w:eastAsia="Times New Roman" w:cs="Times New Roman" w:ascii="Times New Roman" w:hAnsi="Times New Roman"/>
          <w:color w:val="111111"/>
          <w:sz w:val="28"/>
          <w:szCs w:val="28"/>
          <w:lang w:val="en-US"/>
        </w:rPr>
        <w:t>banyaknya peminat filsafat Islam yang dididik dalam tradisi filsafat  Barat, beberapa pemikir menerapkannya dalam dikursus dan sejarah  filsafat Islam.</w:t>
      </w:r>
    </w:p>
    <w:p>
      <w:pPr>
        <w:pStyle w:val="BookText"/>
        <w:bidi w:val="0"/>
        <w:jc w:val="both"/>
        <w:rPr/>
      </w:pPr>
      <w:r>
        <w:rPr>
          <w:rFonts w:eastAsia="Times New Roman" w:cs="Times New Roman" w:ascii="Times New Roman" w:hAnsi="Times New Roman"/>
          <w:color w:val="111111"/>
          <w:sz w:val="28"/>
          <w:szCs w:val="28"/>
          <w:lang w:val="en-US"/>
        </w:rPr>
        <w:t>Bagi Muhammad Taqi Misbâh Yazdî, sebelum menuntaskan  masalah-masalah epistemologi, seseorang tidak akan pernah mampu  memecahkan seluruh masalah ontologi atau cabang-cabang filsafat. Hal ini  merupakan penegasan sikapnya yang menolak pembatasan filsafat pada  ontologi dan metafisika, sekaligus penegasan atas urgensi pengetahuan  representasional atau ilmu hushûlî sebagai gerbang tunggal menuju  filsafat. Hal inilah salah satu ‘area konflik Muhammad Taqi Misbâh Yazdî  dengan para pendahulunya.</w:t>
      </w:r>
    </w:p>
    <w:p>
      <w:pPr>
        <w:pStyle w:val="BookText"/>
        <w:bidi w:val="0"/>
        <w:jc w:val="both"/>
        <w:rPr/>
      </w:pPr>
      <w:r>
        <w:rPr>
          <w:rFonts w:eastAsia="Times New Roman" w:cs="Times New Roman" w:ascii="Times New Roman" w:hAnsi="Times New Roman"/>
          <w:color w:val="111111"/>
          <w:sz w:val="28"/>
          <w:szCs w:val="28"/>
          <w:lang w:val="en-US"/>
        </w:rPr>
        <w:t>Menurutnya, sebelum memastikan nilai (dan manfaat) akal manusia,  segenap praduga yang diajukan sebagai pemecahan aktual atas pelbagai  masalah di atas akan menjadi tuna-makna dan tidak dapat diterima,  lantaran akan selalu menyulut timbulnya pertanyaan yang menyangkut  kemampuan akal manusia dalam menyediakan solusi tepat atas pelbagai  masalah tersebut.</w:t>
      </w:r>
      <w:r>
        <w:rPr>
          <w:rStyle w:val="FootnoteAnchor"/>
        </w:rPr>
        <w:footnoteReference w:id="196"/>
      </w:r>
      <w:r>
        <w:rPr>
          <w:rFonts w:eastAsia="Times New Roman" w:cs="Times New Roman" w:ascii="Times New Roman" w:hAnsi="Times New Roman"/>
          <w:color w:val="111111"/>
          <w:sz w:val="28"/>
          <w:szCs w:val="28"/>
          <w:lang w:val="en-US"/>
        </w:rPr>
        <w:t xml:space="preserve"> Eepistemologi dalam kajian-kajian filsafat Islam terbilang baru. Tema  ini tidak akan ditemukan dalam karya-karya para filsuf muslim terdahulu  kecuali secara sporadis. Tokoh yang pertama kali mendiskripsikannya  atas dasar filsafat Islam adalah Thabâthabâ’i dalam Ushûl-e Falsafeh  va Ravesy-e Reālism.</w:t>
      </w:r>
      <w:r>
        <w:rPr>
          <w:rStyle w:val="FootnoteAnchor"/>
        </w:rPr>
        <w:footnoteReference w:id="197"/>
      </w:r>
      <w:r>
        <w:rPr>
          <w:rFonts w:eastAsia="Times New Roman" w:cs="Times New Roman" w:ascii="Times New Roman" w:hAnsi="Times New Roman"/>
          <w:color w:val="111111"/>
          <w:sz w:val="28"/>
          <w:szCs w:val="28"/>
          <w:lang w:val="en-US"/>
        </w:rPr>
        <w:t>Upaya ini dilanjutkan oleh Mutahhari dengan  memberikan komentar-komentar terinci atas karya ini. Faktor dominan  yang mendesak mereka mengambil langkah ini adalah masuknya karya-  karya filsafat Barat dan interaksi mereka deengan pemikir-pemikir Barat,  dan berkembangnnya filsafat Marxisme.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Muhammad Taqi Mishbâh Yazdî turut menyusun  epistemologi yang berbasis di atas tradisi filsafat Islam seperti yang </w:t>
      </w:r>
      <w:bookmarkStart w:id="153" w:name="pg6424_44971"/>
    </w:p>
    <w:p>
      <w:pPr>
        <w:pStyle w:val="BookText"/>
        <w:bidi w:val="0"/>
        <w:rPr/>
      </w:pPr>
      <w:bookmarkEnd w:id="153"/>
      <w:r>
        <w:rPr>
          <w:rFonts w:eastAsia="Times New Roman" w:cs="Times New Roman" w:ascii="Times New Roman" w:hAnsi="Times New Roman"/>
          <w:color w:val="111111"/>
          <w:sz w:val="28"/>
          <w:szCs w:val="28"/>
          <w:lang w:val="en-US"/>
        </w:rPr>
        <w:t>tampak dalam karyannya, Jahân-bînî wa ideoloji dan Âmûzesy-e  Falsafeh. Jelas, dinamika sejarah dan jaman telah memberikan peluang  yang lebih luas untuk Muhammad Taqi Mishbâh Yazdî sehingga ia dapat  merangkum berbagai banyak pandangan dari dalam dan luar negerinya  dan membantunya untuk mendiskripsikan epsitemologi Islam secara  lebih rapi, utuh dan kaya dari yang telah dilakukan sebelaumnya. Kendati  sekian kelebihan ini, epistemologi Muhammad Taqi Mishbâh Yazdî  masih menyisakan persoalan-persoalan baru yang belum terjamah dalam  karya-karyanya, seperti topik-topik yang berkaiatan dengan pengetahuan  indrawi dan problem-problem paradoksikal seperti al-jadr al-ashamm.</w:t>
      </w:r>
    </w:p>
    <w:p>
      <w:pPr>
        <w:pStyle w:val="BookText"/>
        <w:bidi w:val="0"/>
        <w:jc w:val="both"/>
        <w:rPr/>
      </w:pPr>
      <w:r>
        <w:rPr>
          <w:rFonts w:eastAsia="Times New Roman" w:cs="Times New Roman" w:ascii="Times New Roman" w:hAnsi="Times New Roman"/>
          <w:color w:val="111111"/>
          <w:sz w:val="28"/>
          <w:szCs w:val="28"/>
          <w:lang w:val="en-US"/>
        </w:rPr>
        <w:t>Berkaitan dengan penempatan kajian-kajian epistemologi sebelum  ontologi—segaimana dalam Âmûzesy-e Falsafeh, boleh jadi itu sekadar  mengikuti cara penyusunan yang telah dilakukan lebih dahulu oleh  gurunya dalam Ushûl-e Falsafeh va Ravesy-e Realism. Namun, dalam  karya itu pula kita menyimak sekian keterangan yang mendesak agar  epistemologi didahulukan sebelum ontologi. Meski demikian, alasan-  alasan tersebut pada dasarnya sebatas penegasan atas apa yang telah  tertuang dalam Ushûl-e Falsafeh va Ravesy-e Realism, terutama pada  bab pertama.</w:t>
      </w:r>
    </w:p>
    <w:p>
      <w:pPr>
        <w:pStyle w:val="Heading3"/>
        <w:numPr>
          <w:ilvl w:val="2"/>
          <w:numId w:val="1"/>
        </w:numPr>
        <w:bidi w:val="0"/>
        <w:jc w:val="left"/>
        <w:rPr/>
      </w:pPr>
      <w:bookmarkStart w:id="154" w:name="__RefHeading___Toc688631_653776707"/>
      <w:bookmarkStart w:id="155" w:name="_Toc55"/>
      <w:bookmarkEnd w:id="154"/>
      <w:r>
        <w:rPr/>
        <w:t>B. Relasi Epistemologi dan Ontologi</w:t>
      </w:r>
      <w:bookmarkEnd w:id="1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pengertian pengetahuan mencakup persepsi dan kesadaran,  banyak topik epistemologi yang dapat dikemukakan, termasuk sebagian  yang tidak secara formal terkait dengan ilmu ini, seperti persoalan  menyangkut wahyu, ilham, dan berbagai jenis penyingkapan serta  intuisi mistis. Namun demikian, persoalan yang lazimnya menjadi poros  pembahasan adalah panca-indra dan akal. Namun, epistemologi yang  menjadi tema utama dalam disertasi ini adalah tema-tema pengetahuan  yang berhubugan dengan filsafat ontologi, baik umum maupun khusus,  juga dengan beberapa bidang pengetahuan rasional-metafisis, seperti  psikologi dan etika filsufis. </w:t>
      </w:r>
    </w:p>
    <w:p>
      <w:pPr>
        <w:pStyle w:val="BookText"/>
        <w:bidi w:val="0"/>
        <w:rPr/>
      </w:pPr>
      <w:r>
        <w:rPr>
          <w:rFonts w:eastAsia="Times New Roman" w:cs="Times New Roman" w:ascii="Times New Roman" w:hAnsi="Times New Roman"/>
          <w:color w:val="111111"/>
          <w:sz w:val="28"/>
          <w:szCs w:val="28"/>
          <w:lang w:val="en-US"/>
        </w:rPr>
        <w:t>Menurut Muhammad Taqi Misbâh Yazdî, salah satu keunggulan  epistemologi adalah ke-badîhî-annya. Epistemologi tidak perlu  meminjam aksioma-aksioma luar untuk semua pokok bahasannya, karena  semuanya dapat dijelaskan semata-mata dengan landasan-landasan asasi  yang aprior (self-evident atau 381 641 / badîhiyyât awwaliyyah).</w:t>
      </w:r>
    </w:p>
    <w:p>
      <w:pPr>
        <w:pStyle w:val="BookText"/>
        <w:bidi w:val="0"/>
        <w:jc w:val="both"/>
        <w:rPr/>
      </w:pPr>
      <w:r>
        <w:rPr>
          <w:rFonts w:eastAsia="Times New Roman" w:cs="Times New Roman" w:ascii="Times New Roman" w:hAnsi="Times New Roman"/>
          <w:color w:val="111111"/>
          <w:sz w:val="28"/>
          <w:szCs w:val="28"/>
          <w:lang w:val="en-US"/>
        </w:rPr>
        <w:t>Selanjutnya, Muhammad Taqi Misbâh Yazdî melontarkan sebuah  kritik sebelum menjawabnya; bila segenap solusi atas masalah-masalah  ontologi dan ilmu-ilmu lain yang dicapai melalui metode-metode rasional  bergantung pada kesanggupan akal untuk itu, maka bukankah itu berarti  bahwa filsafat pertama (metafisika) juga membutuhkan epistemologi  untuk menyediakan aksioma-aksioma dasar bagi filsafat, padahal  sebelumnya dikatakan bahwa filsafat (ontologi) tidak membutuhkan  pada ilmu lain, sebagaimana disepakati dalam tradisi filsafat Hawzah?  Ia memberikan jawaban sebagai berikut. Pertama, premis-premis yang  secara langsung dibutuhkan oleh metafisika sesunggunya merupakan  penyataan-pernyataan apriori (self-evident) yang sama sekali tidak  memerlukan dalil baru. Semua wacana yang tertera mengenainya  dalam logika dan filsafat sebetulnya lebih merupakan ulasan daripada  pembuktian, yakni berfungsi untuk menggugah perhatian kita pada  kebenaran yang dapat ditangkap oleh akal manusia tanpa pembuktian  sedikitpun. Alasan untuk membahas penyataan-pernyataan semacam ini  dalam ilmu-ilmu tertentu tidak lain karena adanya pelbagai miskonsepsi  yang pada gilirannya menjadi keraguan-keraguan seperti dalam kasus  prinsip kemustahilan kontradiksi. Miskonsepsi seputar kemustahilan  kontradiksi telah menggiring sebagian untuk tidak sajamengkhayalkannya  sebagai suatu hal yang mungkin adanya, melainkan menganggapnya  sebagai gejala dalam semua kejadian.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Keragu-raguan tentang nilai pengetahuan rasional pada dasarnya  berasal dari kesalah-pahaman serupa, dan untuk membongkar  keragu-raguan serta menepis kesalahpahaman tersebut, kita mesti  mendiskusikannya. Tindakan memasukkan penyataan-pernyataan aprior  dalam pembahasan logika dan epistemologi pada hakikatnya merupakan </w:t>
      </w:r>
    </w:p>
    <w:p>
      <w:pPr>
        <w:pStyle w:val="BookText"/>
        <w:bidi w:val="0"/>
        <w:rPr/>
      </w:pPr>
      <w:r>
        <w:rPr>
          <w:rFonts w:eastAsia="Times New Roman" w:cs="Times New Roman" w:ascii="Times New Roman" w:hAnsi="Times New Roman"/>
          <w:color w:val="111111"/>
          <w:sz w:val="28"/>
          <w:szCs w:val="28"/>
          <w:lang w:val="en-US"/>
        </w:rPr>
        <w:t>sebentuk penyimpangan, ikut-ikutan dan tenggang rasa kepada  kelompok yang mengidap kebimbangan. Masalahnya, apabila ada orang  yang benar-benar tidak menerima nilai pengetahuan rasional, meskipun  tanpa sadar, bagaimana mungkin kita beradu nalar dengannya melalui  pembuktian rasional? Padahal, argumen-argumen yang mereka ajukan  untuk membangkitkan keragu-raguan itupun sebetulnya juga berwatak  rasional.</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 kebutuhan filsafat pada prinsip-prinsiplogika danepistemologi  pada dasarnya untuk melipatgandakan pengetahuan, atau secara teknis  disebut “penerapan pengetahuan untuk menambah pengetahuan”, bukan  untuk meneguhkan kebenaran dan validitasnya. Menurutnya, orang  yang belum teracuni oleh keragu-raguan mengenai nilai pengetahuan  rasional bisa bernalar (to reason) untuk mencapai kesimpulan tentang  hampir semua hal, tanpa sadar bahwa penalarannya telah sesuai dengan  prinsip-prinsip logika atau cocok dengan bentuk pertama dari silogisme  Aristotelian dan syarat-syarat yang mengaturnya. Dia pun belum tentu  tahu akan adanya akal yang berfungsi mengenali premis-premis dan  menerima validitas kesimpulan yang membuntutinya. Pada sisi lain,  sebagian orang yang mau menolak rasionalisme dan metafisika bisa saja  menggunakan penalaran tanpa menyadari bahwa dia telah menggunakan  sejumlah premis rasional dalam metafisika. Ada pula orang yang mau  menolak kaidah-kaidah logika (rules of logic) dengan bersandar pula  pada kaidah-kaidah logika. Bahkan, ada juga yang secara gegabah dan  tanpa sadar mementahkan prinsip non-kontradiksi dengan menggunakan  prinsip non kontradiksi. Apabila kepada orang-orang dungu ini kita  katakan, “penalaran anda ini sekaligus sahih dan tidak sahih”, maka  mereka segera saja akan tersinggung dan merasa tercemooh.</w:t>
      </w:r>
      <w:r>
        <w:rPr>
          <w:rStyle w:val="FootnoteAnchor"/>
        </w:rPr>
        <w:footnoteReference w:id="198"/>
      </w:r>
      <w:r>
        <w:rPr>
          <w:rFonts w:eastAsia="Times New Roman" w:cs="Times New Roman" w:ascii="Times New Roman" w:hAnsi="Times New Roman"/>
          <w:color w:val="111111"/>
          <w:sz w:val="28"/>
          <w:szCs w:val="28"/>
          <w:lang w:val="en-US"/>
        </w:rPr>
        <w:t xml:space="preserve"> Denganpenjelasan diatas, MuhammadTaqiMisbah Yazdîmemberikan  klarifikasi tentang relasi epistemologi dengan ontologi, dan karakteristik  dari pengertian ‘kebergantungan”. Artinya, kebergantungan penalaran  filsufis pada prinsip-prinsip logika dan epistemologi sesungguhnya </w:t>
      </w:r>
    </w:p>
    <w:p>
      <w:pPr>
        <w:pStyle w:val="BookText"/>
        <w:bidi w:val="0"/>
        <w:rPr/>
      </w:pPr>
      <w:r>
        <w:rPr>
          <w:rFonts w:eastAsia="Times New Roman" w:cs="Times New Roman" w:ascii="Times New Roman" w:hAnsi="Times New Roman"/>
          <w:color w:val="111111"/>
          <w:sz w:val="28"/>
          <w:szCs w:val="28"/>
          <w:lang w:val="en-US"/>
        </w:rPr>
        <w:t>berbeda dengan kebergantungan sains lain pada prinsip-prinsip utamanya.</w:t>
      </w:r>
    </w:p>
    <w:p>
      <w:pPr>
        <w:pStyle w:val="BookText"/>
        <w:bidi w:val="0"/>
        <w:jc w:val="both"/>
        <w:rPr/>
      </w:pPr>
      <w:r>
        <w:rPr>
          <w:rFonts w:eastAsia="Times New Roman" w:cs="Times New Roman" w:ascii="Times New Roman" w:hAnsi="Times New Roman"/>
          <w:color w:val="111111"/>
          <w:sz w:val="28"/>
          <w:szCs w:val="28"/>
          <w:lang w:val="en-US"/>
        </w:rPr>
        <w:t>Soalnya, kebergantungan penalaran filsufis pada prinsip-prinsip logika  hanya bersifat sekunder, persis dengan kebergantungan prinsip-prinsip  sains pada sains itu sendiri, yakni kebutuhan dalam rangka rekonfirmasi  atas konfirmasi (kebenaran) hukum-hukum dan prinsip-prinsip yang  mengantur di atasnya. Hal itu mirip dengan contoh proposisi-proposisi  aprior (self-evident propositions) yang membutuhkan pada prinsip  kemustahilan kontradiksi. Sungguh jelas, kebergantungan proposisi-  proposisi aprior pada prinsip non kontradiksi tidak sama dengan pola  kebergantungan proposisi-proposisi aposterior (nazhariyyah, speculative  propositions) pada proposisi-proposisi aprior. Bila tidak demikian,  hilanglah perbedaan antara proposisi-proposisi aprior dan proposisi-  proposisi duga-sangka. Jadi, paling kurang kita mesti menerima  satu proposisi aprior sebagai nyata-nyata aprior, yaitu prinsip non  kontradiksi.</w:t>
      </w:r>
      <w:r>
        <w:rPr>
          <w:rStyle w:val="FootnoteAnchor"/>
        </w:rPr>
        <w:footnoteReference w:id="199"/>
      </w:r>
      <w:r>
        <w:rPr>
          <w:rFonts w:eastAsia="Times New Roman" w:cs="Times New Roman" w:ascii="Times New Roman" w:hAnsi="Times New Roman"/>
          <w:color w:val="111111"/>
          <w:sz w:val="28"/>
          <w:szCs w:val="28"/>
          <w:lang w:val="en-US"/>
        </w:rPr>
        <w:t xml:space="preserve"> Dalam skema filsafat Mullâ Sadrâ, epsitemologi tidak berdiri  sejajar dengan ontologi, bahkan epistemologi cenderung diperlakukan  sebagai “sisipan” ontologi yang tidak punya otonomi dan independensi  sama sekali. Epistemologi, paling tidak, hanya diposisikan sebagai  salah satu akses atau jalan masuk ke dalam misteri ada (ontos)—yang  selanjutnya tidak memiliki fungsi apa-apa. </w:t>
      </w:r>
      <w:r>
        <w:rPr>
          <w:rStyle w:val="FootnoteAnchor"/>
        </w:rPr>
        <w:footnoteReference w:id="200"/>
      </w:r>
      <w:r>
        <w:rPr>
          <w:rFonts w:eastAsia="Times New Roman" w:cs="Times New Roman" w:ascii="Times New Roman" w:hAnsi="Times New Roman"/>
          <w:color w:val="111111"/>
          <w:sz w:val="28"/>
          <w:szCs w:val="28"/>
          <w:lang w:val="en-US"/>
        </w:rPr>
        <w:t>Aroma epistemologi Mullâ  Sadrã sebenarnya ada dalam pandangan-pandangan Muhammad Taqi  Misbâh Yazdî. Pengetahuan bila diperlakukan sebagai entitas (maujud),  maka ia merupakan bagian dari ontologi, dan karenanya ia tidak perlu  dipisahkan  Mullâ Sadrâ mula-mula memperlakukan ilmu sebagai sebuah  entitas atau maujud sehinga ‘mengetahui bukan transfer data dari objek  ke subjek melalui sensasi (ihsâs), melainkan bersatunya objek dan  subjek dengan modus "berpindahnya sesuatu kepada sesuatu yang lain”.</w:t>
      </w:r>
      <w:r>
        <w:rPr>
          <w:rStyle w:val="FootnoteAnchor"/>
        </w:rPr>
        <w:footnoteReference w:id="20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rPr/>
      </w:pPr>
      <w:r>
        <w:rPr>
          <w:rFonts w:eastAsia="Times New Roman" w:cs="Times New Roman" w:ascii="Times New Roman" w:hAnsi="Times New Roman"/>
          <w:color w:val="111111"/>
          <w:sz w:val="28"/>
          <w:szCs w:val="28"/>
          <w:lang w:val="en-US"/>
        </w:rPr>
        <w:t>Namun, Muhammad Taqî Misbah Yazdî seakan menyadari kesulitan yang  akan dihadapi tatkala seseorang tidak mungkin serta merta memasuki  ranah ontologi (ada) tanpa melalui ‘tahu’, meski nantinya ‘tahu' ternyata,  bila dianalisis secara eksistensial, meruipakan bagian dari mujarradât.</w:t>
      </w:r>
    </w:p>
    <w:p>
      <w:pPr>
        <w:pStyle w:val="BookText"/>
        <w:bidi w:val="0"/>
        <w:jc w:val="both"/>
        <w:rPr/>
      </w:pPr>
      <w:r>
        <w:rPr>
          <w:rFonts w:eastAsia="Times New Roman" w:cs="Times New Roman" w:ascii="Times New Roman" w:hAnsi="Times New Roman"/>
          <w:color w:val="111111"/>
          <w:sz w:val="28"/>
          <w:szCs w:val="28"/>
          <w:lang w:val="en-US"/>
        </w:rPr>
        <w:t>Karena itu, Muhammad Taqi Mishbâh Yazdî rela berbeda dengan Mullâ  Sadrâ dan Thabâthabâ'î dengan tetap memulai pembahasan filsafat  dari pengetahuan ('ilm) sebelum wujûd. Muhammad Taqi Misbâh Yazdî  mendukung pendapat Mulla Hadi Sabzawarî yang menolak definisi  Mullâ Sadrâ tentang al-'ilm sebagai hudhur mujarradin ladâ mujjarad  entitas abstrak pada diri entitas abstrak lain). Karena, menurutnya,  pengetahuan sesuatu yang memiliki esksistensi termulia (Tuhan) mampu  mengenali entitas-entitas non abstrak secara langsung, tanpa medium  entitas-entitas abstrak lainnya.</w:t>
      </w:r>
      <w:r>
        <w:rPr>
          <w:rStyle w:val="FootnoteAnchor"/>
        </w:rPr>
        <w:footnoteReference w:id="202"/>
      </w:r>
      <w:r>
        <w:rPr>
          <w:rFonts w:eastAsia="Times New Roman" w:cs="Times New Roman" w:ascii="Times New Roman" w:hAnsi="Times New Roman"/>
          <w:color w:val="111111"/>
          <w:sz w:val="28"/>
          <w:szCs w:val="28"/>
          <w:lang w:val="en-US"/>
        </w:rPr>
        <w:t>Penolakan ini juga secara implisit  diekspresikan melalui penyusunan bab-bab pembahasan dalam buku  Âmûzesy-e Falsafeh. Karyanya itu dimulai dengan pembahasan khusus  epistemologi. Hal ini dapat diartikan bahwa ia lebih mendahulukan ‘tahu?  daripada ‘ada.</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Terbukti, pengetahuan hadir dalam epistemologi juga hadir dalam  ontologi. Ilmu (hushûli) menjadi tema epistemologi karena Muhammad  Taqi Misbah Yazdî menganggap “tahu' mendahului “ada’, namun ilmu  juga masuk dalam tema ontologi karena Muhammad Taqi Misbâh Yazdî  menganggap ilmu (hudhûrî) sebagai maujud abstrak. </w:t>
      </w:r>
      <w:r>
        <w:rPr>
          <w:rStyle w:val="FootnoteAnchor"/>
        </w:rPr>
        <w:footnoteReference w:id="203"/>
      </w:r>
      <w:r>
        <w:rPr>
          <w:rFonts w:eastAsia="Times New Roman" w:cs="Times New Roman" w:ascii="Times New Roman" w:hAnsi="Times New Roman"/>
          <w:color w:val="111111"/>
          <w:sz w:val="28"/>
          <w:szCs w:val="28"/>
          <w:lang w:val="en-US"/>
        </w:rPr>
        <w:t xml:space="preserve">Ketidaktegasan  Muhammad Taqi Misbâh Yazdî mengambil posisi sebagai peripatetis-  rasionalis atau transendentalis membuatnya memasukkan pengetahuan  dalam dua epistemologi dan ontologi. Padahal, epsietmologi dikhususkan  sebagai bidang yang membahas pengetahuan dan tema-tema konsep  lainnya. </w:t>
      </w:r>
      <w:bookmarkStart w:id="156" w:name="pg6424_44984"/>
    </w:p>
    <w:p>
      <w:pPr>
        <w:pStyle w:val="Heading3"/>
        <w:numPr>
          <w:ilvl w:val="2"/>
          <w:numId w:val="1"/>
        </w:numPr>
        <w:bidi w:val="0"/>
        <w:jc w:val="left"/>
        <w:rPr/>
      </w:pPr>
      <w:bookmarkStart w:id="157" w:name="__RefHeading___Toc688633_653776707"/>
      <w:bookmarkStart w:id="158" w:name="_Toc56"/>
      <w:bookmarkEnd w:id="156"/>
      <w:bookmarkEnd w:id="157"/>
      <w:r>
        <w:rPr/>
        <w:t>C. Filsafat dan Ilmu</w:t>
      </w:r>
      <w:bookmarkEnd w:id="158"/>
    </w:p>
    <w:p>
      <w:pPr>
        <w:pStyle w:val="BookText"/>
        <w:bidi w:val="0"/>
        <w:jc w:val="both"/>
        <w:rPr/>
      </w:pPr>
      <w:r>
        <w:rPr>
          <w:rFonts w:eastAsia="Times New Roman" w:cs="Times New Roman" w:ascii="Times New Roman" w:hAnsi="Times New Roman"/>
          <w:color w:val="111111"/>
          <w:sz w:val="28"/>
          <w:szCs w:val="28"/>
          <w:lang w:val="en-US"/>
        </w:rPr>
        <w:t>Lebih lanjut, Muhammad Taqi Misbah Yazdî menjelaskan secara  terperinci perbedaan filsafat dengan ilmu-ilmu lain. Menurutnya,  berbeda dengan ilmu-ilmu empiris dan naratif, problem filsafat hanya  dapat dipecahkan melalui metode rasional (yang tentu saja tidak hanya  eksklusif filsafat pertama lantaran digunakan juga dalam logika, teologi,  psikologi filsufis, dan beberapa ilmu lain, seperti etika dan matematika).</w:t>
      </w:r>
    </w:p>
    <w:p>
      <w:pPr>
        <w:pStyle w:val="BookText"/>
        <w:bidi w:val="0"/>
        <w:jc w:val="both"/>
        <w:rPr/>
      </w:pPr>
      <w:r>
        <w:rPr>
          <w:rFonts w:eastAsia="Times New Roman" w:cs="Times New Roman" w:ascii="Times New Roman" w:hAnsi="Times New Roman"/>
          <w:color w:val="111111"/>
          <w:sz w:val="28"/>
          <w:szCs w:val="28"/>
          <w:lang w:val="en-US"/>
        </w:rPr>
        <w:t>Berdasarkan itu, menurutnya, filsafat memiliki sejumlah tujuan. Pertama,  membangun fondasi sekaligus penegasan (assertion) terhadap prinsip-  prinsip ilmu-ilmu lain. Itulah sebabnya, ilmu-ilmu lain membutuhkan  filsafat, yang kemudian disebut induk segala ilmu (mother of science);  Kedua, berposisi sebagai instrumen dan tolok ukur yang memisahkan  ihwal yang benar-benar nyata dan hakiki dari ihwal waham dan rekaan.</w:t>
      </w:r>
    </w:p>
    <w:p>
      <w:pPr>
        <w:pStyle w:val="BookText"/>
        <w:bidi w:val="0"/>
        <w:jc w:val="both"/>
        <w:rPr/>
      </w:pPr>
      <w:r>
        <w:rPr>
          <w:rFonts w:eastAsia="Times New Roman" w:cs="Times New Roman" w:ascii="Times New Roman" w:hAnsi="Times New Roman"/>
          <w:color w:val="111111"/>
          <w:sz w:val="28"/>
          <w:szCs w:val="28"/>
          <w:lang w:val="en-US"/>
        </w:rPr>
        <w:t>Oleh karena itu, tujuan utama filsafat adakalanya dianggap untuk  memahami ihwal yang benar-benar nyata dan hakiki berikut pemilahannya  dari ilusi. Tetapi, ada baiknya jika hal itu diletakkan sebagai tujuan  epistemologi.</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Konsep-konsep filsafat sama-sekali tidak dicerap dengan  pancaindra atau pengalaman (indrawi), seperti konsep sebab-akibat,  keniscayaan-kemungkinan, wujud material-wujud abstrak, dan lain-  lain. Konsep-konsep ini secara teknis disebut konsep-konsep sekundar  ontologis, disebut ma`qûlât tsânawiyyah falsafiyyah, (philosophical  secondary intelligibles). </w:t>
      </w:r>
      <w:r>
        <w:rPr>
          <w:rStyle w:val="FootnoteAnchor"/>
        </w:rPr>
        <w:footnoteReference w:id="204"/>
      </w:r>
      <w:r>
        <w:rPr>
          <w:rFonts w:eastAsia="Times New Roman" w:cs="Times New Roman" w:ascii="Times New Roman" w:hAnsi="Times New Roman"/>
          <w:color w:val="111111"/>
          <w:sz w:val="28"/>
          <w:szCs w:val="28"/>
          <w:lang w:val="en-US"/>
        </w:rPr>
        <w:t xml:space="preserve"> Mengamati kekhasan-kekhasan tersebut, dapat dimengerti bahwa  Muhammad Taqi Misbâh Yazdî bermaksud menegaskan bahwa tema-  tema filsafat hanya mungkin didemonstrasikan melalui metode rasional.</w:t>
      </w:r>
      <w:r>
        <w:rPr>
          <w:rStyle w:val="FootnoteAnchor"/>
        </w:rPr>
        <w:footnoteReference w:id="205"/>
      </w:r>
      <w:r>
        <w:rPr>
          <w:rFonts w:eastAsia="Times New Roman" w:cs="Times New Roman" w:ascii="Times New Roman" w:hAnsi="Times New Roman"/>
          <w:color w:val="111111"/>
          <w:sz w:val="28"/>
          <w:szCs w:val="28"/>
          <w:lang w:val="en-US"/>
        </w:rPr>
        <w:t xml:space="preserve"> Ia juga ingin manyatakan bahwa aksioma-aksioma filsafat tidak  diperoleh dengan merampatkan (generalizing) pelbagai hukum ilmu-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ilmu empiris.</w:t>
      </w:r>
      <w:r>
        <w:rPr>
          <w:rStyle w:val="FootnoteAnchor"/>
        </w:rPr>
        <w:footnoteReference w:id="206"/>
      </w:r>
      <w:r>
        <w:rPr>
          <w:rFonts w:eastAsia="Times New Roman" w:cs="Times New Roman" w:ascii="Times New Roman" w:hAnsi="Times New Roman"/>
          <w:color w:val="111111"/>
          <w:sz w:val="28"/>
          <w:szCs w:val="28"/>
          <w:lang w:val="en-US"/>
        </w:rPr>
        <w:t xml:space="preserve"> Salah satu cara membatasi topik induk adalah dengan “menyempitkan  kemutlakannya” (ÖLYI l / qayd al-ithlâq). Dalam ilmu (yang lebih  umum), fokus pembicaraan berkisar pada prinsip-prinsip tetap dalam  esensi subjek secara umum, atau secara mutlak, tanpa mempertimbangkan  ciri-ciri khasnya. Pembicaraan ini berlaku bagi seluruh contoh subjek  individual yang bersangkutan. Umpamanya, prinsip-prinsip dan ciri-  ciri khas benda ditetapkan secara umum atau mutlak; apakah bersifat  mineral atau organik, nabati atau hewani (manusia). Subjek ilmu tersebut  dapat ditetapkan sebagai “benda mutlak”, yang nantinya bisa dijadikan  lebih spesifik dan rigid menjadi ilmu-ilmu tertentu. Ahli-ahli teosofi  (hukamâ') mengkhususkan bagian pertama fisika untuk mengulas  prinsip-prinsip umum tersebut dengan nama samâ' tabî’i (fisika umum  elementer) dan sam’al-kiyân (astronomi umum elementer). Baru setelah  itu, mereka mengkhususkan sekelompok benda untuk ilmu tertentu,  seperti kosmologi, minerologi, botani, dan zoologi.</w:t>
      </w:r>
      <w:r>
        <w:rPr>
          <w:rStyle w:val="FootnoteAnchor"/>
        </w:rPr>
        <w:footnoteReference w:id="207"/>
      </w:r>
      <w:r>
        <w:rPr>
          <w:rFonts w:eastAsia="Times New Roman" w:cs="Times New Roman" w:ascii="Times New Roman" w:hAnsi="Times New Roman"/>
          <w:color w:val="111111"/>
          <w:sz w:val="28"/>
          <w:szCs w:val="28"/>
          <w:lang w:val="en-US"/>
        </w:rPr>
        <w:t xml:space="preserve"> Pola yang sama juga dapat diberlakukan pada sub-sub ilmu yang  lebih partikular. Misalnya, masalah-masalah yang terkait dengan semua  binatang dapat dijadikan sebagai ilmu khusus dengan subjek 'binatang  mutlak' atau 'binatang sebagai binatang’. Kemudian, hukum-hukum  khusus untuk tiap-tiap binatang dibahas dalam ilmu-ilmu yang lebih  khusus lagi.</w:t>
      </w:r>
      <w:r>
        <w:rPr>
          <w:rStyle w:val="FootnoteAnchor"/>
        </w:rPr>
        <w:footnoteReference w:id="208"/>
      </w:r>
      <w:r>
        <w:rPr>
          <w:rFonts w:eastAsia="Times New Roman" w:cs="Times New Roman" w:ascii="Times New Roman" w:hAnsi="Times New Roman"/>
          <w:color w:val="111111"/>
          <w:sz w:val="28"/>
          <w:szCs w:val="28"/>
          <w:lang w:val="en-US"/>
        </w:rPr>
        <w:t xml:space="preserve"> Dengan cara seperti itu, benda secara umum menjadi pokok masalah  (subject matter) dalam filsafat kuno yang disebut ‘ilmu alam’, dan benda  mutlak menjadi subjek bagian pertama fisika yang disebut “fisika umum  elementer?. Tiap-tiap (jenis) benda, seperti benda-benda kosmik, benda-  benda tambang, dan benda-benda hidup, menjadi subjek kosmologi,  minerologi, dan biologi. Selanjutnya, benda hidup secara umum menjadi  subjek ilmu biologi umum, dan benda hidup mutlak menjadi subjek ilmu </w:t>
      </w:r>
    </w:p>
    <w:p>
      <w:pPr>
        <w:pStyle w:val="BookText"/>
        <w:bidi w:val="0"/>
        <w:rPr/>
      </w:pPr>
      <w:r>
        <w:rPr>
          <w:rFonts w:eastAsia="Times New Roman" w:cs="Times New Roman" w:ascii="Times New Roman" w:hAnsi="Times New Roman"/>
          <w:color w:val="111111"/>
          <w:sz w:val="28"/>
          <w:szCs w:val="28"/>
          <w:lang w:val="en-US"/>
        </w:rPr>
        <w:t xml:space="preserve">yang membahas prinsip-prinsip segenap maujud hidup. Masing-masing  jenis maujud hidup membentuk subjek dari cabang-cabang tertentu  biologi. </w:t>
      </w:r>
      <w:r>
        <w:rPr>
          <w:rStyle w:val="FootnoteAnchor"/>
        </w:rPr>
        <w:footnoteReference w:id="209"/>
      </w:r>
      <w:r>
        <w:rPr>
          <w:rFonts w:eastAsia="Times New Roman" w:cs="Times New Roman" w:ascii="Times New Roman" w:hAnsi="Times New Roman"/>
          <w:color w:val="111111"/>
          <w:sz w:val="28"/>
          <w:szCs w:val="28"/>
          <w:lang w:val="en-US"/>
        </w:rPr>
        <w:t xml:space="preserve"> Di sini sebuah pertanyaan kritiks dilontarkan; bilamana suatu prinsip  terdapat pada beberapa jenis subjek universal dan tidak mencakup  semuanya, maka bidang ilmu apakah yang relevan digunakan untuk  menelaah prinsip-prinsip semacam itu? Misalnya, bila terdapat satu  hal pada beberapa maujud hidup tidak dapat dianggap sebagai sifat  aksidental maujud hidup mutlak, karena tidak mencakup seluruh maujud  hidup; maka di sisi lain, pembahasan pada masing-masing ilmu yang  bersangkutan akan menjadi pengulangan yang sia-sia. Jadi, di manakah  seharusnya prinsip semacam ini dikerangkakan?  Menjawab pertanyaan di atas, Muhammad Taqi Misbâh Yazdî  menyatakan bahwa masalah semacam ini ditelaah dalam ilmu bersubjek  mutlak. Prinsip-prinsip subjek mutlak </w:t>
      </w:r>
      <w:r>
        <w:rPr>
          <w:rFonts w:ascii="IRNazanin" w:hAnsi="IRNazanin" w:eastAsia="IRNazanin"/>
          <w:color w:val="111111"/>
          <w:sz w:val="28"/>
          <w:sz w:val="28"/>
          <w:szCs w:val="28"/>
          <w:rtl w:val="true"/>
          <w:lang w:bidi="fa-IR"/>
        </w:rPr>
        <w:t>العوارض الذاتیة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awâridh dzâtiyyah,  aksiden-aksiden substansial) didefinisikan sebagai prinsip menyangkut  substansi subjek sebelum terjamah pembatasan dan pengetatan ilmu-  ilmu partikular. Sebetulnya, kelonggaran definisi ini lebih baik daripada  mengulang-ulang masalah yang berkenaan dengan ihwal filsafat pertama  atau metafisika.</w:t>
      </w:r>
      <w:r>
        <w:rPr>
          <w:rStyle w:val="FootnoteAnchor"/>
        </w:rPr>
        <w:footnoteReference w:id="210"/>
      </w:r>
      <w:r>
        <w:rPr>
          <w:rFonts w:eastAsia="Times New Roman" w:cs="Times New Roman" w:ascii="Times New Roman" w:hAnsi="Times New Roman"/>
          <w:color w:val="111111"/>
          <w:sz w:val="28"/>
          <w:szCs w:val="28"/>
          <w:lang w:val="en-US"/>
        </w:rPr>
        <w:t>Sebagian filsuf menyatakan bahwa disiplin tersebut  merupakan ilmu yang membahas hukum dan aksiden yang ditetapkan  pada maujud mutlak (atau maujud qua maujud), sebelum maujud itu  dipagari pembatasan ‘alamiah' atau ‘matematis'.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setiap ilmu terdapat serangkaian proposisi yang saling  berhubungan. Kenyataannya, sasaran jangka pendek serta motivasi  belajar dan mengajar ilmu itu adalah menganalisis proposisi-proposisi  tersebut dan membuktikan keberlakuan predikat pada subjek ilmu  itu. Jadi, pada setiap ilmu, subjek diasumsikan mewujud dan pelbagai  predikatnya dapat dibuktikan sebagai bagian atau contoh individual dari  subjek tersebut. Karena itu, sebelum berurusan dengan pemaparan dan </w:t>
      </w:r>
    </w:p>
    <w:p>
      <w:pPr>
        <w:pStyle w:val="BookText"/>
        <w:bidi w:val="0"/>
        <w:rPr/>
      </w:pPr>
      <w:r>
        <w:rPr>
          <w:rFonts w:eastAsia="Times New Roman" w:cs="Times New Roman" w:ascii="Times New Roman" w:hAnsi="Times New Roman"/>
          <w:color w:val="111111"/>
          <w:sz w:val="28"/>
          <w:szCs w:val="28"/>
          <w:lang w:val="en-US"/>
        </w:rPr>
        <w:t>penguraian masalah-masalah suatu bidang ilmu, perlu dikenali sederet  hal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Ke-apa-an (and lo/mâhiyyah) dan konsep subjek.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Keberadaan subjek.</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Prinsip-prinsip memecahkan pelbagai persoalan ilmu tersebut.</w:t>
      </w:r>
      <w:r>
        <w:rPr>
          <w:rStyle w:val="FootnoteAnchor"/>
        </w:rPr>
        <w:footnoteReference w:id="211"/>
      </w:r>
      <w:r>
        <w:rPr>
          <w:rFonts w:eastAsia="Times New Roman" w:cs="Times New Roman" w:ascii="Times New Roman" w:hAnsi="Times New Roman"/>
          <w:color w:val="111111"/>
          <w:sz w:val="28"/>
          <w:szCs w:val="28"/>
          <w:lang w:val="en-US"/>
        </w:rPr>
        <w:t>Se-  genap hal di atas ada kalanya aprior dan tidak memerlukan  penjabaran dan penghayatan, sehingga tidak ditemukan kesulitan  sama-sekali; dan ada kalanya pengetahuan mengenai semua itu perlu  dijabarkan dan dibuktikan. Misalnya, bisa saja keberadaan subjek  (seperti ruh manusia) masih diperselisihkan, serta diduga merupakan  subjek imajiner dan tidak nyata sehingga keberadaan sesungguhnya  mesti dibuktikan. Juga, boleh jadi muncul keraguan seputar prinsip-  prinsip pemecahan masalah dalam suatu ilmu, sehingga pertama-tama  kita mesti membuktikan prinsip-prinsip tersebut. Kalau tidak demikian,  maka semua kesimpulan yang diderivasi dari prinsip-prinsip tersebut  tidak akan berbobot ilmiah atau melahirkan kepastian.</w:t>
      </w:r>
      <w:r>
        <w:rPr>
          <w:rStyle w:val="FootnoteAnchor"/>
        </w:rPr>
        <w:footnoteReference w:id="212"/>
      </w:r>
      <w:r>
        <w:rPr>
          <w:rFonts w:eastAsia="Times New Roman" w:cs="Times New Roman" w:ascii="Times New Roman" w:hAnsi="Times New Roman"/>
          <w:color w:val="111111"/>
          <w:sz w:val="28"/>
          <w:szCs w:val="28"/>
          <w:lang w:val="en-US"/>
        </w:rPr>
        <w:t xml:space="preserve"> Tema-tema semacam ini diistilahkan dengan “prinsip-prinsip ilmu”  (</w:t>
      </w:r>
      <w:r>
        <w:rPr>
          <w:rFonts w:ascii="IRNazanin" w:hAnsi="IRNazanin" w:eastAsia="IRNazanin"/>
          <w:color w:val="111111"/>
          <w:sz w:val="28"/>
          <w:sz w:val="28"/>
          <w:szCs w:val="28"/>
          <w:rtl w:val="true"/>
          <w:lang w:bidi="fa-IR"/>
        </w:rPr>
        <w:t>مبادی العلم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mabâdi' al-'ilm), yang terbagi menjadi prinsip-prinsip   konseptual</w:t>
      </w:r>
      <w:r>
        <w:rPr>
          <w:rFonts w:ascii="IRNazanin" w:hAnsi="IRNazanin" w:eastAsia="IRNazanin"/>
          <w:color w:val="111111"/>
          <w:sz w:val="28"/>
          <w:sz w:val="28"/>
          <w:szCs w:val="28"/>
          <w:rtl w:val="true"/>
          <w:lang w:bidi="fa-IR"/>
        </w:rPr>
        <w:t>المبادئ التصدیقیة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dan prinsip-prinsip asertif (</w:t>
      </w:r>
      <w:r>
        <w:rPr>
          <w:rFonts w:ascii="IRNazanin" w:hAnsi="IRNazanin" w:eastAsia="IRNazanin"/>
          <w:color w:val="111111"/>
          <w:sz w:val="28"/>
          <w:sz w:val="28"/>
          <w:szCs w:val="28"/>
          <w:rtl w:val="true"/>
          <w:lang w:bidi="fa-IR"/>
        </w:rPr>
        <w:t>المبادئ التصوریة</w:t>
      </w:r>
      <w:r>
        <w:rPr>
          <w:rFonts w:ascii="IRNazanin" w:hAnsi="IRNazanin" w:eastAsia="IRNazanin"/>
          <w:color w:val="111111"/>
          <w:sz w:val="28"/>
          <w:sz w:val="28"/>
          <w:szCs w:val="28"/>
          <w:lang w:bidi="fa-IR"/>
        </w:rPr>
        <w:t xml:space="preserve"> </w:t>
      </w:r>
      <w:r>
        <w:rPr>
          <w:rStyle w:val="FootnoteAnchor"/>
        </w:rPr>
        <w:footnoteReference w:id="213"/>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Prinsip-prinsip konseptual yang memuat pelbagai definisi dan penjelasan  ke-apa-an tentang hal-hal yang dibahas ini biasanya tercakup dalam  pengantar ilmu bersangkutan. Adapun prinsip-prinsip asertif suatu ilmu  kerapkali dibicarakan dalam ilmu-ilmu lain.</w:t>
      </w:r>
      <w:r>
        <w:rPr>
          <w:rStyle w:val="FootnoteAnchor"/>
        </w:rPr>
        <w:footnoteReference w:id="214"/>
      </w:r>
      <w:r>
        <w:rPr>
          <w:rFonts w:eastAsia="Times New Roman" w:cs="Times New Roman" w:ascii="Times New Roman" w:hAnsi="Times New Roman"/>
          <w:color w:val="111111"/>
          <w:sz w:val="28"/>
          <w:szCs w:val="28"/>
          <w:lang w:val="en-US"/>
        </w:rPr>
        <w:t>Filsafat masing-masing  ilmu sebenarnya adalah ilmu yang menjelaskan dan menetapkan prinsip-  prinsip ilmu tersebut. Akhirnya, prinsip-prinsip paling umum seluruh  ilmu dibicarakan dan diteliti dalam filsafat utama atau metafisika.</w:t>
      </w:r>
      <w:r>
        <w:rPr>
          <w:rStyle w:val="FootnoteAnchor"/>
        </w:rPr>
        <w:footnoteReference w:id="215"/>
      </w:r>
    </w:p>
    <w:p>
      <w:pPr>
        <w:pStyle w:val="BookText"/>
        <w:bidi w:val="0"/>
        <w:rPr/>
      </w:pPr>
      <w:r>
        <w:rPr>
          <w:rFonts w:eastAsia="Times New Roman" w:cs="Times New Roman" w:ascii="Times New Roman" w:hAnsi="Times New Roman"/>
          <w:color w:val="111111"/>
          <w:sz w:val="28"/>
          <w:szCs w:val="28"/>
          <w:lang w:val="en-US"/>
        </w:rPr>
        <w:t>Dari sini, Muhammad Taqî Misbâh Yazdî memasukkan hukum  kausalitas. Menurutnya, di antara prinsip-prinsip tersebut adalah  “kausalitas”, yang diandalkan seluruh pakar empirisis.</w:t>
      </w:r>
      <w:r>
        <w:rPr>
          <w:rStyle w:val="FootnoteAnchor"/>
        </w:rPr>
        <w:footnoteReference w:id="216"/>
      </w:r>
      <w:r>
        <w:rPr>
          <w:rFonts w:eastAsia="Times New Roman" w:cs="Times New Roman" w:ascii="Times New Roman" w:hAnsi="Times New Roman"/>
          <w:color w:val="111111"/>
          <w:sz w:val="28"/>
          <w:szCs w:val="28"/>
          <w:lang w:val="en-US"/>
        </w:rPr>
        <w:t>Mau atau  tidak, sadar maupun tidak, pada dasarnya, segenap penelitian ilmiah  yang dilakukan bertumpu pada prinsip ini, lantaran seluruh penelitian  berkisar pada upaya menemukan hubungan-hubungan kausal antar  berbagai gejala. Namun demikian, prinsip dan hukum ini sendiri tidak  dapat dibuktikan secara empiris, dan pembahasannya hanya mungkin  dilakukan dalam konteks disiplin filsafat.</w:t>
      </w:r>
      <w:r>
        <w:rPr>
          <w:rStyle w:val="FootnoteAnchor"/>
        </w:rPr>
        <w:footnoteReference w:id="217"/>
      </w:r>
      <w:r>
        <w:rPr>
          <w:rFonts w:eastAsia="Times New Roman" w:cs="Times New Roman" w:ascii="Times New Roman" w:hAnsi="Times New Roman"/>
          <w:color w:val="111111"/>
          <w:sz w:val="28"/>
          <w:szCs w:val="28"/>
          <w:lang w:val="en-US"/>
        </w:rPr>
        <w:t xml:space="preserve"> Cara terbaik untuk mendefinisikan ilmu adalah dengan mencirikan  (specify) subjeknya. Bila subjek itu memiliki batasan atau ikatan, seorang  peneliti harus mencermatinya dengan saksama. Kemudian, masalah-  masalah ilmu itu diperkenalkan sebagai proposisi-proposisi yang  berkisar pada subjek tersebut. Di sisi lain, pencirian dan pembatasan  (qualifications) bergantung pada penetapan masalah-masalah yang  ditujukan untuk menjabarkan suatu ilmu, hingga batas tertentu, bergantung  pada konvensi dan kesepakatan. Umpamanya, dengan memperhatikan  topik “maujud” sebagai konsep paling umum untuk sesuatu yang bersifat  hakiki, akan ditemukan bahwa subjek semua persoalan hakiki bernaung  di bawahnya. Dan jika menjadikannya subjek suatu ilmu, maka ia akan  meliputi segenap masalah ilmu hakiki. Ilmu bersubjek “maujud” inilah  yang disebut “filsafat dalam pengertian kuno. </w:t>
      </w:r>
      <w:r>
        <w:rPr>
          <w:rStyle w:val="FootnoteAnchor"/>
        </w:rPr>
        <w:footnoteReference w:id="218"/>
      </w:r>
      <w:r>
        <w:rPr>
          <w:rFonts w:eastAsia="Times New Roman" w:cs="Times New Roman" w:ascii="Times New Roman" w:hAnsi="Times New Roman"/>
          <w:color w:val="111111"/>
          <w:sz w:val="28"/>
          <w:szCs w:val="28"/>
          <w:lang w:val="en-US"/>
        </w:rPr>
        <w:t xml:space="preserve"> Rumusan ilmu yang sedemikian luas (inclusive) ini, tentu, tidak  sejalan dengan tujuan klasifikasi ilmu. Untuk memenuhi tujuan tersebut,  tidak ada pilihan lain kecuali memandang subjek secara lebih terbatas.</w:t>
      </w:r>
    </w:p>
    <w:p>
      <w:pPr>
        <w:pStyle w:val="BookText"/>
        <w:bidi w:val="0"/>
        <w:jc w:val="both"/>
        <w:rPr/>
      </w:pPr>
      <w:r>
        <w:rPr>
          <w:rFonts w:eastAsia="Times New Roman" w:cs="Times New Roman" w:ascii="Times New Roman" w:hAnsi="Times New Roman"/>
          <w:color w:val="111111"/>
          <w:sz w:val="28"/>
          <w:szCs w:val="28"/>
          <w:lang w:val="en-US"/>
        </w:rPr>
        <w:t>Para pengajar di zaman kuno membagi seluruh masalah teoretis dalam  dua kelompok, yang masing-masingnya berkisar pada sekumpulan isu.</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Kelompok pertama disebut fisika dan lainnya matematika. Kemudian, </w:t>
      </w:r>
    </w:p>
    <w:p>
      <w:pPr>
        <w:pStyle w:val="BookText"/>
        <w:bidi w:val="0"/>
        <w:rPr/>
      </w:pPr>
      <w:r>
        <w:rPr>
          <w:rFonts w:eastAsia="Times New Roman" w:cs="Times New Roman" w:ascii="Times New Roman" w:hAnsi="Times New Roman"/>
          <w:color w:val="111111"/>
          <w:sz w:val="28"/>
          <w:szCs w:val="28"/>
          <w:lang w:val="en-US"/>
        </w:rPr>
        <w:t xml:space="preserve">masing-masing kelompok ini dipecah-pecah lagi ke dalam ilmu-ilmu  yang lebih partikular. Selain kedua kelompok teoretis tersebut, terdapat  kelompok ketiga yang berkisar pada Tuhan, yang disebut teologi. </w:t>
      </w:r>
      <w:r>
        <w:rPr>
          <w:rStyle w:val="FootnoteAnchor"/>
        </w:rPr>
        <w:footnoteReference w:id="219"/>
      </w:r>
      <w:r>
        <w:rPr>
          <w:rFonts w:eastAsia="Times New Roman" w:cs="Times New Roman" w:ascii="Times New Roman" w:hAnsi="Times New Roman"/>
          <w:color w:val="111111"/>
          <w:sz w:val="28"/>
          <w:szCs w:val="28"/>
          <w:lang w:val="en-US"/>
        </w:rPr>
        <w:t xml:space="preserve"> Kelompok keempat yang termasuk dalam ranah intelektual teoretis  berada di luar subjek-subjek yang telah disebutkan dan tidak terbatas  atau terikat pada subjek tertentu. Tampaknya, karena nama atau istilah  yang tepat untuk menyebut kumpulan masalah dalam kelompok keempat  yang didiskusikan setelah fisika ini tidak ditemukan, maka ia pun disebut  metafisika (melampaui fisika). Posisi persoalan ini terhadap persoalan  ilmu-ilmu teoretis lainnya persis dengan posisi fisika elementer terhadap  ilmu-ilmu alam lainnya.</w:t>
      </w:r>
    </w:p>
    <w:p>
      <w:pPr>
        <w:pStyle w:val="BookText"/>
        <w:bidi w:val="0"/>
        <w:jc w:val="both"/>
        <w:rPr/>
      </w:pPr>
      <w:r>
        <w:rPr>
          <w:rFonts w:eastAsia="Times New Roman" w:cs="Times New Roman" w:ascii="Times New Roman" w:hAnsi="Times New Roman"/>
          <w:color w:val="111111"/>
          <w:sz w:val="28"/>
          <w:szCs w:val="28"/>
          <w:lang w:val="en-US"/>
        </w:rPr>
        <w:t>Pemikiran filsafat Muhammad Taqi Mishbâh Yazdî dikritik oleh para  pemikir segerasinya, bahkan oleh sebagian muridnya. Alasan-alasan  kritiknya beragam. Umumnya mereka mempertanyakan konsistensi  Muhammad Taqi Mishbâh Yazdî dalam membangun pandangan  filsafatnya. Dengan tetap mengaku sebagai penganut Sadraisme--karena  meyakiniashâlatal-wujûd--iamenolakmemasukkanilmuhudhûrîsebagai  bagian dari metodologi dan justifikasi filsafat ontologi. Padahal dalam  pandangan filsafat Mullâ Sadrâ dan Thabathabâ’î, karena pengetahuan  diperlakukan sebagai maujud, epistemologi menjadi bagian integral dari  ontologi, berdasarkan kaidah ‘ittihad al-âqil wa al-ma'qûl’. Rupanya,  karena menghindari keterlibatan dzauq dalam filsafat, Muhammad Taqî  Mishbâh Yazdî melakukan sebuah aksi eklektik dengan tetap memulai  pembahasan filsafat dari pengetahuan. Secara singkat, Muhammad Taqî  Mishbâh Yazdî mendahulukan pengetahuan atas keberadaan (w ujûd).</w:t>
      </w:r>
    </w:p>
    <w:p>
      <w:pPr>
        <w:pStyle w:val="BookText"/>
        <w:bidi w:val="0"/>
        <w:jc w:val="both"/>
        <w:rPr/>
      </w:pPr>
      <w:r>
        <w:rPr>
          <w:rFonts w:eastAsia="Times New Roman" w:cs="Times New Roman" w:ascii="Times New Roman" w:hAnsi="Times New Roman"/>
          <w:color w:val="111111"/>
          <w:sz w:val="28"/>
          <w:szCs w:val="28"/>
          <w:lang w:val="en-US"/>
        </w:rPr>
        <w:t>Dengan kata lain, ia ingin mensitesakan filsafat Mullâ Sadrâ yang  teosofis dan filsafat Ibn Sina yang skolastik.</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dengan merujuk karya utamanya, Âmûzesy-e Falsafeh dan  Ta'liqah ala Nihâyat al-Hikmah, dapat dipastikan bahwa penolakan  Muhammad Taqi Mishbâh Yazdî atas keterlibatan ilmu hudhûrî dalam  filsafatontologihanya sebatas motode pembuktianatas proposisi-proposisi </w:t>
      </w:r>
      <w:bookmarkStart w:id="159" w:name="pg6424_44998"/>
    </w:p>
    <w:p>
      <w:pPr>
        <w:pStyle w:val="BookText"/>
        <w:bidi w:val="0"/>
        <w:rPr/>
      </w:pPr>
      <w:bookmarkEnd w:id="159"/>
      <w:r>
        <w:rPr>
          <w:rFonts w:eastAsia="Times New Roman" w:cs="Times New Roman" w:ascii="Times New Roman" w:hAnsi="Times New Roman"/>
          <w:color w:val="111111"/>
          <w:sz w:val="28"/>
          <w:szCs w:val="28"/>
          <w:lang w:val="en-US"/>
        </w:rPr>
        <w:t xml:space="preserve">aposterior (nazhari/ spekluatif). Ia menegaskan bahwa jangkauan ilmu  hudhûrî dalam memecahkan persoalan-persoalan ontologis dan teologis  sangatlah terbatas, sehingga jenis ilmu ini, meski tetap dipandang penting  dan krusial, mendapatkan ruang yang sempit sekaligus tinggi. Ketinggian  tempat ilmu hudhûrî dalam ontologi, menurut Muhammad Taqi Mishbâh  Yazdî, dikuatkan oleh kepercayaannya pada foundasionalisme dan oleh  padanngannya bahwa ilmu hudhûrî adalah salah satu basis pengetahuan  badîhî. </w:t>
      </w:r>
      <w:r>
        <w:rPr>
          <w:rStyle w:val="FootnoteAnchor"/>
        </w:rPr>
        <w:footnoteReference w:id="220"/>
      </w:r>
      <w:r>
        <w:rPr>
          <w:rFonts w:eastAsia="Times New Roman" w:cs="Times New Roman" w:ascii="Times New Roman" w:hAnsi="Times New Roman"/>
          <w:color w:val="111111"/>
          <w:sz w:val="28"/>
          <w:szCs w:val="28"/>
          <w:lang w:val="en-US"/>
        </w:rPr>
        <w:t xml:space="preserve"> Boleh jadi, kritik di atas itu ini muncul karena Muhammad Taqi  Mishbâh Yazdî tidak menyediakan sebuah karya yang menghimpun  uraian yang cukup untuk melakukan klarifikasi. Alih-alih melakukan  itu, Muhammad Taqi Mishbâh Yazdî malah meninggalkan forum diskusi  filsafat ontologi dan mendirikan sebuah lembaga penelitian dan pengajaran  yang bercita-cita menghubungkan filsafat dengan humaniora.</w:t>
      </w:r>
    </w:p>
    <w:p>
      <w:pPr>
        <w:pStyle w:val="Heading3"/>
        <w:numPr>
          <w:ilvl w:val="2"/>
          <w:numId w:val="1"/>
        </w:numPr>
        <w:bidi w:val="0"/>
        <w:jc w:val="left"/>
        <w:rPr/>
      </w:pPr>
      <w:bookmarkStart w:id="160" w:name="__RefHeading___Toc688635_653776707"/>
      <w:bookmarkStart w:id="161" w:name="_Toc57"/>
      <w:bookmarkEnd w:id="160"/>
      <w:r>
        <w:rPr/>
        <w:t>D. Ragam dan Hakikat Ilmu</w:t>
      </w:r>
      <w:bookmarkEnd w:id="161"/>
    </w:p>
    <w:p>
      <w:pPr>
        <w:pStyle w:val="BookText"/>
        <w:bidi w:val="0"/>
        <w:jc w:val="both"/>
        <w:rPr/>
      </w:pPr>
      <w:r>
        <w:rPr>
          <w:rFonts w:eastAsia="Times New Roman" w:cs="Times New Roman" w:ascii="Times New Roman" w:hAnsi="Times New Roman"/>
          <w:color w:val="111111"/>
          <w:sz w:val="28"/>
          <w:szCs w:val="28"/>
          <w:lang w:val="en-US"/>
        </w:rPr>
        <w:t>Sebagaimana dikutip Mehdi Hae’ri Yazdi, Mullâ Sadrâ berpendapat  bahwa al-'ilm adalah wujud sesuatu secara aktual, terlepas apakah itu  wujud substansial (wujûd li nafsihi) ataukah eksistensi aksidental (wujûd  li syay’in âkhar),</w:t>
      </w:r>
      <w:r>
        <w:rPr>
          <w:rStyle w:val="FootnoteAnchor"/>
        </w:rPr>
        <w:footnoteReference w:id="221"/>
      </w:r>
      <w:r>
        <w:rPr>
          <w:rFonts w:eastAsia="Times New Roman" w:cs="Times New Roman" w:ascii="Times New Roman" w:hAnsi="Times New Roman"/>
          <w:color w:val="111111"/>
          <w:sz w:val="28"/>
          <w:szCs w:val="28"/>
          <w:lang w:val="en-US"/>
        </w:rPr>
        <w:t>bahkan ia menganggapnya sebagai wujûd maujud  atau sesuatu yang abstrak (kosong dari mâddah).</w:t>
      </w:r>
      <w:r>
        <w:rPr>
          <w:rStyle w:val="FootnoteAnchor"/>
        </w:rPr>
        <w:footnoteReference w:id="222"/>
      </w:r>
      <w:r>
        <w:rPr>
          <w:rFonts w:eastAsia="Times New Roman" w:cs="Times New Roman" w:ascii="Times New Roman" w:hAnsi="Times New Roman"/>
          <w:color w:val="111111"/>
          <w:sz w:val="28"/>
          <w:szCs w:val="28"/>
          <w:lang w:val="en-US"/>
        </w:rPr>
        <w:t xml:space="preserve"> Menurut Mullâ Sadrâ, ilmu memiliki tiga tingkatan; 'ilm al-yaqîn,  ‘ain al- yaqîn, dan haqq al-yaqîn. Tingkatan pertama diyakini sebagai  pengetahuan argumentatif, yang kedua sebagai presensi (syuhûdi), dan  yang ketiga didapat dengan adanya relasi eksistensial dengan realitas.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Sadrâ meyakini bahwa untuk mencapai realitas  tidak hanya ada satu jalan, yaitu argumentasi rasional atau representasi  saja, bahkan juga tidak hanya dengan wahyu dan “melebur” dalam diri  Tuhan. Menurutnya, membatasi pencapaian realitas hanya dengan satu </w:t>
      </w:r>
    </w:p>
    <w:p>
      <w:pPr>
        <w:pStyle w:val="BookText"/>
        <w:bidi w:val="0"/>
        <w:rPr/>
      </w:pPr>
      <w:r>
        <w:rPr>
          <w:rFonts w:eastAsia="Times New Roman" w:cs="Times New Roman" w:ascii="Times New Roman" w:hAnsi="Times New Roman"/>
          <w:color w:val="111111"/>
          <w:sz w:val="28"/>
          <w:szCs w:val="28"/>
          <w:lang w:val="en-US"/>
        </w:rPr>
        <w:t xml:space="preserve">cara bukanlah kerja kalangan filsuf Muslim; sebab Allah SWT telah  membuka berbagai jalan serta menyalakan berbagai mercusuar dan  cahaya untuk menggapai dan menjamah realitas. </w:t>
      </w:r>
      <w:r>
        <w:rPr>
          <w:rStyle w:val="FootnoteAnchor"/>
        </w:rPr>
        <w:footnoteReference w:id="223"/>
      </w:r>
      <w:r>
        <w:rPr>
          <w:rFonts w:eastAsia="Times New Roman" w:cs="Times New Roman" w:ascii="Times New Roman" w:hAnsi="Times New Roman"/>
          <w:color w:val="111111"/>
          <w:sz w:val="28"/>
          <w:szCs w:val="28"/>
          <w:lang w:val="en-US"/>
        </w:rPr>
        <w:t xml:space="preserve"> Dengan kata lain, Mullâ Sadrâ menganggap hakikat 'ilm tidak lain  adalah kehadiran. Pengetahuan akan sesuatu berarti kehadiran sesuatu  tersebut dalam diri subjek (yang mengetahui). Mullâ Sadrâ mengganti  al-'âlim (subjek yang mengetahui) dengan istilah 'âqil, dan menyebut  objek yang diketahui (maʼlûm) dengan al-ma'qûl. </w:t>
      </w:r>
      <w:r>
        <w:rPr>
          <w:rStyle w:val="FootnoteAnchor"/>
        </w:rPr>
        <w:footnoteReference w:id="224"/>
      </w:r>
      <w:r>
        <w:rPr>
          <w:rFonts w:eastAsia="Times New Roman" w:cs="Times New Roman" w:ascii="Times New Roman" w:hAnsi="Times New Roman"/>
          <w:color w:val="111111"/>
          <w:sz w:val="28"/>
          <w:szCs w:val="28"/>
          <w:lang w:val="en-US"/>
        </w:rPr>
        <w:t xml:space="preserve"> Dalam pada itu, Muhammad Taqi Misbâh Yazdî mendefiniskan  pengetahuan sebagai keyakinan yang selaras dengan realitas. Keyakinan  ini mesti bersifat permanen dan lestari. Pengetahuan paling sejati adalah  premis-premis badîhî.</w:t>
      </w:r>
      <w:r>
        <w:rPr>
          <w:rStyle w:val="FootnoteAnchor"/>
        </w:rPr>
        <w:footnoteReference w:id="225"/>
      </w:r>
      <w:r>
        <w:rPr>
          <w:rFonts w:eastAsia="Times New Roman" w:cs="Times New Roman" w:ascii="Times New Roman" w:hAnsi="Times New Roman"/>
          <w:color w:val="111111"/>
          <w:sz w:val="28"/>
          <w:szCs w:val="28"/>
          <w:lang w:val="en-US"/>
        </w:rPr>
        <w:t>Premis badîhî paling sejati adalah ‘kemustahilan  pertemuan afirmasi dan negasi' (kontradiksi) yang dapat ditunjukkan  (dibuktikan) dengan hanya menggambarkan (menghadirkan) subjek dan  predikatnya serta menimbang-nimbang di antara keduanya.</w:t>
      </w:r>
    </w:p>
    <w:p>
      <w:pPr>
        <w:pStyle w:val="BookText"/>
        <w:bidi w:val="0"/>
        <w:jc w:val="both"/>
        <w:rPr/>
      </w:pPr>
      <w:r>
        <w:rPr>
          <w:rFonts w:eastAsia="Times New Roman" w:cs="Times New Roman" w:ascii="Times New Roman" w:hAnsi="Times New Roman"/>
          <w:color w:val="111111"/>
          <w:sz w:val="28"/>
          <w:szCs w:val="28"/>
          <w:lang w:val="en-US"/>
        </w:rPr>
        <w:t>Terdapat tiga elemen utama yang harus digarisbawahi dalam  pengertian tersebut: pertama, keyakinan yang merupakan lawan dari  keraguan (syak), dugaan (zhan); kedua, kesesuaian dengan realitas,  artinya bukan kebodohan kompleks (jahl murakkab). Ketiga, maksud dari  ‘kelestarian' (tsabât) bukan keyakinan yang dapat hilang dan berubah  menjadi sebaliknya (lawannya).</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menggarisbawahi ketiga prinsip tersebut berikut ekstensinya,  Muhammad Taqi Misbah Yazdî mengganggap sebagian kritik yang  dilontarkan oleh epistemolog Barat terhadap definisi pengetahuan  sejati (keyakinan yang benar dan terjustifikasi /al-muwajjah) tidak  tepat sasaran. Sebab, yang umumnya dijadikan sasaran kritik itu adalah  keraguan, dugaan, dan kebodohan ganda, meskipun sebenarnya klaim </w:t>
      </w:r>
    </w:p>
    <w:p>
      <w:pPr>
        <w:pStyle w:val="BookText"/>
        <w:bidi w:val="0"/>
        <w:rPr/>
      </w:pPr>
      <w:r>
        <w:rPr>
          <w:rFonts w:eastAsia="Times New Roman" w:cs="Times New Roman" w:ascii="Times New Roman" w:hAnsi="Times New Roman"/>
          <w:color w:val="111111"/>
          <w:sz w:val="28"/>
          <w:szCs w:val="28"/>
          <w:lang w:val="en-US"/>
        </w:rPr>
        <w:t xml:space="preserve">tidak adanya ekstensi (misdâq) definisi tersebut dalam pengetahuan  manusia adalah masalah penting yang harus diperjelas. </w:t>
      </w:r>
      <w:r>
        <w:rPr>
          <w:rStyle w:val="FootnoteAnchor"/>
        </w:rPr>
        <w:footnoteReference w:id="226"/>
      </w:r>
      <w:r>
        <w:rPr>
          <w:rFonts w:eastAsia="Times New Roman" w:cs="Times New Roman" w:ascii="Times New Roman" w:hAnsi="Times New Roman"/>
          <w:color w:val="111111"/>
          <w:sz w:val="28"/>
          <w:szCs w:val="28"/>
          <w:lang w:val="en-US"/>
        </w:rPr>
        <w:t xml:space="preserve"> Istilah “ilmu”—menurut empat dari lima pengertian yang  tercantum—berlaku pada kumpulan proposisi yang diduga saling  bertautan. Lebih jauh, jelas sudah bahwa hubungan-hubungan yang  berbeda itu meniscayakan satu bidang ilmu terpisah dari bidang ilmu  lainnya. Hubungan paling dekat di antara berbagai masalah sebagai  tolok ukur pemilahan ilmu adalah relevansi subjek-subjeknya. Dengan  kata lain, pelbagai masalah yang memiliki subjek terdiri dari bagian-  bagian keseluruhan atau partikular-partikular universal yang kemudian  membentuk suatu ilmu. Oleh sebab itu, masalah-masalah ilmu terdiri  atas proposisi-proposisi yang subjek-subjeknya berada di bawah cakupan  topik induknya (sebagai keseluruhan atau universal). Subjek ilmu adalah  topik induk yang mencakup pelbagai masalah.</w:t>
      </w:r>
      <w:r>
        <w:rPr>
          <w:rStyle w:val="FootnoteAnchor"/>
        </w:rPr>
        <w:footnoteReference w:id="227"/>
      </w:r>
      <w:r>
        <w:rPr>
          <w:rFonts w:eastAsia="Times New Roman" w:cs="Times New Roman" w:ascii="Times New Roman" w:hAnsi="Times New Roman"/>
          <w:color w:val="111111"/>
          <w:sz w:val="28"/>
          <w:szCs w:val="28"/>
          <w:lang w:val="en-US"/>
        </w:rPr>
        <w:t xml:space="preserve"> Menurut Muhammad Taqi Misbâh Yazdî, mungkin saja suatu topik  menjadi subjek dari lebih dari satu ilmu, dan perbedaan ilmu yang satu  dengan yang lain terkait dengan perbedaan tujuan dan metode penelitian  masing-masing. </w:t>
      </w:r>
      <w:r>
        <w:rPr>
          <w:rStyle w:val="FootnoteAnchor"/>
        </w:rPr>
        <w:footnoteReference w:id="228"/>
      </w:r>
      <w:r>
        <w:rPr>
          <w:rFonts w:eastAsia="Times New Roman" w:cs="Times New Roman" w:ascii="Times New Roman" w:hAnsi="Times New Roman"/>
          <w:color w:val="111111"/>
          <w:sz w:val="28"/>
          <w:szCs w:val="28"/>
          <w:lang w:val="en-US"/>
        </w:rPr>
        <w:t>Namun, tidak boleh diabaikan bahwa adakalanya  suatu topik diposisikan sebagai subjek absolut suatu ilmu, sementara  pada saat yang sama, ia menjadi subjek ilmu itu secara terikat. Perbedaan  ikatan ini pada gilirannya mengakibatkan munculnya beberapa ilmu  berikut perbedaannya. Semisal. “materi”. Ditinjau dari segi komposisi  internalnya, berikut perpaduan dan penguraian unsur-unsurnya, ia  merupakan subjek ilmu kimia. Namun, ditinjau dari segi perubahan-  perubahan lahiriah dan ciri-ciri khasnya, ia merupakan subjek ilmu fisika.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Contoh lain adalah kata. Ditinjau dari segi perubahan konstruksinya,  ia merupakan subjek morfologi, dan dari segi perubahan infleksinya, </w:t>
      </w:r>
    </w:p>
    <w:p>
      <w:pPr>
        <w:pStyle w:val="BookText"/>
        <w:bidi w:val="0"/>
        <w:rPr/>
      </w:pPr>
      <w:r>
        <w:rPr>
          <w:rFonts w:eastAsia="Times New Roman" w:cs="Times New Roman" w:ascii="Times New Roman" w:hAnsi="Times New Roman"/>
          <w:color w:val="111111"/>
          <w:sz w:val="28"/>
          <w:szCs w:val="28"/>
          <w:lang w:val="en-US"/>
        </w:rPr>
        <w:t>merupakan subjek sintaksis.</w:t>
      </w:r>
    </w:p>
    <w:p>
      <w:pPr>
        <w:pStyle w:val="BookText"/>
        <w:bidi w:val="0"/>
        <w:jc w:val="both"/>
        <w:rPr/>
      </w:pPr>
      <w:r>
        <w:rPr>
          <w:rFonts w:eastAsia="Times New Roman" w:cs="Times New Roman" w:ascii="Times New Roman" w:hAnsi="Times New Roman"/>
          <w:color w:val="111111"/>
          <w:sz w:val="28"/>
          <w:szCs w:val="28"/>
          <w:lang w:val="en-US"/>
        </w:rPr>
        <w:t>Oleh sebab itu, diperlukan kehati-hatian untuk menentukan apakah  topik induk itu merupakan subjek suatu ilmu secara mutlak atau subjek  yang ditetapkan berdasarkan ikatan dan batasan tertentu. Betapa sering  suatu topik induk dianggap sebagai subjek suatu ilmu secara mutlak,  namun berkat tambahan ikatan tertentu, justru menjadi subjek ilmu-  ilmu lain. Misalnya, dalam klasifikasi termasyhur filsafat kuno, benda  adalah subjek seluruh ilmu alam. Setelah ditambah beberapa ikatan, ia  menjadi subjek minerologi, botani, zoologi, dan sebagainya. Mengenai  pola klasifikasi ilmu, telah disinggung bahwa adakalanya semua itu  berasal dari pengetatan lingkup dan batasan subjek utama ilmu yang  lebih umum.</w:t>
      </w:r>
      <w:r>
        <w:rPr>
          <w:rStyle w:val="FootnoteAnchor"/>
        </w:rPr>
        <w:footnoteReference w:id="229"/>
      </w:r>
      <w:r>
        <w:rPr>
          <w:rFonts w:eastAsia="Times New Roman" w:cs="Times New Roman" w:ascii="Times New Roman" w:hAnsi="Times New Roman"/>
          <w:color w:val="111111"/>
          <w:sz w:val="28"/>
          <w:szCs w:val="28"/>
          <w:lang w:val="en-US"/>
        </w:rPr>
        <w:t xml:space="preserve"> Sebagaimana kaitan ilmu-ilmu, filsafat sebagai disiplin ilmu punya  kaitan yang khas dengan manusia. Dalam tradisi filsafat islam sendiri, ada  istilah yang dikenal dengan “ru'ûs tsamâniyyah” yaitu depalan prinsip  ilmu. </w:t>
      </w:r>
      <w:r>
        <w:rPr>
          <w:rStyle w:val="FootnoteAnchor"/>
        </w:rPr>
        <w:footnoteReference w:id="230"/>
      </w:r>
      <w:r>
        <w:rPr>
          <w:rFonts w:eastAsia="Times New Roman" w:cs="Times New Roman" w:ascii="Times New Roman" w:hAnsi="Times New Roman"/>
          <w:color w:val="111111"/>
          <w:sz w:val="28"/>
          <w:szCs w:val="28"/>
          <w:lang w:val="en-US"/>
        </w:rPr>
        <w:t>Di antaranya, fungsi suatu ilmu. Dalam tradisi filsafat Islam,  fungsi ilmu filsafat dijelaskan sebagai upaya mengetahui hakikat sesuatu  sebagaimana adanya, atau kata Ibn Sina dan Mulla Shadra “tasyabbuh bi  al-'illah”, berserupa dengan Allah. Sejak awal, filsafat Islam menyimpan  kecendurungan keagamaan. Filsafat adalah untuk manusia dalam rangka  mendekati Allah.</w:t>
      </w:r>
    </w:p>
    <w:p>
      <w:pPr>
        <w:pStyle w:val="BookText"/>
        <w:bidi w:val="0"/>
        <w:jc w:val="both"/>
        <w:rPr/>
      </w:pPr>
      <w:r>
        <w:rPr>
          <w:rFonts w:eastAsia="Times New Roman" w:cs="Times New Roman" w:ascii="Times New Roman" w:hAnsi="Times New Roman"/>
          <w:color w:val="111111"/>
          <w:sz w:val="28"/>
          <w:szCs w:val="28"/>
          <w:lang w:val="en-US"/>
        </w:rPr>
        <w:t>Sayangnya, dalam pemikiran filsafat Muhammad Taqi Misbâh Yazdî,  fungsi filsafat tidak diterangkan sebagaimana penjelasan-penjelasan  di atas ini, tetapi dikaitkan dengan manusia dan kehidupannya yang  mencakup cara pandang dan cara tindaknya. Baginya, filsafat adalah  basis langsung sistem kepecayaan dan asas kedua system tindakan Hal  ini dijabarkan secara panjang lebar dalam beberapa pasal pertama dari  karyanya, Âmûzesy-e Falsafeh.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pemikiran filsafat Muhammad Taqi Mishbâh Yazdî,  kedudukan filsafat Islam tidak didefinsikan seperti di atas ini, meski ia </w:t>
      </w:r>
      <w:bookmarkStart w:id="162" w:name="pg6424_45008"/>
    </w:p>
    <w:p>
      <w:pPr>
        <w:pStyle w:val="BookText"/>
        <w:bidi w:val="0"/>
        <w:rPr/>
      </w:pPr>
      <w:bookmarkEnd w:id="162"/>
      <w:r>
        <w:rPr>
          <w:rFonts w:eastAsia="Times New Roman" w:cs="Times New Roman" w:ascii="Times New Roman" w:hAnsi="Times New Roman"/>
          <w:color w:val="111111"/>
          <w:sz w:val="28"/>
          <w:szCs w:val="28"/>
          <w:lang w:val="en-US"/>
        </w:rPr>
        <w:t xml:space="preserve">tidak menolaknya. Namun, yang lebih menjadi fokus Muhammad Taqi  Mishbâh Yazdî dari kedudukan filsafat adalah aspek pengaruhnya pada  ilmu-ilmu lain. </w:t>
      </w:r>
      <w:r>
        <w:rPr>
          <w:rStyle w:val="FootnoteAnchor"/>
        </w:rPr>
        <w:footnoteReference w:id="231"/>
      </w:r>
      <w:r>
        <w:rPr>
          <w:rFonts w:eastAsia="Times New Roman" w:cs="Times New Roman" w:ascii="Times New Roman" w:hAnsi="Times New Roman"/>
          <w:color w:val="111111"/>
          <w:sz w:val="28"/>
          <w:szCs w:val="28"/>
          <w:lang w:val="en-US"/>
        </w:rPr>
        <w:t>Baginya, semua ilmu, termasuk ilmu empiris dan bahkan  tasawuf/'irfan, sangat bergantung pada justifikasi filsafat. Namun, pada  saat yang sama, ia secara adil menerangkan kedudukan penting ilmuilmu  lain dan apa saja yang dapat disuplai oleh mereka untuk filsafat.</w:t>
      </w:r>
    </w:p>
    <w:p>
      <w:pPr>
        <w:pStyle w:val="BookText"/>
        <w:bidi w:val="0"/>
        <w:jc w:val="both"/>
        <w:rPr/>
      </w:pPr>
      <w:r>
        <w:rPr>
          <w:rFonts w:eastAsia="Times New Roman" w:cs="Times New Roman" w:ascii="Times New Roman" w:hAnsi="Times New Roman"/>
          <w:color w:val="111111"/>
          <w:sz w:val="28"/>
          <w:szCs w:val="28"/>
          <w:lang w:val="en-US"/>
        </w:rPr>
        <w:t>Pada titik ini, sesungguhnya Muhammad Taqi Mishbâh Yazdî, secara  sadar atau tidak, telah bersentuhan dengan sebagian tema filsafat ilmu,  dan bila saja ini dirangkum dengan kajian-kajian logikanya atas Manthiq  al-Syifâ karya Ibn Sina dan al-Usus al-Manthiqiyyah li al-Istiqrâ karya  Muhammad Baqir Shadr, totalitas ini akan secara relatif membentuk  filsafat ilmu Islam.</w:t>
      </w:r>
    </w:p>
    <w:p>
      <w:pPr>
        <w:pStyle w:val="Heading3"/>
        <w:numPr>
          <w:ilvl w:val="2"/>
          <w:numId w:val="1"/>
        </w:numPr>
        <w:bidi w:val="0"/>
        <w:jc w:val="left"/>
        <w:rPr/>
      </w:pPr>
      <w:bookmarkStart w:id="163" w:name="__RefHeading___Toc688637_653776707"/>
      <w:bookmarkStart w:id="164" w:name="_Toc58"/>
      <w:bookmarkEnd w:id="163"/>
      <w:r>
        <w:rPr/>
        <w:t>E. Prinisp Hudhûr</w:t>
      </w:r>
      <w:bookmarkEnd w:id="164"/>
    </w:p>
    <w:p>
      <w:pPr>
        <w:pStyle w:val="Heading4"/>
        <w:numPr>
          <w:ilvl w:val="3"/>
          <w:numId w:val="1"/>
        </w:numPr>
        <w:bidi w:val="0"/>
        <w:jc w:val="left"/>
        <w:rPr/>
      </w:pPr>
      <w:bookmarkStart w:id="165" w:name="__RefHeading___Toc688639_653776707"/>
      <w:bookmarkStart w:id="166" w:name="_Toc59"/>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Sebagaimana Mullâ Sadrâ dan para penerusnya, Muhammad Taqî  Misbâh Yazdî melandaskan pengetahuan pada prinsip hudhûr (kehadiran).</w:t>
      </w:r>
    </w:p>
    <w:p>
      <w:pPr>
        <w:pStyle w:val="BookText"/>
        <w:bidi w:val="0"/>
        <w:jc w:val="both"/>
        <w:rPr/>
      </w:pPr>
      <w:r>
        <w:rPr>
          <w:rFonts w:eastAsia="Times New Roman" w:cs="Times New Roman" w:ascii="Times New Roman" w:hAnsi="Times New Roman"/>
          <w:color w:val="111111"/>
          <w:sz w:val="28"/>
          <w:szCs w:val="28"/>
          <w:lang w:val="en-US"/>
        </w:rPr>
        <w:t>Hal ini merupakan infrasturkur yang menjamin tidak meniscayakan akibat  tasalsul. Menurutnya, pengetahuan setiap orang tentang dirinya sebagai  maujud pelaku persepsi adalah pengetahuan yang tidak dapat disangkal.</w:t>
      </w:r>
    </w:p>
    <w:p>
      <w:pPr>
        <w:pStyle w:val="BookText"/>
        <w:bidi w:val="0"/>
        <w:jc w:val="both"/>
        <w:rPr/>
      </w:pPr>
      <w:r>
        <w:rPr>
          <w:rFonts w:eastAsia="Times New Roman" w:cs="Times New Roman" w:ascii="Times New Roman" w:hAnsi="Times New Roman"/>
          <w:color w:val="111111"/>
          <w:sz w:val="28"/>
          <w:szCs w:val="28"/>
          <w:lang w:val="en-US"/>
        </w:rPr>
        <w:t>'Aku' dan ego yang melakukan pencerapan dan pemikiran, yang dengan  penyaksian batinnya (</w:t>
      </w:r>
      <w:r>
        <w:rPr>
          <w:rFonts w:ascii="IRNazanin" w:hAnsi="IRNazanin" w:eastAsia="IRNazanin"/>
          <w:color w:val="111111"/>
          <w:sz w:val="28"/>
          <w:sz w:val="28"/>
          <w:szCs w:val="28"/>
          <w:rtl w:val="true"/>
          <w:lang w:bidi="fa-IR"/>
        </w:rPr>
        <w:t>شهود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syuhûd) sadar akan dirinya sendiri, tanpa  sarana penginderaan, percobaan, (perolehan) bentuk-bentuk atau konsep-  konsep mental. Dengan kata lain, diri itu sendiri adalah pengetahuan,  dan dalam pengetahuan serta kesadaran ini, pengetahuan dan subjek dan  objek sama sekali tidak dapat dipilah-pilah. Seperti telah disebutkan  sebelumnya, ‘kemanunggalan subjek dan objek pengetahuan' adalah  instanta (instance/mishdâq) paling sempurna dari kehadiran objek  pengetahuan pada subjek yang mengetahui'.</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lanjut, Muhammad Taqi Misbâh Yazdî menjelaskan bahwa  pengetahuan ini merupakan sesuatu yang tidak bisa dianalisis dan </w:t>
      </w:r>
    </w:p>
    <w:p>
      <w:pPr>
        <w:pStyle w:val="BookText"/>
        <w:bidi w:val="0"/>
        <w:rPr/>
      </w:pPr>
      <w:r>
        <w:rPr>
          <w:rFonts w:eastAsia="Times New Roman" w:cs="Times New Roman" w:ascii="Times New Roman" w:hAnsi="Times New Roman"/>
          <w:color w:val="111111"/>
          <w:sz w:val="28"/>
          <w:szCs w:val="28"/>
          <w:lang w:val="en-US"/>
        </w:rPr>
        <w:t>diuraikan (dalam konsep-konsep), tidak seperti proposisi “saya adalah...</w:t>
      </w:r>
    </w:p>
    <w:p>
      <w:pPr>
        <w:pStyle w:val="BookText"/>
        <w:bidi w:val="0"/>
        <w:jc w:val="both"/>
        <w:rPr/>
      </w:pPr>
      <w:r>
        <w:rPr>
          <w:rFonts w:eastAsia="Times New Roman" w:cs="Times New Roman" w:ascii="Times New Roman" w:hAnsi="Times New Roman"/>
          <w:color w:val="111111"/>
          <w:sz w:val="28"/>
          <w:szCs w:val="28"/>
          <w:lang w:val="en-US"/>
        </w:rPr>
        <w:t>(i am)' atau “saya ada (i exist) yang tersusun dari dua konsep (saya+ada).</w:t>
      </w:r>
    </w:p>
    <w:p>
      <w:pPr>
        <w:pStyle w:val="BookText"/>
        <w:bidi w:val="0"/>
        <w:jc w:val="both"/>
        <w:rPr/>
      </w:pPr>
      <w:r>
        <w:rPr>
          <w:rFonts w:eastAsia="Times New Roman" w:cs="Times New Roman" w:ascii="Times New Roman" w:hAnsi="Times New Roman"/>
          <w:color w:val="111111"/>
          <w:sz w:val="28"/>
          <w:szCs w:val="28"/>
          <w:lang w:val="en-US"/>
        </w:rPr>
        <w:t xml:space="preserve">Dengan demikian, pengertian ‘pengetahuan tentang diri sendiri' ialah  kesadaran yang bersifat intuitif ( Gazzg ), sederhana dan langsung  tentang jiwa (atau ruh) kita sendiri. Pengetahuan dan kesadaran ini  merupakan peri keadaan esensial jiwa. Pada saatnya nanti, kita akan  membuktikan bahwa jiwa merupakan substansi non material, dan bahwa  semua substansi non material menyadari dirinya sendiri. Kedua topik  ini terkait dengan ontologi dan psikologi filsufis, yang tidak relevan  dengan bahasan saat ini. </w:t>
      </w:r>
      <w:r>
        <w:rPr>
          <w:rStyle w:val="FootnoteAnchor"/>
        </w:rPr>
        <w:footnoteReference w:id="232"/>
      </w:r>
      <w:r>
        <w:rPr>
          <w:rFonts w:eastAsia="Times New Roman" w:cs="Times New Roman" w:ascii="Times New Roman" w:hAnsi="Times New Roman"/>
          <w:color w:val="111111"/>
          <w:sz w:val="28"/>
          <w:szCs w:val="28"/>
          <w:lang w:val="en-US"/>
        </w:rPr>
        <w:t xml:space="preserve"> Kesadaran kita terhadap beragam keadaan, sentimen dan perasaan  jiwa kita juga merupakan instanta-instanta (instances) pengetahuan  yang langsung hadir dalam diri. Manakala kita takut pada sesuatu, kita  langsung bisa menyadari keadaan itu tanpa perantaraan bentuk atau  konsep mental atau santiran apapun juga. Manakala cinta pada seseorang  atau sesuatu merasuki diri, kita pun secara kontan dapat menilik getaran  itu dalam diri kita, tanpa perantaraan apa pun. Demikian pula manakala  kita memutuskan untuk berbuat sesuatu, niscaya kita sepenuhnya  menyadari keputusan dan kehendak itu. Adalah mustahil kita takut, cinta  atau ingin melakukan sesuatu tanpa kesadaran akan ketakutan, kecintaan  dan keinginan itu sendiri. Oleh sebab itu, tidak mungkin ada orang yang  meragukan atau menduga sesuatu tanpa menyadari atau mengetahui  keraguannya, dengan cara meragukan keberadaan keraguannya.</w:t>
      </w:r>
    </w:p>
    <w:p>
      <w:pPr>
        <w:pStyle w:val="BookText"/>
        <w:bidi w:val="0"/>
        <w:jc w:val="both"/>
        <w:rPr/>
      </w:pPr>
      <w:r>
        <w:rPr>
          <w:rFonts w:eastAsia="Times New Roman" w:cs="Times New Roman" w:ascii="Times New Roman" w:hAnsi="Times New Roman"/>
          <w:color w:val="111111"/>
          <w:sz w:val="28"/>
          <w:szCs w:val="28"/>
          <w:lang w:val="en-US"/>
        </w:rPr>
        <w:t>Kekeliruan persepsi mudah dibayangkan apabila terdapat penyulih  antara pelaku persepsi dan entitas yang dipersepsi. Dalam kasus  pengetahuan perolehan inilah bisa timbul pertanyaan apakah bentuk  dan konsep yang menengahi antara subjek dan objek telah benar-  benar menyantirkan objek secara tepat dan sempurna atau tidak.</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Sebelum bentuk dan kosep terbukti benar-benar sesuai dengan objek  yang dipersepsi, kepastian akan kesahihan persepsi tidak akan pernah  didapatkan. Akan tetapi, dalam hal objek atau sesuatu yang dipersepsi </w:t>
      </w:r>
    </w:p>
    <w:p>
      <w:pPr>
        <w:pStyle w:val="BookText"/>
        <w:bidi w:val="0"/>
        <w:rPr/>
      </w:pPr>
      <w:r>
        <w:rPr>
          <w:rFonts w:eastAsia="Times New Roman" w:cs="Times New Roman" w:ascii="Times New Roman" w:hAnsi="Times New Roman"/>
          <w:color w:val="111111"/>
          <w:sz w:val="28"/>
          <w:szCs w:val="28"/>
          <w:lang w:val="en-US"/>
        </w:rPr>
        <w:t>hadir tanpa perantaraan atau bahkan manunggal dengan eksistensi pelaku  persepsi, kekeliruan tidaklah dapat dibayangkan. Tidak mungkin timbul  pertanyaan ihwal apakah pengetahuan subjek telah sesuai dengan objek  yang diketahui, mengingat dalam kasus ini subjek pengetahuan identik  dengan objek yang diketahui.</w:t>
      </w:r>
    </w:p>
    <w:p>
      <w:pPr>
        <w:pStyle w:val="BookText"/>
        <w:bidi w:val="0"/>
        <w:jc w:val="both"/>
        <w:rPr/>
      </w:pPr>
      <w:r>
        <w:rPr>
          <w:rFonts w:eastAsia="Times New Roman" w:cs="Times New Roman" w:ascii="Times New Roman" w:hAnsi="Times New Roman"/>
          <w:color w:val="111111"/>
          <w:sz w:val="28"/>
          <w:szCs w:val="28"/>
          <w:lang w:val="en-US"/>
        </w:rPr>
        <w:t>Berdasarkan paparan di atas, pengertian kebenaran dan kekeliruan  dalam konteks persepsi (dan pengetahuan) manusia menjadi jelas  adanya. Kebenaran adalah persepsi yang sesuai dan sepenuhnya  menyingkapkan realitas sesuatu, sedangkan kekeliruan adalah anggapan  (atau kepercayaan) yang tidak sejalan dengan realitas.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Seluruh aktivitas dan proses mental yang berlangsung kilat itu berbeda  dengan hadirnya ketakutan sebagai pengetahuan presentasional. Tetapi,  keseiringan dan keserentakannya dengan pengetahuan presentasional  sering menjebak orang dalam kerancuan. Orang kerap menyangka bahwa  karena ia menemukan keadaan takut dalam dirinya melalui pengetahuan  dengan kehadiran, ia pun mengetahui sebab-musabab ketakutan tersebut  melalui pengetahuan dengan kehadiran. Padahal, apa yang dicerap  melalui pengetahuan dengan kehadiran senantiasa besifat sederhana,  tanpa bentuk dan konsep, dan bebas dari segala macam penafsiran dan  penjabaran. Itulah sebabnya mengapa pengetahuan dengan kehadiran  tidak mungkin keliru. Sebaliknya, penafsiran seketika yang mengiringi  hadirnya ketakutan dalam diri itu merupakan persepsi-persepsi perolehan  (dari informasi yang telah atau baru kita terima dari luar diri kita)  sehingga tidak mejamin kebenaran dan kesesuaiannya dengan realitas  yang sesungguhnya  Dengan paparan itu, terjawablah mengapa dan bagaimana sebagian  pengetahuan perolehan mengalami kekeliruan. Umpamanya, ada orang  merasa lapar dan menyangka bahwa dia memerlukan makanan, padahal  selera makan itu sebetulnya tidak nyata dan dia tidak memerlukan  makanan. Hal demikian terjadi lantaran rasa tertentu yang ditangkapnya  melalui pengetahuan dengan kehadiran yang tidak mungkin keliru itu  telah diikuti dengan tafsiran mental yang membandingkan rasa tersebut </w:t>
      </w:r>
    </w:p>
    <w:p>
      <w:pPr>
        <w:pStyle w:val="BookText"/>
        <w:bidi w:val="0"/>
        <w:rPr/>
      </w:pPr>
      <w:r>
        <w:rPr>
          <w:rFonts w:eastAsia="Times New Roman" w:cs="Times New Roman" w:ascii="Times New Roman" w:hAnsi="Times New Roman"/>
          <w:color w:val="111111"/>
          <w:sz w:val="28"/>
          <w:szCs w:val="28"/>
          <w:lang w:val="en-US"/>
        </w:rPr>
        <w:t>dengan beberapa rasa terdahulu yang diduga berasal dari kebutuhan  pada makanan. Hanya saja, perbandingan itu ternyata tidak benar dan  karenanya muncul kekeliruan yang bermula dari tafsiran mental atas  penyebab rasa tersebut. Kekeliruan serupa juga lazim belaku dalam  pengalaman dan penyingkapan mistis. Oleh sebab itu, adalah suatu  keniscayaan untuk sepenuhnya jeli dalam menentukan pengetahuan  presentasional dan memilahnya dari pelbagai tafsiran mental yang  mengiringinya, supaya tidak terjatuh dalam kekeliruan yang diakibatkan  oleh kebingungan tersebut.</w:t>
      </w:r>
    </w:p>
    <w:p>
      <w:pPr>
        <w:pStyle w:val="BookText"/>
        <w:bidi w:val="0"/>
        <w:jc w:val="both"/>
        <w:rPr/>
      </w:pPr>
      <w:r>
        <w:rPr>
          <w:rFonts w:eastAsia="Times New Roman" w:cs="Times New Roman" w:ascii="Times New Roman" w:hAnsi="Times New Roman"/>
          <w:color w:val="111111"/>
          <w:sz w:val="28"/>
          <w:szCs w:val="28"/>
          <w:lang w:val="en-US"/>
        </w:rPr>
        <w:t>Pengetahuan dengan kehadiran tentang keadaan-keadaan jiwa juga  punya derajat kelemahan dan kedahsyatan. Sebagai contoh, ketika orang  sakit yang menderita dan mempersepsi rasa sakitnya melalui pengetahuan  dengan kehadiran melihat temannya dan mengalihkan perhatiannya pada  si teman, persepsinya akan rasa sakit itu akan membuyar. Penyebab  rendahnya derajat pengetahuan dengan kehadiran adalah kurangnya  perhatian. Sebaliknya, dalam kesendirian, terutama di malam hari  manakala tidak ada lagi objek yang dapat diperhatikannya, sakit itu akan  terasa lebih dahsyat. Sebab, dari kedahsyatan rasa sakit itu tiada lain  daripada perhatiannya yang utuh.</w:t>
      </w:r>
    </w:p>
    <w:p>
      <w:pPr>
        <w:pStyle w:val="BookText"/>
        <w:bidi w:val="0"/>
        <w:jc w:val="both"/>
        <w:rPr/>
      </w:pPr>
      <w:r>
        <w:rPr>
          <w:rFonts w:eastAsia="Times New Roman" w:cs="Times New Roman" w:ascii="Times New Roman" w:hAnsi="Times New Roman"/>
          <w:color w:val="111111"/>
          <w:sz w:val="28"/>
          <w:szCs w:val="28"/>
          <w:lang w:val="en-US"/>
        </w:rPr>
        <w:t>Perbedaan derajat pengetahuan dengan kehadiran bisa berdampak  pada tafsiran-tafsiran mental yang terkait dengannya. Umpamanya,  meskipun sangat rendah, manusia selalu mengetahui dengan kehadiran  tentang jatidirinya. Hanya saja, akibat rendahnya derajat pengetahuan  dengan kehadiran tentang diri itu, orang sering membayangkan  bahwa jatidirinya identik dengan tubuhnya. Ujung-ujungnya, ia akan  menyimpulkan bahwa hakikat dirinya tidak lebih dari tubuh dan gejala-  gejala material yang membalutnya. Namun, seiring peningkatan derajat  pengetahuan dengan kehadirannya dan penyempurnaan substansi dirinya,  kekeliruan semacam itu tidak lagi terjadi.</w:t>
      </w:r>
    </w:p>
    <w:p>
      <w:pPr>
        <w:pStyle w:val="BookText"/>
        <w:bidi w:val="0"/>
        <w:jc w:val="both"/>
        <w:rPr/>
      </w:pPr>
      <w:r>
        <w:rPr>
          <w:rFonts w:eastAsia="Times New Roman" w:cs="Times New Roman" w:ascii="Times New Roman" w:hAnsi="Times New Roman"/>
          <w:color w:val="111111"/>
          <w:sz w:val="28"/>
          <w:szCs w:val="28"/>
          <w:lang w:val="en-US"/>
        </w:rPr>
        <w:t>Ilmu hudhûrî telah dikenal sebagai salah satu ciri khas filsafat Islam,  sejak awal diketengahkan oleh al-Farabi, Ibn Sina, dan Surhawardi.</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Tokoh yang berperan penting dalam pengembangan jenis ilmu ini adalah </w:t>
      </w:r>
      <w:bookmarkStart w:id="167" w:name="pg6424_45020"/>
    </w:p>
    <w:p>
      <w:pPr>
        <w:pStyle w:val="BookText"/>
        <w:bidi w:val="0"/>
        <w:rPr/>
      </w:pPr>
      <w:bookmarkEnd w:id="167"/>
      <w:r>
        <w:rPr>
          <w:rFonts w:eastAsia="Times New Roman" w:cs="Times New Roman" w:ascii="Times New Roman" w:hAnsi="Times New Roman"/>
          <w:color w:val="111111"/>
          <w:sz w:val="28"/>
          <w:szCs w:val="28"/>
          <w:lang w:val="en-US"/>
        </w:rPr>
        <w:t>Mullâ Sadrâ. Pada masa Muhammad Taqi Mishbâh Yazdî, ilmu  hudhûrî yang terus dikaji akhirnya didefiniskan secara beragam. Paling  tidak, ada enam definisi untuk ilmu hudhûr</w:t>
      </w:r>
      <w:r>
        <w:rPr>
          <w:rStyle w:val="FootnoteAnchor"/>
        </w:rPr>
        <w:footnoteReference w:id="233"/>
      </w:r>
      <w:r>
        <w:rPr>
          <w:rFonts w:eastAsia="Times New Roman" w:cs="Times New Roman" w:ascii="Times New Roman" w:hAnsi="Times New Roman"/>
          <w:color w:val="111111"/>
          <w:sz w:val="28"/>
          <w:szCs w:val="28"/>
          <w:lang w:val="en-US"/>
        </w:rPr>
        <w:t>, di samping definisi yang  ia ajukan sendiri. Hingga kini, definisi Muhammad Taqi Mishbâh Yazdî  lebih diterima dan menjadi postulat kajian-kajian seputar ilmu hudhûrî.</w:t>
      </w:r>
    </w:p>
    <w:p>
      <w:pPr>
        <w:pStyle w:val="BookText"/>
        <w:bidi w:val="0"/>
        <w:jc w:val="both"/>
        <w:rPr/>
      </w:pPr>
      <w:r>
        <w:rPr>
          <w:rStyle w:val="FootnoteAnchor"/>
        </w:rPr>
        <w:footnoteReference w:id="234"/>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Namun, satu hal yang diabaikan oleh Muhammad Taqi Mishbâh  Yazdî dalam pembahasan ilmu hudhûrî ialah (milak) criteria suatu pen-  getahuan itu dipastikan sebagai ilmu hudhûrî. Pembelaan terkecil yang  biasa dibawakan di sini ialah bahwa meski hingga kini masalah kriteria  ilmu hudhûrî telah menuai tiga teori yang dikemukakan oleh Ibn Sina,  Thabâthabâ’î dan Mutahhari, namun ketiga-tiganya menujukan penjelasan  mereka pada kajian-kajian ontologis,</w:t>
      </w:r>
      <w:r>
        <w:rPr>
          <w:rStyle w:val="FootnoteAnchor"/>
        </w:rPr>
        <w:footnoteReference w:id="235"/>
      </w:r>
      <w:r>
        <w:rPr>
          <w:rFonts w:eastAsia="Times New Roman" w:cs="Times New Roman" w:ascii="Times New Roman" w:hAnsi="Times New Roman"/>
          <w:color w:val="111111"/>
          <w:sz w:val="28"/>
          <w:szCs w:val="28"/>
          <w:lang w:val="en-US"/>
        </w:rPr>
        <w:t>suatu hal yang boleh jadi tidak  terkait langsung dengan kajian epistemologis. Pembelaan ini kecil mengingat penjelasan ontologis atau apa pun sifat-  nya selama ia intelektual dan reasonable, dapat dijadikan sebagai inter-  pretasi atas sebuah persoalan suatu ilmu, dan penjelasan ontologis yang  diajukan oleh tiga filsuf tadi tidak serta merta merusak identitas masalah  yang djelaskan dari sifatnya sebagai epistemologi, sebagaimana wahdat  al-wujûd dalam tasawuf tidak akan berubah dari cirinya sebagai prinsip  tasawuf kendati telah dibuktikan oleh Mullâ Sadrâ dengan sistem filsa-  fatnya.</w:t>
      </w:r>
    </w:p>
    <w:p>
      <w:pPr>
        <w:pStyle w:val="Heading4"/>
        <w:numPr>
          <w:ilvl w:val="3"/>
          <w:numId w:val="1"/>
        </w:numPr>
        <w:bidi w:val="0"/>
        <w:jc w:val="left"/>
        <w:rPr/>
      </w:pPr>
      <w:bookmarkStart w:id="168" w:name="__RefHeading___Toc688641_653776707"/>
      <w:bookmarkStart w:id="169" w:name="_Toc60"/>
      <w:bookmarkEnd w:id="168"/>
      <w:r>
        <w:rPr/>
        <w:t>1. Objek Aksidental dan Substansial</w:t>
      </w:r>
      <w:bookmarkEnd w:id="169"/>
    </w:p>
    <w:p>
      <w:pPr>
        <w:pStyle w:val="BookText"/>
        <w:bidi w:val="0"/>
        <w:jc w:val="both"/>
        <w:rPr/>
      </w:pPr>
      <w:r>
        <w:rPr>
          <w:rFonts w:eastAsia="Times New Roman" w:cs="Times New Roman" w:ascii="Times New Roman" w:hAnsi="Times New Roman"/>
          <w:color w:val="111111"/>
          <w:sz w:val="28"/>
          <w:szCs w:val="28"/>
          <w:lang w:val="en-US"/>
        </w:rPr>
        <w:t>Sebagaimana Mullâ Sadrâ dan Thabấthabâ’î, Muhammad Taqî  Mishbâh Yazdî membuktikan meneguhkan prinsip hudhur sebagai induk  semua pengetahuan dengan membagi dua macam objek pengetahuan: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objek pengetahuan yang diperantarai oleh konsep “objek aksidental”  (ma`lûm bi al-'aradh), yaitu objek yang tidak berkaitan langsung  dengan subjek yang mengetahui ('alim) dan tidak menyatu dengannya; </w:t>
      </w:r>
    </w:p>
    <w:p>
      <w:pPr>
        <w:pStyle w:val="BookText"/>
        <w:bidi w:val="0"/>
        <w:rPr/>
      </w:pPr>
      <w:r>
        <w:rPr>
          <w:rFonts w:eastAsia="Times New Roman" w:cs="Times New Roman" w:ascii="Times New Roman" w:hAnsi="Times New Roman"/>
          <w:color w:val="111111"/>
          <w:sz w:val="28"/>
          <w:szCs w:val="28"/>
          <w:lang w:val="en-US"/>
        </w:rPr>
        <w:t xml:space="preserve">(2) objek pengetahuan yang tidak diperantarai oleh konsep. </w:t>
      </w:r>
      <w:r>
        <w:rPr>
          <w:rStyle w:val="FootnoteAnchor"/>
        </w:rPr>
        <w:footnoteReference w:id="236"/>
      </w:r>
      <w:r>
        <w:rPr>
          <w:rFonts w:eastAsia="Times New Roman" w:cs="Times New Roman" w:ascii="Times New Roman" w:hAnsi="Times New Roman"/>
          <w:color w:val="111111"/>
          <w:sz w:val="28"/>
          <w:szCs w:val="28"/>
          <w:lang w:val="en-US"/>
        </w:rPr>
        <w:t xml:space="preserve"> Pembagian ini, menurut pengamatan penulis, merupakan hasil  adaptasi dan inovasi Mullâ Sadrâ atas gagasan filsafat Aristotelian  tentang intensionalitas</w:t>
      </w:r>
      <w:r>
        <w:rPr>
          <w:rStyle w:val="FootnoteAnchor"/>
        </w:rPr>
        <w:footnoteReference w:id="237"/>
      </w:r>
      <w:r>
        <w:rPr>
          <w:rFonts w:eastAsia="Times New Roman" w:cs="Times New Roman" w:ascii="Times New Roman" w:hAnsi="Times New Roman"/>
          <w:color w:val="111111"/>
          <w:sz w:val="28"/>
          <w:szCs w:val="28"/>
          <w:lang w:val="en-US"/>
        </w:rPr>
        <w:t xml:space="preserve">yang membedakan dua jenis perbuatan manusia,  yaitu 'perbuatan imanen' dan 'perbuatan transitif”. </w:t>
      </w:r>
      <w:r>
        <w:rPr>
          <w:rStyle w:val="FootnoteAnchor"/>
        </w:rPr>
        <w:footnoteReference w:id="238"/>
      </w:r>
      <w:r>
        <w:rPr>
          <w:rFonts w:eastAsia="Times New Roman" w:cs="Times New Roman" w:ascii="Times New Roman" w:hAnsi="Times New Roman"/>
          <w:color w:val="111111"/>
          <w:sz w:val="28"/>
          <w:szCs w:val="28"/>
          <w:lang w:val="en-US"/>
        </w:rPr>
        <w:t>Sekilas adaptasi  Mullâ Sadrâ yang didukung oleh Muhammad Taqi Mishbâh Yazdî  terkesan “memaksakan diri', karena suatu perbuatan dan tindakan,  yang imanen maupun yang transitif, tidak pernah dapat diaplikasikan  dan diterapkan kepada objek-objek tindakan tersebut. Memang, suatu  tindakan imanen seperti halnya pengetahuan kita, bisa dianalisis secara  sangat logis menjadi subek yang mengetahui ('âlim) dan objek yang  diketahui (maʼlûm). Dengan demikian, anatomi objek yang diketahui pada  gilirannya bisa dianalisis menjadi objek internal dan objek eksternal.</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pada esensinya bersifat intensional, maka tidak mengetahui  senantiasa dimotivasi, ditentukan, dan dibentuk oleh objeknya. Karenanya  objek memiliki saham, bersama subjek, dalam penyusunan dan penentuan  tindak mengetahui, namun berbeda dari subjek karena memiliki peran  yang unik dalam memotivasi tindak mengetahui. Karenanya, sementara  ciri utama objek adalah memotivasi tindakan subjek, sebaliknya subjek  tidak bisa mengambil bagian dalam prosedur memotivasi tindakan  intensionalnya sendiri, dengan alasan sederhana bahwa orang yang  selalu hadir bagi dirinya sendiri tidak mungkin menjadi objek bagi  dirinya sendiri. Dengan kata lain, pikiran dirancang untuk berfungsi  sebagai kausa efisien bagi tindak intensional mengetahui sesuatu, dan </w:t>
      </w:r>
    </w:p>
    <w:p>
      <w:pPr>
        <w:pStyle w:val="BookText"/>
        <w:bidi w:val="0"/>
        <w:rPr/>
      </w:pPr>
      <w:r>
        <w:rPr>
          <w:rFonts w:eastAsia="Times New Roman" w:cs="Times New Roman" w:ascii="Times New Roman" w:hAnsi="Times New Roman"/>
          <w:color w:val="111111"/>
          <w:sz w:val="28"/>
          <w:szCs w:val="28"/>
          <w:lang w:val="en-US"/>
        </w:rPr>
        <w:t>objek berfungsi sebagai kausa final untuk bagi pelaksanaan tindakan itu.</w:t>
      </w:r>
    </w:p>
    <w:p>
      <w:pPr>
        <w:pStyle w:val="BookText"/>
        <w:bidi w:val="0"/>
        <w:jc w:val="both"/>
        <w:rPr/>
      </w:pPr>
      <w:r>
        <w:rPr>
          <w:rFonts w:eastAsia="Times New Roman" w:cs="Times New Roman" w:ascii="Times New Roman" w:hAnsi="Times New Roman"/>
          <w:color w:val="111111"/>
          <w:sz w:val="28"/>
          <w:szCs w:val="28"/>
          <w:lang w:val="en-US"/>
        </w:rPr>
        <w:t>Kausa efisien ('illah fâ'ilah) tidak dianggap mutlak identik dengan kausa  final ('illah gha'iyyah) dalam sistem kausalitas Aristotelian. Dengan  demikian, suatu subjek tidak mungkin identik dengan objeknya.</w:t>
      </w:r>
    </w:p>
    <w:p>
      <w:pPr>
        <w:pStyle w:val="BookText"/>
        <w:bidi w:val="0"/>
        <w:jc w:val="both"/>
        <w:rPr/>
      </w:pPr>
      <w:r>
        <w:rPr>
          <w:rFonts w:eastAsia="Times New Roman" w:cs="Times New Roman" w:ascii="Times New Roman" w:hAnsi="Times New Roman"/>
          <w:color w:val="111111"/>
          <w:sz w:val="28"/>
          <w:szCs w:val="28"/>
          <w:lang w:val="en-US"/>
        </w:rPr>
        <w:t>Dengan meletakkan hubungan subjek-objek dalam konteks sistem  kausalitas Aristotelian, lebih lanjut bisa disimpulkan adanya distingsi  khas lain antara subjek yang mengetahui sebagai kausa efisien dan sesuatu  yang diketahui sebagai kausa final bagi tindak pengetahuan. Sementara  kausa efisien didefinisikan sebagai agen yang bertindak, artinya yang  melahirkan tindak mengetahui,</w:t>
      </w:r>
      <w:r>
        <w:rPr>
          <w:rStyle w:val="FootnoteAnchor"/>
        </w:rPr>
        <w:footnoteReference w:id="239"/>
      </w:r>
      <w:r>
        <w:rPr>
          <w:rFonts w:eastAsia="Times New Roman" w:cs="Times New Roman" w:ascii="Times New Roman" w:hAnsi="Times New Roman"/>
          <w:color w:val="111111"/>
          <w:sz w:val="28"/>
          <w:szCs w:val="28"/>
          <w:lang w:val="en-US"/>
        </w:rPr>
        <w:t>maka kausa final berfungsi dengan  dua cara berbeda tergantung pada eksistensi eksternal dan internalnya.</w:t>
      </w:r>
      <w:r>
        <w:rPr>
          <w:rStyle w:val="FootnoteAnchor"/>
        </w:rPr>
        <w:footnoteReference w:id="240"/>
      </w:r>
      <w:r>
        <w:rPr>
          <w:rFonts w:eastAsia="Times New Roman" w:cs="Times New Roman" w:ascii="Times New Roman" w:hAnsi="Times New Roman"/>
          <w:color w:val="111111"/>
          <w:sz w:val="28"/>
          <w:szCs w:val="28"/>
          <w:lang w:val="en-US"/>
        </w:rPr>
        <w:t xml:space="preserve"> Subjek yang mengetahui ('alim) sebagai kausa efisien ('illah fa'ilah)  pada gilirannya disebabkan dan digerakkan oleh bayangan mental dan  pikiran objek dalam pelaksanaan tindak pengetahuan. Karena gagasan  tentang objek itulah yang pertama kali mengefektifkan kausalitas  potensial subjek dengan memindahkannya dari posisi potensial (bi al-  quwwah) ke posisi aktual (bi al-fi'il). Seandainya gagasan tentang objek  tidak terdapat dalam gagasan subjek yang mengetahui, niscaya subjek  potensial tersebut tidak akan pernah sampai pada tindak mengetahui  sama sekali. Oleh karena itu, dalam rangkaian kausa ini gagasan tentang  objek muncul lebih dahulu, dan dipandang sebagai kausa prima (sebab  pertama) atau salah satu kausa dari sistem kausalitas.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semua ini bisa dipahami bagaimana semua situasi dan kondisi  ini membenarkan pengandaian-pengandaian oleh para pemikir yang  berorientasi pencerahan dan iluminatif, semisal Mullâ Sadrâ, yang  menegaskan bahwa benda-benda yang termasuk dalam tatanan dunia </w:t>
      </w:r>
    </w:p>
    <w:p>
      <w:pPr>
        <w:pStyle w:val="BookText"/>
        <w:bidi w:val="0"/>
        <w:rPr/>
      </w:pPr>
      <w:r>
        <w:rPr>
          <w:rFonts w:eastAsia="Times New Roman" w:cs="Times New Roman" w:ascii="Times New Roman" w:hAnsi="Times New Roman"/>
          <w:color w:val="111111"/>
          <w:sz w:val="28"/>
          <w:szCs w:val="28"/>
          <w:lang w:val="en-US"/>
        </w:rPr>
        <w:t>eksternal harus dipandang sebagai “objek-objek tak hadir” yang  diperlawankan dengan “objek-objek yang hadir”. Objek-objek eksternal  ini, dalam pengertian yang sesungguhnya, tidaklah hadir bagi, dan  diidentifikasikan dengan, kita dalam dataran eksistensi, akan tetapi  konsepsi-konsepsi mereka dan representasi-representasinya memang  hadir bagi, dan identik dengan, kita.</w:t>
      </w:r>
    </w:p>
    <w:p>
      <w:pPr>
        <w:pStyle w:val="BookText"/>
        <w:bidi w:val="0"/>
        <w:jc w:val="both"/>
        <w:rPr/>
      </w:pPr>
      <w:r>
        <w:rPr>
          <w:rFonts w:eastAsia="Times New Roman" w:cs="Times New Roman" w:ascii="Times New Roman" w:hAnsi="Times New Roman"/>
          <w:color w:val="111111"/>
          <w:sz w:val="28"/>
          <w:szCs w:val="28"/>
          <w:lang w:val="en-US"/>
        </w:rPr>
        <w:t>Dalam hal ini Mullâ Sadrâ menulis, “Sebuah risalah tentang teori  bahwa pengetahuan mengenai objek-objek ini yang eksistensinya absen  dari kita hanya mungkin melalui perantaraan representasi objek-objek di  dalam diri kita”.</w:t>
      </w:r>
      <w:r>
        <w:rPr>
          <w:rStyle w:val="FootnoteAnchor"/>
        </w:rPr>
        <w:footnoteReference w:id="241"/>
      </w:r>
      <w:r>
        <w:rPr>
          <w:rFonts w:eastAsia="Times New Roman" w:cs="Times New Roman" w:ascii="Times New Roman" w:hAnsi="Times New Roman"/>
          <w:color w:val="111111"/>
          <w:sz w:val="28"/>
          <w:szCs w:val="28"/>
          <w:lang w:val="en-US"/>
        </w:rPr>
        <w:t xml:space="preserve"> Akan tetapi, menurut pendapatnya, adalah absurd apabila realitas  objektif objek-objek ini pernah hadir dalam pikiran kita sedemikian  rupa sehingga sebuah objek eksternal menjadi internal secara total,  dan suatu eksistensi yang mandiri jatuh dari dataran eksistensinya ke  dataran konsepsi yang hidup dalam keadaan mentalitas kita (yakni  berada di alam pikiran kita). Dalam pandangan filsuf agung ini, kita  masih dapat mencapai komunikasi dengan “objek-objek tak hadir”  tersebut hanya melalui representasi-representasi yang bersifat perseptual  maupun konseptual dalam pikiran kita. Representasi-representasi ini  pada mulanya adalah milik kita dan dibangkitkan serta ditegakkan oleh  kekuatan intelektual kita.</w:t>
      </w:r>
    </w:p>
    <w:p>
      <w:pPr>
        <w:pStyle w:val="BookText"/>
        <w:bidi w:val="0"/>
        <w:jc w:val="both"/>
        <w:rPr/>
      </w:pPr>
      <w:r>
        <w:rPr>
          <w:rFonts w:eastAsia="Times New Roman" w:cs="Times New Roman" w:ascii="Times New Roman" w:hAnsi="Times New Roman"/>
          <w:color w:val="111111"/>
          <w:sz w:val="28"/>
          <w:szCs w:val="28"/>
          <w:lang w:val="en-US"/>
        </w:rPr>
        <w:t>Karena objek tanpa perantara (maʼlûm bi al-dzât) bebas dari  keterikatan dengan materi, dia dapat dicontohkan sebagai objek yang bisa  diindera, dibayangkan, dan sangat bisa dipahami secara transendental,  bergantung pada derajat pengetahuan abstrak dan kekuatan pemahaman  mental kita. Bahkan objek terindrakan (ma lum mahsus) yang imanen  dalam pengetahuan empiris kita menikmati suatu derajat primitif  abstraksi dan transendentalitas karena dia bebas dari materi. Artinya, dia  berada bukan dalam materi, akan tetapi di alam pikiran dan mental.</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lain pihak, objek aksidental dan transitif adalah bentuk objek  yang eksternal, material, ataupun immaterial, yang secara eksistensial </w:t>
      </w:r>
    </w:p>
    <w:p>
      <w:pPr>
        <w:pStyle w:val="BookText"/>
        <w:bidi w:val="0"/>
        <w:rPr/>
      </w:pPr>
      <w:r>
        <w:rPr>
          <w:rFonts w:eastAsia="Times New Roman" w:cs="Times New Roman" w:ascii="Times New Roman" w:hAnsi="Times New Roman"/>
          <w:color w:val="111111"/>
          <w:sz w:val="28"/>
          <w:szCs w:val="28"/>
          <w:lang w:val="en-US"/>
        </w:rPr>
        <w:t>tidak bergantung pada, dan terpisah dari, keadaan mentalitas kita dan  tidak mempunyai kerentanan terhadap derajat abstraksi. Dalam kasus  objek material, dia terikat dan bergantung dengan materi, ruang, dan  waktu. Di samping itu, dalam contoh objek non material, apabila objek  seperti itu memang ada, dia berdiri sendiri tanpa hubungan pasif dengan  materi, ruang, ataupun waktu. Objek-objek aksidental dan transitif  ini dapat dikomunikasikan hanya dengan menginisiasi representasi-  representasi ini, karena berada dalam tatanan konsepsi, mesti dipandang  sebagai objek-objek imanen yang sebenarnya, dan objek-objek yang  direpresentasikan oleh mereka "yang eksistensinya tetap berada dalam  wujûd- harus dianggap sebagai objek-objek transitif dan aksidental.</w:t>
      </w:r>
    </w:p>
    <w:p>
      <w:pPr>
        <w:pStyle w:val="BookText"/>
        <w:bidi w:val="0"/>
        <w:jc w:val="both"/>
        <w:rPr/>
      </w:pPr>
      <w:r>
        <w:rPr>
          <w:rFonts w:eastAsia="Times New Roman" w:cs="Times New Roman" w:ascii="Times New Roman" w:hAnsi="Times New Roman"/>
          <w:color w:val="111111"/>
          <w:sz w:val="28"/>
          <w:szCs w:val="28"/>
          <w:lang w:val="en-US"/>
        </w:rPr>
        <w:t>Karena objeknya tidak lain hanya bersifat imanen dan esensial, maka arti  objektivitas objek ini, seperti yang telah kita tunjukkan bersifat analitis  dan terwujudkan dalam tindakan mengetahui itu sendiri. Sebaliknya,  objek transitif, karena secara keseluruhan bersifat aksidental, tidak  menjadi bagian dari inti esensial kesadaran dan pengetahuan manusia.</w:t>
      </w:r>
    </w:p>
    <w:p>
      <w:pPr>
        <w:pStyle w:val="BookText"/>
        <w:bidi w:val="0"/>
        <w:jc w:val="both"/>
        <w:rPr/>
      </w:pPr>
      <w:r>
        <w:rPr>
          <w:rFonts w:eastAsia="Times New Roman" w:cs="Times New Roman" w:ascii="Times New Roman" w:hAnsi="Times New Roman"/>
          <w:color w:val="111111"/>
          <w:sz w:val="28"/>
          <w:szCs w:val="28"/>
          <w:lang w:val="en-US"/>
        </w:rPr>
        <w:t>Objek transitif dan aksidental dengan demikian menjadi konstitutif  hanya ketika yang dipersoalkan adalah pengetahuan tentang objek  eksternal. Ini adalah spesies pengetahuan tertentu yang dalam  terninologi kita akan dinamakan “pengetahuan dengan korespondensi”  (ilmu hushuli) yang diperlawankan dengan “pengetahuan dengan  kehadiran” (ilmu hudhûrî). Akan tetapi, bentuk primordial pengetahuan  adalah “pengetahuan dengan kehadiran”, dan terlebih lagi dalam teori  pengetahuan, objek transitif eksternal sama sekali tidak berfungsi sebagai  bagian pembentuk konsep umum pengetahuan.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semua ini dengan sendirinya dapat disimpulkan bahwa gagasan  prospektif kita tentang “pengetahuan dengan kehadiran”, sebagaimana  dicirikan oleh swa-objektivitas, benar-benar dan dengan sendirinya  dijelaskan oleh bentuk dasar pengetahuan, tanpa mempunyai objek  fisik eksternal yang berkorespondensi dengan objek yang hadir secara  esensial. Akan tetapi, “pengetahuan dengan kehadiran” secara harfiah  termasuk, bahkan merupakan contoh utama, dalam kategori pengetahuan </w:t>
      </w:r>
      <w:bookmarkStart w:id="170" w:name="pg6424_45034"/>
    </w:p>
    <w:p>
      <w:pPr>
        <w:pStyle w:val="BookText"/>
        <w:bidi w:val="0"/>
        <w:rPr/>
      </w:pPr>
      <w:bookmarkEnd w:id="170"/>
      <w:r>
        <w:rPr>
          <w:rFonts w:eastAsia="Times New Roman" w:cs="Times New Roman" w:ascii="Times New Roman" w:hAnsi="Times New Roman"/>
          <w:color w:val="111111"/>
          <w:sz w:val="28"/>
          <w:szCs w:val="28"/>
          <w:lang w:val="en-US"/>
        </w:rPr>
        <w:t>seperti itu, sebab dia bersifat noetic dan objektif dalam hakikatnya dan  memenuhi semua persyaratan esensial konsepsi pengetahuan, mekipun  tidak mempunyai objek transitif yang aksidental.</w:t>
      </w:r>
    </w:p>
    <w:p>
      <w:pPr>
        <w:pStyle w:val="BookText"/>
        <w:bidi w:val="0"/>
        <w:jc w:val="both"/>
        <w:rPr/>
      </w:pPr>
      <w:r>
        <w:rPr>
          <w:rFonts w:eastAsia="Times New Roman" w:cs="Times New Roman" w:ascii="Times New Roman" w:hAnsi="Times New Roman"/>
          <w:color w:val="111111"/>
          <w:sz w:val="28"/>
          <w:szCs w:val="28"/>
          <w:lang w:val="en-US"/>
        </w:rPr>
        <w:t>Singkatnya, ilmu hudhûrî secara harfiah berarti pengetahuan dengan  kehadiran karena dia ditandai oleh keadaan noetic dan mempunyai objek  imanen dan esenssial yang menjadikannya pengetahuan swaobjek (self  object-knowledge), yang memadai untuk definisi pengetahuan seperti itu  tanpa membutuhkan objek transitif dan aksidental yang berkoresponden,  selain objek yang imanen dan esensial.</w:t>
      </w:r>
    </w:p>
    <w:p>
      <w:pPr>
        <w:pStyle w:val="Heading4"/>
        <w:numPr>
          <w:ilvl w:val="3"/>
          <w:numId w:val="1"/>
        </w:numPr>
        <w:bidi w:val="0"/>
        <w:jc w:val="left"/>
        <w:rPr/>
      </w:pPr>
      <w:bookmarkStart w:id="171" w:name="__RefHeading___Toc688643_653776707"/>
      <w:bookmarkStart w:id="172" w:name="_Toc61"/>
      <w:bookmarkEnd w:id="171"/>
      <w:r>
        <w:rPr/>
        <w:t>2. Kebersatuan Subjek dan Objek Pengetahuan</w:t>
      </w:r>
      <w:bookmarkEnd w:id="172"/>
    </w:p>
    <w:p>
      <w:pPr>
        <w:pStyle w:val="BookText"/>
        <w:bidi w:val="0"/>
        <w:jc w:val="both"/>
        <w:rPr/>
      </w:pPr>
      <w:r>
        <w:rPr>
          <w:rFonts w:eastAsia="Times New Roman" w:cs="Times New Roman" w:ascii="Times New Roman" w:hAnsi="Times New Roman"/>
          <w:color w:val="111111"/>
          <w:sz w:val="28"/>
          <w:szCs w:val="28"/>
          <w:lang w:val="en-US"/>
        </w:rPr>
        <w:t>Salah satu isu penting dalam filsafat pengetahuan Sadrian adalah  ittihâd al-'âqil wa al-aql wa al-ma'qûl. Doktrin ini menyatakan adanya  tiga pihak dalam proses mengetahui, yaitu: subjek yang mengetahui,  objek yang diketahui, dan proses pengetahuan, yang kemudian menyatu.</w:t>
      </w:r>
    </w:p>
    <w:p>
      <w:pPr>
        <w:pStyle w:val="BookText"/>
        <w:bidi w:val="0"/>
        <w:jc w:val="both"/>
        <w:rPr/>
      </w:pPr>
      <w:r>
        <w:rPr>
          <w:rFonts w:eastAsia="Times New Roman" w:cs="Times New Roman" w:ascii="Times New Roman" w:hAnsi="Times New Roman"/>
          <w:color w:val="111111"/>
          <w:sz w:val="28"/>
          <w:szCs w:val="28"/>
          <w:lang w:val="en-US"/>
        </w:rPr>
        <w:t>Jadi, ketika menjadi subjek yang mengetahui, diri adalah ‘aqil, ketika  menjadi objek yang diketahui, diri adalah ma'qûl, dan ketika menjadi  proses pengetahuan, diri adalah 'aql.</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Sînâ berpendapat bahwa ittihâd semacam itu tidak terjadi  dalam pengetahuan hushûlî, karena pengetahuan hushûlî merupakan  pengetahuan yang prosesnya membutuhkan perantara. Mullâ Sadrâ dan  Thâbathabâ’î berpendapat bahwa pengetahuan hushûlî pada hakikatnya  merupakan salah satu bagian dari pengetahuan hudhûrî atau paling tidak  bermuara pada pengetahuan hudhûrî.</w:t>
      </w:r>
      <w:r>
        <w:rPr>
          <w:rStyle w:val="FootnoteAnchor"/>
        </w:rPr>
        <w:footnoteReference w:id="242"/>
      </w:r>
      <w:r>
        <w:rPr>
          <w:rFonts w:eastAsia="Times New Roman" w:cs="Times New Roman" w:ascii="Times New Roman" w:hAnsi="Times New Roman"/>
          <w:color w:val="111111"/>
          <w:sz w:val="28"/>
          <w:szCs w:val="28"/>
          <w:lang w:val="en-US"/>
        </w:rPr>
        <w:t>Karena itulah, Muhammad Taqi  Misbâh Yazdî beranggapan bahwa pengetahuan, baik hudhûrî maupun  hushûlî, termasuk tema besar “maujud tak terindra' (maujûd ma'qûl).</w:t>
      </w:r>
      <w:r>
        <w:rPr>
          <w:rStyle w:val="FootnoteAnchor"/>
        </w:rPr>
        <w:footnoteReference w:id="243"/>
      </w:r>
      <w:r>
        <w:rPr>
          <w:rFonts w:eastAsia="Times New Roman" w:cs="Times New Roman" w:ascii="Times New Roman" w:hAnsi="Times New Roman"/>
          <w:color w:val="111111"/>
          <w:sz w:val="28"/>
          <w:szCs w:val="28"/>
          <w:lang w:val="en-US"/>
        </w:rPr>
        <w:t xml:space="preserve"> Sampai di sini, menurut penulis, Muhammad Taqi Misbâh Yazdî  terlihat gamang untuk mengambil sikap tegas. Di satu sisi ia menerima  peran sentral ilmu hudhûrî yang berarti kehadiran yang meniscayakan  abstraksi, namun di sisi lain juga menganggap ilmu hudhûrî berstatus </w:t>
      </w:r>
    </w:p>
    <w:p>
      <w:pPr>
        <w:pStyle w:val="BookText"/>
        <w:bidi w:val="0"/>
        <w:rPr/>
      </w:pPr>
      <w:r>
        <w:rPr>
          <w:rFonts w:eastAsia="Times New Roman" w:cs="Times New Roman" w:ascii="Times New Roman" w:hAnsi="Times New Roman"/>
          <w:color w:val="111111"/>
          <w:sz w:val="28"/>
          <w:szCs w:val="28"/>
          <w:lang w:val="en-US"/>
        </w:rPr>
        <w:t>supra-filsafat. Namun, dari pembelaannya terhadap pendapat Mullâ Hâdi  Sabzawarî yang menolak definisi Mullâ Sadrâ tentang al-'ilm sebagai  hudhûr mujarrad ladâ mujjarad, ia sebenarnya sudah menentukan sikap.</w:t>
      </w:r>
    </w:p>
    <w:p>
      <w:pPr>
        <w:pStyle w:val="BookText"/>
        <w:bidi w:val="0"/>
        <w:jc w:val="both"/>
        <w:rPr/>
      </w:pPr>
      <w:r>
        <w:rPr>
          <w:rFonts w:eastAsia="Times New Roman" w:cs="Times New Roman" w:ascii="Times New Roman" w:hAnsi="Times New Roman"/>
          <w:color w:val="111111"/>
          <w:sz w:val="28"/>
          <w:szCs w:val="28"/>
          <w:lang w:val="en-US"/>
        </w:rPr>
        <w:t xml:space="preserve">Ia menolak anggapan bahwa semua pengetahuan harus didasarkan pada  ‘kehadiran' karena, menurutnya, pengetahuan sesuatu yang memiliki  esksistensi termulia (Tuhan) mampu mengenali entitas-entitas non  abstrak secara langsung, tanpa medium entitas-entitas abstrak lainnya. </w:t>
      </w:r>
      <w:r>
        <w:rPr>
          <w:rStyle w:val="FootnoteAnchor"/>
        </w:rPr>
        <w:footnoteReference w:id="244"/>
      </w:r>
      <w:r>
        <w:rPr>
          <w:rFonts w:eastAsia="Times New Roman" w:cs="Times New Roman" w:ascii="Times New Roman" w:hAnsi="Times New Roman"/>
          <w:color w:val="111111"/>
          <w:sz w:val="28"/>
          <w:szCs w:val="28"/>
          <w:lang w:val="en-US"/>
        </w:rPr>
        <w:t xml:space="preserve"> Meski tetap menganut fondasionalisme, yang menganggap  pengetahuan hudhûri sebagai induk dan basis semua pengetahuan  husûlî badîhî, bahkan hukum nonkotradiksi dan hukum identisitas (hu-  huwiyyah). Menurut Muhammad Taqî Misbah Yazdî, semua pengetahuan  hushûlî yang paling badîhî sekalipun masih bisa dibuktikan oleh  pengetahuan hudhûrî, betapapun pengetahuan hudhûri tidak meleset,  namun ruangnya sangat sempit dan terbatas, sehingga tidak dapat  dijadikan sumber bagi penyelesaian seluruh problema dalam konteks  pengetahuan. Hanya dengan mengandalkan pengetahuan hudhûri, proses  transformasi, komunikasi, dan persuasi tidak akan berjalan, yang pada  akhirnya sebagian besar pengetahuan tidak dapat dimunculkan, selain  pengetahuan tentang diri dan sejenisnya. Karena itulah, pengetahuan  hushûlî sangat diperlukan.</w:t>
      </w:r>
      <w:r>
        <w:rPr>
          <w:rStyle w:val="FootnoteAnchor"/>
        </w:rPr>
        <w:footnoteReference w:id="245"/>
      </w:r>
      <w:r>
        <w:rPr>
          <w:rFonts w:eastAsia="Times New Roman" w:cs="Times New Roman" w:ascii="Times New Roman" w:hAnsi="Times New Roman"/>
          <w:color w:val="111111"/>
          <w:sz w:val="28"/>
          <w:szCs w:val="28"/>
          <w:lang w:val="en-US"/>
        </w:rPr>
        <w:t xml:space="preserve"> Setelah membatasi jalur pengetahuan dalam filsafat hanya melalui  hushûlî, Muhammad Taqi Misbâh Yazdî memperjelas rambu-rambunya.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Pengetahuan hushûlî terbangun di atas tiga pilar: (1)Pengetahuan (mudrik);  (2) Yang diketahui (mudrak). Dalam hal ini, sebagian filsuf Muslim  membagi objek pengetahuan hushûlî ke dalam dua kategori: a) Esensi-  esensi yang maujud sebagai maujud; b) Hakikat (realitas) eksistensi secara  umum (muthlaq al-wujûd) yang dikenali atau ditandai dengan kode-  kode atau terminologi-terminologi umum yang sesuai dengannya;</w:t>
      </w:r>
      <w:r>
        <w:rPr>
          <w:rStyle w:val="FootnoteAnchor"/>
        </w:rPr>
        <w:footnoteReference w:id="246"/>
      </w:r>
      <w:r>
        <w:rPr>
          <w:rFonts w:eastAsia="Times New Roman" w:cs="Times New Roman" w:ascii="Times New Roman" w:hAnsi="Times New Roman"/>
          <w:color w:val="111111"/>
          <w:sz w:val="28"/>
          <w:szCs w:val="28"/>
          <w:lang w:val="en-US"/>
        </w:rPr>
        <w:t xml:space="preserve">(3)  Gambaran (shûrah) tentang sesuatu yang diketahui secara inheren. </w:t>
      </w:r>
      <w:bookmarkStart w:id="173" w:name="pg6424_45039"/>
    </w:p>
    <w:p>
      <w:pPr>
        <w:pStyle w:val="Heading4"/>
        <w:numPr>
          <w:ilvl w:val="3"/>
          <w:numId w:val="1"/>
        </w:numPr>
        <w:bidi w:val="0"/>
        <w:jc w:val="left"/>
        <w:rPr/>
      </w:pPr>
      <w:bookmarkStart w:id="174" w:name="__RefHeading___Toc688645_653776707"/>
      <w:bookmarkStart w:id="175" w:name="_Toc62"/>
      <w:bookmarkEnd w:id="173"/>
      <w:bookmarkEnd w:id="174"/>
      <w:r>
        <w:rPr/>
        <w:t>3. Pengetahuan Maujud Abstrak terhadap Maujud</w:t>
      </w:r>
      <w:bookmarkEnd w:id="175"/>
    </w:p>
    <w:p>
      <w:pPr>
        <w:pStyle w:val="BookText"/>
        <w:bidi w:val="0"/>
        <w:jc w:val="both"/>
        <w:rPr/>
      </w:pPr>
      <w:r>
        <w:rPr>
          <w:rFonts w:eastAsia="Times New Roman" w:cs="Times New Roman" w:ascii="Times New Roman" w:hAnsi="Times New Roman"/>
          <w:color w:val="111111"/>
          <w:sz w:val="28"/>
          <w:szCs w:val="28"/>
          <w:lang w:val="en-US"/>
        </w:rPr>
        <w:t>Konkret  Salah satu pandangan khas Muhammad Taqi Misbah Yazdî dalam  bidang epistemologi berkaitan dengan masalah “pengetahuan Tuhan  tentang entitas-entitras material” ('ilm Allah bi al-maddiyât). Para  filsuf sepakat salah satu syarat subjek pengetahu ("âlim) adalah ke-  mujarrad-an, karena ilmu merupakan entitas immaterial dan bagian dari  nafs yang immaterial, bukan sekadar produk kerja otak dan indera, yang  hanya berfungsi sebagai penyedia (i’dâdiyyah). Karena itu, meja yang  ditumpuk satu sama lain tidak saling mengerti, padahal kalau definisi  ilmu itu adalah “hadirnya sesuatu pada sesuatu”, mencakup materi juga.</w:t>
      </w:r>
    </w:p>
    <w:p>
      <w:pPr>
        <w:pStyle w:val="BookText"/>
        <w:bidi w:val="0"/>
        <w:jc w:val="both"/>
        <w:rPr/>
      </w:pPr>
      <w:r>
        <w:rPr>
          <w:rFonts w:eastAsia="Times New Roman" w:cs="Times New Roman" w:ascii="Times New Roman" w:hAnsi="Times New Roman"/>
          <w:color w:val="111111"/>
          <w:sz w:val="28"/>
          <w:szCs w:val="28"/>
          <w:lang w:val="en-US"/>
        </w:rPr>
        <w:t>Pertanyaan yang muncul di kalangan para filsuf adalah apakah  ma`lum (objek pengetahuan) haruslah sesuatuyang immaterial pula? Yang  bisa dipahami dari penjelasan bahwa ilmu itu adalah non materi, maka  objek ilmu yang dipahami oleh diri subjek juga demikian. Muhammad  Taqi Misbâh Yazdî, seperti para pendahulunya meyakini bahwa ilmu  haruslah sesuatu yang immaterial. Karenanya, ia mengemukakan  berbagai argumentasi atas hal itu  Pertama, Ilmu tidak menerima pembagian. Jika ilmu itu materi,  maka konsekuensinya di saat kita mendapatkan ilmu, artinya akan hadir  sesuatu yang besar pada sesuatu yang kecil, yakni ilmu yang didapatkan  dari pandangan atau lainnya yang ukurannya jauh lebih besar dari bola  mata kita, bahkan dari badan kita semuanya tercetak (inthibâ') dalam  bola mata kita dan tersimpan pula di dalam otak kita yang kecil.</w:t>
      </w:r>
    </w:p>
    <w:p>
      <w:pPr>
        <w:pStyle w:val="BookText"/>
        <w:bidi w:val="0"/>
        <w:jc w:val="both"/>
        <w:rPr/>
      </w:pPr>
      <w:r>
        <w:rPr>
          <w:rFonts w:eastAsia="Times New Roman" w:cs="Times New Roman" w:ascii="Times New Roman" w:hAnsi="Times New Roman"/>
          <w:color w:val="111111"/>
          <w:sz w:val="28"/>
          <w:szCs w:val="28"/>
          <w:lang w:val="en-US"/>
        </w:rPr>
        <w:t>Kedua, Bila ilmu adalah materi, maka tidak bisa kita mengetahui  (menghadirkan gambaran konsep) lebih dari satu, sementara hal itu  kita saksikan dan kita rasakan kita bisa lakukan hal itu dan bahkan  membandingkan antara satu dengan yang lain.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Bisanya kita menghadirkan ilmu (konsep) yang tesimpan  dalam diri kita setelah berlalu puluhan tahun lamanya, padahal jika ia  sesuatu yang materi, maka akan hilang dengan hilangnya tempatnya dan  sel-sel otak kita dengan berlalunya masa juga sudah berubah-ubah. </w:t>
      </w:r>
    </w:p>
    <w:p>
      <w:pPr>
        <w:pStyle w:val="BookText"/>
        <w:bidi w:val="0"/>
        <w:rPr/>
      </w:pPr>
      <w:r>
        <w:rPr>
          <w:rFonts w:eastAsia="Times New Roman" w:cs="Times New Roman" w:ascii="Times New Roman" w:hAnsi="Times New Roman"/>
          <w:color w:val="111111"/>
          <w:sz w:val="28"/>
          <w:szCs w:val="28"/>
          <w:lang w:val="en-US"/>
        </w:rPr>
        <w:t>Namun berkenaan dengan ilmu Allah atas makhluk (akibat)nya yang  materi sesuai dengan kaidah di atas seharusnya juga tidak bisa langsung  demikian, namun ia mengatakan, bahwa Allah bisa saja mengetahui yang  materi secara langsung, tidak perlu perantara non materinya, seperti yang  diyakini oleh Thabathabâ’î melanjutkan pandangan Mullâ Sadrâ.</w:t>
      </w:r>
    </w:p>
    <w:p>
      <w:pPr>
        <w:pStyle w:val="BookText"/>
        <w:bidi w:val="0"/>
        <w:jc w:val="both"/>
        <w:rPr/>
      </w:pPr>
      <w:r>
        <w:rPr>
          <w:rFonts w:eastAsia="Times New Roman" w:cs="Times New Roman" w:ascii="Times New Roman" w:hAnsi="Times New Roman"/>
          <w:color w:val="111111"/>
          <w:sz w:val="28"/>
          <w:szCs w:val="28"/>
          <w:lang w:val="en-US"/>
        </w:rPr>
        <w:t xml:space="preserve">Tentang ketakmustahilan hal itu, sayangnya Muhammad Taqî  Misbâh Yazdî tidak mengemukakan dalil apa-apa, hanya menyebutkan  karena Allah memiliki peliputan eksistensial (ihâthah wujûdiyyah). </w:t>
      </w:r>
      <w:r>
        <w:rPr>
          <w:rStyle w:val="FootnoteAnchor"/>
        </w:rPr>
        <w:footnoteReference w:id="247"/>
      </w:r>
    </w:p>
    <w:p>
      <w:pPr>
        <w:pStyle w:val="BookText"/>
        <w:bidi w:val="0"/>
        <w:jc w:val="both"/>
        <w:rPr/>
      </w:pPr>
      <w:r>
        <w:rPr>
          <w:rFonts w:ascii="IRNazanin" w:hAnsi="IRNazanin" w:eastAsia="IRNazanin"/>
          <w:color w:val="111111"/>
          <w:sz w:val="28"/>
          <w:sz w:val="28"/>
          <w:szCs w:val="28"/>
          <w:rtl w:val="true"/>
          <w:lang w:bidi="fa-IR"/>
        </w:rPr>
        <w:t xml:space="preserve">دارای کمالات قول صدرالمتالهین مبنی بر اینکه علم به ذات عینا علم حضوری به مخلوقات است مهمترین اصل برای تبیین این قول همان بود خاص در وجود میباشد که بر اساس آن وجود معلول شعاع و جلوه ای از وجود علت بشمار میرود و علت هستی بخش در ذات خود و همانگونه که تجرد شرط وجود عالم است شرط معلوم بالذات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معلولانش هست بس حضور ذات برای خودش عین حضور آنها خواهد زمانی مادیات از یکدیگر منافاتی با حضور همه آنها نسبت به علت اما وی معلق است که هیج علمی مستقیما به وجود مادی تعلق نمی گیرد می باشد می باشد ولی چنانکه در درس چهل و نهم اشاره شد غیبوبت اجزاء مکانی و اعم از مجرد و مادی دارد علمی که عین ذات مقدس هستی بخش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خدای متعال علم حضوری به همه مخلوقات</w:t>
      </w:r>
    </w:p>
    <w:p>
      <w:pPr>
        <w:pStyle w:val="BookText"/>
        <w:bidi w:val="0"/>
        <w:jc w:val="both"/>
        <w:rPr/>
      </w:pPr>
      <w:r>
        <w:rPr>
          <w:rFonts w:eastAsia="Times New Roman" w:cs="Times New Roman" w:ascii="Times New Roman" w:hAnsi="Times New Roman"/>
          <w:color w:val="111111"/>
          <w:sz w:val="28"/>
          <w:szCs w:val="28"/>
          <w:lang w:val="en-US"/>
        </w:rPr>
        <w:t>Jadi, ia ia tidak memberikan dalil apa-apa, padahal semestinya ia, paling  tidak, menolak dalil yang dikemukakan Mullâ Sadrâ dan Thabâthabâ’î,  bahwa materi itu kegelapan yang satu sama lain tidak bisa mengenal,  karenanya ia pun tidak bisa menjadi objek ilmu, dan itu yang menjadi  kritik Thabâthabâ’î kepada Suhrawardi saat mendeskripsikan ilmu Allah  kepada materi sebagai “kehadiran materi” pada diri Tuhan.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Menurut penulis, pandangan Muhammad Taqi Misbâh Yazdî yang  menerima prinsip hudhur namun juga menolak definisi ‘ilm sebagai  “kehadiran entitas abstrak pada entitas abstrak lain” yang menjadi  melahirkan prinsip hudhûr membingungkan dan cenderung kontradiktif.</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Penolakan Muhammad Taqî Misbah Yazdî juga terhadap definisi ilmu  yang diberikan oleh Mullâ Sadrâ sama dengan penolakan terhadap  prinsip hudhur yang diakuinya sebagai dasar validitas pengetahuan  hushûlî. Konsekuensinya tentu lebih buruk, yaitu runtuhnya bangunan  epistemologi. </w:t>
      </w:r>
      <w:bookmarkStart w:id="176" w:name="pg6424_45045"/>
    </w:p>
    <w:p>
      <w:pPr>
        <w:pStyle w:val="Heading3"/>
        <w:numPr>
          <w:ilvl w:val="2"/>
          <w:numId w:val="1"/>
        </w:numPr>
        <w:bidi w:val="0"/>
        <w:jc w:val="left"/>
        <w:rPr/>
      </w:pPr>
      <w:bookmarkStart w:id="177" w:name="__RefHeading___Toc688647_653776707"/>
      <w:bookmarkStart w:id="178" w:name="_Toc63"/>
      <w:bookmarkEnd w:id="176"/>
      <w:bookmarkEnd w:id="177"/>
      <w:r>
        <w:rPr/>
        <w:t>F. Prinsip Badâhah</w:t>
      </w:r>
      <w:bookmarkEnd w:id="178"/>
    </w:p>
    <w:p>
      <w:pPr>
        <w:pStyle w:val="Heading4"/>
        <w:numPr>
          <w:ilvl w:val="3"/>
          <w:numId w:val="1"/>
        </w:numPr>
        <w:bidi w:val="0"/>
        <w:jc w:val="left"/>
        <w:rPr/>
      </w:pPr>
      <w:bookmarkStart w:id="179" w:name="__RefHeading___Toc688649_653776707"/>
      <w:bookmarkStart w:id="180" w:name="_Toc64"/>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Setelah menganggap' ilm hudhûrî sebagai induk semua pengetahuan,  Muhammad Taqi Misbah Yazdî tidak larut dengan ilmu hudhûrî, namun  memasuki ranah ilmu hushûlî. Dalam ilmu hushûlî, ia menjelaskan  pandangannya tentang prinsip badâhah.</w:t>
      </w:r>
      <w:r>
        <w:rPr>
          <w:rStyle w:val="FootnoteAnchor"/>
        </w:rPr>
        <w:footnoteReference w:id="248"/>
      </w:r>
      <w:r>
        <w:rPr>
          <w:rFonts w:eastAsia="Times New Roman" w:cs="Times New Roman" w:ascii="Times New Roman" w:hAnsi="Times New Roman"/>
          <w:color w:val="111111"/>
          <w:sz w:val="28"/>
          <w:szCs w:val="28"/>
          <w:lang w:val="en-US"/>
        </w:rPr>
        <w:t>Ini sangat ditekankan demi  memberikan jaminan nilai pengetahuan.</w:t>
      </w:r>
    </w:p>
    <w:p>
      <w:pPr>
        <w:pStyle w:val="BookText"/>
        <w:bidi w:val="0"/>
        <w:jc w:val="both"/>
        <w:rPr/>
      </w:pPr>
      <w:r>
        <w:rPr>
          <w:rFonts w:eastAsia="Times New Roman" w:cs="Times New Roman" w:ascii="Times New Roman" w:hAnsi="Times New Roman"/>
          <w:color w:val="111111"/>
          <w:sz w:val="28"/>
          <w:szCs w:val="28"/>
          <w:lang w:val="en-US"/>
        </w:rPr>
        <w:t>Berikut penjelasannya:</w:t>
      </w:r>
    </w:p>
    <w:p>
      <w:pPr>
        <w:pStyle w:val="BookText"/>
        <w:bidi w:val="0"/>
        <w:jc w:val="both"/>
        <w:rPr/>
      </w:pPr>
      <w:r>
        <w:rPr>
          <w:rFonts w:eastAsia="Times New Roman" w:cs="Times New Roman" w:ascii="Times New Roman" w:hAnsi="Times New Roman"/>
          <w:color w:val="111111"/>
          <w:sz w:val="28"/>
          <w:szCs w:val="28"/>
          <w:lang w:val="en-US"/>
        </w:rPr>
        <w:t>Masalah mendasar menyangkut nilai pengetahuan ialah bagaimana  membuktikan bahwa pengetahuan manusia sesuai dengan realitas.</w:t>
      </w:r>
    </w:p>
    <w:p>
      <w:pPr>
        <w:pStyle w:val="BookText"/>
        <w:bidi w:val="0"/>
        <w:jc w:val="both"/>
        <w:rPr/>
      </w:pPr>
      <w:r>
        <w:rPr>
          <w:rFonts w:eastAsia="Times New Roman" w:cs="Times New Roman" w:ascii="Times New Roman" w:hAnsi="Times New Roman"/>
          <w:color w:val="111111"/>
          <w:sz w:val="28"/>
          <w:szCs w:val="28"/>
          <w:lang w:val="en-US"/>
        </w:rPr>
        <w:t>Masalah ini muncul akibat adanya penengah antara subjek pengetahu  (atau ilmuwan) dan objek pengetahuannya (atau ilmu). Penengah  inilah yang menyebabkan subjek disebut dengan ilmuwan dan  objek disebut dengan ilmu pengetahuan. Jadi, objek ilmu berbeda  dengan subjek atau ilmuwan. Tetapi, dalam hal tiadanya penengah,  di mana ilmuwan langsung menemukan keberadaan objektif  ilmunya, segala rupa pertanyaan ini tentu saja menjadi tidak relevan.</w:t>
      </w:r>
    </w:p>
    <w:p>
      <w:pPr>
        <w:pStyle w:val="BookText"/>
        <w:bidi w:val="0"/>
        <w:jc w:val="both"/>
        <w:rPr/>
      </w:pPr>
      <w:r>
        <w:rPr>
          <w:rFonts w:eastAsia="Times New Roman" w:cs="Times New Roman" w:ascii="Times New Roman" w:hAnsi="Times New Roman"/>
          <w:color w:val="111111"/>
          <w:sz w:val="28"/>
          <w:szCs w:val="28"/>
          <w:lang w:val="en-US"/>
        </w:rPr>
        <w:t>Oleh sebab itu, pengetahuan yang bisa benar-dalam arti sesuai  dengan kenyataan dan bisa keliru —dalam arti melenceng dari  kenyataan—tidak lain adalah pengetahuan hushûlî. Jika pengetahuan  dengan kehadiran disifati sebagai benar, maka artinya adalah  kemustahilannya menjadi keliru.</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definisi kebenaran dalam konteks nilai pengetahuan  adalah kesesuaian forma mental pengetahuan dengan objek realitas yang  dicerapnya. Di samping itu, ada sejumlah definisi lain tentang kebenaran  dalam kaitan ini, antara lain definisi kalangan pragmatis, "kebenaran  adalah pemikiran yang berguna bagi kehidupan praktis manusia,”  atau definisi kalangan relativis, “kebenaran adalah pengetahuan yang  cocok dengan perangkat persepsi yang sehat,” atau definisi ketiga yang </w:t>
      </w:r>
    </w:p>
    <w:p>
      <w:pPr>
        <w:pStyle w:val="BookText"/>
        <w:bidi w:val="0"/>
        <w:rPr/>
      </w:pPr>
      <w:r>
        <w:rPr>
          <w:rFonts w:eastAsia="Times New Roman" w:cs="Times New Roman" w:ascii="Times New Roman" w:hAnsi="Times New Roman"/>
          <w:color w:val="111111"/>
          <w:sz w:val="28"/>
          <w:szCs w:val="28"/>
          <w:lang w:val="en-US"/>
        </w:rPr>
        <w:t>berbunyi “kebenaran adalah apa yang disepakati semua orang,” atau  definisi keempat yang berbunyi, “kebenaran adalah pengetahuan yang  bisa dialami secara indrawi.” Semua definisi ini menyimpang dari pokok  pembicaraan, mengelak dari masalah asasi nilai pengetahuan. Definisi-  definisi itu bisa dilihat sebagai tanda ketakberdayaan para pendefinisi  untuk memecahkan masalah sebenarnya.</w:t>
      </w:r>
      <w:r>
        <w:rPr>
          <w:rStyle w:val="FootnoteAnchor"/>
        </w:rPr>
        <w:footnoteReference w:id="249"/>
      </w:r>
      <w:r>
        <w:rPr>
          <w:rFonts w:eastAsia="Times New Roman" w:cs="Times New Roman" w:ascii="Times New Roman" w:hAnsi="Times New Roman"/>
          <w:color w:val="111111"/>
          <w:sz w:val="28"/>
          <w:szCs w:val="28"/>
          <w:lang w:val="en-US"/>
        </w:rPr>
        <w:t xml:space="preserve"> Menurut Muhammad Taqi Misbâh Yazdî, kesulitan pokok dalam  pengetahuan hushuli ialah cara menentukan kesesuaiannya dengan  realitas, karena kita senantiasa berhubungan dengan alam luaran melalui  hasil kognisi dan pengetahuan perolehan tersebut. Oleh karena itu, kunci  pemecahan masalah ini mestilah dengan menilik bentuk pemahaman  sekaligus objek acuan, sedemikian sehingga kita menghadirkan  pemahaman akan kesesuaian itu secara langsung, tanpa perantaraan apa  pun. Proposisi-proposisi fitriah memang serentak hadir dengan objek  acuannya. Umpamanya, saat kita merasa takut, bentuk mental perasaan  itu langsung hadir dalam diri kita. Karenanya, proposisi-proposisi  seperti “Aku ada”, atau “Aku takut”, atau “Aku ragu” sepenuhnya tidak  mungkin diragukan atau dibimbangkan. Jadi, proposisi-proposisi yang  berasal dari fitrah dan indra batin manusia ini merupakan proposisi yang  seratus persen terbukti, dan mutlak nirgalat (bebas kesalahan).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Tilikan seperti di atas juga dapat kita temukan dalam proposisi-  proposisi logika yang memerikan forma dan konsepmental. Karena, meksi  perian dan objek yang diperikan muncul dalam dua aras pikiran yang  berbeda, tapi kedua aras itu sama-sama hadir dalam sang diri (yaitu, Aku  yang menjadi subjek pemahaman). Misalnya, “Konsep manusia adalah </w:t>
      </w:r>
    </w:p>
    <w:p>
      <w:pPr>
        <w:pStyle w:val="BookText"/>
        <w:bidi w:val="0"/>
        <w:rPr/>
      </w:pPr>
      <w:r>
        <w:rPr>
          <w:rFonts w:eastAsia="Times New Roman" w:cs="Times New Roman" w:ascii="Times New Roman" w:hAnsi="Times New Roman"/>
          <w:color w:val="111111"/>
          <w:sz w:val="28"/>
          <w:szCs w:val="28"/>
          <w:lang w:val="en-US"/>
        </w:rPr>
        <w:t xml:space="preserve">konsep universal” adalah proposisi yang memerikan ciri-ciri khas ‘konsep  manusia', suatu konsep yang hadir dalam benak. Kita dapat memilah  ciri-ciri ini lewat pengalaman mental, tanpa menggunakan organ-organ  indra atau perantara atau cerapan apa pun juga. Kita memahami bahwa  konsep ‘manusia tidak memerikan individu tertentu, melainkan berlaku  pada individu yang tidak berhingga. Jadi, proposisi “konsep manusia  adalah konsep universal” adalah benar (secara fitriah). </w:t>
      </w:r>
      <w:r>
        <w:rPr>
          <w:rStyle w:val="FootnoteAnchor"/>
        </w:rPr>
        <w:footnoteReference w:id="250"/>
      </w:r>
      <w:r>
        <w:rPr>
          <w:rFonts w:eastAsia="Times New Roman" w:cs="Times New Roman" w:ascii="Times New Roman" w:hAnsi="Times New Roman"/>
          <w:color w:val="111111"/>
          <w:sz w:val="28"/>
          <w:szCs w:val="28"/>
          <w:lang w:val="en-US"/>
        </w:rPr>
        <w:t xml:space="preserve"> Melalui ini, terbukalah jalan untuk mengenali dua kelompok  proposisi, kendati tidak memadai untuk memecahkan semua jenis  kognisi pengetahuan hushûlî. Jika kita bisa mendapatkan jaminan  ketepatan proposisi-proposisi aprior primer (badîhîyyât awwaliyyah),  kita telah sepenuhnya berhasil melangkah maju. Melalui bantuan  proposisi-proposisi aprior primer ini kita bisa mengenali dan menilai  proposisi-proposisi teoretis, termasuk proposisi-proposisi indrawi dan  hasil pengalaman. Dalam rangka itu, Muhammad Taqi Misbâh Yazdî  mengajak kita mesti mendalami esensi proposisi-proposisi ini. Pada satu  sisi, kita mesti memeriksa konsep-konsep yang terkandung di dalamnya,  meneliti jenis konsep-konsepnya dan cara perolehannya. Pada lain sisi,  kita mesti melihat hubungan-hubungan di antara mereka dan bagaimana  akal mampu memutuskan kesatuan subjek dan predikatnya.</w:t>
      </w:r>
    </w:p>
    <w:p>
      <w:pPr>
        <w:pStyle w:val="BookText"/>
        <w:bidi w:val="0"/>
        <w:jc w:val="both"/>
        <w:rPr/>
      </w:pPr>
      <w:r>
        <w:rPr>
          <w:rFonts w:eastAsia="Times New Roman" w:cs="Times New Roman" w:ascii="Times New Roman" w:hAnsi="Times New Roman"/>
          <w:color w:val="111111"/>
          <w:sz w:val="28"/>
          <w:szCs w:val="28"/>
          <w:lang w:val="en-US"/>
        </w:rPr>
        <w:t>Proposisi-proposisi semacam ini terbentuk dari konsep-konsep  filsafat yang berujung pada pengetahuan presentasional (hudhûri).</w:t>
      </w:r>
    </w:p>
    <w:p>
      <w:pPr>
        <w:pStyle w:val="BookText"/>
        <w:bidi w:val="0"/>
        <w:jc w:val="both"/>
        <w:rPr/>
      </w:pPr>
      <w:r>
        <w:rPr>
          <w:rFonts w:eastAsia="Times New Roman" w:cs="Times New Roman" w:ascii="Times New Roman" w:hAnsi="Times New Roman"/>
          <w:color w:val="111111"/>
          <w:sz w:val="28"/>
          <w:szCs w:val="28"/>
          <w:lang w:val="en-US"/>
        </w:rPr>
        <w:t>Kelompok pertama konsep-konsep filsafat, seperti kebergantungan'  dan ‘kemandirian serta “sebab' dan ‘akibat dan sebagainya diabtraksi  dari pengetahuan langsung dan indra batin. Kita bisa menyaksikan  kesesuaiannya dengan sumber abstraksi secara menghadir. Sebagian  besar konsep filsafat termasuk dalam kelompok ini.</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Sisi kedua berkenaan dengan cara memutuskan kesatuan subjek dan  predikat dalam proposisi-proposisi ini. Caranya tidak lain ialah melalui  perbandingan antara pelbagai subjek dan predikat dalam proposisi-  proposisi ini. Demikian itu karena seluruh proposisi ini bersifat </w:t>
      </w:r>
    </w:p>
    <w:p>
      <w:pPr>
        <w:pStyle w:val="BookText"/>
        <w:bidi w:val="0"/>
        <w:rPr/>
      </w:pPr>
      <w:r>
        <w:rPr>
          <w:rFonts w:eastAsia="Times New Roman" w:cs="Times New Roman" w:ascii="Times New Roman" w:hAnsi="Times New Roman"/>
          <w:color w:val="111111"/>
          <w:sz w:val="28"/>
          <w:szCs w:val="28"/>
          <w:lang w:val="en-US"/>
        </w:rPr>
        <w:t>analitis, konsep predikat mereka diturunkan dari analisis terhadap  konsep subjek. Umpamanya, kalau kita menganalisis dan menguraikan  konsep subjek dalam proposisi “semua akibat meniscayakan sebab”,  kita akan menyimpulkan bahwa ‘akibat adalah maujud yang dalam  wujudnya bersandar pada maujud lain yang disebut sebab”. Jadi, konsep  kebergantungan pada sebab tertera dalam konsep ‘akibat. Kesatuan antara  subjek dan predikat ini segera bisa ditemukan lewat pengalaman mental  batin. Sebaliknya, dalam proposisi “semua maujud menuntut sebab" kita  tidak menemukan bahwa analisis terhadap konsep ‘maujud menelurkan  konsep ‘menuntut sebab’, sehingga kita tidak menganggapnya sebagai  proposisi aprior. Bahkan, proposisi di atas juga tidak dapat disebut  sebagai proposisi teoretis atau proposisi duga-sangka yang benar. Dengan  cara ini, menjadi jelas bahwa proposisi aprior primer (badîhî awwalî)  berujung pada pengetahuan dengan kehadiran, sehingga sepenuhnya  dijamin benar.</w:t>
      </w:r>
    </w:p>
    <w:p>
      <w:pPr>
        <w:pStyle w:val="BookText"/>
        <w:bidi w:val="0"/>
        <w:jc w:val="both"/>
        <w:rPr/>
      </w:pPr>
      <w:r>
        <w:rPr>
          <w:rFonts w:eastAsia="Times New Roman" w:cs="Times New Roman" w:ascii="Times New Roman" w:hAnsi="Times New Roman"/>
          <w:color w:val="111111"/>
          <w:sz w:val="28"/>
          <w:szCs w:val="28"/>
          <w:lang w:val="en-US"/>
        </w:rPr>
        <w:t>Cara untuk mengidentifikasinya adalah melihat koherensi antara  pengetahuan dan objeknya yang terbukti dan diketahui secara  presentasional (hudhûrî). Proposisi-proposisi yang tidak aprior mesti  dinilai melalui patokan-patokan logika, yakni bila suatu proposisi  diperoleh lewat aturan-aturan logika tentang penyimpulan (inference),  maka ia benar; bila tidak, maka ia salah. Tentunya, mesti dicamkan bahwa  kekeliruan dalil dalam suatu proposisi tidak senantiasa berbuntut pada  kekeliruan kesimpulan. Karena, boleh jadi orang hendak membuktikan  kesimpulan yang benar dengan memakai dalil yang keliru. Oleh sebab  itu, ketidaksahihan dalil hanya merupakan alasan untuk tidak meyakini  kesimpulan, dan bukan alasan untuk menegaskan kekeliruan dan  ketahakikian kesimpulan.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Bisa saja keraguan berikut muncul: mengikuti definisi kebenaran  sebagai kesesuaian dengan realitas, kebenaran dan kekeliruan hanya  berlaku pada proposisi-proposisi yang dapat dibandingkan dengan alam  luaran (external realm). Proposisi-proposisi metafisika, sayangnya, tidak  memiliki realitas eksternal yang bisa dijadikan patokan kesesuaian. Oleh </w:t>
      </w:r>
    </w:p>
    <w:p>
      <w:pPr>
        <w:pStyle w:val="BookText"/>
        <w:bidi w:val="0"/>
        <w:rPr/>
      </w:pPr>
      <w:r>
        <w:rPr>
          <w:rFonts w:eastAsia="Times New Roman" w:cs="Times New Roman" w:ascii="Times New Roman" w:hAnsi="Times New Roman"/>
          <w:color w:val="111111"/>
          <w:sz w:val="28"/>
          <w:szCs w:val="28"/>
          <w:lang w:val="en-US"/>
        </w:rPr>
        <w:t>karena itu, seluruh proposisi metafisika tidak bisa dianggap benar ataupun  salah, tapi mesti dianggap absurd dan tidak bermakna (meaningless).</w:t>
      </w:r>
    </w:p>
    <w:p>
      <w:pPr>
        <w:pStyle w:val="BookText"/>
        <w:bidi w:val="0"/>
        <w:jc w:val="both"/>
        <w:rPr/>
      </w:pPr>
      <w:r>
        <w:rPr>
          <w:rFonts w:eastAsia="Times New Roman" w:cs="Times New Roman" w:ascii="Times New Roman" w:hAnsi="Times New Roman"/>
          <w:color w:val="111111"/>
          <w:sz w:val="28"/>
          <w:szCs w:val="28"/>
          <w:lang w:val="en-US"/>
        </w:rPr>
        <w:t>Oleh sebab itu, kriteria umum kebenaran dan kekeliruan proposisi  adalah kesesuaian atau ketaksesuaiannya dengan apa yang ada di balik  konsep-konsepnya. Dengan demikian, untuk mengenali kebenaran dan  kesalahan proposisi ilmu-ilmu empiris, kita mesti membandingkannya  dengan realitas bendawi yang terpaut dengannya. Misalnya, untuk  menemukan kebenaran proposisi “besi meleleh saat dipanaskan”, kita  memanaskan besi di alam luaran dan mengamati perbedaan ukurannya.</w:t>
      </w:r>
    </w:p>
    <w:p>
      <w:pPr>
        <w:pStyle w:val="BookText"/>
        <w:bidi w:val="0"/>
        <w:jc w:val="both"/>
        <w:rPr/>
      </w:pPr>
      <w:r>
        <w:rPr>
          <w:rFonts w:eastAsia="Times New Roman" w:cs="Times New Roman" w:ascii="Times New Roman" w:hAnsi="Times New Roman"/>
          <w:color w:val="111111"/>
          <w:sz w:val="28"/>
          <w:szCs w:val="28"/>
          <w:lang w:val="en-US"/>
        </w:rPr>
        <w:t xml:space="preserve">Akan tetapi, dalam hal proposisi-proposisi logika, kita mesti menilainya  melalui konsep-konsep mental yang terkait dengannya. Untuk  mengenali kebenaran dan kesalahan proposisi-proposisi filsafat, kita  mesti memperhatikan dan mempertimbangkan hubungan antara (konsep  dalam) benak dan objeknya. Proposisi ontologis dianggap benar ketika  benak bisa sedemikian rupa mengabstraksi pelbagai konsep dari acuan-  acuan objektifnya, baik acuan-acuan objektif itu bersifat bendawi ataupun  mujarad. Proses ini terlaksana secara langsung dalam kasus proposisi-  proposisi yang berasal dari indra batin, dan dalam kasus proposisi-  proposisi lainnya ia terlaksana dengan satu atau dua perantaraan. </w:t>
      </w:r>
      <w:r>
        <w:rPr>
          <w:rStyle w:val="FootnoteAnchor"/>
        </w:rPr>
        <w:footnoteReference w:id="251"/>
      </w:r>
      <w:r>
        <w:rPr>
          <w:rFonts w:eastAsia="Times New Roman" w:cs="Times New Roman" w:ascii="Times New Roman" w:hAnsi="Times New Roman"/>
          <w:color w:val="111111"/>
          <w:sz w:val="28"/>
          <w:szCs w:val="28"/>
          <w:lang w:val="en-US"/>
        </w:rPr>
        <w:t xml:space="preserve"> Dalam bahasa sebagian besar filsuf, sering ditemukan ungkapan: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Pokok bahasan ini sesuai dengan 'perkaranya sendiri' ( </w:t>
      </w:r>
      <w:r>
        <w:rPr>
          <w:rFonts w:ascii="IRNazanin" w:hAnsi="IRNazanin" w:eastAsia="IRNazanin"/>
          <w:color w:val="111111"/>
          <w:sz w:val="28"/>
          <w:sz w:val="28"/>
          <w:szCs w:val="28"/>
          <w:rtl w:val="true"/>
          <w:lang w:bidi="fa-IR"/>
        </w:rPr>
        <w:t>نفس الامر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nafs  al-amr atau the case itself).” Termasuk di antaranya ialah 'proposisi-  proposisi hakiki' ( </w:t>
      </w:r>
      <w:r>
        <w:rPr>
          <w:rFonts w:ascii="IRNazanin" w:hAnsi="IRNazanin" w:eastAsia="IRNazanin"/>
          <w:color w:val="111111"/>
          <w:sz w:val="28"/>
          <w:sz w:val="28"/>
          <w:szCs w:val="28"/>
          <w:rtl w:val="true"/>
          <w:lang w:bidi="fa-IR"/>
        </w:rPr>
        <w:t>القضایا الحقیقیة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qadhâyâ haqîqiyyah). Proposisi hakiki  adalah proposisi yang seluruh subjeknya tidak memiliki contoh-contoh  luaran, tetapi bila subjek itu diasumsikan mewujud, predikat dalam  proposisi hakiki itu pastilah berlaku padanya. Kriteria kebenaran dalam  proposisi semacam ini adalah kesesuaiannya dengan perkara atau  kasusnya sendiri, lantaran seluruh subjeknya tidak memiliki contoh-  contoh yang mewujud di alam luaran untuk bisa kita lihat kesesuaian  mereka dengan kandungan proposisi.</w:t>
      </w:r>
      <w:r>
        <w:rPr>
          <w:rStyle w:val="FootnoteAnchor"/>
        </w:rPr>
        <w:footnoteReference w:id="252"/>
      </w:r>
    </w:p>
    <w:p>
      <w:pPr>
        <w:pStyle w:val="BookText"/>
        <w:bidi w:val="0"/>
        <w:rPr/>
      </w:pPr>
      <w:r>
        <w:rPr>
          <w:rFonts w:eastAsia="Times New Roman" w:cs="Times New Roman" w:ascii="Times New Roman" w:hAnsi="Times New Roman"/>
          <w:color w:val="111111"/>
          <w:sz w:val="28"/>
          <w:szCs w:val="28"/>
          <w:lang w:val="en-US"/>
        </w:rPr>
        <w:t>Demikian pula dengan proposisi-proposisi yang terbuat dari objek-  objek kawruhan sekunder, seperti proposisi-proposisi logika atau  proposisi-proposisi yang mengandung penetapan hukum bagi hal-ihwal  yang tiada atau mustahil. Kriteria kebenaran dalam dua jenis proposisi  tersebut adalah kesesuaiannya dengan ‘hal atau perkaranya itu sendiri.'  Ada beberapa pengertian ungkapan ini: sebagiannya sangat ganjil,  seperti dinyatakan sejumlah filsuf bahwa kata “amr' (perkara atau  kasus) berarti ‘alam semesta mujarad”; dan sebagian lainnya sama sekali  tidak memecahkan masalah, seperti perkataan bahwa nasf al-amr adalah  “sesuatu itu sendiri’, mengingat perkataan ini mengabaikan pertanyaan  inti: Dengan apa kita membandingkan proposisi-proposisi ini untuk  mengetahui kebenaran mereka?  Dengan demikian jelaslah bahwa pengertian nasf al-amr bukanlah  realitas luaran (waqi' khariji), melainkan wadah pembuktian akal  (intellectual demonstration) atas objek-objek yang dirujuk oleh proposisi  yang berbeda dalam tiap-tiap kasus. Dalam beberapa kasus, seperti  dalam kasus proposisi-proposisi logika, wadah pembuktian itu adalah  tingkatan tertentu dalam benak. Dalam kasus-kasus lain, seperti dalam  kasus objek yang dirujuk oleh proposisi kemustahilan bersatunya dua  lawan kontradiktif (contradictory), wadah pembuktian itu adalah asumsi  pembuktian eksternal. Dalam kasus terjadinya hubungan tidak-langsung  (accidental relation), seperti kalau dikatakan “sebab ketiadaan akibat  adalah ketiadaan sebab”, padahal hubungan sebab-akibat sebenarnya  adalah antara keberadaan (bukan ketiadaan) sebab dan keberadaan  akibat, maka hubungan antara keberadaan sebab dan akibat itu secara  aksidental bisa diterapkan pada ketiadaan sebab dan akibat.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 pelak, pandangan Muhammad Taqi Misbâh Yazdî tentang peran  sublim pengetahuan badîhî berimplikasi pada penolakannya terhadap  basis epistemologi Barat modern yang bertumpu pada Positivisme,  yang merupakan buah pemikiran Empirisme dan sintesisnya dengan  Rasionalisme. Secara tegas Muhammad Taqi Misbâh Yazdî mengatakan  bahwa epistemologi tidak perlu meminjam aksioma-aksioma luar untuk </w:t>
      </w:r>
    </w:p>
    <w:p>
      <w:pPr>
        <w:pStyle w:val="BookText"/>
        <w:bidi w:val="0"/>
        <w:rPr/>
      </w:pPr>
      <w:r>
        <w:rPr>
          <w:rFonts w:eastAsia="Times New Roman" w:cs="Times New Roman" w:ascii="Times New Roman" w:hAnsi="Times New Roman"/>
          <w:color w:val="111111"/>
          <w:sz w:val="28"/>
          <w:szCs w:val="28"/>
          <w:lang w:val="en-US"/>
        </w:rPr>
        <w:t xml:space="preserve">semua pokok bahasannya, karena semuanya dapat dijelaskan semata-  mata dengan landasan landasan asasi yang aprior(self-evident atau   </w:t>
      </w:r>
      <w:r>
        <w:rPr>
          <w:rFonts w:ascii="IRNazanin" w:hAnsi="IRNazanin" w:eastAsia="IRNazanin"/>
          <w:color w:val="111111"/>
          <w:sz w:val="28"/>
          <w:sz w:val="28"/>
          <w:szCs w:val="28"/>
          <w:rtl w:val="true"/>
          <w:lang w:bidi="fa-IR"/>
        </w:rPr>
        <w:t>البدیهیات الأولیة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badihiyyat awwaliyyah   Bila segenap solusi atas masalah-masalah ontologi dan ilmu-  ilmu lain yang dicapai melalui metode-metode rasional bergantung  pada kesanggupan akal untuk itu, maka bukankah itu berarti bahwa  filsafat pertama (metafisika) juga membutuhkan epistemologi untuk  menyediakan aksioma-aksioma dasar bagi filsafat, padahal sebelumnya  dikatakan bahwa filsafat tidak membutuhkan pada ilmu lain?  Muhammad Taqi Misbâh Yazdî mengemukakan sejumlah alasan.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premis-premis yang secara langsung dibutuhkan oleh metafisika  sesunggunya merupakan penyataan-pernyataan aprior (self-evident) yang  sama sekali tidak memerlukan dalil baru. Semua wacana yang tertera  mengenainya dalam logika dan filsafat sebetulnya lebih merupakan ulasan  daripada pembuktian, yakni berfungsi untuk menggugah perhatian  kita pada kebenaran yang dapat ditangkap oleh akal manusia tanpa  pembuktian sedikitpun. Alasan untuk membahas penyataan-pernyataan  semacam ini dalam ilmu-ilmu tertentu tidak lain karena adanya pelbagai  miskonsepsi yang pada gilirannya menjadi keraguan-keraguan seperti  dalam kasus prinsip kemustahilan kontradiksi. Miskonsepsi seputar  kemustahilan kontradiksi telah menggiring sebagian untuk tidak saja  mengkhayalkannya sebagai suatu hal yang mungkin adanya, melainkan  menganggapnya sebagai gejala dalam semua kejadian!  Hal yang menarik adalah kesimpulan Muhammad Taqi Misbah  Yazdî tentang akar sikap keraguan epistemik ini. Menurutnya, keragu-  raguan tentang nilai pengetahuan rasional pada dasarnya berasal dari  kesalahpahaman serupa. Untuk membongkar keragu-raguan dan menepis  kesalahpahaman tersebut kita mesti mendiskusikannya. Tindakan  memasukkan penyataan-pernyataan aprior dalam pembahasan logika  dan epistemologi pada hakikatnya merupakan sebentuk penyimpangan,  ikut-ikutan dan tenggang rasa kepada kelompok yang mengidap  kebimbangan. Apabila ada orang yang benar-benar tidak menerima nilai </w:t>
      </w:r>
    </w:p>
    <w:p>
      <w:pPr>
        <w:pStyle w:val="BookText"/>
        <w:bidi w:val="0"/>
        <w:rPr/>
      </w:pPr>
      <w:r>
        <w:rPr>
          <w:rFonts w:eastAsia="Times New Roman" w:cs="Times New Roman" w:ascii="Times New Roman" w:hAnsi="Times New Roman"/>
          <w:color w:val="111111"/>
          <w:sz w:val="28"/>
          <w:szCs w:val="28"/>
          <w:lang w:val="en-US"/>
        </w:rPr>
        <w:t>pengetahuan rasional, meskipun tanpa sadar, bagaimana mungkin kita  beradu nalar dengannya melalui pembuktian rasional? Padahal argumen-  argumen yang mereka ajukan untuk membangkitkan keragu-raguan itu  pun sebetulnya juga berwatak rasional.</w:t>
      </w:r>
    </w:p>
    <w:p>
      <w:pPr>
        <w:pStyle w:val="BookText"/>
        <w:bidi w:val="0"/>
        <w:jc w:val="both"/>
        <w:rPr/>
      </w:pPr>
      <w:r>
        <w:rPr>
          <w:rFonts w:eastAsia="Times New Roman" w:cs="Times New Roman" w:ascii="Times New Roman" w:hAnsi="Times New Roman"/>
          <w:color w:val="111111"/>
          <w:sz w:val="28"/>
          <w:szCs w:val="28"/>
          <w:lang w:val="en-US"/>
        </w:rPr>
        <w:t>Kedua, kebutuhan filsafat pada prinsip-prinsip logika danepistemologi  pada dasarnya untuk melipatgandakan pengetahuan, atau secara teknis  disebut “penerapan pengetahuan untuk menambah pengetahuan”.</w:t>
      </w:r>
    </w:p>
    <w:p>
      <w:pPr>
        <w:pStyle w:val="BookText"/>
        <w:bidi w:val="0"/>
        <w:jc w:val="both"/>
        <w:rPr/>
      </w:pPr>
      <w:r>
        <w:rPr>
          <w:rFonts w:eastAsia="Times New Roman" w:cs="Times New Roman" w:ascii="Times New Roman" w:hAnsi="Times New Roman"/>
          <w:color w:val="111111"/>
          <w:sz w:val="28"/>
          <w:szCs w:val="28"/>
          <w:lang w:val="en-US"/>
        </w:rPr>
        <w:t>Penjelasannya, orang yang belum teracuni oleh keragu-raguan mengenai  nilai pengetahuan rasional bisa bernalar (to reason) untuk mencapai  kesimpulan tentang hampir semua hal, tanpa sadar bahwa penalarannya  telah sesuai dengan prinsip-prinsip logika atau cocok dengan bentuk  pertama dari silogisme Aristotelian dan syarat-syarat yang mengaturnya.</w:t>
      </w:r>
    </w:p>
    <w:p>
      <w:pPr>
        <w:pStyle w:val="BookText"/>
        <w:bidi w:val="0"/>
        <w:jc w:val="both"/>
        <w:rPr/>
      </w:pPr>
      <w:r>
        <w:rPr>
          <w:rFonts w:eastAsia="Times New Roman" w:cs="Times New Roman" w:ascii="Times New Roman" w:hAnsi="Times New Roman"/>
          <w:color w:val="111111"/>
          <w:sz w:val="28"/>
          <w:szCs w:val="28"/>
          <w:lang w:val="en-US"/>
        </w:rPr>
        <w:t>Orang inipun belum tentu tahu akan adanya akal yang berfungsi mengenali  premis-premis dan menerima validitas kesimpulan yang membuntutinya.</w:t>
      </w:r>
    </w:p>
    <w:p>
      <w:pPr>
        <w:pStyle w:val="BookText"/>
        <w:bidi w:val="0"/>
        <w:jc w:val="both"/>
        <w:rPr/>
      </w:pPr>
      <w:r>
        <w:rPr>
          <w:rFonts w:eastAsia="Times New Roman" w:cs="Times New Roman" w:ascii="Times New Roman" w:hAnsi="Times New Roman"/>
          <w:color w:val="111111"/>
          <w:sz w:val="28"/>
          <w:szCs w:val="28"/>
          <w:lang w:val="en-US"/>
        </w:rPr>
        <w:t>Pada sisi lain, sebagian orang yang mau menolak rasionalisme dan  metafisika bisa saja menggunakan penalaran tanpa menyadari bahwa dia  telah menggunakan sejumlah premis rasional dalam metafisika. Ada pula  orang yang mau menolak kaidah-kaidah logika (rules of logic) dengan  bersandar pula pada kaidah-kaidah logika. Bahkan, ada juga yang secara  gegabah dan tanpa sadar mementahkan prinsip non kontradiksi dengan  menggunakan prinsip non kontradiksi.</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dua alasan di atas, Muhammad Taqî Misbâh Yazdî  menjelaskan perbedaan karaker kebergantungan. Menurutnya,  Kebergantungan penalaran filsufis pada prinsip-prinsip logika hanya  bersifat sekunder, persis dengan kebergantungan prinsip-prinsip sains  pada sains itu sendiri. Hal itu mirip dengan contoh proposisi-proposisi  aprior (self-evident propositions) yang membutuhkan pada kemustahilan  kontradiksi. Bila tidak demikian, hilanglah perbedaan antara proposisi-  proposisi aprior dan proposisi-proposisi duga-sangka. Jadi, paling kurang  kita mesti menerima satu proposisi aprior sebagai nyata-nyata aprior,  yaitu prinsip non kontradiksi. </w:t>
      </w:r>
    </w:p>
    <w:p>
      <w:pPr>
        <w:pStyle w:val="BookText"/>
        <w:bidi w:val="0"/>
        <w:rPr/>
      </w:pPr>
      <w:r>
        <w:rPr>
          <w:rFonts w:eastAsia="Times New Roman" w:cs="Times New Roman" w:ascii="Times New Roman" w:hAnsi="Times New Roman"/>
          <w:color w:val="111111"/>
          <w:sz w:val="28"/>
          <w:szCs w:val="28"/>
          <w:lang w:val="en-US"/>
        </w:rPr>
        <w:t>Persis pada titik inilah para tokoh terkenal dari kalangan filsuf Barat  seperti tokoh Empirisme-Skeptisisme, David Hume (1711—1776), figur  sintetikus Empirisme-Rasionalisme, Immanuel Kant (1724—1804),  kampiun Positivisme, Auguste Comte (1798—1857), dan para pewaris  Positivisme setelahnya terjebak blunder. Dengan pandangan-pandangan  mereka yang rancu itulah basis-basis kebudayaan masyarakat Barat  dibangun. Kalangan ilmuwan, terutama kaum behavioris dalam disiplin  psikologi, juga terjerat dalam pandangan-pandangan rancu tersebut-  yang disayangkan, gelombang bertubi-tubi dan destruktif dari ajaran-  ajaran ini telah menyeruak ke berbagai penjuru dunia. Kecuali bangunan  filsafat ketuhanan yang menjulang tinggi dengan kekar, stabil, dan  kokoh, hampir semua aliran pemikiran tergerus arus Positivisme. Inilah  celah besar, ungkap Muhammad Taqi Misbah Yazdî, untuk memasukkan  kembali peran rasio murni sebagai induk pengetahuan, termasuk sains.</w:t>
      </w:r>
    </w:p>
    <w:p>
      <w:pPr>
        <w:pStyle w:val="BookText"/>
        <w:bidi w:val="0"/>
        <w:jc w:val="both"/>
        <w:rPr/>
      </w:pPr>
      <w:r>
        <w:rPr>
          <w:rFonts w:eastAsia="Times New Roman" w:cs="Times New Roman" w:ascii="Times New Roman" w:hAnsi="Times New Roman"/>
          <w:color w:val="111111"/>
          <w:sz w:val="28"/>
          <w:szCs w:val="28"/>
          <w:lang w:val="en-US"/>
        </w:rPr>
        <w:t>Menurutnya, tanpa berpusat pada badâhah, pengetahuan yang selama  ini dibanggakan sebagian besar pemikir Barat hanya berujung pada  nihilisme, karena terjebak dalam continuum ad infinitum (tasalsul).</w:t>
      </w:r>
    </w:p>
    <w:p>
      <w:pPr>
        <w:pStyle w:val="BookText"/>
        <w:bidi w:val="0"/>
        <w:jc w:val="both"/>
        <w:rPr/>
      </w:pPr>
      <w:r>
        <w:rPr>
          <w:rFonts w:eastAsia="Times New Roman" w:cs="Times New Roman" w:ascii="Times New Roman" w:hAnsi="Times New Roman"/>
          <w:color w:val="111111"/>
          <w:sz w:val="28"/>
          <w:szCs w:val="28"/>
          <w:lang w:val="en-US"/>
        </w:rPr>
        <w:t>Oleh sebab itu, lanjutnya, harus segera ditempuh seayun langkah tegas  dan segera untuk menegakkan landasan bagi 'rumah' ide-ide filsufis  secara kukuh. Setelah itu, barulah perjalanan ke fase-fase berikutnya  dapat dilakukan, yang pada gilirannya akan menjadikan tujuan yang  dipatok tercapai.</w:t>
      </w:r>
      <w:r>
        <w:rPr>
          <w:rStyle w:val="FootnoteAnchor"/>
        </w:rPr>
        <w:footnoteReference w:id="253"/>
      </w:r>
      <w:r>
        <w:rPr>
          <w:rFonts w:eastAsia="Times New Roman" w:cs="Times New Roman" w:ascii="Times New Roman" w:hAnsi="Times New Roman"/>
          <w:color w:val="111111"/>
          <w:sz w:val="28"/>
          <w:szCs w:val="28"/>
          <w:lang w:val="en-US"/>
        </w:rPr>
        <w:t xml:space="preserve"> Boleh jadi faktor yang mendorong kalangan pemikir untuk bersibuk  dengan pokok masalah ini ialah tersingkapnya berbagai kekurangan dan  kekeliruan pancaindra dalam mengungkap hakikat kejadian-kejadian  eksternal (di luar pikiran). Sikap skeptis pada kemampuan pancaindra,  sejauh bukti-bukti literer yang tersedia, pernah didengungkan aliran  Eleatik. Aliran ini benar-benar meragukan kemampuan pencerapan  indrawi (sensory perception) dan lebih mempercayai penalaran rasional.</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kemudian, timbul perbedaan di kalangan pemikir menyangkut  masalah-masalah rasional dan adanya pertentangan bukti-bukti untuk </w:t>
      </w:r>
    </w:p>
    <w:p>
      <w:pPr>
        <w:pStyle w:val="BookText"/>
        <w:bidi w:val="0"/>
        <w:rPr/>
      </w:pPr>
      <w:r>
        <w:rPr>
          <w:rFonts w:eastAsia="Times New Roman" w:cs="Times New Roman" w:ascii="Times New Roman" w:hAnsi="Times New Roman"/>
          <w:color w:val="111111"/>
          <w:sz w:val="28"/>
          <w:szCs w:val="28"/>
          <w:lang w:val="en-US"/>
        </w:rPr>
        <w:t>mendukung dan meneguhkan suatu gagasan dan pandangan. Kondisi ini  lantas memberi celah lebar bagi kaum Sophis untuk menolak mentah-  mentah semua nilai cerapan rasional. Lebih dari itu, kaum Sophis juga  meragukan, bahkan menyangkal, (keberadaan) realitas eksternal.</w:t>
      </w:r>
    </w:p>
    <w:p>
      <w:pPr>
        <w:pStyle w:val="BookText"/>
        <w:bidi w:val="0"/>
        <w:jc w:val="both"/>
        <w:rPr/>
      </w:pPr>
      <w:r>
        <w:rPr>
          <w:rFonts w:eastAsia="Times New Roman" w:cs="Times New Roman" w:ascii="Times New Roman" w:hAnsi="Times New Roman"/>
          <w:color w:val="111111"/>
          <w:sz w:val="28"/>
          <w:szCs w:val="28"/>
          <w:lang w:val="en-US"/>
        </w:rPr>
        <w:t>Sejak itulah, masalah tersebut menjadi bahan perdebatan serius.</w:t>
      </w:r>
    </w:p>
    <w:p>
      <w:pPr>
        <w:pStyle w:val="BookText"/>
        <w:bidi w:val="0"/>
        <w:jc w:val="both"/>
        <w:rPr/>
      </w:pPr>
      <w:r>
        <w:rPr>
          <w:rFonts w:eastAsia="Times New Roman" w:cs="Times New Roman" w:ascii="Times New Roman" w:hAnsi="Times New Roman"/>
          <w:color w:val="111111"/>
          <w:sz w:val="28"/>
          <w:szCs w:val="28"/>
          <w:lang w:val="en-US"/>
        </w:rPr>
        <w:t xml:space="preserve">Jasa Aristoteles mengumpulkan dan merumuskan prinsip-prinsip  logika sebagai standar berpikir benar dan menilai kesahihan suatu bukti  rasional, terasa sangat besar. Setelah sekian puluh abad, prinsip-prinsip  ini masih tetap berguna. Kalangan Marxis yang semula habis-habisan  menentangnya, akhirnya mengakui kebutuhan pada bagian tertentu dari  logika. </w:t>
      </w:r>
      <w:r>
        <w:rPr>
          <w:rStyle w:val="FootnoteAnchor"/>
        </w:rPr>
        <w:footnoteReference w:id="254"/>
      </w:r>
      <w:r>
        <w:rPr>
          <w:rFonts w:eastAsia="Times New Roman" w:cs="Times New Roman" w:ascii="Times New Roman" w:hAnsi="Times New Roman"/>
          <w:color w:val="111111"/>
          <w:sz w:val="28"/>
          <w:szCs w:val="28"/>
          <w:lang w:val="en-US"/>
        </w:rPr>
        <w:t xml:space="preserve"> Setelah abad-abad mekarnya filsafat Yunani, timbul kekisruhan  dalam menakar nilai pengetahuan indrawi dan rasional manusia.</w:t>
      </w:r>
    </w:p>
    <w:p>
      <w:pPr>
        <w:pStyle w:val="BookText"/>
        <w:bidi w:val="0"/>
        <w:jc w:val="both"/>
        <w:rPr/>
      </w:pPr>
      <w:r>
        <w:rPr>
          <w:rFonts w:eastAsia="Times New Roman" w:cs="Times New Roman" w:ascii="Times New Roman" w:hAnsi="Times New Roman"/>
          <w:color w:val="111111"/>
          <w:sz w:val="28"/>
          <w:szCs w:val="28"/>
          <w:lang w:val="en-US"/>
        </w:rPr>
        <w:t>Sedikitnya, dua kali Eropa dilanda krisis Skeptisisme. Baru setelah masa  Renaisans (Renaissance) dan perkembangan sains-sains empiris, secara  bertahap Empirisme diterima oleh kalangan yang lebih luas. Sampai  dewasa ini, Empirisme tetap menjadi aliran paling dominan, meski dari  waktu ke waktu, muncul sejumlah pemikir rasionalis kawakan untuk  menggugatnya.</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Penyelidikan sistematis pertama dalam bidang epistemologi dilakukan  oleh Gottfried Wilhelm Leibniz (1646–1716) di dataran Eropa dan  John Locke (1632—1704) di Inggris. Dengan cara itulah, epistemologi  menjadi salah satu cabang filsafat yang bersifat otonom. Hasil-hasil  penyelidikan Locke lalu dimanfaatkan para penerusnya, yakni George  Berkeley (1685—1753) dan David Hume. Empirisme kedua filsuf ini  menemukan momentum kemasyhuran luar biasa dan berangsur-angsur  memperlemah posisi kalangan rasionalis sedemikian, sehingga Kant  yang rasionalis sekalipun, menjadi sangat terpengaruh dan “terbangun  dari tidur dogmatisnya” oleh ide-ide Hume.</w:t>
      </w:r>
      <w:r>
        <w:rPr>
          <w:rStyle w:val="FootnoteAnchor"/>
        </w:rPr>
        <w:footnoteReference w:id="255"/>
      </w:r>
      <w:r>
        <w:rPr>
          <w:rFonts w:eastAsia="Times New Roman" w:cs="Times New Roman" w:ascii="Times New Roman" w:hAnsi="Times New Roman"/>
          <w:color w:val="111111"/>
          <w:sz w:val="28"/>
          <w:szCs w:val="28"/>
          <w:lang w:val="en-US"/>
        </w:rPr>
        <w:t xml:space="preserve"> Kant berpendapat bahwa tugas filsafat yang paling penting ialah  mengukur nilai pengetahuan manusia dan bahwa akal mampu memikul </w:t>
      </w:r>
    </w:p>
    <w:p>
      <w:pPr>
        <w:pStyle w:val="BookText"/>
        <w:bidi w:val="0"/>
        <w:rPr/>
      </w:pPr>
      <w:r>
        <w:rPr>
          <w:rFonts w:eastAsia="Times New Roman" w:cs="Times New Roman" w:ascii="Times New Roman" w:hAnsi="Times New Roman"/>
          <w:color w:val="111111"/>
          <w:sz w:val="28"/>
          <w:szCs w:val="28"/>
          <w:lang w:val="en-US"/>
        </w:rPr>
        <w:t xml:space="preserve">tugas tersebut. Akan tetapi, ia mengakui nilai kesimpulan-kesimpulan  akal teoretis hanya berada di sekitar lingkaran sains empiris, matematika,  dan bidang-bidang yang menjadi cabang semua ilmu tersebut. Dengan  demikian, satu pukulan berat dari kalangan rasionalis ditujukan pada  metafisika Hume, seorang figur Empirisme terpandang. Jauh sebelum  itu, pukulan yang mematikan telah dilancarkan pada metafisika, yang  kemudian dilanjutkan dalam intensitas yang lebih serius oleh kalangan  positivis. Dengan demikian, jelas sudah, besarnya pengaruh epistemologi  terhadap segenap ilmu pengetahuan, sekaligus penyebab terjadinya  involusi filsafat Barat. </w:t>
      </w:r>
      <w:r>
        <w:rPr>
          <w:rStyle w:val="FootnoteAnchor"/>
        </w:rPr>
        <w:footnoteReference w:id="256"/>
      </w:r>
      <w:r>
        <w:rPr>
          <w:rFonts w:eastAsia="Times New Roman" w:cs="Times New Roman" w:ascii="Times New Roman" w:hAnsi="Times New Roman"/>
          <w:color w:val="111111"/>
          <w:sz w:val="28"/>
          <w:szCs w:val="28"/>
          <w:lang w:val="en-US"/>
        </w:rPr>
        <w:t xml:space="preserve"> Muhammad Taqi Misbâh Yazdî menanggapi Positivisme dengan  menyatakan bahwa sebagian besar pemikir Barat menampik ide-ide  universal. Jadi, wajar saja bila mereka tidak mengakui kemampuan yang  dengannya ide-ide itu dicerap, yakni ‘intelek' atau ‘akal. Kaum positivis  zaman ini tidak hanya mengembangkan selera yang sama, melainkan  justru bertindak lebih jauh. Mereka berpendapat bahwa fungsi persepsi  hanya terbatas pada persepsi indrawi, yang dihasilkan dari sentuhan  pancaindra dengan fenomena bendawi. </w:t>
      </w:r>
      <w:r>
        <w:rPr>
          <w:rStyle w:val="FootnoteAnchor"/>
        </w:rPr>
        <w:footnoteReference w:id="257"/>
      </w:r>
      <w:r>
        <w:rPr>
          <w:rFonts w:eastAsia="Times New Roman" w:cs="Times New Roman" w:ascii="Times New Roman" w:hAnsi="Times New Roman"/>
          <w:color w:val="111111"/>
          <w:sz w:val="28"/>
          <w:szCs w:val="28"/>
          <w:lang w:val="en-US"/>
        </w:rPr>
        <w:t xml:space="preserve"> Setelah terputusnya persentuhan dengan alam eksternal (material),  persepsi itu akan bertahan dalam kadar ya ng lebih lemah. Kaum positivis  percaya bahwa manusia merajut sejumlah simbol verbal untuk objek-  objek persepsi yang sama. Ketika berbicara atau berpikir, alih-alih  menghadirkan kembali seluruh kasus yang serupa, manusia cenderung  menggunakan simbol-simbol verbalnya. Sebetulnya, kegiatan berpikir  mirip dengan percakapan mental. Jadi, menurut kalangan positivis, apa  yang disebut para filsuf sebagai ide-ide universal itu sejatinya tidak lain  dari kosakata mental. Jika kosakata ini dapat secara langsung mewakili  objek-objek persepsi indrawi dan contoh-contohnya mampu dicerap  pancaindra, barulah dapat dianggap bermakna dan dapat diversifikasi.</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Semua itu sebelumnya hanyalah kata-kata tuna-makna (meaningless).</w:t>
      </w:r>
      <w:r>
        <w:rPr>
          <w:rStyle w:val="FootnoteAnchor"/>
        </w:rPr>
        <w:footnoteReference w:id="258"/>
      </w:r>
    </w:p>
    <w:p>
      <w:pPr>
        <w:pStyle w:val="BookText"/>
        <w:bidi w:val="0"/>
        <w:rPr/>
      </w:pPr>
      <w:r>
        <w:rPr>
          <w:rFonts w:eastAsia="Times New Roman" w:cs="Times New Roman" w:ascii="Times New Roman" w:hAnsi="Times New Roman"/>
          <w:color w:val="111111"/>
          <w:sz w:val="28"/>
          <w:szCs w:val="28"/>
          <w:lang w:val="en-US"/>
        </w:rPr>
        <w:t>Kenyataannya, kaum positivis hanya menerima sebagian konsep  ke-mâhiyyah-an (whatish concept). Itupun hanya sebatas kosakata  mental yang maknanya merujuk pada contoh-contoh partikular indrawi.</w:t>
      </w:r>
    </w:p>
    <w:p>
      <w:pPr>
        <w:pStyle w:val="BookText"/>
        <w:bidi w:val="0"/>
        <w:jc w:val="both"/>
        <w:rPr/>
      </w:pPr>
      <w:r>
        <w:rPr>
          <w:rFonts w:eastAsia="Times New Roman" w:cs="Times New Roman" w:ascii="Times New Roman" w:hAnsi="Times New Roman"/>
          <w:color w:val="111111"/>
          <w:sz w:val="28"/>
          <w:szCs w:val="28"/>
          <w:lang w:val="en-US"/>
        </w:rPr>
        <w:t>Adapaun berkenaan dengan objek-objek kawruhan sekunder, terlebih  konsep-konsep metafisika, mereka menganggapnya sebagai kata-kata  mental yang tidak bermakna secuil pun. Atas dasar ini, kaum positivis  memandang wacana-wacana metafisika mutlak bersifat tidak ilmiah dan  tuna-makna.</w:t>
      </w:r>
    </w:p>
    <w:p>
      <w:pPr>
        <w:pStyle w:val="BookText"/>
        <w:bidi w:val="0"/>
        <w:jc w:val="both"/>
        <w:rPr/>
      </w:pPr>
      <w:r>
        <w:rPr>
          <w:rFonts w:eastAsia="Times New Roman" w:cs="Times New Roman" w:ascii="Times New Roman" w:hAnsi="Times New Roman"/>
          <w:color w:val="111111"/>
          <w:sz w:val="28"/>
          <w:szCs w:val="28"/>
          <w:lang w:val="en-US"/>
        </w:rPr>
        <w:t>Di lain sisi, kaum positivis membatasi pengalaman hanya pada  ihwal indrawi (sensory), dan sama sekali menyampakkan pengalaman-  pengalaman batin (inner experiences) yang diperoleh melalui  “pengetahuan dengan kehadiran” (knowledge by presence). Setidak-  tidaknya, pengalaman-pengalaman itu dianggap tidak ilmiah, lantaran  “ilmiah” itu sendiri menurut mereka hanya dapat diterapkan pada  perkara-perkara yang dapat dibuktikan pihak lain melalui pancaindra.</w:t>
      </w:r>
      <w:r>
        <w:rPr>
          <w:rStyle w:val="FootnoteAnchor"/>
        </w:rPr>
        <w:footnoteReference w:id="259"/>
      </w:r>
      <w:r>
        <w:rPr>
          <w:rFonts w:eastAsia="Times New Roman" w:cs="Times New Roman" w:ascii="Times New Roman" w:hAnsi="Times New Roman"/>
          <w:color w:val="111111"/>
          <w:sz w:val="28"/>
          <w:szCs w:val="28"/>
          <w:lang w:val="en-US"/>
        </w:rPr>
        <w:t xml:space="preserve"> Dalam pada itu, Muhammad Taqi Misbah Yazdî melontarkan  sejumlah kritik terhadap Positivisme. Pertama, mengikuti kecenderungan  tersebut, asas-asas pengetahuan paling kukuh, yaitu “pengetahuan dengan  kehadiran” dan proposisi-proposisi yang terbukti secara rasional, lenyap  sudah. Dengan demikian, tidak ada lagi argumen intelektual yang dapat  diajukan untuk menopang kebenaran pengetahuan dan kesesuaiannnya  dengan realitas. Kaum positivis berupaya mendefinisikan kebenaran  dengan cara berbeda, yaitu pengetahuan yang dapat diterima pihak  lain dan dibuktikan melalui pengalaman indrawi. Tentu saja perubahan  terminologi ini tidak memecahkan masalah seputar nilai pengetahuan.</w:t>
      </w:r>
    </w:p>
    <w:p>
      <w:pPr>
        <w:pStyle w:val="BookText"/>
        <w:bidi w:val="0"/>
        <w:jc w:val="both"/>
        <w:rPr/>
      </w:pPr>
      <w:r>
        <w:rPr>
          <w:rFonts w:eastAsia="Times New Roman" w:cs="Times New Roman" w:ascii="Times New Roman" w:hAnsi="Times New Roman"/>
          <w:color w:val="111111"/>
          <w:sz w:val="28"/>
          <w:szCs w:val="28"/>
          <w:lang w:val="en-US"/>
        </w:rPr>
        <w:t>Penerimaan atau persetujuan pihak-pihak yang tidak mencermati  persoalan juga tidak bernilai dan tak berarti apa-apa.</w:t>
      </w:r>
      <w:r>
        <w:rPr>
          <w:rStyle w:val="FootnoteAnchor"/>
        </w:rPr>
        <w:footnoteReference w:id="260"/>
      </w:r>
      <w:r>
        <w:rPr>
          <w:rFonts w:eastAsia="Times New Roman" w:cs="Times New Roman" w:ascii="Times New Roman" w:hAnsi="Times New Roman"/>
          <w:color w:val="111111"/>
          <w:sz w:val="28"/>
          <w:szCs w:val="28"/>
          <w:lang w:val="en-US"/>
        </w:rPr>
        <w:t xml:space="preserve"> Kedua, kaum positivis mengandalkan persepsi indrawi yang  sebenarnya merupakan titik pengetahuan paling limbung dan rapuh.</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dari tipe pengetahuan lainnya, pengetahuan indrawi paling mudah </w:t>
      </w:r>
    </w:p>
    <w:p>
      <w:pPr>
        <w:pStyle w:val="BookText"/>
        <w:bidi w:val="0"/>
        <w:rPr/>
      </w:pPr>
      <w:r>
        <w:rPr>
          <w:rFonts w:eastAsia="Times New Roman" w:cs="Times New Roman" w:ascii="Times New Roman" w:hAnsi="Times New Roman"/>
          <w:color w:val="111111"/>
          <w:sz w:val="28"/>
          <w:szCs w:val="28"/>
          <w:lang w:val="en-US"/>
        </w:rPr>
        <w:t>VIDUP-KOLSep metallsika tidak punya makna.</w:t>
      </w:r>
    </w:p>
    <w:p>
      <w:pPr>
        <w:pStyle w:val="BookText"/>
        <w:bidi w:val="0"/>
        <w:jc w:val="both"/>
        <w:rPr/>
      </w:pPr>
      <w:r>
        <w:rPr>
          <w:rFonts w:eastAsia="Times New Roman" w:cs="Times New Roman" w:ascii="Times New Roman" w:hAnsi="Times New Roman"/>
          <w:color w:val="111111"/>
          <w:sz w:val="28"/>
          <w:szCs w:val="28"/>
          <w:lang w:val="en-US"/>
        </w:rPr>
        <w:t>terdistorsi. Mengingat bahwa pengetahuan indrawi pada hakikatnya  terjadi dalam sukma manusia, kalangan positivis sesungguhnya telah  menutup jalan bagi bukti logis tentang alam eksternal dan kehilangan  cara untuk mematahkan keraguan kaum idealis mengenainya.</w:t>
      </w:r>
      <w:r>
        <w:rPr>
          <w:rStyle w:val="FootnoteAnchor"/>
        </w:rPr>
        <w:footnoteReference w:id="261"/>
      </w:r>
      <w:r>
        <w:rPr>
          <w:rFonts w:eastAsia="Times New Roman" w:cs="Times New Roman" w:ascii="Times New Roman" w:hAnsi="Times New Roman"/>
          <w:color w:val="111111"/>
          <w:sz w:val="28"/>
          <w:szCs w:val="28"/>
          <w:lang w:val="en-US"/>
        </w:rPr>
        <w:t xml:space="preserve"> Ketiga, klaim bahwa konsep-konsep metafisika tida  nyata-nyata absurd dan keliru. Bila kosakata yang mengacu pada konsep-  konsep itu dianggap omong-kosong, perbedaan antara konsep-konsep  itu dan omong-kosong menjadi nihil, sehingga disangkal ataupun tidak,  hasilnya tetap sama. Padahal, konsep api sebagai penyebab bahang tidak  sama dengan konsep api sebagai akibat bahang. Lebih dari itu, orang  yang mengingkari hukum kausalitas niscaya mengerti betul makna  hukum itupenyangkal kausalitas sesungguhnya mustahil menganggap  kausalitas sebagai omong-kosong tak bermakna.</w:t>
      </w:r>
      <w:r>
        <w:rPr>
          <w:rStyle w:val="FootnoteAnchor"/>
        </w:rPr>
        <w:footnoteReference w:id="262"/>
      </w:r>
      <w:r>
        <w:rPr>
          <w:rFonts w:eastAsia="Times New Roman" w:cs="Times New Roman" w:ascii="Times New Roman" w:hAnsi="Times New Roman"/>
          <w:color w:val="111111"/>
          <w:sz w:val="28"/>
          <w:szCs w:val="28"/>
          <w:lang w:val="en-US"/>
        </w:rPr>
        <w:t xml:space="preserve"> Keempat, menurut kaum positivis, tidak mungkin menganggap  hukum-hukum ilmiah sebagai universal, konstan, dan niscaya, lantaran  ketiga ciri itu mustahil dibenarkan secara indrawi. Suatu perkara dapat  mereka terima jika dan hanya jika diperoleh lewat pengalaman indrawi  (tentunya dengan menutup mata pada kemungkinan menyusupnya  kekeliruan dalam persepsi indrawi yang merembesi seluruh perkara  lainnya). Jadi, dalam perkara yang tidak dapat dialami secara indrawi,  orang seharusnya berdiam diri dan tidak sekali-kali menyangkal atau  membenarkannya.</w:t>
      </w:r>
    </w:p>
    <w:p>
      <w:pPr>
        <w:pStyle w:val="BookText"/>
        <w:bidi w:val="0"/>
        <w:jc w:val="both"/>
        <w:rPr/>
      </w:pPr>
      <w:r>
        <w:rPr>
          <w:rFonts w:eastAsia="Times New Roman" w:cs="Times New Roman" w:ascii="Times New Roman" w:hAnsi="Times New Roman"/>
          <w:color w:val="111111"/>
          <w:sz w:val="28"/>
          <w:szCs w:val="28"/>
          <w:lang w:val="en-US"/>
        </w:rPr>
        <w:t>Kelima, kebuntuan utama yang menghadang kaum positivis  berkenaan dengan subjek matematika yang (hanya dapat) dijabarkan  dan dipecahkan melalui konsep-konsep intelektual, yaitu konsep-konsep  yang serupa dengan yang mereka asumsikan sebagai omong-kosong.</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Padahal, tidak ada orang bijak yang nekat memandang proposisi-proposisi  matematika sebagai omong-kosong dan tidak ilmiah. Sekelompok  neopositivis terpaksa menerima sejenis pengetahuan mental tentang  konsep-konsep logika dan berupaya menggabungkan konsep-konsep </w:t>
      </w:r>
    </w:p>
    <w:p>
      <w:pPr>
        <w:pStyle w:val="BookText"/>
        <w:bidi w:val="0"/>
        <w:rPr/>
      </w:pPr>
      <w:r>
        <w:rPr>
          <w:rFonts w:eastAsia="Times New Roman" w:cs="Times New Roman" w:ascii="Times New Roman" w:hAnsi="Times New Roman"/>
          <w:color w:val="111111"/>
          <w:sz w:val="28"/>
          <w:szCs w:val="28"/>
          <w:lang w:val="en-US"/>
        </w:rPr>
        <w:t xml:space="preserve">matematis ke dalamnya. Untuk menunjukkan kerancuan mereka, cukup  dikatakan bahwa konsep-konsep matematis memiliki sejumlah contoh di  alam ekstrenal. Bahasa teknis, atribusi, dan karakterisasi konsep-konsep  matematis berlangsung di alam eksternal, sedangkan ciri-khas konsep-  konsep logika tidak bersesuaian kecuali dengan konsep-konsep mental  lainnya. </w:t>
      </w:r>
      <w:r>
        <w:rPr>
          <w:rStyle w:val="FootnoteAnchor"/>
        </w:rPr>
        <w:footnoteReference w:id="263"/>
      </w:r>
      <w:r>
        <w:rPr>
          <w:rFonts w:eastAsia="Times New Roman" w:cs="Times New Roman" w:ascii="Times New Roman" w:hAnsi="Times New Roman"/>
          <w:color w:val="111111"/>
          <w:sz w:val="28"/>
          <w:szCs w:val="28"/>
          <w:lang w:val="en-US"/>
        </w:rPr>
        <w:t xml:space="preserve"> Dengan penjelasan itu, Muhammad Taqi Misbah Yazdî ingin  membuktikan bahwa tidak ada jalan untuk membangun sebuah anatomi  ilmu yang valid dan dapat dijustifikasi secara logis kecuali rasio yang  bermuara pada prinsip badâhah.</w:t>
      </w:r>
      <w:r>
        <w:rPr>
          <w:rStyle w:val="FootnoteAnchor"/>
        </w:rPr>
        <w:footnoteReference w:id="264"/>
      </w:r>
      <w:r>
        <w:rPr>
          <w:rFonts w:eastAsia="Times New Roman" w:cs="Times New Roman" w:ascii="Times New Roman" w:hAnsi="Times New Roman"/>
          <w:color w:val="111111"/>
          <w:sz w:val="28"/>
          <w:szCs w:val="28"/>
          <w:lang w:val="en-US"/>
        </w:rPr>
        <w:t>Dengan demikian, jelaslah bahwa  Muhammad Taqi Misbâh Yazdî memulai pembahasan ilmu dari  “kehadiran”, yang diyakini sebagai gerbang tunggal menuju ilmu-ilmu  hushûlî. Selanjutnya, ia menjadikan ilmu badîhî (fitri) sebagai biang  seluruh pengetahuan hushûlî non badîhî. Selanjutnya Muhammad Taqî  Misbah Yazdî membagi pengetahuan hushûlî badîhî, dilihat dari aspek  kualitas isinya terbagi dua; pengetahuan baidhi awwali (ilm badîhî  aww alî) dan pengetahuan badîhî tsânawi (ilm badîhî tasnawi).</w:t>
      </w:r>
    </w:p>
    <w:p>
      <w:pPr>
        <w:pStyle w:val="BookText"/>
        <w:bidi w:val="0"/>
        <w:jc w:val="both"/>
        <w:rPr/>
      </w:pPr>
      <w:r>
        <w:rPr>
          <w:rFonts w:eastAsia="Times New Roman" w:cs="Times New Roman" w:ascii="Times New Roman" w:hAnsi="Times New Roman"/>
          <w:color w:val="111111"/>
          <w:sz w:val="28"/>
          <w:szCs w:val="28"/>
          <w:lang w:val="en-US"/>
        </w:rPr>
        <w:t>Hal lain yang perlu diperhatikan adalah bahwa para filsuf Muslim  pada umumnya menganut fondasionalisme. Mereka percaya bahwa  korespondensi semua pengetahuan manusia dengan fakta mereka harus  dijastufikasi berdasarkan satu atau sejumlah basis pengetahuan yang  tidak perlu lagi justifikasi. Mereka menyebut basis-basis pengetahuan itu  sebagai badîhîyyat awaliyyah (propisisi-proposisi aksiomatis primer).</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Persoalannya, mengapa premis-premis badîhî ini tidak perlu lagi  justifikasi untuk memastikan korespondensinya dengan faktanya?  Biasanya pertanyaan ini dijawab demikian, bahwa dalam  pengetahuan-pengetahuan basis, sebab kepastian itu ada di dalam </w:t>
      </w:r>
      <w:bookmarkStart w:id="181" w:name="pg6424_45084"/>
    </w:p>
    <w:p>
      <w:pPr>
        <w:pStyle w:val="BookText"/>
        <w:bidi w:val="0"/>
        <w:rPr/>
      </w:pPr>
      <w:bookmarkEnd w:id="181"/>
      <w:r>
        <w:rPr>
          <w:rFonts w:eastAsia="Times New Roman" w:cs="Times New Roman" w:ascii="Times New Roman" w:hAnsi="Times New Roman"/>
          <w:color w:val="111111"/>
          <w:sz w:val="28"/>
          <w:szCs w:val="28"/>
          <w:lang w:val="en-US"/>
        </w:rPr>
        <w:t>proposisi itu sendiri, yaitu sekadar memahami subjek dan predikatnya  secara baik maka kepastian/jugement pun diperoleh. Namun, bagi  Muhammad Taqi Mishbâh Yazdî, pengetahuan-pengatehuan badîhî itu  sebenarnya berasal dari ilmu hudhûrî melalui proposisi-proposisi analitik  (qadhâyâ tahlilîyyah), dan pengetahuan itu pasti benar dan sesuai dengan  faktanya karena sumbernya, yakni ilmu hudhûrî tidak akan pernah keliru  sebagaimana telah dijelaskan.</w:t>
      </w:r>
      <w:r>
        <w:rPr>
          <w:rStyle w:val="FootnoteAnchor"/>
        </w:rPr>
        <w:footnoteReference w:id="265"/>
      </w:r>
      <w:r>
        <w:rPr>
          <w:rFonts w:eastAsia="Times New Roman" w:cs="Times New Roman" w:ascii="Times New Roman" w:hAnsi="Times New Roman"/>
          <w:color w:val="111111"/>
          <w:sz w:val="28"/>
          <w:szCs w:val="28"/>
          <w:lang w:val="en-US"/>
        </w:rPr>
        <w:t xml:space="preserve"> Teori Muhammad Taqi Mishbâh Yazdî ini benar-benar baru sehingga  menuai banyak gugatan dan tanggapan. Sejauh penelitian kami, hanya  satu catatan kritis yang mengganggu konsistensi teori tersebut; bahwa  tidak semua pengetahuan basis (hushuli) dapat diurai kepada proposisi  analitik sehingga dirujukkan kepada ilmu hudhûrî.</w:t>
      </w:r>
    </w:p>
    <w:p>
      <w:pPr>
        <w:pStyle w:val="Heading4"/>
        <w:numPr>
          <w:ilvl w:val="3"/>
          <w:numId w:val="1"/>
        </w:numPr>
        <w:bidi w:val="0"/>
        <w:jc w:val="left"/>
        <w:rPr/>
      </w:pPr>
      <w:bookmarkStart w:id="182" w:name="__RefHeading___Toc688651_653776707"/>
      <w:bookmarkStart w:id="183" w:name="_Toc65"/>
      <w:bookmarkEnd w:id="182"/>
      <w:r>
        <w:rPr/>
        <w:t>1. Badîhî Awwali</w:t>
      </w:r>
      <w:bookmarkEnd w:id="183"/>
    </w:p>
    <w:p>
      <w:pPr>
        <w:pStyle w:val="BookText"/>
        <w:bidi w:val="0"/>
        <w:jc w:val="both"/>
        <w:rPr/>
      </w:pPr>
      <w:r>
        <w:rPr>
          <w:rFonts w:eastAsia="Times New Roman" w:cs="Times New Roman" w:ascii="Times New Roman" w:hAnsi="Times New Roman"/>
          <w:color w:val="111111"/>
          <w:sz w:val="28"/>
          <w:szCs w:val="28"/>
          <w:lang w:val="en-US"/>
        </w:rPr>
        <w:t>Pengetahuan ekstemporal primer adalah bahan baku "pembuktian  langsung”, atau sebuah atau beberapa pernyataan pasti benar yang  menjadi cikal bakal dan dasar bagi setiap pernyataan ekstemporal  sekunder (kedua) dan setiap pernyataan premis non-ekstemporal.</w:t>
      </w:r>
    </w:p>
    <w:p>
      <w:pPr>
        <w:pStyle w:val="BookText"/>
        <w:bidi w:val="0"/>
        <w:jc w:val="both"/>
        <w:rPr/>
      </w:pPr>
      <w:r>
        <w:rPr>
          <w:rFonts w:eastAsia="Times New Roman" w:cs="Times New Roman" w:ascii="Times New Roman" w:hAnsi="Times New Roman"/>
          <w:color w:val="111111"/>
          <w:sz w:val="28"/>
          <w:szCs w:val="28"/>
          <w:lang w:val="en-US"/>
        </w:rPr>
        <w:t>Pernyataan (premis) ekstemporal primer meliputi dua hukum, hukum  non kontadiksi dan hukum kausalitas. Hukum non kontradiksi adalah  pernyataan bahwa “dua hal yang berkontradiksi tidak bertemu”, yang  lazim disebut "hukum kontradiksi” atau “hukum non kontradiksi”  (tanâqudh). Hukum ini merupakan postulat aksiomatis yang disepakati  oleh setiap manusia, secara sadar dan tidak.</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Untuk memahaminya, kita perlu menyoroti pengertian “kontradiksi”  dan pengertian “bertemu” yang terkandung dalam hukum tersebut. Setelah  kita mengkaji wacana dialektika secara kritis. Ia adalah pertentangan  mutual antara sesuatu yang afirmatif dan negatif.</w:t>
      </w:r>
      <w:r>
        <w:rPr>
          <w:rStyle w:val="FootnoteAnchor"/>
        </w:rPr>
        <w:footnoteReference w:id="266"/>
      </w:r>
      <w:bookmarkStart w:id="184" w:name="pg6424_45087"/>
    </w:p>
    <w:p>
      <w:pPr>
        <w:pStyle w:val="BookText"/>
        <w:bidi w:val="0"/>
        <w:rPr/>
      </w:pPr>
      <w:bookmarkEnd w:id="184"/>
      <w:r>
        <w:rPr>
          <w:rFonts w:eastAsia="Times New Roman" w:cs="Times New Roman" w:ascii="Times New Roman" w:hAnsi="Times New Roman"/>
          <w:color w:val="111111"/>
          <w:sz w:val="28"/>
          <w:szCs w:val="28"/>
          <w:lang w:val="en-US"/>
        </w:rPr>
        <w:t>Dalam filsafat Yunani ada delapan kesatuan (al-wahdah, unitas) yang  seluruhnya merupakan syarat dalam paradoks kontradiksi, yaitu kesatuan  (wahdat al-mauzhu'), wahdat al-mahmûl (kesatuan predikat), wahdat  al-makân (kesatuan lokasi), wahdat al-zamân (kesatuan durasi), wahdat  al-nisbah (kesatuan relasi), wahdat al-qauwwah wa al-fi'l (kesatuan  potensi dan aktus), wahdat al-kul wa al-ba`dh (kesatuan besaran),  wahdat al-syarth (kesatuan kondisi). Mullâ Sadrâ menambahkan syarat  kesembilan, yaitu wahdat al-haml.</w:t>
      </w:r>
      <w:r>
        <w:rPr>
          <w:rStyle w:val="FootnoteAnchor"/>
        </w:rPr>
        <w:footnoteReference w:id="267"/>
      </w:r>
      <w:r>
        <w:rPr>
          <w:rFonts w:eastAsia="Times New Roman" w:cs="Times New Roman" w:ascii="Times New Roman" w:hAnsi="Times New Roman"/>
          <w:color w:val="111111"/>
          <w:sz w:val="28"/>
          <w:szCs w:val="28"/>
          <w:lang w:val="en-US"/>
        </w:rPr>
        <w:t>Hukum kausalitas adalah pernyataan  "setiap yang mungkin pasti membutuhkan sebab”, yang lazim disebut  hukum kausalitas (qanun illiyah).</w:t>
      </w:r>
    </w:p>
    <w:p>
      <w:pPr>
        <w:pStyle w:val="Heading4"/>
        <w:numPr>
          <w:ilvl w:val="3"/>
          <w:numId w:val="1"/>
        </w:numPr>
        <w:bidi w:val="0"/>
        <w:jc w:val="left"/>
        <w:rPr/>
      </w:pPr>
      <w:bookmarkStart w:id="185" w:name="__RefHeading___Toc688653_653776707"/>
      <w:bookmarkStart w:id="186" w:name="_Toc66"/>
      <w:bookmarkEnd w:id="185"/>
      <w:r>
        <w:rPr/>
        <w:t>2. Badîhî Tsanawi</w:t>
      </w:r>
      <w:bookmarkEnd w:id="186"/>
    </w:p>
    <w:p>
      <w:pPr>
        <w:pStyle w:val="BookText"/>
        <w:bidi w:val="0"/>
        <w:jc w:val="both"/>
        <w:rPr/>
      </w:pPr>
      <w:r>
        <w:rPr>
          <w:rFonts w:eastAsia="Times New Roman" w:cs="Times New Roman" w:ascii="Times New Roman" w:hAnsi="Times New Roman"/>
          <w:color w:val="111111"/>
          <w:sz w:val="28"/>
          <w:szCs w:val="28"/>
          <w:lang w:val="en-US"/>
        </w:rPr>
        <w:t>Pengetahuan aprior sekunda kedua (badîhiyât tsânawiyah) adalah  pengetahuan-pengetahuan gamblang yang lahir dari pengetahuan-  pengetahuan ekstemporal primer, seperti pengetahuan bahwa angka 1  lebih kecil dari angka 2. Badîhî tsanawî terbagi menjadi lima; Pertama,  pengetahuan ekstemporal sekunda sensual (musyâhadât), yaitu premis-  premis atau pengetahuan-pengetahuan yang dinilai oleh akal dengan  perantara indera lahir atau batin, seperti penilaian (kesimpulan) bahwa  matahari bersinar, api panas dan sebagainya, yang dipastikan oleh akal  dengan bantuan indera lahir, pengetahuan kita tentang nyeri dan lapar  yang ditangkap oleh akal dengan perantara indera batin.</w:t>
      </w:r>
    </w:p>
    <w:p>
      <w:pPr>
        <w:pStyle w:val="BookText"/>
        <w:bidi w:val="0"/>
        <w:jc w:val="both"/>
        <w:rPr/>
      </w:pPr>
      <w:r>
        <w:rPr>
          <w:rFonts w:eastAsia="Times New Roman" w:cs="Times New Roman" w:ascii="Times New Roman" w:hAnsi="Times New Roman"/>
          <w:color w:val="111111"/>
          <w:sz w:val="28"/>
          <w:szCs w:val="28"/>
          <w:lang w:val="en-US"/>
        </w:rPr>
        <w:t>Kedua, pengetahuan badîhî sekunda eksperimental (tajribiyât), yaitu  premis-premis atau pengetahuan-pengetahuan yang dinilai oleh akal  dengan perantara indera lahir yang dilakukan berulang kali.</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pengetahuan badîhî sekunda popular (mutawâtirât), yaitu  premis-premis atau pengetahuan-pengetahuan yang bersemayam dalam  benak secara kuat sehingga tidak mungkin akan diusik oleh setitikpun  keraguan terhadap isinya karena diyakini oleh banyak orang, sehingga  sulit dipercaya bahwa mereka bersepakat untuk berdusta, seperti </w:t>
      </w:r>
    </w:p>
    <w:p>
      <w:pPr>
        <w:pStyle w:val="BookText"/>
        <w:bidi w:val="0"/>
        <w:rPr/>
      </w:pPr>
      <w:r>
        <w:rPr>
          <w:rFonts w:eastAsia="Times New Roman" w:cs="Times New Roman" w:ascii="Times New Roman" w:hAnsi="Times New Roman"/>
          <w:color w:val="111111"/>
          <w:sz w:val="28"/>
          <w:szCs w:val="28"/>
          <w:lang w:val="en-US"/>
        </w:rPr>
        <w:t>pengetahuan tentang adanya sebuah kota bernama Isfahan di Iran.</w:t>
      </w:r>
    </w:p>
    <w:p>
      <w:pPr>
        <w:pStyle w:val="BookText"/>
        <w:bidi w:val="0"/>
        <w:jc w:val="both"/>
        <w:rPr/>
      </w:pPr>
      <w:r>
        <w:rPr>
          <w:rFonts w:eastAsia="Times New Roman" w:cs="Times New Roman" w:ascii="Times New Roman" w:hAnsi="Times New Roman"/>
          <w:color w:val="111111"/>
          <w:sz w:val="28"/>
          <w:szCs w:val="28"/>
          <w:lang w:val="en-US"/>
        </w:rPr>
        <w:t>Keempat, pengetahuan badîhî sekunda inspiratif (hadsiyyât), yaitu  premis-premis atau pengetahuan-pengetahuan yang dinilai oleh akal  dengan perantara insting, seperti pengetahuan kita bahwa cahaya bulan  diperoleh dari matahari.</w:t>
      </w:r>
    </w:p>
    <w:p>
      <w:pPr>
        <w:pStyle w:val="BookText"/>
        <w:bidi w:val="0"/>
        <w:jc w:val="both"/>
        <w:rPr/>
      </w:pPr>
      <w:r>
        <w:rPr>
          <w:rFonts w:eastAsia="Times New Roman" w:cs="Times New Roman" w:ascii="Times New Roman" w:hAnsi="Times New Roman"/>
          <w:color w:val="111111"/>
          <w:sz w:val="28"/>
          <w:szCs w:val="28"/>
          <w:lang w:val="en-US"/>
        </w:rPr>
        <w:t>Kelima, pengetahuan badîhî sekunda intuitif (fithriyyât), yaitu  premis-premis atau pengetahuan-pengetahuan yang dinilai oleh akal  dengan perantara premis itu sendiri, seperti pengetahuan bahwa dua  adalah seperlima dari sepuluh.</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penulis, pembagian badîhî ke dalam dua himpuanan, prima  dan sekunda, kurang sistematis, karena pada hakikatnya, badihi hanya  berlaku pada jenis pertama, yang disebut badîhî awwali, karena ia  merupakan premis yang tidak memerlukan argumen dan bukti, sedangkan  badîhî tsanawi, betatapun sangat jelas, tetap memerlukan argumen dan  bermuara kepada badîhî awwali.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7" w:name="pg6424_45095"/>
      <w:bookmarkStart w:id="188" w:name="pg6424_45095"/>
      <w:bookmarkEnd w:id="188"/>
    </w:p>
    <w:p>
      <w:pPr>
        <w:pStyle w:val="Heading2"/>
        <w:numPr>
          <w:ilvl w:val="1"/>
          <w:numId w:val="1"/>
        </w:numPr>
        <w:bidi w:val="0"/>
        <w:jc w:val="left"/>
        <w:rPr/>
      </w:pPr>
      <w:bookmarkStart w:id="189" w:name="pg6424_45095"/>
      <w:bookmarkStart w:id="190" w:name="__RefHeading___Toc688655_653776707"/>
      <w:bookmarkStart w:id="191" w:name="_Toc67"/>
      <w:bookmarkEnd w:id="189"/>
      <w:bookmarkEnd w:id="190"/>
      <w:r>
        <w:rPr/>
        <w:t>BAB VI: PEMIKIRAN ONTOLOGI MUHAMMAD TAQÎ MISHBÂH YAZDÎ</w:t>
      </w:r>
      <w:bookmarkEnd w:id="191"/>
    </w:p>
    <w:p>
      <w:pPr>
        <w:pStyle w:val="Heading3"/>
        <w:numPr>
          <w:ilvl w:val="2"/>
          <w:numId w:val="1"/>
        </w:numPr>
        <w:bidi w:val="0"/>
        <w:jc w:val="left"/>
        <w:rPr/>
      </w:pPr>
      <w:bookmarkStart w:id="192" w:name="__RefHeading___Toc688657_653776707"/>
      <w:bookmarkStart w:id="193" w:name="_Toc68"/>
      <w:bookmarkEnd w:id="192"/>
      <w:r>
        <w:rPr/>
        <w:t>Point</w:t>
      </w:r>
      <w:bookmarkEnd w:id="193"/>
    </w:p>
    <w:p>
      <w:pPr>
        <w:pStyle w:val="BookText"/>
        <w:bidi w:val="0"/>
        <w:jc w:val="both"/>
        <w:rPr/>
      </w:pPr>
      <w:r>
        <w:rPr>
          <w:rFonts w:eastAsia="Times New Roman" w:cs="Times New Roman" w:ascii="Times New Roman" w:hAnsi="Times New Roman"/>
          <w:color w:val="111111"/>
          <w:sz w:val="28"/>
          <w:szCs w:val="28"/>
          <w:lang w:val="en-US"/>
        </w:rPr>
        <w:t>Ontologi merupakan salah satu kajian kefilsafatan yang paling kuno  dan berasal dari Yunani. Studi tersebut membahas keberadaan sesuatu  yang bersifat konkret. Tokoh Yunani yang memiliki pandangan yang  bersifat ontologis dikenal seperti Thales, Plato, dan Aristoteles. Pada  masanya, kebanyakan orang belum membedaan antara penampakan  dengan kenyataan. Thales terkenal sebagai filsuf yang pernah sampai pada  kesimpulan bahwa air merupakan substansi terdalam yang merupakan  asal mula segala sesuatu. Namun yang lebih penting ialah pendiriannya  bahwa mungkin sekali segala sesuatu itu berasal dari satu substansi  belaka (sehingga sesuatu itu tidak bisa dianggap ada berdiri sendiri).</w:t>
      </w:r>
    </w:p>
    <w:p>
      <w:pPr>
        <w:pStyle w:val="BookText"/>
        <w:bidi w:val="0"/>
        <w:jc w:val="both"/>
        <w:rPr/>
      </w:pPr>
      <w:r>
        <w:rPr>
          <w:rFonts w:eastAsia="Times New Roman" w:cs="Times New Roman" w:ascii="Times New Roman" w:hAnsi="Times New Roman"/>
          <w:color w:val="111111"/>
          <w:sz w:val="28"/>
          <w:szCs w:val="28"/>
          <w:lang w:val="en-US"/>
        </w:rPr>
        <w:t>Ralitas memang bisa didekati ontologi dengan dua perpektif. (1)  Kuantitatif, yaitu dengan mempertanyakan apakah kenyataan itu tunggal  atau jamak? (2) Kualitatif, yaitu dengan mempertanyakan apakah  kenyataan (realitas) tersebut memiliki kualitas tertentu, seperti misalnya  daun yang memiliki warna kehijauan, bunga mawar yang beraroma  harum.</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Secara sederhana ontologi bisa dirumuskan sebagai ilmu yang  mempelajari realitas atau kenyataan konkret secara kritis.</w:t>
      </w:r>
      <w:r>
        <w:rPr>
          <w:rStyle w:val="FootnoteAnchor"/>
        </w:rPr>
        <w:footnoteReference w:id="268"/>
      </w:r>
      <w:bookmarkStart w:id="194" w:name="pg6424_45097"/>
    </w:p>
    <w:p>
      <w:pPr>
        <w:pStyle w:val="Heading3"/>
        <w:numPr>
          <w:ilvl w:val="2"/>
          <w:numId w:val="1"/>
        </w:numPr>
        <w:bidi w:val="0"/>
        <w:jc w:val="left"/>
        <w:rPr/>
      </w:pPr>
      <w:bookmarkStart w:id="195" w:name="__RefHeading___Toc688659_653776707"/>
      <w:bookmarkStart w:id="196" w:name="_Toc69"/>
      <w:bookmarkEnd w:id="194"/>
      <w:bookmarkEnd w:id="195"/>
      <w:r>
        <w:rPr/>
        <w:t>A. Wujûd</w:t>
      </w:r>
      <w:bookmarkEnd w:id="196"/>
    </w:p>
    <w:p>
      <w:pPr>
        <w:pStyle w:val="Heading4"/>
        <w:numPr>
          <w:ilvl w:val="3"/>
          <w:numId w:val="1"/>
        </w:numPr>
        <w:bidi w:val="0"/>
        <w:jc w:val="left"/>
        <w:rPr/>
      </w:pPr>
      <w:bookmarkStart w:id="197" w:name="__RefHeading___Toc688661_653776707"/>
      <w:bookmarkStart w:id="198" w:name="_Toc70"/>
      <w:bookmarkEnd w:id="197"/>
      <w:r>
        <w:rPr/>
        <w:t>Point</w:t>
      </w:r>
      <w:bookmarkEnd w:id="198"/>
    </w:p>
    <w:p>
      <w:pPr>
        <w:pStyle w:val="BookText"/>
        <w:bidi w:val="0"/>
        <w:jc w:val="both"/>
        <w:rPr/>
      </w:pPr>
      <w:r>
        <w:rPr>
          <w:rFonts w:eastAsia="Times New Roman" w:cs="Times New Roman" w:ascii="Times New Roman" w:hAnsi="Times New Roman"/>
          <w:color w:val="111111"/>
          <w:sz w:val="28"/>
          <w:szCs w:val="28"/>
          <w:lang w:val="en-US"/>
        </w:rPr>
        <w:t>Salah satu kritik tajam Muhammad Taqi Misbâh_Yazdî terhadap  Mullâ Sadrâ dan para filsuf Sadrian adalah ketidakcermatan dalam  menggunakan istilah-istilah dalam pembahasan filsafat, terutama istilah  dan konsep  Karena kata wujûd atau existence merupakan akar kata maujud  (existent), ia adalah</w:t>
      </w:r>
      <w:r>
        <w:rPr>
          <w:rStyle w:val="FootnoteAnchor"/>
          <w:rtl w:val="true"/>
        </w:rPr>
        <w:footnoteReference w:id="269"/>
      </w:r>
      <w:r>
        <w:rPr>
          <w:rFonts w:ascii="IRNazanin" w:hAnsi="IRNazanin" w:eastAsia="IRNazanin"/>
          <w:color w:val="111111"/>
          <w:sz w:val="28"/>
          <w:sz w:val="28"/>
          <w:szCs w:val="28"/>
          <w:rtl w:val="true"/>
          <w:lang w:bidi="fa-IR"/>
        </w:rPr>
        <w:t>مصدر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yang berarti kejadian atau peristiwa ( </w:t>
      </w:r>
      <w:r>
        <w:rPr>
          <w:rFonts w:ascii="IRNazanin" w:hAnsi="IRNazanin" w:eastAsia="IRNazanin"/>
          <w:color w:val="111111"/>
          <w:sz w:val="28"/>
          <w:sz w:val="28"/>
          <w:szCs w:val="28"/>
          <w:rtl w:val="true"/>
          <w:lang w:bidi="fa-IR"/>
        </w:rPr>
        <w:t>حدث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occurrence). Masdar ini bisa dikenakan pada subjek (</w:t>
      </w:r>
      <w:r>
        <w:rPr>
          <w:rFonts w:ascii="IRNazanin" w:hAnsi="IRNazanin" w:eastAsia="IRNazanin"/>
          <w:color w:val="111111"/>
          <w:sz w:val="28"/>
          <w:sz w:val="28"/>
          <w:szCs w:val="28"/>
          <w:rtl w:val="true"/>
          <w:lang w:bidi="fa-IR"/>
        </w:rPr>
        <w:t>فاعل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ataupun objek  (</w:t>
      </w:r>
      <w:r>
        <w:rPr>
          <w:rFonts w:ascii="IRNazanin" w:hAnsi="IRNazanin" w:eastAsia="IRNazanin"/>
          <w:color w:val="111111"/>
          <w:sz w:val="28"/>
          <w:sz w:val="28"/>
          <w:szCs w:val="28"/>
          <w:rtl w:val="true"/>
          <w:lang w:bidi="fa-IR"/>
        </w:rPr>
        <w:t>مفعول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Karena itu padanan kata .</w:t>
      </w:r>
      <w:r>
        <w:rPr>
          <w:rFonts w:ascii="IRNazanin" w:hAnsi="IRNazanin" w:eastAsia="IRNazanin"/>
          <w:color w:val="111111"/>
          <w:sz w:val="28"/>
          <w:sz w:val="28"/>
          <w:szCs w:val="28"/>
          <w:rtl w:val="true"/>
          <w:lang w:bidi="fa-IR"/>
        </w:rPr>
        <w:t>وجود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dalam bahasa Persia adalah </w:t>
      </w:r>
      <w:r>
        <w:rPr>
          <w:rFonts w:ascii="IRNazanin" w:hAnsi="IRNazanin" w:eastAsia="IRNazanin"/>
          <w:color w:val="111111"/>
          <w:sz w:val="28"/>
          <w:sz w:val="28"/>
          <w:szCs w:val="28"/>
          <w:rtl w:val="true"/>
          <w:lang w:bidi="fa-IR"/>
        </w:rPr>
        <w:t>بودن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yang berarti suatu peristiwa yang terjadi) dan dalam bahasa Inggris adalah  to be. Dari perspektif gramatikal, kata maujûd adalah </w:t>
      </w:r>
      <w:r>
        <w:rPr>
          <w:rFonts w:ascii="IRNazanin" w:hAnsi="IRNazanin" w:eastAsia="IRNazanin"/>
          <w:color w:val="111111"/>
          <w:sz w:val="28"/>
          <w:sz w:val="28"/>
          <w:szCs w:val="28"/>
          <w:rtl w:val="true"/>
          <w:lang w:bidi="fa-IR"/>
        </w:rPr>
        <w:t>مفعول اسم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kata benda  pasif) yang menujukkan (hasil) tindakan verba atas suatu </w:t>
      </w:r>
      <w:r>
        <w:rPr>
          <w:rFonts w:ascii="IRNazanin" w:hAnsi="IRNazanin" w:eastAsia="IRNazanin"/>
          <w:color w:val="111111"/>
          <w:sz w:val="28"/>
          <w:sz w:val="28"/>
          <w:szCs w:val="28"/>
          <w:rtl w:val="true"/>
          <w:lang w:bidi="fa-IR"/>
        </w:rPr>
        <w:t>ذات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esensi).</w:t>
      </w:r>
    </w:p>
    <w:p>
      <w:pPr>
        <w:pStyle w:val="BookText"/>
        <w:bidi w:val="0"/>
        <w:jc w:val="both"/>
        <w:rPr/>
      </w:pPr>
      <w:r>
        <w:rPr>
          <w:rFonts w:eastAsia="Times New Roman" w:cs="Times New Roman" w:ascii="Times New Roman" w:hAnsi="Times New Roman"/>
          <w:color w:val="111111"/>
          <w:sz w:val="28"/>
          <w:szCs w:val="28"/>
          <w:lang w:val="en-US"/>
        </w:rPr>
        <w:t xml:space="preserve">Dari maujûd terkadang suatu masdar artifisial dimunculkanvseperti  dalam bentuk </w:t>
      </w:r>
      <w:r>
        <w:rPr>
          <w:rFonts w:ascii="IRNazanin" w:hAnsi="IRNazanin" w:eastAsia="IRNazanin"/>
          <w:color w:val="111111"/>
          <w:sz w:val="28"/>
          <w:sz w:val="28"/>
          <w:szCs w:val="28"/>
          <w:rtl w:val="true"/>
          <w:lang w:bidi="fa-IR"/>
        </w:rPr>
        <w:t>موجودیة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kemaujudan) yang digunakan sepadan dengan  wujûd atau eksistensi. Kosakata Arab yang dipakai dalam bentuk masdar  adakalanya tidak dikaitkan dengan subjek atau objek, lalu dipakai dalam  bentuk nomina verbal (</w:t>
      </w:r>
      <w:r>
        <w:rPr>
          <w:rFonts w:ascii="IRNazanin" w:hAnsi="IRNazanin" w:eastAsia="IRNazanin"/>
          <w:color w:val="111111"/>
          <w:sz w:val="28"/>
          <w:sz w:val="28"/>
          <w:szCs w:val="28"/>
          <w:rtl w:val="true"/>
          <w:lang w:bidi="fa-IR"/>
        </w:rPr>
        <w:t>اسم مصدر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yang menunjukkan (hasil) kerja verba  itu sendiri. Makna ini juga bisa dipertimbangkan untuk kata wujud.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sisi lain, kata yang menujukkan kejadian atau gerakan atau  setidaknya menujukkan keadaan (state) dan kualitas, tidak bisa secara  langsung dipredikatkan pada sesuatu. Misalnya, tidak mungkin kita  mempredikatkan jalan yang merupakan masdar atau 'berjalan' yang  merupakan nomina verbal pada sesuatu atau seseorang. Ia terlebih  dahulu mesti dibentuk, sehingga lahir kata “pejalan' yang bisa dijadikan  predikat atau ditambah dengan kata imbuhan lain yang sesuai dengannya  seperti kata </w:t>
      </w:r>
      <w:r>
        <w:rPr>
          <w:rFonts w:ascii="IRNazanin" w:hAnsi="IRNazanin" w:eastAsia="IRNazanin"/>
          <w:color w:val="111111"/>
          <w:sz w:val="28"/>
          <w:sz w:val="28"/>
          <w:szCs w:val="28"/>
          <w:rtl w:val="true"/>
          <w:lang w:bidi="fa-IR"/>
        </w:rPr>
        <w:t>ذو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dzû) atau </w:t>
      </w:r>
      <w:r>
        <w:rPr>
          <w:rFonts w:ascii="IRNazanin" w:hAnsi="IRNazanin" w:eastAsia="IRNazanin"/>
          <w:color w:val="111111"/>
          <w:sz w:val="28"/>
          <w:sz w:val="28"/>
          <w:szCs w:val="28"/>
          <w:rtl w:val="true"/>
          <w:lang w:bidi="fa-IR"/>
        </w:rPr>
        <w:t>صاحب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shâhib). Dengan demikian, umpamanya,  muncul kalimat “Ali menyandang keberanian (</w:t>
      </w:r>
      <w:r>
        <w:rPr>
          <w:rFonts w:ascii="IRNazanin" w:hAnsi="IRNazanin" w:eastAsia="IRNazanin"/>
          <w:color w:val="111111"/>
          <w:sz w:val="28"/>
          <w:sz w:val="28"/>
          <w:szCs w:val="28"/>
          <w:rtl w:val="true"/>
          <w:lang w:bidi="fa-IR"/>
        </w:rPr>
        <w:t>علی ذو شجاعة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Bentuk  pertama (“pejalan”) secara teknis disebut predikasi hû hû (hal itu sendiri),  dan yang kedua disebut predikasi (menyandang hal itu). Sebagai contoh, </w:t>
      </w:r>
    </w:p>
    <w:p>
      <w:pPr>
        <w:pStyle w:val="BookText"/>
        <w:bidi w:val="0"/>
        <w:rPr/>
      </w:pPr>
      <w:r>
        <w:rPr>
          <w:rFonts w:eastAsia="Times New Roman" w:cs="Times New Roman" w:ascii="Times New Roman" w:hAnsi="Times New Roman"/>
          <w:color w:val="111111"/>
          <w:sz w:val="28"/>
          <w:szCs w:val="28"/>
          <w:lang w:val="en-US"/>
        </w:rPr>
        <w:t>'binatang’ pada manusia merupakan predikasi hû hû (hal itu sendiri) dan  'hidup' merupakan predikasi dzû hû (menyandang hal itu).</w:t>
      </w:r>
    </w:p>
    <w:p>
      <w:pPr>
        <w:pStyle w:val="BookText"/>
        <w:bidi w:val="0"/>
        <w:jc w:val="both"/>
        <w:rPr/>
      </w:pPr>
      <w:r>
        <w:rPr>
          <w:rFonts w:eastAsia="Times New Roman" w:cs="Times New Roman" w:ascii="Times New Roman" w:hAnsi="Times New Roman"/>
          <w:color w:val="111111"/>
          <w:sz w:val="28"/>
          <w:szCs w:val="28"/>
          <w:lang w:val="en-US"/>
        </w:rPr>
        <w:t>Menurut Muhammad Taqî Mishbâh Yazdî penjelasan diatas lebih  terkait dengan tatabahasa yang sepenuhnya bersifat konvensional.</w:t>
      </w:r>
    </w:p>
    <w:p>
      <w:pPr>
        <w:pStyle w:val="BookText"/>
        <w:bidi w:val="0"/>
        <w:jc w:val="both"/>
        <w:rPr/>
      </w:pPr>
      <w:r>
        <w:rPr>
          <w:rFonts w:eastAsia="Times New Roman" w:cs="Times New Roman" w:ascii="Times New Roman" w:hAnsi="Times New Roman"/>
          <w:color w:val="111111"/>
          <w:sz w:val="28"/>
          <w:szCs w:val="28"/>
          <w:lang w:val="en-US"/>
        </w:rPr>
        <w:t>Padahal satu bahasa berbeda dengan bahasa lain dalam soal ini. Sebagian  bahasa mempunyai kosakata dan tatabahasa yang lebih kaya daripada  sebagian lainnya.</w:t>
      </w:r>
    </w:p>
    <w:p>
      <w:pPr>
        <w:pStyle w:val="BookText"/>
        <w:bidi w:val="0"/>
        <w:jc w:val="both"/>
        <w:rPr/>
      </w:pPr>
      <w:r>
        <w:rPr>
          <w:rFonts w:eastAsia="Times New Roman" w:cs="Times New Roman" w:ascii="Times New Roman" w:hAnsi="Times New Roman"/>
          <w:color w:val="111111"/>
          <w:sz w:val="28"/>
          <w:szCs w:val="28"/>
          <w:lang w:val="en-US"/>
        </w:rPr>
        <w:t>Bagaimanapun, mengingat eratnya hubungan kata dan makna yang  kerap menggiring orang pada sejumlah kesalahan dalam perbincangan  filsafat, maka kita perlu mencamkan bahwa w ujûd dan maujûd dalam  pemakaian filsafat tidak terkait dengan pernak-pernik kebahasaannya.</w:t>
      </w:r>
    </w:p>
    <w:p>
      <w:pPr>
        <w:pStyle w:val="BookText"/>
        <w:bidi w:val="0"/>
        <w:jc w:val="both"/>
        <w:rPr/>
      </w:pPr>
      <w:r>
        <w:rPr>
          <w:rFonts w:eastAsia="Times New Roman" w:cs="Times New Roman" w:ascii="Times New Roman" w:hAnsi="Times New Roman"/>
          <w:color w:val="111111"/>
          <w:sz w:val="28"/>
          <w:szCs w:val="28"/>
          <w:lang w:val="en-US"/>
        </w:rPr>
        <w:t>Bahkan, perhatian (yang berlebihan) pada hal-hal itu cenderung merusak  pemahaman kita terhadap makna-makna yang sebenarnya.</w:t>
      </w:r>
    </w:p>
    <w:p>
      <w:pPr>
        <w:pStyle w:val="BookText"/>
        <w:bidi w:val="0"/>
        <w:jc w:val="both"/>
        <w:rPr/>
      </w:pPr>
      <w:r>
        <w:rPr>
          <w:rFonts w:eastAsia="Times New Roman" w:cs="Times New Roman" w:ascii="Times New Roman" w:hAnsi="Times New Roman"/>
          <w:color w:val="111111"/>
          <w:sz w:val="28"/>
          <w:szCs w:val="28"/>
          <w:lang w:val="en-US"/>
        </w:rPr>
        <w:t>Dalam filsafat, saat kata wujûd digunakan, maksud sebenarnya  bukanlah makna masdar yang menunjukkan (hasil) tindakan dari satu  verba. Demikian pula saat kata maujûd digunakan, maksud sebenarnya  bukanlah kata bentukan atau kata benda pasif.</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Misalnya, saat Tuhan disebut sebagai “wujûd murni (wujûd mahdh,  wujûd shirf, sheer existence, wujud mahdh)”, apa ungkapan ini bisa  ditafsirkan sebagai (hasil) tindakan verba (hadats) atau berhubungan  dengan subjek dan objek ataupun bermakna kualitas dan keadaan  yang menunjukkan hubungan keduanya dengan suatu esensi? Apa  kita perlu bercekcok mengenai kemungkinan kita menerapkan  ungkapan “wujud murni” pada Tuhan, padahal ia merupakan masdar  yang tidak bisa dilekatkan sebagai predikat suatu esensi? Saat  kata maujûd diterapkan untuk semua realitas, termasuk “Maujud  Niscaya” dan maujud-maujud serba mungkin (contingent existents),  apakah maujûd ini mengandung makna kata-benda pasif (passive  participle)? Dan bila demikian, apa bisa dikatakan bahwa karena  suatu kata benda pasif menuntut subjek, maka Tuhan pun menuntut  subjek (yang mewujudkan-Nya)? Atau sebaliknya, menerapkan </w:t>
      </w:r>
    </w:p>
    <w:p>
      <w:pPr>
        <w:pStyle w:val="BookText"/>
        <w:bidi w:val="0"/>
        <w:rPr/>
      </w:pPr>
      <w:r>
        <w:rPr>
          <w:rFonts w:eastAsia="Times New Roman" w:cs="Times New Roman" w:ascii="Times New Roman" w:hAnsi="Times New Roman"/>
          <w:color w:val="111111"/>
          <w:sz w:val="28"/>
          <w:szCs w:val="28"/>
          <w:lang w:val="en-US"/>
        </w:rPr>
        <w:t>kata-benda pasif pada “Maujud Niscaya” (wâjib al-wujûd) tidaklah  benar karena kata itu menunjukkan makna seperti di atas sehingga  ungkapan “Tuhan adalah maujud” adalah keliru?  Pembahasan demikian ini tidak memiliki tempat dalam filsafat.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Alih-alih bisa memecahkan suatu masalah filsafat, bergulat dalam  diskusi semacam itu, menerutnya, malah akan menambah masalah dan  mendistorsi pikiran. Karena itu, ia menganjurkan para peminat filsafat  Islam berusaha menghindari beragam kesalahpahaman dan kerancuan  itu, seseorang mesti jeli mencermati makna teknis kata tertentu. Dan  bilamana terdapat perbedaan antara makna teknis satu kata dalam  filsafat dan makna umumnya atau makna teknisnya dalam ilmu-ilmu  lain, perbedaan ini mesti dicermati sepenuhnya sehingga tidak membawa  kebingungan dan kekeliruan.</w:t>
      </w:r>
      <w:r>
        <w:rPr>
          <w:rStyle w:val="FootnoteAnchor"/>
        </w:rPr>
        <w:footnoteReference w:id="270"/>
      </w:r>
      <w:r>
        <w:rPr>
          <w:rFonts w:eastAsia="Times New Roman" w:cs="Times New Roman" w:ascii="Times New Roman" w:hAnsi="Times New Roman"/>
          <w:color w:val="111111"/>
          <w:sz w:val="28"/>
          <w:szCs w:val="28"/>
          <w:lang w:val="en-US"/>
        </w:rPr>
        <w:t xml:space="preserve"> Muhammad Taqi Mishbâh Yazdî hendak membuktikan bahwa wujûd  dalam makna teknis filsafat sama dengan realitas mutlak dan lawan dari  ketiadaan (nothingness). Secara teknis, keduanya bersifat kontradiktif  (contradictory). Wujud mencakup segala hal, mulai dari Dzat Kudus Ilahi,  realitas-realitas abstrak dan material, baik substansi maupun aksiden dan  baik esensi maupun keadaan. Manakala realitas-realitas yang terjelmakan  secara eksternal (</w:t>
      </w:r>
      <w:r>
        <w:rPr>
          <w:rFonts w:ascii="IRNazanin" w:hAnsi="IRNazanin" w:eastAsia="IRNazanin"/>
          <w:color w:val="111111"/>
          <w:sz w:val="28"/>
          <w:sz w:val="28"/>
          <w:szCs w:val="28"/>
          <w:rtl w:val="true"/>
          <w:lang w:bidi="fa-IR"/>
        </w:rPr>
        <w:t>واقعیات عینیة</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entified realities) ini memantul pada pikiran  dalam bentuk proposisi, sedikitnya ada dua himpunan konsep substantif  yang bisa diperoleh darinya: (1) himpunan konsep subjek yang biasanya  merupakan konsep-konsep ke-mâhiyyah-an (whatish concepts); dan (2)  himpunan konsep maujud yang terkait dengan predikat yang merupakan  konsep-konsep filsufis (universalia ontologis)</w:t>
      </w:r>
      <w:r>
        <w:rPr>
          <w:rStyle w:val="FootnoteAnchor"/>
        </w:rPr>
        <w:footnoteReference w:id="271"/>
      </w:r>
      <w:r>
        <w:rPr>
          <w:rFonts w:eastAsia="Times New Roman" w:cs="Times New Roman" w:ascii="Times New Roman" w:hAnsi="Times New Roman"/>
          <w:color w:val="111111"/>
          <w:sz w:val="28"/>
          <w:szCs w:val="28"/>
          <w:lang w:val="en-US"/>
        </w:rPr>
        <w:t>. Seperti telah dijelaskan  sebelumnya, predikat mestilah merupakan bentukan respectival dari  suatu subjek.</w:t>
      </w:r>
      <w:r>
        <w:rPr>
          <w:rStyle w:val="FootnoteAnchor"/>
        </w:rPr>
        <w:footnoteReference w:id="272"/>
      </w:r>
      <w:bookmarkStart w:id="199" w:name="pg6424_45106"/>
    </w:p>
    <w:p>
      <w:pPr>
        <w:pStyle w:val="BookText"/>
        <w:bidi w:val="0"/>
        <w:rPr/>
      </w:pPr>
      <w:bookmarkEnd w:id="199"/>
      <w:r>
        <w:rPr>
          <w:rFonts w:eastAsia="Times New Roman" w:cs="Times New Roman" w:ascii="Times New Roman" w:hAnsi="Times New Roman"/>
          <w:color w:val="111111"/>
          <w:sz w:val="28"/>
          <w:szCs w:val="28"/>
          <w:lang w:val="en-US"/>
        </w:rPr>
        <w:t>Menurut penulis, penjelasan Muhammad Taqi Mishbâh Yazdî tentang  wujud diatas terkesan rumit dan pelik. Akan lebih mudah mudah dipahami  dan lebih sistematis bila Muhammad Taqi Mishbâh Yazdî membagi  wujud sebagaimana dilakukan oleh Reza Shadr. Murid Thabathba’i ini  mula-mula membagi wujud dalam dua pengertian: pertama, “Wujud”  sebagai pengertian umum, yaitu arti umum dan aprior yang menjadi dasar  perangkaian kata serta menjadi predikat yang dilekatkan pada setiap  quiditas atau esensi (mâhiyyah), misalnya “manusia itu ada”, “bulan itu  ada”, “putih itu ada”; kedua, “Wujud” sebagai pengertian khusus atau  terikat, yaitu predikat yang dilekatkan atas sesuatu, misalnya “benda  itu putih”, yang berarti “benda yang ada itu berwarna putih”. Dengan  demikian, pengertian “wujud yang umum” itu merupakan wujud subjek,  sedangkan pengertian "wujud yang terikat” adalah wujud predikat dalam  setiap premis.</w:t>
      </w:r>
      <w:r>
        <w:rPr>
          <w:rStyle w:val="FootnoteAnchor"/>
        </w:rPr>
        <w:footnoteReference w:id="273"/>
      </w:r>
    </w:p>
    <w:p>
      <w:pPr>
        <w:pStyle w:val="Heading4"/>
        <w:numPr>
          <w:ilvl w:val="3"/>
          <w:numId w:val="1"/>
        </w:numPr>
        <w:bidi w:val="0"/>
        <w:jc w:val="left"/>
        <w:rPr/>
      </w:pPr>
      <w:bookmarkStart w:id="200" w:name="__RefHeading___Toc688663_653776707"/>
      <w:bookmarkStart w:id="201" w:name="_Toc71"/>
      <w:bookmarkEnd w:id="200"/>
      <w:r>
        <w:rPr/>
        <w:t>1. Ashâlat al-Wujûd</w:t>
      </w:r>
      <w:bookmarkEnd w:id="201"/>
    </w:p>
    <w:p>
      <w:pPr>
        <w:pStyle w:val="BookText"/>
        <w:bidi w:val="0"/>
        <w:jc w:val="both"/>
        <w:rPr/>
      </w:pPr>
      <w:r>
        <w:rPr>
          <w:rFonts w:eastAsia="Times New Roman" w:cs="Times New Roman" w:ascii="Times New Roman" w:hAnsi="Times New Roman"/>
          <w:color w:val="111111"/>
          <w:sz w:val="28"/>
          <w:szCs w:val="28"/>
          <w:lang w:val="en-US"/>
        </w:rPr>
        <w:t>Polemik di kalangan filsuf masih berkisar pada masalah ashalat  (kemendasaran</w:t>
      </w:r>
      <w:r>
        <w:rPr>
          <w:rStyle w:val="FootnoteAnchor"/>
        </w:rPr>
        <w:footnoteReference w:id="274"/>
      </w:r>
      <w:r>
        <w:rPr>
          <w:rFonts w:eastAsia="Times New Roman" w:cs="Times New Roman" w:ascii="Times New Roman" w:hAnsi="Times New Roman"/>
          <w:color w:val="111111"/>
          <w:sz w:val="28"/>
          <w:szCs w:val="28"/>
          <w:lang w:val="en-US"/>
        </w:rPr>
        <w:t>) wujûd dan mâhiyyah; mana lebih awal atau lebih  prinsipal dan berperan sebagai prinsip objektivasi atau individuasi  maujud-maujud.</w:t>
      </w:r>
      <w:r>
        <w:rPr>
          <w:rStyle w:val="FootnoteAnchor"/>
        </w:rPr>
        <w:footnoteReference w:id="27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(Sajjadi, Philosophical Glossary of Mulla Shadra, Teheran: Wezarat e Farhang wa Ershad e Islami,  2001, hlm 20).</w:t>
      </w:r>
    </w:p>
    <w:p>
      <w:pPr>
        <w:pStyle w:val="BookText"/>
        <w:bidi w:val="0"/>
        <w:rPr/>
      </w:pPr>
      <w:r>
        <w:rPr>
          <w:rFonts w:eastAsia="Times New Roman" w:cs="Times New Roman" w:ascii="Times New Roman" w:hAnsi="Times New Roman"/>
          <w:color w:val="111111"/>
          <w:sz w:val="28"/>
          <w:szCs w:val="28"/>
          <w:lang w:val="en-US"/>
        </w:rPr>
        <w:t>Sebagaimana Mullâ Sadrâ, Muhammad Taqi Misbah Yazdî  menganggap prinsip kesejatian wujud sebagai masalah badîhî sehingga  tidak perlu pembuktian, karena wujud identik belaka dengan realitas dan  hakikat; sedangkan esensi (mâhiyyah) berbeda dengan realitas, bahkan  mâhiyyah hanya eksis bila bersanding dengan wujud. Tanpa wujûd,  apapun termasuk esensi (mâhiyyah) tidak nyata.</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Mullâ Sadrâ dianggap telah mengakhiri dominasi mazhab ashâlat  al-mâhiyyah dalam mahakaryanya, al-Asfâr al-Arba'ah. Salah satu paling  argumentasinya yang paling populer ialah, esensi adalah entitas buatan  (maujûd i’tibârî). Esensi (mâhiyyah, ke-apa-an, quiditas) adalah setiap  “sesuatu' yang muncul sebagai jawaban atas “apa itu'. Ia adalah sesuatu  yang dikenali dari substansinya. Lebih jauh, Mullâ Sadrâ menegaskan  bahwa esensi tidak menyandang sifat universal maupun partikular,  plural atau singular. Manusia, misalnya, sebagai esensial tidak dapat  dikaitkan dengan pluralitas karena apabila terikat dengan “kesatuan”,  maka semestinya ia (manusia) tidak mungkin banyak; juga tidak dapat  dikaitkan dengan singularitas, karena manusia juga bisa banyak. Esensi  manusia adalah manusia an sich tanpa kondisi apapun.</w:t>
      </w:r>
      <w:r>
        <w:rPr>
          <w:rStyle w:val="FootnoteAnchor"/>
        </w:rPr>
        <w:footnoteReference w:id="276"/>
      </w:r>
    </w:p>
    <w:p>
      <w:pPr>
        <w:pStyle w:val="BookText"/>
        <w:bidi w:val="0"/>
        <w:rPr/>
      </w:pPr>
      <w:r>
        <w:rPr>
          <w:rFonts w:eastAsia="Times New Roman" w:cs="Times New Roman" w:ascii="Times New Roman" w:hAnsi="Times New Roman"/>
          <w:color w:val="111111"/>
          <w:sz w:val="28"/>
          <w:szCs w:val="28"/>
          <w:lang w:val="en-US"/>
        </w:rPr>
        <w:t>Sebagaimana diketahui, Mullâ Sadrâ mendeklarasikan sebuah mazhab  baru sa t menegaskan ashâlat al-wujûd. Berdasark n penghayatan spiritual  yang sangat intensif dan analisis intelektual yang amat tajam, akhirnya  Mullâ Sadrâ melahirkan sebuah gagasan baru dalam fils fat; bahwa wujud  bukan hanya “lebih” prinsipal d ri mâhiyyah, melainkan juga menjadi  fondasi dari semua hal yang disebut realitas; bahkan ia realitas itu sendiri.</w:t>
      </w:r>
      <w:r>
        <w:rPr>
          <w:rStyle w:val="FootnoteAnchor"/>
        </w:rPr>
        <w:footnoteReference w:id="277"/>
      </w:r>
      <w:r>
        <w:rPr>
          <w:rFonts w:eastAsia="Times New Roman" w:cs="Times New Roman" w:ascii="Times New Roman" w:hAnsi="Times New Roman"/>
          <w:color w:val="111111"/>
          <w:sz w:val="28"/>
          <w:szCs w:val="28"/>
          <w:lang w:val="en-US"/>
        </w:rPr>
        <w:t xml:space="preserve"> Sejak itu, kata Fazlurrahman, wujûdiyyah atau “eksistensialisme”</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Bambu, 2002, hlm 124). Edmund Husserl dan para pendukungnya seperti Hanz R dari Inggris  (1867-1941), William Ralf dari Jerman (1861-1945), Maurice B. dari Perancis (1861-1948), dan N.</w:t>
      </w:r>
    </w:p>
    <w:p>
      <w:pPr>
        <w:pStyle w:val="BookText"/>
        <w:bidi w:val="0"/>
        <w:jc w:val="both"/>
        <w:rPr/>
      </w:pPr>
      <w:r>
        <w:rPr>
          <w:rFonts w:eastAsia="Times New Roman" w:cs="Times New Roman" w:ascii="Times New Roman" w:hAnsi="Times New Roman"/>
          <w:color w:val="111111"/>
          <w:sz w:val="28"/>
          <w:szCs w:val="28"/>
          <w:lang w:val="en-US"/>
        </w:rPr>
        <w:t>Hartman dari Jerman (1882-1950), berpijak dari anggapan bahwa setiap gejala memiliki esensi,  sekaligus berpendapat bahwa setiap fenomena memperoleh esensinya tanpa perantara. Kaum eksistensialis juga mau membahas ke-ada-an, namun menurut mereka, hanya melalui eksistensi  manusialah, prinisp universal eksistensi dapat dipelajari. Donny Gahral Adian, Matinya Metafisika, hlm  52). Eksistensialisme Barat tak lebih dari sekadar sebuah pendekatan antropologis; bukan sebingkai  sistem filsafat yang universal dengan subjek al-wujud, la merupakan sebuah reaksi terhadap dua  aliran filsafat yang dominan di zamannya, yakni materialisme dan idealisme yang gagal memahami  eksistensi manusia secara apa adanya. Sedangkan eksistensialisme Islam adalah sebuah mazhab  filsafat metafisis yang murni. Tujuan utamanya adalah ingin mencari tahu dan bahkan ingin  menggapai realitas wujud yang sebenarnya (the ultimate reality). Dengan demikian, nuansa filsafat  wujud dalam Islam lebih bersifat teistik bahkan sufistik; sementara aliran filsafat eksistensialisme  Barat sebagiannya condong pada nuansa ateistik.</w:t>
      </w:r>
    </w:p>
    <w:p>
      <w:pPr>
        <w:pStyle w:val="BookText"/>
        <w:bidi w:val="0"/>
        <w:jc w:val="both"/>
        <w:rPr/>
      </w:pPr>
      <w:r>
        <w:rPr>
          <w:rFonts w:eastAsia="Times New Roman" w:cs="Times New Roman" w:ascii="Times New Roman" w:hAnsi="Times New Roman"/>
          <w:color w:val="111111"/>
          <w:sz w:val="28"/>
          <w:szCs w:val="28"/>
          <w:lang w:val="en-US"/>
        </w:rPr>
        <w:t>lahir  sebagai mazhab filsafat dalam komunitas Muslim.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Deskripsi Muhammad Taqi Misbah Yazdî atas prinsip ashalat al-wujud  adalah satu dari sekian penafsiran terhadap asalatul wujud yang digagas  oleh Mullâ Sadrâ. Sama dengan filsuf-filsuf pasca Mullâ Sadrâ yang  lain, dia menguatkan diskripsinya dengan menurunkan beberapa kutipan  dari karya-karya utama Mullâ Sadrâ. Ini merupakan bukti bahwa ia  pertama-tama telah menerima Hikmah Muta' aliyah yang berdiri secara  principal pada asalatul wujud sebagai basis konstruk filsafatnya. Pada  saat yang sama, deskripsinya yang khas menunjukkan bahwa ia tampil </w:t>
      </w:r>
    </w:p>
    <w:p>
      <w:pPr>
        <w:pStyle w:val="BookText"/>
        <w:bidi w:val="0"/>
        <w:rPr/>
      </w:pPr>
      <w:r>
        <w:rPr>
          <w:rFonts w:eastAsia="Times New Roman" w:cs="Times New Roman" w:ascii="Times New Roman" w:hAnsi="Times New Roman"/>
          <w:color w:val="111111"/>
          <w:sz w:val="28"/>
          <w:szCs w:val="28"/>
          <w:lang w:val="en-US"/>
        </w:rPr>
        <w:t>sebagai filsuf yang “berijtihad” dalam mendedah duduk persoalan dan  menerangkannya dengan tetap membuka kemungkinan berbeda dengan  apa yang dikehendaki oleh pengagas pertama; yakni Mullâ Sadrâ. Maka,  masih layak untuk ditelusuri secara lebih cermat lagi; apakah penjelasan  Muhammad Taqi Misbâh Yazdî sudah konsisten?  Setidaknya dapat dipastikan, bahwa entah Muhammad Taqi Misbah  Yazdî atau filsuf lainnya, semua sepakat dengan definisi akhir mula  sadra bahwa mahiyat adalah ada secara aksidensial (maujûd bi al-  ‘aradh). Seperti yang telah kita simak dalam Amuzesy-e Falsafeh dan  ilustrasi potongan-potongan kertas dan bentuk-bentuknya, Muhammad  Taqi Misbâh Yazdî menafsirkan kedududkan mâhiyyât di samping  wujud sekadar sebagai batas (hadd) wujûd; tidak lebih. Secara lebih  tegas ia menyatakan bahwa hadd wujûd adalah “sesuatu yang tiada”  (amr 'adamî); ia tidak bisa dikatakan wujud; tidak bisa juga dikatakan  “ketiadaan” ('adam); tetapi ia adalah sesuatu yang tiada; yakni sesuatu  yang terkait dengan tiada. Dengan kata lain, ia adalah tiada secara  relatif. Maka dengan demikian, wujud mahiyat adalah wujud yang juga  relatif dan ikut pada wujud (bi al-taba"); maka ia pun ikut pada hukum-  hukumnya.</w:t>
      </w:r>
    </w:p>
    <w:p>
      <w:pPr>
        <w:pStyle w:val="BookText"/>
        <w:bidi w:val="0"/>
        <w:jc w:val="both"/>
        <w:rPr/>
      </w:pPr>
      <w:r>
        <w:rPr>
          <w:rFonts w:eastAsia="Times New Roman" w:cs="Times New Roman" w:ascii="Times New Roman" w:hAnsi="Times New Roman"/>
          <w:color w:val="111111"/>
          <w:sz w:val="28"/>
          <w:szCs w:val="28"/>
          <w:lang w:val="en-US"/>
        </w:rPr>
        <w:t>Jadi, hubungan antara wujud dan mahiyyat semacam hubungan antara  muatan dan batas. Ketika kita menyatakan, “wujud adalah manusia”,  yakni “wujud itu bermanusia (mempunyai manusia)”. Namun dalam  asumsi ini, justru tidak ada lagi identitas antara keduanya, karena dalam  predikasi tadi, wujud bukanlah manusia, juga manusia bukanlah wujud.</w:t>
      </w:r>
    </w:p>
    <w:p>
      <w:pPr>
        <w:pStyle w:val="BookText"/>
        <w:bidi w:val="0"/>
        <w:jc w:val="both"/>
        <w:rPr/>
      </w:pPr>
      <w:r>
        <w:rPr>
          <w:rFonts w:eastAsia="Times New Roman" w:cs="Times New Roman" w:ascii="Times New Roman" w:hAnsi="Times New Roman"/>
          <w:color w:val="111111"/>
          <w:sz w:val="28"/>
          <w:szCs w:val="28"/>
          <w:lang w:val="en-US"/>
        </w:rPr>
        <w:t>Dengan kata lain, predikasi (haml) antara wujûd dan mâhiyyât adalah  predikasi isytiqaqi (derivatif)' bukan muwâthat yang hanya padanya  identitas (hu huw iyat) berlaku.</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Ketiadaan unsur identitas dan predikasi muwâthat di antara wujud  dan mâhiyyât menunjukan inkonsistensi uraian Muhammad Taqî Misbah  Yazdî atas prinsip ashalat al-wujud. Uraiannya menegaskan bahwa  kendati wujud dan mahiyat itu berbeda di mental, namun kedua satu di  alam luar. Namun, dengan ketiadaan identitas dan predikasi itu, kesatuan </w:t>
      </w:r>
    </w:p>
    <w:p>
      <w:pPr>
        <w:pStyle w:val="BookText"/>
        <w:bidi w:val="0"/>
        <w:rPr/>
      </w:pPr>
      <w:r>
        <w:rPr>
          <w:rFonts w:eastAsia="Times New Roman" w:cs="Times New Roman" w:ascii="Times New Roman" w:hAnsi="Times New Roman"/>
          <w:color w:val="111111"/>
          <w:sz w:val="28"/>
          <w:szCs w:val="28"/>
          <w:lang w:val="en-US"/>
        </w:rPr>
        <w:t>mahiyat ddengan wujud di alam luar menjadi sulit dicerna, karena  identitas dan predikasi itu juga mengacu kea lam luar; yakni predikasi  objektif (qadhiyyah khârijiyyah); bukan semata-mata predikasi subjketif  (dzihniyyah)  Saat dikonfirmasi oleh penulis tentang pendapat muridnya, Gholam  Reza Faiyazhi dan Kamal Haydari yang mengemukakan pendapat  tentang ashâlat al-wujûd wa al-mâhiyyah (kemendasaran eksistensi dan  esesnsi secara bersamaan), Muhammad Taqi Misbah Yazdî cenderung  mengabaikan hal itu sembari menganggapnya sebagai guruan filsufis  kalangan hawzah semata.</w:t>
      </w:r>
    </w:p>
    <w:p>
      <w:pPr>
        <w:pStyle w:val="BookText"/>
        <w:bidi w:val="0"/>
        <w:jc w:val="both"/>
        <w:rPr/>
      </w:pPr>
      <w:r>
        <w:rPr>
          <w:rFonts w:eastAsia="Times New Roman" w:cs="Times New Roman" w:ascii="Times New Roman" w:hAnsi="Times New Roman"/>
          <w:color w:val="111111"/>
          <w:sz w:val="28"/>
          <w:szCs w:val="28"/>
          <w:lang w:val="en-US"/>
        </w:rPr>
        <w:t>Dalam wawancara dengan Fayyadhi, penulis sempat menanyakan  keseriusan pendapatnya tentang ashâlat al-wujûd wa al-mâhiyyah.</w:t>
      </w:r>
    </w:p>
    <w:p>
      <w:pPr>
        <w:pStyle w:val="BookText"/>
        <w:bidi w:val="0"/>
        <w:jc w:val="both"/>
        <w:rPr/>
      </w:pPr>
      <w:r>
        <w:rPr>
          <w:rFonts w:eastAsia="Times New Roman" w:cs="Times New Roman" w:ascii="Times New Roman" w:hAnsi="Times New Roman"/>
          <w:color w:val="111111"/>
          <w:sz w:val="28"/>
          <w:szCs w:val="28"/>
          <w:lang w:val="en-US"/>
        </w:rPr>
        <w:t>Fayyâzî bahkan berjanji untuk menulis sebuah buku yang berisikan  argumen-argumen tentang pendapat kontroversial itu.</w:t>
      </w:r>
    </w:p>
    <w:p>
      <w:pPr>
        <w:pStyle w:val="BookText"/>
        <w:bidi w:val="0"/>
        <w:jc w:val="both"/>
        <w:rPr/>
      </w:pPr>
      <w:r>
        <w:rPr>
          <w:rFonts w:eastAsia="Times New Roman" w:cs="Times New Roman" w:ascii="Times New Roman" w:hAnsi="Times New Roman"/>
          <w:color w:val="111111"/>
          <w:sz w:val="28"/>
          <w:szCs w:val="28"/>
          <w:lang w:val="en-US"/>
        </w:rPr>
        <w:t>Terlepas dari sengketa filsufis antara guru dan murid diatas seputar  kemendasaran wujud atau mâhiyyah atau kemendasaran keduanya,  penulis menemukan adanya penyebab samar di balik sengketa ini.</w:t>
      </w:r>
    </w:p>
    <w:p>
      <w:pPr>
        <w:pStyle w:val="BookText"/>
        <w:bidi w:val="0"/>
        <w:jc w:val="both"/>
        <w:rPr/>
      </w:pPr>
      <w:r>
        <w:rPr>
          <w:rFonts w:eastAsia="Times New Roman" w:cs="Times New Roman" w:ascii="Times New Roman" w:hAnsi="Times New Roman"/>
          <w:color w:val="111111"/>
          <w:sz w:val="28"/>
          <w:szCs w:val="28"/>
          <w:lang w:val="en-US"/>
        </w:rPr>
        <w:t>Boleh jadi, yang dimaksud oleh Muhammad Taqi Misbâh Yazdî tentang  kemendasaran wujud dengan semua argumen-argumennya berbeda dalam  pengertian dengan kemendasaran wujûd dan mâhiyyah yang dimaksud  oleh Fayyadhi, yang menurut penulis, lebih bisa dipertanggungjawabkan  secara argumentatif.</w:t>
      </w:r>
    </w:p>
    <w:p>
      <w:pPr>
        <w:pStyle w:val="BookText"/>
        <w:bidi w:val="0"/>
        <w:jc w:val="both"/>
        <w:rPr/>
      </w:pPr>
      <w:r>
        <w:rPr>
          <w:rFonts w:eastAsia="Times New Roman" w:cs="Times New Roman" w:ascii="Times New Roman" w:hAnsi="Times New Roman"/>
          <w:color w:val="111111"/>
          <w:sz w:val="28"/>
          <w:szCs w:val="28"/>
          <w:lang w:val="en-US"/>
        </w:rPr>
        <w:t>Sebagaimana disebutkan sebelumnya, isu ashâlat al-wujûd dan  ashâlat al- mâhiyyah merupakan dua kutub pemikiran ontologi yang  nyaris tidak dapat dikompromikan; dari Syahrawardi hingga Thabâthabâ’î.</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 filsuf mendemonstrasikan argumentasi penegasian ataupun  pengafirmasian atas kedua konsep di atas selama beberapa abad. Ahmad  Ihsâi, misalnya, berusaha menyatukan dua konsep di atas. Namun, hal  itu tidak menjadi solusi “perdamaian” dari pertentangan di antara dua  konsep filsufis tersebut. Bahkan, konsep yang beliau paparkan menjadi  “musuh bersama” bagi kedua konsep yang saling berlawanan. Mungkin  saja, di poin ini sajalah terjadi “gencatan senjata” di antara konsep ashâlat </w:t>
      </w:r>
    </w:p>
    <w:p>
      <w:pPr>
        <w:pStyle w:val="BookText"/>
        <w:bidi w:val="0"/>
        <w:rPr/>
      </w:pPr>
      <w:r>
        <w:rPr>
          <w:rFonts w:eastAsia="Times New Roman" w:cs="Times New Roman" w:ascii="Times New Roman" w:hAnsi="Times New Roman"/>
          <w:color w:val="111111"/>
          <w:sz w:val="28"/>
          <w:szCs w:val="28"/>
          <w:lang w:val="en-US"/>
        </w:rPr>
        <w:t>al-wujûd dengan ashâlat al-mâhiyyah. Karena, mereka berdua bersama-  sama “membombardir” konsep yang ditawarkan oleh Ihsâi.</w:t>
      </w:r>
    </w:p>
    <w:p>
      <w:pPr>
        <w:pStyle w:val="BookText"/>
        <w:bidi w:val="0"/>
        <w:jc w:val="both"/>
        <w:rPr/>
      </w:pPr>
      <w:r>
        <w:rPr>
          <w:rFonts w:eastAsia="Times New Roman" w:cs="Times New Roman" w:ascii="Times New Roman" w:hAnsi="Times New Roman"/>
          <w:color w:val="111111"/>
          <w:sz w:val="28"/>
          <w:szCs w:val="28"/>
          <w:lang w:val="en-US"/>
        </w:rPr>
        <w:t>Dalam wawancara dengan penulis, Gholam Husain Fayâdhi, salah  satu murid terkemuka Muhammad Taqi Misbâh Yazdî, menyayangkan  sikap “taqlid Muhammad Taqi Misbah Yazdî terhadap ashâlat al-wujûd  yang dikemukan oleh Mullâ Sadrâ dan Sabzawari.</w:t>
      </w:r>
    </w:p>
    <w:p>
      <w:pPr>
        <w:pStyle w:val="BookText"/>
        <w:bidi w:val="0"/>
        <w:jc w:val="both"/>
        <w:rPr/>
      </w:pPr>
      <w:r>
        <w:rPr>
          <w:rFonts w:eastAsia="Times New Roman" w:cs="Times New Roman" w:ascii="Times New Roman" w:hAnsi="Times New Roman"/>
          <w:color w:val="111111"/>
          <w:sz w:val="28"/>
          <w:szCs w:val="28"/>
          <w:lang w:val="en-US"/>
        </w:rPr>
        <w:t>Fayyadhi mengemukakan beberapa kritik fundamental terhadap  ashâlat al-wujûd , antara lain sebagai berikut:</w:t>
      </w:r>
    </w:p>
    <w:p>
      <w:pPr>
        <w:pStyle w:val="BookText"/>
        <w:bidi w:val="0"/>
        <w:jc w:val="both"/>
        <w:rPr/>
      </w:pPr>
      <w:r>
        <w:rPr>
          <w:rFonts w:eastAsia="Times New Roman" w:cs="Times New Roman" w:ascii="Times New Roman" w:hAnsi="Times New Roman"/>
          <w:color w:val="111111"/>
          <w:sz w:val="28"/>
          <w:szCs w:val="28"/>
          <w:lang w:val="en-US"/>
        </w:rPr>
        <w:t>Pertama, para pendukung ashâlat al-wujûd, termasuk Mullâ Sadrâ,  Thabâthabâ’î dan Muhammad Taqî Misbâh Yazdî terlihat tidak konsisten  saat mendefiniskan mâhiyyah. Kadang, mendefinisikannya sebagai  sesuatu yang bersufat mental, kadang juga di eksternal. Sebagai contoh,  dalam argumentasi pengafirmasian ashâlat al-wujûd dan penegasian  ashalat al-mâhiyyah, digunakan mâhiyyah dengan “al-mâhiyyah fi haddi  nafsiha, laysat maûjudah wa lâ ma</w:t>
      </w:r>
      <w:r>
        <w:rPr>
          <w:rFonts w:eastAsia="Consolas" w:cs="Consolas" w:ascii="Consolas" w:hAnsi="Consolas"/>
          <w:color w:val="111111"/>
          <w:sz w:val="28"/>
          <w:szCs w:val="28"/>
          <w:lang w:val="en-US"/>
        </w:rPr>
        <w:t>dûmah” atupun dengan istilah “al-  mâhiyyah la bi al-syarth”. Sedangkan dalam kitab al-Masyâ' ir, Mullâ  Sadrâ mengatakan “al-mâhiyyah ‘ain al-wujud”, (mâhiyyah adalah  wujud itu sendiri) dan dalam bagian lain, ia mengatakan, “al-mahiyyah  hiya had al-wujud (mâhiyyah adalah sparator wujud.&lt;a href="#ref-footnote1-page198" id="footnote1-page198" style="display:inline-block"&gt;&lt;sup&gt;(1)&lt;/sup&gt;&lt;/a&gt;&lt;p class="footnote"&gt;&lt;a href="#footnote1-page198" style="color:#3b82f6;" id="ref-footnote1-page198"&gt; 1) &lt;/a&gt;Mullâ Sadra, al-Masya'ir, Intisyarat-e Isra, Qom, 1987. hlm. 7.&lt;/p&gt;)  Kedua, sejak Mullâ Sadrâ hingga Thabâthabâ’î, tidak terjadi  perubahan pendefinisian temyamh ma</w:t>
      </w:r>
      <w:r>
        <w:rPr>
          <w:rFonts w:eastAsia="Times New Roman" w:cs="Times New Roman" w:ascii="Times New Roman" w:hAnsi="Times New Roman"/>
          <w:color w:val="111111"/>
          <w:sz w:val="28"/>
          <w:szCs w:val="28"/>
          <w:lang w:val="en-US"/>
        </w:rPr>
        <w:t>qûl awwali dan ma`qûl tsanawi.</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Ketika membagi pengetahuan universal menjadi dua bagian; ma</w:t>
      </w:r>
      <w:r>
        <w:rPr>
          <w:rFonts w:eastAsia="Consolas" w:cs="Consolas" w:ascii="Consolas" w:hAnsi="Consolas"/>
          <w:color w:val="111111"/>
          <w:sz w:val="28"/>
          <w:szCs w:val="28"/>
          <w:lang w:val="en-US"/>
        </w:rPr>
        <w:t>qûl  awwali mahaw i (esential first intelligible) dan ma</w:t>
      </w:r>
      <w:r>
        <w:rPr>
          <w:rFonts w:eastAsia="Times New Roman" w:cs="Times New Roman" w:ascii="Times New Roman" w:hAnsi="Times New Roman"/>
          <w:color w:val="111111"/>
          <w:sz w:val="28"/>
          <w:szCs w:val="28"/>
          <w:lang w:val="en-US"/>
        </w:rPr>
        <w:t>qûl tsanawi falsafi  (philosophical second intelligible), Mullâ Sadrâ hingga Muhammad Taqi  Misbah Yazdî, tidak memberikan perubahan makna yang sesuai dengan  paradigma ashâlat al-wujûd. Para filsuf mengartikan ma</w:t>
      </w:r>
      <w:r>
        <w:rPr>
          <w:rFonts w:eastAsia="Consolas" w:cs="Consolas" w:ascii="Consolas" w:hAnsi="Consolas"/>
          <w:color w:val="111111"/>
          <w:sz w:val="28"/>
          <w:szCs w:val="28"/>
          <w:lang w:val="en-US"/>
        </w:rPr>
        <w:t>qûl awwali  mahawi sebagai “wujuduha wa ‘urudhuha khârijiyyan (eksistensi dan  predikasinya bersifat eksternal). Sedangkan untuk ma</w:t>
      </w:r>
      <w:r>
        <w:rPr>
          <w:rFonts w:eastAsia="Times New Roman" w:cs="Times New Roman" w:ascii="Times New Roman" w:hAnsi="Times New Roman"/>
          <w:color w:val="111111"/>
          <w:sz w:val="28"/>
          <w:szCs w:val="28"/>
          <w:lang w:val="en-US"/>
        </w:rPr>
        <w:t xml:space="preserve">qûl tsânaw i falsafi  sebagai "wujuduha dzihnî wa ‘urudhuha khâriji (eksistensinya bersifat  mental dan predikasinya bersifat eksternal. </w:t>
      </w:r>
    </w:p>
    <w:p>
      <w:pPr>
        <w:pStyle w:val="BookText"/>
        <w:bidi w:val="0"/>
        <w:rPr/>
      </w:pPr>
      <w:r>
        <w:rPr>
          <w:rFonts w:eastAsia="Times New Roman" w:cs="Times New Roman" w:ascii="Times New Roman" w:hAnsi="Times New Roman"/>
          <w:color w:val="111111"/>
          <w:sz w:val="28"/>
          <w:szCs w:val="28"/>
          <w:lang w:val="en-US"/>
        </w:rPr>
        <w:t>Menurutnya, definisi di atas terhadap kedua bagian dari pengetahuan  universal tidak sesuai dengan paradigma ashâlat al-wujûd, karena  mâhiyyah (ma</w:t>
      </w:r>
      <w:r>
        <w:rPr>
          <w:rFonts w:eastAsia="Consolas" w:cs="Consolas" w:ascii="Consolas" w:hAnsi="Consolas"/>
          <w:color w:val="111111"/>
          <w:sz w:val="28"/>
          <w:szCs w:val="28"/>
          <w:lang w:val="en-US"/>
        </w:rPr>
        <w:t>qûl awwali mahawi) tidak memiliki nilai eksistensi  eksternal, sesuai pandangan ashâlat al-wujûd. Dan yang memiliki  nilai eksistensi eksternal hanyalah wujud. Sedangkan wujud masuk  dalam bagian definisi ma</w:t>
      </w:r>
      <w:r>
        <w:rPr>
          <w:rFonts w:eastAsia="Times New Roman" w:cs="Times New Roman" w:ascii="Times New Roman" w:hAnsi="Times New Roman"/>
          <w:color w:val="111111"/>
          <w:sz w:val="28"/>
          <w:szCs w:val="28"/>
          <w:lang w:val="en-US"/>
        </w:rPr>
        <w:t xml:space="preserve">qûl tsanawi falsafi, dan ini sama sekali tidak  sejalan dengan pandangan dan paradigma ashâlat al-wujud. Selain itu,  dalam pembahasan kuaditas (mâhiyyah) dan pembagiannya menjadi  dua; jawhar dan 'aradh, mazhab Hikmah Muta’aliyah mendefinisikan  jawhar dengan “in w ujidat wujidat lâ fi maudhû”” dan aradh dengan  “in wujidat wijidat fi maudhû””. Dari definisi yang mereka paparkan,  jelas ada nilai wujudiyyah bagi jawhar dan aradh di eksternal, dan ini  lebih sesuai dengan definisi maʼqûl awwalî mâhawî yang belum diubah  pendefinisiannya. </w:t>
      </w:r>
      <w:r>
        <w:rPr>
          <w:rStyle w:val="FootnoteAnchor"/>
        </w:rPr>
        <w:footnoteReference w:id="279"/>
      </w:r>
      <w:r>
        <w:rPr>
          <w:rFonts w:eastAsia="Times New Roman" w:cs="Times New Roman" w:ascii="Times New Roman" w:hAnsi="Times New Roman"/>
          <w:color w:val="111111"/>
          <w:sz w:val="28"/>
          <w:szCs w:val="28"/>
          <w:lang w:val="en-US"/>
        </w:rPr>
        <w:t xml:space="preserve"> Menurut penulis, inilah salah satu bukti inkonsistensi penggunaan  kata dan definisi mâhiyyah. Meski belakangan Javâdî Âmoli, dalam Syarh  Asfar arba'ah –rahiq makhtûm— mengubah posisi dan definisi maʼqûl  awwali mâhawi dan ma`qûl tsanawî, namun hal itu tidak mengubah hal-  hal lainnya, seperi tolok ukur kebenaran berkenaan dengan isu nafs al-amr.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setelah berdiksusi dengan Fayyadhi, penulis menemukan  kerancuan dalam penafsiran pandangan ashâlat al-wujûd yang didukung  oleh Muhammad Taqi Mishbâh Yazdî. Kerancuan ini diakibatkan oleh  dominasi pengaruh taste gnostik dalam menafsirkan pandangan ashâlat  al-wujûd. Dengan kata lain, pendapat filsafat Mullâ Sadrâ tentang ashâlat  al-wujûd, dalam tafsiran Mullâ Sabzawâri, sama dengan pandangan para  ahli gnostik  Keempat, menurut pengamatan penulis, pandangan ashâlat al-wujûd  versi Mullâ Hadi Sabzawârî sama dengan pandangan kaum gnostik; “lâ  wujûda illa-llâh” (tiada wujud selain Allah) menjelaskan bahwa Allah  adalah wujud murni yang tidak bercampur dengan mâhiyyah. Namun,  dalam perjalanan dan perkembangannya para pendukung ashâlat </w:t>
      </w:r>
    </w:p>
    <w:p>
      <w:pPr>
        <w:pStyle w:val="BookText"/>
        <w:bidi w:val="0"/>
        <w:rPr/>
      </w:pPr>
      <w:r>
        <w:rPr>
          <w:rFonts w:eastAsia="Times New Roman" w:cs="Times New Roman" w:ascii="Times New Roman" w:hAnsi="Times New Roman"/>
          <w:color w:val="111111"/>
          <w:sz w:val="28"/>
          <w:szCs w:val="28"/>
          <w:lang w:val="en-US"/>
        </w:rPr>
        <w:t>al-wujûd, demi menyelamatkan permasalah qadha dan qadar yang  berhubungan dengan ilmu Allah, menyatakan bahwa Allah memiliki  ilmu husuli (pengetahuan dengan perantara mâhiyyah). Padahal klaim  ini tidak sesuai dengan pandangan ashâlat al-wujûd yang menganggap  Allah sebagai wujud murni yang tidak bercampur dengan mahiyyah,  yang tentu tidak memiliki ke-sinkhiyah-an dengan kepemilikian ilmu  hushûlî yang diperantarai oleh mâhiyyah.</w:t>
      </w:r>
    </w:p>
    <w:p>
      <w:pPr>
        <w:pStyle w:val="BookText"/>
        <w:bidi w:val="0"/>
        <w:jc w:val="both"/>
        <w:rPr/>
      </w:pPr>
      <w:r>
        <w:rPr>
          <w:rFonts w:eastAsia="Times New Roman" w:cs="Times New Roman" w:ascii="Times New Roman" w:hAnsi="Times New Roman"/>
          <w:color w:val="111111"/>
          <w:sz w:val="28"/>
          <w:szCs w:val="28"/>
          <w:lang w:val="en-US"/>
        </w:rPr>
        <w:t>Berbeda dengan pandangan Gholam Hosain Fayâdhi yang  menyatakan bahwa Allah juga memiliki mâhiyyah, tentu memiliki ke-  sinkhiyah-an dengan kepemiliki ilmu husuli bagi Allah. Dan ini, sekali  lagi, menunjukkan inkonsistensi Muhammad Taqi Misbah Yazdî yang  mendukung ashâlat al-wujûd versi Mullâ Hadi Sabzawârî, yang berlaku  hingga pra Fayadhi.</w:t>
      </w:r>
    </w:p>
    <w:p>
      <w:pPr>
        <w:pStyle w:val="BookText"/>
        <w:bidi w:val="0"/>
        <w:jc w:val="both"/>
        <w:rPr/>
      </w:pPr>
      <w:r>
        <w:rPr>
          <w:rFonts w:eastAsia="Times New Roman" w:cs="Times New Roman" w:ascii="Times New Roman" w:hAnsi="Times New Roman"/>
          <w:color w:val="111111"/>
          <w:sz w:val="28"/>
          <w:szCs w:val="28"/>
          <w:lang w:val="en-US"/>
        </w:rPr>
        <w:t>Dengan beberapa keberatan dan kritikan yang dipaparkan oleh  Gholam Husain Fayâdhi, maka menurut penulis, ashâlat al-wujûd Mullâ  Sadrâ yang didukung oleh Muhammad Taqi Misbâh Yazdî lebih tepat  jika diartikan dengan ashalat al kilaihima ma'an (kemendasaran wujud  dan mâhiyyah secara bersamaan). Namun demikian, ashalat kilaihima  ma'an yang beliau paparkan tidak berkonsekwensi dualisme eksistensi  seperti yang dipaparkan oleh Ahmad Ahsâî</w:t>
      </w:r>
      <w:r>
        <w:rPr>
          <w:rStyle w:val="FootnoteAnchor"/>
        </w:rPr>
        <w:footnoteReference w:id="2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Fayyadhi berpendapat bahwa wujud tidak akan merealisasi di  eksternal kecuali dengan mâhiyyah dan demikian sebaliknya. Karena  wujud kulli (mutlak) seperti kulli thabi'i yang tidak akan terealisasi  kecuali dengan afrad-nya.</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penelitian penulis, dalam buku-buku filsafat disebutkan  bahwa objek filsafat adalah wujud kulli (eksistensi universal), sedangkan  telah disepakati bahwa kullî adalah bagian dari konsep first intelligible  logic (ma`qûl tsanawi mantiqi), di mana dalam pendefinisiannya  "wujuduha wa ‘urudhuha dzihniyan”. Padahal predikasi kulli pada wujud </w:t>
      </w:r>
    </w:p>
    <w:p>
      <w:pPr>
        <w:pStyle w:val="BookText"/>
        <w:bidi w:val="0"/>
        <w:rPr/>
      </w:pPr>
      <w:r>
        <w:rPr>
          <w:rFonts w:eastAsia="Times New Roman" w:cs="Times New Roman" w:ascii="Times New Roman" w:hAnsi="Times New Roman"/>
          <w:color w:val="111111"/>
          <w:sz w:val="28"/>
          <w:szCs w:val="28"/>
          <w:lang w:val="en-US"/>
        </w:rPr>
        <w:t>yang menjadi objek filsafat tidaklah tepat, dan ini melanggar aturan yang  telah disepakati dalam filsafat al-Hikmah al-Muta’âliyah yaitu ashâlat  al-wujûd.</w:t>
      </w:r>
    </w:p>
    <w:p>
      <w:pPr>
        <w:pStyle w:val="BookText"/>
        <w:bidi w:val="0"/>
        <w:jc w:val="both"/>
        <w:rPr/>
      </w:pPr>
      <w:r>
        <w:rPr>
          <w:rFonts w:eastAsia="Times New Roman" w:cs="Times New Roman" w:ascii="Times New Roman" w:hAnsi="Times New Roman"/>
          <w:color w:val="111111"/>
          <w:sz w:val="28"/>
          <w:szCs w:val="28"/>
          <w:lang w:val="en-US"/>
        </w:rPr>
        <w:t>Karenanya, ini menjadi bukti bahwa wujud, dari sisi lain,  merupakan bagian dari konsep first intelligible filsufis, di mana dalam  pendefenisiannya adalah “wujuduha dzihnî wa ‘urudhuha khâriji”.</w:t>
      </w:r>
    </w:p>
    <w:p>
      <w:pPr>
        <w:pStyle w:val="BookText"/>
        <w:bidi w:val="0"/>
        <w:jc w:val="both"/>
        <w:rPr/>
      </w:pPr>
      <w:r>
        <w:rPr>
          <w:rFonts w:eastAsia="Times New Roman" w:cs="Times New Roman" w:ascii="Times New Roman" w:hAnsi="Times New Roman"/>
          <w:color w:val="111111"/>
          <w:sz w:val="28"/>
          <w:szCs w:val="28"/>
          <w:lang w:val="en-US"/>
        </w:rPr>
        <w:t>Artinya, predikasi kulli kepada objeknya, yaitu wujud, terlihat sangat  ganjil.</w:t>
      </w:r>
    </w:p>
    <w:p>
      <w:pPr>
        <w:pStyle w:val="BookText"/>
        <w:bidi w:val="0"/>
        <w:jc w:val="both"/>
        <w:rPr/>
      </w:pPr>
      <w:r>
        <w:rPr>
          <w:rFonts w:eastAsia="Times New Roman" w:cs="Times New Roman" w:ascii="Times New Roman" w:hAnsi="Times New Roman"/>
          <w:color w:val="111111"/>
          <w:sz w:val="28"/>
          <w:szCs w:val="28"/>
          <w:lang w:val="en-US"/>
        </w:rPr>
        <w:t>Selain itu, dalam pembahasan wujud dzihnî dalam bab nafs al-  amr dikatakan bahwa tolok ukur kebenaran adalah kesesuaian antara  dzihnî dengan khariji, namun ada suatu kejanggalan dalam pendapat  ashâlat al-wujûd, yaitu kesesuaian tersebut bersufat esensial (mâhawîî),  padahal mâhiyyah tidak diakui eksistensinya di alam eksternal oleh para  pendukung ashâlat al-wujûd.</w:t>
      </w:r>
    </w:p>
    <w:p>
      <w:pPr>
        <w:pStyle w:val="BookText"/>
        <w:bidi w:val="0"/>
        <w:jc w:val="both"/>
        <w:rPr/>
      </w:pPr>
      <w:r>
        <w:rPr>
          <w:rFonts w:eastAsia="Times New Roman" w:cs="Times New Roman" w:ascii="Times New Roman" w:hAnsi="Times New Roman"/>
          <w:color w:val="111111"/>
          <w:sz w:val="28"/>
          <w:szCs w:val="28"/>
          <w:lang w:val="en-US"/>
        </w:rPr>
        <w:t>Akhirnya, ashâlat al-wujûd dalam Hikmah Muta’aliyah yang  didukung oleh Muhammad Taqi Misbâh Yazdî, sebagaimana ditegaskan  oleh Gholam Husain Fayâdhi perlu dikoreksi secara fundamental.</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 demikian, kalangan filsuf penduikung ashâlat al-wujûd masih  berbeda pendapat tentang wujud yang disepakati sebagai ashîl, sejati, atau  mendasar itu; apakah sembarang wujud atau wujud tertentu. Muhammad  Taqi Misbâh Yazdî meyakini bahwa wujud sejati yang menjadi lawan  mâhiyyah hanyalah wujud mandiri saja (mahmûlî), sedangkan ‘wujud  bergantung' tidak tercakup di dalamnya. </w:t>
      </w:r>
      <w:r>
        <w:rPr>
          <w:rStyle w:val="FootnoteAnchor"/>
        </w:rPr>
        <w:footnoteReference w:id="281"/>
      </w:r>
      <w:r>
        <w:rPr>
          <w:rFonts w:eastAsia="Times New Roman" w:cs="Times New Roman" w:ascii="Times New Roman" w:hAnsi="Times New Roman"/>
          <w:color w:val="111111"/>
          <w:sz w:val="28"/>
          <w:szCs w:val="28"/>
          <w:lang w:val="en-US"/>
        </w:rPr>
        <w:t xml:space="preserve"> Sebaliknya, Jawadi Amoli beranggapan bahwa wujud dalam  permasalahan ini sekaligus mencakup keduanya (mandiri dan  bergantung). Menurutnya, wujud menjadi syarat bagi mâhiyyah ketika  menyandang predikat. Sedangkan Muhammad Taqi Misbâh Yazdî tidak  meyakini wujud sebagai syarat bagi mâhiyyah dalam predikasi primer  (haml awwali, yaitu proposisi yang bermuatan subjek dan objek yang  konseptual subjektif, haml mafhûm 'alâ al-mafhûm). Bahmanyâr (murid </w:t>
      </w:r>
      <w:bookmarkStart w:id="202" w:name="pg6424_45130"/>
    </w:p>
    <w:p>
      <w:pPr>
        <w:pStyle w:val="BookText"/>
        <w:bidi w:val="0"/>
        <w:rPr/>
      </w:pPr>
      <w:bookmarkEnd w:id="202"/>
      <w:r>
        <w:rPr>
          <w:rFonts w:eastAsia="Times New Roman" w:cs="Times New Roman" w:ascii="Times New Roman" w:hAnsi="Times New Roman"/>
          <w:color w:val="111111"/>
          <w:sz w:val="28"/>
          <w:szCs w:val="28"/>
          <w:lang w:val="en-US"/>
        </w:rPr>
        <w:t xml:space="preserve">Ibn Sina) memastikan bahwa penolakan terhadap kesejatian wujud  meniscayakan sikap agnosistik. </w:t>
      </w:r>
      <w:r>
        <w:rPr>
          <w:rStyle w:val="FootnoteAnchor"/>
        </w:rPr>
        <w:footnoteReference w:id="282"/>
      </w:r>
      <w:r>
        <w:rPr>
          <w:rFonts w:eastAsia="Times New Roman" w:cs="Times New Roman" w:ascii="Times New Roman" w:hAnsi="Times New Roman"/>
          <w:color w:val="111111"/>
          <w:sz w:val="28"/>
          <w:szCs w:val="28"/>
          <w:lang w:val="en-US"/>
        </w:rPr>
        <w:t xml:space="preserve"> Penjelasan tentang sikap Muhammad Taqî Misbâh Yazdî yang  mendukung prinsip ashâlat al-wujûd ini menjadi sangat penting untuk  memberi batasan bahwa gagasan-gagasan barunya tidak keluar dari  prinsip dan pakem filsafat Mullâ Sadrâ dan Thabâthabâ’i.</w:t>
      </w:r>
      <w:r>
        <w:rPr>
          <w:rStyle w:val="FootnoteAnchor"/>
        </w:rPr>
        <w:footnoteReference w:id="283"/>
      </w:r>
      <w:r>
        <w:rPr>
          <w:rFonts w:eastAsia="Times New Roman" w:cs="Times New Roman" w:ascii="Times New Roman" w:hAnsi="Times New Roman"/>
          <w:color w:val="111111"/>
          <w:sz w:val="28"/>
          <w:szCs w:val="28"/>
          <w:lang w:val="en-US"/>
        </w:rPr>
        <w:t xml:space="preserve"> Saat ditanya, apakahiajugameyakini ashâlat al-wujûdwaal-mâhiyyah  sekaligus, Muhammad Taqi Misbâh Yazdî bersikukuh mempertahankan  ashâlat al-wujûd. Boleh jadi, sikapnya ini demi menjauhkan atmosfer  filsafat di hawzah dari situasi kacau. Harus diakui, pandangan ashâlat  al-wujûd wa al-mâhiyyah bisa dianggap sebagai sebuah ancaman serius  terhadap bangunan megah filsafat Sadrâ yang berdiri di atas fondasi  ashâlat al-wujûd. </w:t>
      </w:r>
      <w:r>
        <w:rPr>
          <w:rStyle w:val="FootnoteAnchor"/>
        </w:rPr>
        <w:footnoteReference w:id="284"/>
      </w:r>
      <w:r>
        <w:rPr>
          <w:rFonts w:eastAsia="Times New Roman" w:cs="Times New Roman" w:ascii="Times New Roman" w:hAnsi="Times New Roman"/>
          <w:color w:val="111111"/>
          <w:sz w:val="28"/>
          <w:szCs w:val="28"/>
          <w:lang w:val="en-US"/>
        </w:rPr>
        <w:t xml:space="preserve"> Gholâm Fayyâdhî, salah satu murid Muhammad Taqi Misbah Yazdî,  malah menampilkan sejumlah keberatan jitu terhadap pandangan wujûd  dzihnî, bahkan terhadap isu utama dalam filsafat Mullâ Sadrâ, bahwa  wujûd dzihnî dengan pendekatan dan argumen-argumen pembuktiannya  adalah wacana yang selaras dengan prinisp kesejatian mahiyyah dan  wujud (dualisme)yang dianutnya. Ringkasnya, segala sesuatu mempunyai  keberadaan; objektif dan subjektif. Hanya saja, bedanya, entitas objektif  menyandang predikat-predikat material, seperti es objektif yang dingin,  sedangan es yang subjektif (eksis dalam benak) tidak dingin.</w:t>
      </w:r>
    </w:p>
    <w:p>
      <w:pPr>
        <w:pStyle w:val="Heading4"/>
        <w:numPr>
          <w:ilvl w:val="3"/>
          <w:numId w:val="1"/>
        </w:numPr>
        <w:bidi w:val="0"/>
        <w:jc w:val="left"/>
        <w:rPr/>
      </w:pPr>
      <w:bookmarkStart w:id="203" w:name="__RefHeading___Toc688665_653776707"/>
      <w:bookmarkStart w:id="204" w:name="_Toc72"/>
      <w:bookmarkEnd w:id="203"/>
      <w:r>
        <w:rPr/>
        <w:t>2. Wahdat al-Wujûd</w:t>
      </w:r>
      <w:bookmarkEnd w:id="20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diketahui, Mullâ Sadrâ berpendapat bahwa realitas  wujud berporos pada prinsip kesamaan dan kesatuan sekaligus prinsip  perbedaan. Dengan kata lain, realitas wujud yang berlainan itu satu  belaka. Namun perbedaan itu tidak meniscayakan ketersusunan sehingga </w:t>
      </w:r>
    </w:p>
    <w:p>
      <w:pPr>
        <w:pStyle w:val="BookText"/>
        <w:bidi w:val="0"/>
        <w:rPr/>
      </w:pPr>
      <w:r>
        <w:rPr>
          <w:rFonts w:eastAsia="Times New Roman" w:cs="Times New Roman" w:ascii="Times New Roman" w:hAnsi="Times New Roman"/>
          <w:color w:val="111111"/>
          <w:sz w:val="28"/>
          <w:szCs w:val="28"/>
          <w:lang w:val="en-US"/>
        </w:rPr>
        <w:t>tidak dapat diuraikan menjadi genus dan diferensia.</w:t>
      </w:r>
      <w:r>
        <w:rPr>
          <w:rStyle w:val="FootnoteAnchor"/>
        </w:rPr>
        <w:footnoteReference w:id="285"/>
      </w:r>
      <w:r>
        <w:rPr>
          <w:rFonts w:eastAsia="Times New Roman" w:cs="Times New Roman" w:ascii="Times New Roman" w:hAnsi="Times New Roman"/>
          <w:color w:val="111111"/>
          <w:sz w:val="28"/>
          <w:szCs w:val="28"/>
          <w:lang w:val="en-US"/>
        </w:rPr>
        <w:t>Perbedaan tersebut  hanya terjadi dalam hal intensitas dan gradasinya, sebagaimana lilin dan  lampu 500 wat atau sama-sama lampu namun kualitas pencahayaannya  berbeda-beda. Singkatnya, wujud yang satu dan sederhana itu bergradasi  atau bertingkat-tingkat.</w:t>
      </w:r>
      <w:r>
        <w:rPr>
          <w:rStyle w:val="FootnoteAnchor"/>
        </w:rPr>
        <w:footnoteReference w:id="286"/>
      </w:r>
      <w:r>
        <w:rPr>
          <w:rFonts w:eastAsia="Times New Roman" w:cs="Times New Roman" w:ascii="Times New Roman" w:hAnsi="Times New Roman"/>
          <w:color w:val="111111"/>
          <w:sz w:val="28"/>
          <w:szCs w:val="28"/>
          <w:lang w:val="en-US"/>
        </w:rPr>
        <w:t xml:space="preserve"> Mullâ Sadrâ menganggap kesatuan (wahdah) sebagai pasangan  intim ke-ada-an, sehingga setiap kali terdapat kesatuan, niscaya terdapat  pula wujud, begitu pula sebaliknya. Keduanya sama belaka dalam hal  keberlakuan atas entitas-entitas objektifnya, sehingga bila kualitas  wujud sesuatu lemah, maka kesatuannya juga akan melemah; dan bila  kesatuannya lemah, maka ke-ada-annya juga lemah.</w:t>
      </w:r>
      <w:r>
        <w:rPr>
          <w:rStyle w:val="FootnoteAnchor"/>
        </w:rPr>
        <w:footnoteReference w:id="287"/>
      </w:r>
      <w:r>
        <w:rPr>
          <w:rFonts w:eastAsia="Times New Roman" w:cs="Times New Roman" w:ascii="Times New Roman" w:hAnsi="Times New Roman"/>
          <w:color w:val="111111"/>
          <w:sz w:val="28"/>
          <w:szCs w:val="28"/>
          <w:lang w:val="en-US"/>
        </w:rPr>
        <w:t xml:space="preserve"> Kali ini, Mullâ Sadrâ berseberangan dengan Ibn Sina. Ia, se-  bagaimana kaum iluminasionis dan ‘urafâ, mendukung prinsip kesatu-  an wujud, meski berbeda dalam detailnya. Mullâ Sadrâ mengemukakan  teori al-wahdah fi 'ain al-katsrah, yaitu bahwa hakikat-hakikat wujud  ‘ainî mempunyai kesekutuan dan kesatuan yang berbeda-beda. Dengan  kata lain, wujud hanyalah sebuah hakikat. Namun dalam kesatuan terse-  but, terdapat keragaman. Teori ini mengacu pada pendapat Mullâ Sadrâ  tentang pembagian wujud; mandiri (mustaqil) dan bergantung (râbith).</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isu kesatuan seluruh maujud, termasuk zat kudus Allah, per-  tama-tama Muhammad Taqi Misbah Yazdî mengggelar pendapatpendapat  populer dalam khazanah filsafat Islam, sebelum mengungkapkan </w:t>
      </w:r>
    </w:p>
    <w:p>
      <w:pPr>
        <w:pStyle w:val="BookText"/>
        <w:bidi w:val="0"/>
        <w:rPr/>
      </w:pPr>
      <w:r>
        <w:rPr>
          <w:rFonts w:eastAsia="Times New Roman" w:cs="Times New Roman" w:ascii="Times New Roman" w:hAnsi="Times New Roman"/>
          <w:color w:val="111111"/>
          <w:sz w:val="28"/>
          <w:szCs w:val="28"/>
          <w:lang w:val="en-US"/>
        </w:rPr>
        <w:t>pilihannya.</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Pertama adalah pendapat kalangan sufi yang meyakini bahwa wujud  hakiki terbatas pada zat suci Tuhan dan bahwa semua maujud lain  hanya memiliki wujud metaforis. Pendapat ini dikenal dengan ‘wahdat  al-wujûd wa al-maujûď (kesatuan wujud dan maujud). Pendapat ini  memang tampak bertentangan dengan apa yang jelas dan (dinyatakan  oleh) kesadaran. Akan tetapi, pendapat ini masih mungkin ditafsirkan  dalam bentuk pendapat keempat yang akan kita sebutkan di bawah.</w:t>
      </w:r>
      <w:r>
        <w:rPr>
          <w:rStyle w:val="FootnoteAnchor"/>
        </w:rPr>
        <w:footnoteReference w:id="288"/>
      </w:r>
      <w:r>
        <w:rPr>
          <w:rFonts w:eastAsia="Times New Roman" w:cs="Times New Roman" w:ascii="Times New Roman" w:hAnsi="Times New Roman"/>
          <w:color w:val="111111"/>
          <w:sz w:val="28"/>
          <w:szCs w:val="28"/>
          <w:lang w:val="en-US"/>
        </w:rPr>
        <w:t xml:space="preserve"> Kedua adalah pendapat Dawâni yang menyatakan bahwa kesatuan  adalah keharusan 'pembawaan Ilahi' (divine temperament). dikenal  dengan nama 'wahdat al-wujûd wa katsrat al-maujûd (kesatuan  wujud dan keberagaman maujud). Menurut pendapat ini, wujud  hakiki hanya khusus buat Tuhan, sedangkan maujud hakiki mencakup  segenap makhluk. Maujud hakiki dalam konteks makhluk bermakna  ‘terhubungkan kepada wujud hakiki', dan bukan memiliki wujud  hakiki.’ Sebagian iktibar (morfologis) juga bermakna begitu, seperti kata  ‘tâmir' yang berakar pada kata 'tamr' (kurma) berarti 'penjual kurma? </w:t>
      </w:r>
    </w:p>
    <w:p>
      <w:pPr>
        <w:pStyle w:val="BookText"/>
        <w:bidi w:val="0"/>
        <w:rPr/>
      </w:pPr>
      <w:r>
        <w:rPr>
          <w:rFonts w:eastAsia="Times New Roman" w:cs="Times New Roman" w:ascii="Times New Roman" w:hAnsi="Times New Roman"/>
          <w:color w:val="111111"/>
          <w:sz w:val="28"/>
          <w:szCs w:val="28"/>
          <w:lang w:val="en-US"/>
        </w:rPr>
        <w:t>atau ‘terhubungkan dengan kurma'. Demikian pula halnya dengan kata  musyammas' yang berakar pada kata 'syams' (matahari) berarti 'benda  yang tersinari cahaya matahari, sehingga antara matahari dan benda itu  terjalin hubungan tertentu.</w:t>
      </w:r>
      <w:r>
        <w:rPr>
          <w:rStyle w:val="FootnoteAnchor"/>
        </w:rPr>
        <w:footnoteReference w:id="289"/>
      </w:r>
      <w:r>
        <w:rPr>
          <w:rFonts w:eastAsia="Times New Roman" w:cs="Times New Roman" w:ascii="Times New Roman" w:hAnsi="Times New Roman"/>
          <w:color w:val="111111"/>
          <w:sz w:val="28"/>
          <w:szCs w:val="28"/>
          <w:lang w:val="en-US"/>
        </w:rPr>
        <w:t xml:space="preserve"> Menurut Muhammad Taqi Misbâh Yazdî, pendapat ini juga tidak  bisa diterima. Karena, meskipun faktanya kata 'tâmir' dan 'musyammas'  bisa berhubungan dengan penjualan kurma dan penyinaran matahari,  pendapat ini berimplikasi bahwa istilah maujûd mempunyai dua makna  yang berbeda dan melibatkan semacam ambiguitas. Dan karena wujûd  tidak ambigu, maka ambiguitas maujûd pun tidak bisa diterima. Lagi  pula, pendapat ini juga berdasarkan pada kemendasaran mahiyyah yang  telah dipastikan invaliditasnya.</w:t>
      </w:r>
    </w:p>
    <w:p>
      <w:pPr>
        <w:pStyle w:val="BookText"/>
        <w:bidi w:val="0"/>
        <w:jc w:val="both"/>
        <w:rPr/>
      </w:pPr>
      <w:r>
        <w:rPr>
          <w:rFonts w:eastAsia="Times New Roman" w:cs="Times New Roman" w:ascii="Times New Roman" w:hAnsi="Times New Roman"/>
          <w:color w:val="111111"/>
          <w:sz w:val="28"/>
          <w:szCs w:val="28"/>
          <w:lang w:val="en-US"/>
        </w:rPr>
        <w:t>Ketiga adalah pendapat kalangan Peripatetik, dan dikenal dengan  sebutan “katsrat al-wujûd wa al-maujûď (keberagaman wujud dan  maujud). Menurut pendapat ini, keberagaman maujud adalah sesuatu  yang tak bisa diingkari, dan pastinya masing-masing maujud itu  memiliki wujud yang khas baginya. Dan karena wujud adalah realitas  yang sederhana, maka tiap wujud akan berbeda sama-sekali (bi tamâm  al-dzât) dengan semua wujud lainnya.</w:t>
      </w:r>
    </w:p>
    <w:p>
      <w:pPr>
        <w:pStyle w:val="BookText"/>
        <w:bidi w:val="0"/>
        <w:jc w:val="both"/>
        <w:rPr/>
      </w:pPr>
      <w:r>
        <w:rPr>
          <w:rFonts w:eastAsia="Times New Roman" w:cs="Times New Roman" w:ascii="Times New Roman" w:hAnsi="Times New Roman"/>
          <w:color w:val="111111"/>
          <w:sz w:val="28"/>
          <w:szCs w:val="28"/>
          <w:lang w:val="en-US"/>
        </w:rPr>
        <w:t>Pada pendukung pendapat ini mengajukan dalil sebagai berikut: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individu-individu wujud pasti merupakan salah satu dari tiga keadaan  berikut, (i) mereka adalah individu sejati yang manunggal, layaknya  individu dari suatu spesies; (ii) mereka adalah beragam spesies dari satu  genus, layaknya partisipasi beragam spesies binatang dalam satu genus </w:t>
      </w:r>
    </w:p>
    <w:p>
      <w:pPr>
        <w:pStyle w:val="BookText"/>
        <w:bidi w:val="0"/>
        <w:rPr/>
      </w:pPr>
      <w:r>
        <w:rPr>
          <w:rFonts w:eastAsia="Times New Roman" w:cs="Times New Roman" w:ascii="Times New Roman" w:hAnsi="Times New Roman"/>
          <w:color w:val="111111"/>
          <w:sz w:val="28"/>
          <w:szCs w:val="28"/>
          <w:lang w:val="en-US"/>
        </w:rPr>
        <w:t>binatang; (iii) mereka sama sekali tidak memiliki kesamaan, dan mereka  secara esensial saling berbeda. Alternatif ketiga ini bersesuaian dengan  pendapat ketiga (di atas) yang masih dipertimbangkan. Bila dua alternatif  pertama gugur, maka alternatif ketiga terisbatkan.</w:t>
      </w:r>
    </w:p>
    <w:p>
      <w:pPr>
        <w:pStyle w:val="BookText"/>
        <w:bidi w:val="0"/>
        <w:jc w:val="both"/>
        <w:rPr/>
      </w:pPr>
      <w:r>
        <w:rPr>
          <w:rFonts w:eastAsia="Times New Roman" w:cs="Times New Roman" w:ascii="Times New Roman" w:hAnsi="Times New Roman"/>
          <w:color w:val="111111"/>
          <w:sz w:val="28"/>
          <w:szCs w:val="28"/>
          <w:lang w:val="en-US"/>
        </w:rPr>
        <w:t>Muhammad Taqi Misbah Yazdî menganggap pendapat di atas sebagai  invalid. Lantaran pendapat ini, menurutnya, meniscayakan realitas wujud  terdiri atas aspek kesamaan (common aspect), yakni terdiri atas genus  dan pembeda, yang tegas-tegas bertentangan dengan kesederhanaan  realitas wujud itu sendiri. Dan ini kembali lagi ke kaidah bahwa aspek  kesamaan (semua maujud) itu sebenarnya adalah wujud itu sendiri;  dengan ditambahkannya sesuatu lain padanya, ia mengambil bentuk  dalam beragam spesies. Akan tetapi, sesuai prinsip ashâlat al-wujûd,  di alam maujud, tidak ada sesuatu selain wujud yang bisa ditambahkan  pada wujud dan menjadi aspek pembedanya yang menjelma.</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hipotesis Muhammad Taqi Misbâh Yazdî, jika diandaikan  adanya aspek kesamaan di antara maujud-maujud yang menjelma, maka  aspek itu pastilah merupakan kesamaan lengkap yang bermakna bahwa  wujud memiliki suatu mâhiyyah spesifik dan memiliki banyak individu,  atau aspek itu merupakan kesamaan parsial yang berarti bahwa wujud  memiliki mâhiyyah generik dan memiliki sejumlah spesies. Namun,  kedua-dua pengandaian tersebut tidak sahih. Maka itu, tidak ada pilihan  lain kecuali mengakui bahwa semua wujud yang menjelma berbeda-  beda satu dan lainnya secara menyeluruh (completely distinct). Akan  tetapi, dalil ini tidaklah sempurna, lantaran alternatif segitiga yang kita  asumsikan berkenaan dengan realitas wujud yang menjelma di atas  dipinjam dari prinsip-prinsip yang mengatur mâhiyyah. Dengan menolak  bahwa wujud terdiri atas genus dan pembeda dan dengan menolak bahwa  wujud terdiri atas sifat spesifik dan aksiden-aksiden pengindividuasi,  mereka mencoba mengisbatkan distingsi esensial di antara wujud, seperti  distingsi antar mâhiyyah-mâhiyyah sederhana. Padahal, kesamaan antar  wujud dalam realitas wujud tidak seperti kesamaan genus atau spesies,  sebagaimana distingsi mereka tidak seperti distingsi spesies-spesies (atau </w:t>
      </w:r>
    </w:p>
    <w:p>
      <w:pPr>
        <w:pStyle w:val="BookText"/>
        <w:bidi w:val="0"/>
        <w:rPr/>
      </w:pPr>
      <w:r>
        <w:rPr>
          <w:rFonts w:eastAsia="Times New Roman" w:cs="Times New Roman" w:ascii="Times New Roman" w:hAnsi="Times New Roman"/>
          <w:color w:val="111111"/>
          <w:sz w:val="28"/>
          <w:szCs w:val="28"/>
          <w:lang w:val="en-US"/>
        </w:rPr>
        <w:t>mâhiyyah-mâhiyyah) sederhana.</w:t>
      </w:r>
    </w:p>
    <w:p>
      <w:pPr>
        <w:pStyle w:val="BookText"/>
        <w:bidi w:val="0"/>
        <w:jc w:val="both"/>
        <w:rPr/>
      </w:pPr>
      <w:r>
        <w:rPr>
          <w:rFonts w:eastAsia="Times New Roman" w:cs="Times New Roman" w:ascii="Times New Roman" w:hAnsi="Times New Roman"/>
          <w:color w:val="111111"/>
          <w:sz w:val="28"/>
          <w:szCs w:val="28"/>
          <w:lang w:val="en-US"/>
        </w:rPr>
        <w:t>Argumen di atas tidak bisa menafikan kopartisipasi(co-participation)  wujud-wujud yang menjelma dalam bentuk yang berlainan dengan  kesamaan genus dan spesies. Nanti akan menjadi jelas bahwa terdapat  corak lain kesatuan dan kesamaan yang bisa dibuktikan bagi wujud-  wujud yang menjelma.</w:t>
      </w:r>
    </w:p>
    <w:p>
      <w:pPr>
        <w:pStyle w:val="BookText"/>
        <w:bidi w:val="0"/>
        <w:jc w:val="both"/>
        <w:rPr/>
      </w:pPr>
      <w:r>
        <w:rPr>
          <w:rFonts w:eastAsia="Times New Roman" w:cs="Times New Roman" w:ascii="Times New Roman" w:hAnsi="Times New Roman"/>
          <w:color w:val="111111"/>
          <w:sz w:val="28"/>
          <w:szCs w:val="28"/>
          <w:lang w:val="en-US"/>
        </w:rPr>
        <w:t xml:space="preserve">Keempat adalah pendapat yang dialamatkan oleh Mullâ Sadrâ  kepada para filsuf Iran kuno, yakni pendapat yang dikenal dengan  nama ‘jill ju sjösa ell /al-wahdah fi 'ain al-katsrah' (kesatuan dalam  keberagaman itu sendiri). Menurut pandangan ini, realitas-realitas wujud  yang menjelma memiliki kesatuan dan kesamaan sekaligus memiliki  perbedaan dan distingsi. Akan tetapi, aspek kesamaan dan aspek  perbedaannya tidak sedemikian rupa sehingga mengakibatkan susunan  atau komposisi pada wujud yang menjelma atau membuatnya bisa  dianalisis menjadi genus dan pembeda. Sebaliknya, perbedaan mereka  berasal dari kelemahan dan kekuatan, laksana perbedaan antara cahaya  lampu yang kuat dan yang lemah, dimana kelemahan dan kekuatan ini  bukanlah sesuatu di luar cahaya itu sendiri. Cahaya yang kuat (A) adalah  cahaya, sebagaimana cahaya lemah (B) juga adalah cahaya. Pada saat  yang bersamaan, perbedaan antara (A) dan (B) terletak pada derajat  kekuatan dan kelemahannya. Namun demikian, perbedaan derajat itu  tidak mengganggu kesederhanaan hakikat cahaya yang mencakup semua  anggotanya. Dengan kata lain, wujud-wujud yang menjelma memiliki  perbedaan yang bergraduasi, dan sisi yang membedakan mereka datang  dari sisi kesamaan mereka. </w:t>
      </w:r>
      <w:r>
        <w:rPr>
          <w:rStyle w:val="FootnoteAnchor"/>
        </w:rPr>
        <w:footnoteReference w:id="290"/>
      </w:r>
      <w:r>
        <w:rPr>
          <w:rFonts w:eastAsia="Times New Roman" w:cs="Times New Roman" w:ascii="Times New Roman" w:hAnsi="Times New Roman"/>
          <w:color w:val="111111"/>
          <w:sz w:val="28"/>
          <w:szCs w:val="28"/>
          <w:lang w:val="en-US"/>
        </w:rPr>
        <w:t xml:space="preserve"> Bagaimanapun, pendapat di atas bisa ditafsirkan dalam dua pola:</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perbedaan pada tingkat wujud antara satu wujud dan wujud lain,  yang juga terjadi antar-individu satu mâhiyyah atau beberapa mâhiyyah  yang berada pada tingkat horizontal yang sama; kedua, perbedaan tingkat </w:t>
      </w:r>
    </w:p>
    <w:p>
      <w:pPr>
        <w:pStyle w:val="BookText"/>
        <w:bidi w:val="0"/>
        <w:rPr/>
      </w:pPr>
      <w:r>
        <w:rPr>
          <w:rFonts w:eastAsia="Times New Roman" w:cs="Times New Roman" w:ascii="Times New Roman" w:hAnsi="Times New Roman"/>
          <w:color w:val="111111"/>
          <w:sz w:val="28"/>
          <w:szCs w:val="28"/>
          <w:lang w:val="en-US"/>
        </w:rPr>
        <w:t>yang hanya terjadi antara sebab dan akibat. Dan karena semua maujud  secara langsung maupun tidak merupakan akibat Tuhan Mahatinggi,  maka alam maujud terdiri atas wujud yang secara mutlak mandiri dan  wujud-wujud yang secara relatif bergantung pada selainnya, dan setiap  sebab memiliki kemandirian relatif dari akibatnya, sehingga sebab lebih  sempurna daripada akibatnya dan berada di tingkat wujud yang lebih  tinggi. Akibat-akibat yang berada pada tingkat horizontal setara dan  tidak memiliki hubungan sebab-akibat antar-mereka, tidak memiliki  sifat kegradualan dan dari satu sudut-pandang mereka secara esensial  dianggap berbeda.</w:t>
      </w:r>
    </w:p>
    <w:p>
      <w:pPr>
        <w:pStyle w:val="BookText"/>
        <w:bidi w:val="0"/>
        <w:jc w:val="both"/>
        <w:rPr/>
      </w:pPr>
      <w:r>
        <w:rPr>
          <w:rFonts w:eastAsia="Times New Roman" w:cs="Times New Roman" w:ascii="Times New Roman" w:hAnsi="Times New Roman"/>
          <w:color w:val="111111"/>
          <w:sz w:val="28"/>
          <w:szCs w:val="28"/>
          <w:lang w:val="en-US"/>
        </w:rPr>
        <w:t>Penafsiran pertama agaknya memang jauh panggang dari api dan  tidak bisa diterima, meskipun ia diisyaratkan oleh Mullâ Sadrâ dan  para pengikutnya di beberapa tempat. Perlu dicatat bahwa Mullâ Sadra  menasfirkan kata-kata para arif dan peneliti sufi dalam pengertian di atas,  dan menganggap maksud ungkapan para sufi tentang ‘maujud dan wujud  hakiki' sebagai maujud dan wujud yang mutlak dan mandiri, sedangkan  ungkapan ‘maujud dan wujud kiasan (majasi)' sebagai maujud dan wujud  bergantung, relatif dan berpijak pada selain dirinya.</w:t>
      </w:r>
    </w:p>
    <w:p>
      <w:pPr>
        <w:pStyle w:val="BookText"/>
        <w:bidi w:val="0"/>
        <w:jc w:val="both"/>
        <w:rPr/>
      </w:pPr>
      <w:r>
        <w:rPr>
          <w:rFonts w:eastAsia="Times New Roman" w:cs="Times New Roman" w:ascii="Times New Roman" w:hAnsi="Times New Roman"/>
          <w:color w:val="111111"/>
          <w:sz w:val="28"/>
          <w:szCs w:val="28"/>
          <w:lang w:val="en-US"/>
        </w:rPr>
        <w:t>Meski menyatakan keberatan terhadap pandangan Mulla Sadrâ diatas,  Muhammad Taqi Mishbâh Yazdî berusaha untuk mengembangkannya  dengan mengajukan dua corak dalil yang bisa diajukan berkenaan  dengan derajat wujud yang bergradasi. Salah alah satunya sesuai dengan  penafsiran pertama (yang telah disebutkan di atas) dan yang kedua sesuai  dengan penafsiran kedua. Dalil pertama diajukan oleh Mullâ Sadrâ dan  para pengikutnya dalam pokok masalah ini, dan dalil kedua diambil dari  penjelasan mereka tentang sebab dan akibat.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Dalil pertama, pada kenyataannya, mengarah pada afirmasi (itsbât,  establishment) sesuatu menjelma yang merupakan sumber kesamaan  segenap realitas objektif. Hal ini bisa dijelaskan sebagai bermakna  bahwa pendapat keempat terbagi menjadi dua kasus: pertama ialah  bahwa multiplisitas dikenakan kepada wujud-wujud objektif dan secara  pasti wujud-wujud ini berbeda-beda di antara mereka; kasus kedua ialah </w:t>
      </w:r>
    </w:p>
    <w:p>
      <w:pPr>
        <w:pStyle w:val="BookText"/>
        <w:bidi w:val="0"/>
        <w:rPr/>
      </w:pPr>
      <w:r>
        <w:rPr>
          <w:rFonts w:eastAsia="Times New Roman" w:cs="Times New Roman" w:ascii="Times New Roman" w:hAnsi="Times New Roman"/>
          <w:color w:val="111111"/>
          <w:sz w:val="28"/>
          <w:szCs w:val="28"/>
          <w:lang w:val="en-US"/>
        </w:rPr>
        <w:t>bahwa titik atau segi yang membedakan mereka sama persis dengan segi  kesamaan. Dalam multiplisitas mereka itu terdapat segi kesatuan dan  kesamaan yang sejalan dengan simplisitas dan multiplisitas mereka. Dan  mengingat kasus pertama dianggap badîhî dan tak-terbantahkan, mereka  berupaya untuk mengisbatkan kebenaran kasus kedua.</w:t>
      </w:r>
    </w:p>
    <w:p>
      <w:pPr>
        <w:pStyle w:val="BookText"/>
        <w:bidi w:val="0"/>
        <w:jc w:val="both"/>
        <w:rPr/>
      </w:pPr>
      <w:r>
        <w:rPr>
          <w:rFonts w:eastAsia="Times New Roman" w:cs="Times New Roman" w:ascii="Times New Roman" w:hAnsi="Times New Roman"/>
          <w:color w:val="111111"/>
          <w:sz w:val="28"/>
          <w:szCs w:val="28"/>
          <w:lang w:val="en-US"/>
        </w:rPr>
        <w:t>Dalil ini tersusun dalam pola berikut: dari semua realitas yang  menjelma, satu konsep tunggal yang tidak lain adalah konsep wujud  dapat diabstraksikan. Abstraksi konsep tunggal dari beragam realitas  adalah bukti bahwa di situ terdapat (hakikat) menjelma yang menjadi  (segi) kesamaan mereka dan sumber abstraksi konsep tunggal ini. Bila  tidak terdapat segi pemersatu di antara semua wujud objektif, maka  konsep tunggal seperti itu tidak akan mungkin diabstraksikan.</w:t>
      </w:r>
    </w:p>
    <w:p>
      <w:pPr>
        <w:pStyle w:val="BookText"/>
        <w:bidi w:val="0"/>
        <w:jc w:val="both"/>
        <w:rPr/>
      </w:pPr>
      <w:r>
        <w:rPr>
          <w:rFonts w:eastAsia="Times New Roman" w:cs="Times New Roman" w:ascii="Times New Roman" w:hAnsi="Times New Roman"/>
          <w:color w:val="111111"/>
          <w:sz w:val="28"/>
          <w:szCs w:val="28"/>
          <w:lang w:val="en-US"/>
        </w:rPr>
        <w:t>Dalil ini sendiri berpijak pada dua premis: pertama, konsep wujud  merupakan konsep univokal yang tunggal; kedua, abstraksi konsep  tunggal dari hal-hal yang berbilang menunjukkan adanya satu segi  kesamaan di antara mereka. Alasannya, bilamana pengabstraksian  satu konsep tunggal tidak meniscayakan segi kesamaan, artinya  pengabstraksian itu berlangsung tanpa kriteria sehingga segala macam  konsep bisa diabstraksikan dari segala macam hlm Tetapi, kebatilan  asumsi yang disebut belakangan ini nyata adanya.</w:t>
      </w:r>
    </w:p>
    <w:p>
      <w:pPr>
        <w:pStyle w:val="BookText"/>
        <w:bidi w:val="0"/>
        <w:jc w:val="both"/>
        <w:rPr/>
      </w:pPr>
      <w:r>
        <w:rPr>
          <w:rFonts w:eastAsia="Times New Roman" w:cs="Times New Roman" w:ascii="Times New Roman" w:hAnsi="Times New Roman"/>
          <w:color w:val="111111"/>
          <w:sz w:val="28"/>
          <w:szCs w:val="28"/>
          <w:lang w:val="en-US"/>
        </w:rPr>
        <w:t>Dari sini Muhammad Taqi Misbah Yazdî menyimpulkan bahwa  semua wujud yang menjelma memiliki segi kesamaan objektif yang sama.</w:t>
      </w:r>
    </w:p>
    <w:p>
      <w:pPr>
        <w:pStyle w:val="BookText"/>
        <w:bidi w:val="0"/>
        <w:jc w:val="both"/>
        <w:rPr/>
      </w:pPr>
      <w:r>
        <w:rPr>
          <w:rFonts w:eastAsia="Times New Roman" w:cs="Times New Roman" w:ascii="Times New Roman" w:hAnsi="Times New Roman"/>
          <w:color w:val="111111"/>
          <w:sz w:val="28"/>
          <w:szCs w:val="28"/>
          <w:lang w:val="en-US"/>
        </w:rPr>
        <w:t>Lantas satu premis lain ditambahkan, yakni bahwa wujud yang menjelma  bersifat sederhana dan hanya memiliki satu segi yang menjelma. Wujud  tidak bisa dianggap terdiri atas dua aspek yang berbeda. Jadi, aspek  distingtif segenap wujud yang menjelma pastilah tidak bertabrakan  dengan aspek kesatuan dan persamaan di antara mereka. Dengan  demikian, perbedaan antar-wujud bersifat gradasional/meningkat (SIS.</w:t>
      </w:r>
    </w:p>
    <w:p>
      <w:pPr>
        <w:pStyle w:val="BookText"/>
        <w:bidi w:val="0"/>
        <w:jc w:val="both"/>
        <w:rPr/>
      </w:pPr>
      <w:r>
        <w:rPr>
          <w:rFonts w:eastAsia="Times New Roman" w:cs="Times New Roman" w:ascii="Times New Roman" w:hAnsi="Times New Roman"/>
          <w:color w:val="111111"/>
          <w:sz w:val="28"/>
          <w:szCs w:val="28"/>
          <w:lang w:val="en-US"/>
        </w:rPr>
        <w:t>/ tasykîkî) dan menunjukkan ragam aras satu realitas/hakikat tunggal.</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Muhammad Taqi Misbâh Yazdî menganggap dalil  di atas masih belum kuat dan bisa diperdebatkan. Menurutnya,  kesatuan dan keberagaman universalia-universalia sekunder (maʼqûlât </w:t>
      </w:r>
    </w:p>
    <w:p>
      <w:pPr>
        <w:pStyle w:val="BookText"/>
        <w:bidi w:val="0"/>
        <w:rPr/>
      </w:pPr>
      <w:r>
        <w:rPr>
          <w:rFonts w:eastAsia="Times New Roman" w:cs="Times New Roman" w:ascii="Times New Roman" w:hAnsi="Times New Roman"/>
          <w:color w:val="111111"/>
          <w:sz w:val="28"/>
          <w:szCs w:val="28"/>
          <w:lang w:val="en-US"/>
        </w:rPr>
        <w:t>tsnâw awiyyah) bukanlah alasan tegas bagi kesatuan dan keberagaman  aspek-aspek objektif yang menjelma; melainkan ia bersesuaian dengan  kesatuan dan keragaman sudut-pandang yang diambil oleh akal saat  mengabstraksi konsep-konsep ini. Seringkali akal mengabstraksi banyak  konsep dari satu realitas sederhana, seperti dari Dzat Ilahi yang suci,  akal dapat mengabstraksi konsep wujud, pengetahuan, kekuasaan dan  kehidupan, padahal tidak terbayangkan terdapat multiplisitas dan  pluralitas aspek yang menjelma pada tingkat (Wujud) yang tinggi seperti  itu. Dan betapa seringnya akal melihat hakikat-hakikat yang berbeda  dari satu sudut-pandang dan mengabstraksi dari semua itu sebuab  konsep tunggal, seperti konsep satu yang diabstraksi dari beraneka  macam hakikat objektif. Konsep wujud dan maujûd pun begitu adanya,  seperti juga pengabstraksian konsep aksiden dari sembilan kategori;  dan pengabstraksian konsep mâhiyyah, kategori, genus tertinggi dari  kesepuluh kategori tersebut—kendati Mullâ Sadrâ menyatakan bahwa  semua itu tidak memiliki sisi kesamaan. Karenanya, kesatuan konsep-  konsep itu hanya memperlihatkan kesatuan sudut-pandang akal saat  mengabstraksikan mereka dan bukan kesatuan segi objektif yang umum  pada mereka (common among them). Sekiranya aspek semacam itu  memang benar-benar ada, maka ia mesti dibuktikan dengan cara yang  berbeda.</w:t>
      </w:r>
    </w:p>
    <w:p>
      <w:pPr>
        <w:pStyle w:val="BookText"/>
        <w:bidi w:val="0"/>
        <w:jc w:val="both"/>
        <w:rPr/>
      </w:pPr>
      <w:r>
        <w:rPr>
          <w:rFonts w:eastAsia="Times New Roman" w:cs="Times New Roman" w:ascii="Times New Roman" w:hAnsi="Times New Roman"/>
          <w:color w:val="111111"/>
          <w:sz w:val="28"/>
          <w:szCs w:val="28"/>
          <w:lang w:val="en-US"/>
        </w:rPr>
        <w:t>Selanjutnya Muhammad Taqi Mishbâh Yazdî membahas dalil kedua.</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Dalil kedua terdiri atas dua premis. Premis pertama kita ialah bahwa  terdapat hubungan sebab dan akibat dalam segenap maujud, dan tidak  ada maujud yang berdiri di luar matarantai sebab dan akibat. Tentu saja,  di pangkal matarantai ini terdapat maujud yang hanya menyandang  ke-sebab-an (aulell atau causehood), sementara di ujung matarantai ini  terdapat maujud yang hanya menyandang ke-akibat-an (@bebeall atau  effecthood). Akan tetapi, bagaimanapun juga, tidak ada maujud yang tidak  berhubungan sebab dan akibat dengan maujud lain sehingga ia bukan  merupakan sebab untuk sesuatu dan bukan pula akibat dari sesuatu. </w:t>
      </w:r>
    </w:p>
    <w:p>
      <w:pPr>
        <w:pStyle w:val="BookText"/>
        <w:bidi w:val="0"/>
        <w:rPr/>
      </w:pPr>
      <w:r>
        <w:rPr>
          <w:rFonts w:eastAsia="Times New Roman" w:cs="Times New Roman" w:ascii="Times New Roman" w:hAnsi="Times New Roman"/>
          <w:color w:val="111111"/>
          <w:sz w:val="28"/>
          <w:szCs w:val="28"/>
          <w:lang w:val="en-US"/>
        </w:rPr>
        <w:t>Premis kedua kita adalah bahwa wujud suatu akibat yang menjelma  tidaklah terpisah dari wujud sebab yang mewujudkannya. Tidaklah benar  bahwa keduanya memiliki wujud yang mandiri, dan bahwa keduanya  terjalin oleh hubungan dari luar wujud mereka; sebaliknya, wujud akibat  sedikitpun tidak terpisah dari wujud sebab yang mewujudkannya. Dengan  kata lain, akibat adalah hubungan dan kebergantungan pada sebab itu  sendiri dan bukan merupakan hal terpisah yang 'berhubungan dengan  sebab, sebagaimana bisa kita tilik dalam hubungan antara kehendak dan  jiwa. Inilah kaidah filsafat paling dahsyat yang telah dikukuhkan oleh  Mullâ Sadra. Dengan kaidah ini dia telah menyediakan solusi bagi  seabrek kepelikan filsufis. Memang, kaidah ini mesti dianggap sebagai  buah filsafat Islam yang paling berharga dan paling bermutu.</w:t>
      </w:r>
    </w:p>
    <w:p>
      <w:pPr>
        <w:pStyle w:val="BookText"/>
        <w:bidi w:val="0"/>
        <w:jc w:val="both"/>
        <w:rPr/>
      </w:pPr>
      <w:r>
        <w:rPr>
          <w:rFonts w:eastAsia="Times New Roman" w:cs="Times New Roman" w:ascii="Times New Roman" w:hAnsi="Times New Roman"/>
          <w:color w:val="111111"/>
          <w:sz w:val="28"/>
          <w:szCs w:val="28"/>
          <w:lang w:val="en-US"/>
        </w:rPr>
        <w:t>Dengan menggabungkan dua premis itu, Muhammad Taqi Misbah  Yazdî menggiring kita kepada sebuah kesimpulan yang berbeda dengan  wahdat al-wujud Mullâ Sadrâ, bahwa wahdat al-wujûd tidak lain adalah  hubungan wujud seluruh akibat pada sebab yang mewujudkannya, dan  pada akhirnya pada Maujud Ilahi yang Mahakudus, sebagai Sumber  seluruh wujud selain Diri-Nya. Artinya kesatuan wujud tidak lain daripada  kebergantungan itu sendiri. Semua makhluk adalah manifestasi wujud  ilahi. Selaras dengan tingkat masing-masing, mereka memiliki (derajat)  kekuatan dan kelemahan, prioritas dan posterioritas, dan sebagian mereka  relatif independen dari sebagian lain; tetapi independensi mutlak hanya  untuk Dzat Ilahi yang Mahakudus.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Seluruh maujud terdiri atas matarantai wujud yang menjelma,  dimana kekuatan (qiwâm) tiap matarantai, lebih terbatas dan lebih lemah  dibandingkan dengan yang di atasnya. Kelemahan dan keterbatasan inilah  yang menjadi kriteria suatu akibat. (Matarantai ini terus bersambung ke  atas) hingga mencapai sumber wujud yang memiliki intensitas wujud  yang tak-berhingga dan yang melampaui semua aras kontingensi serta  melestarikan wujud semua itu. Tidak ada maujud yang independen dan  tidak membutuhkan pada-Nya dalam semua aspek atau faset; semua  selain-Nya bersifat fakir, papa, membutuhkan dan bergantung pada-Nya. </w:t>
      </w:r>
    </w:p>
    <w:p>
      <w:pPr>
        <w:pStyle w:val="BookText"/>
        <w:bidi w:val="0"/>
        <w:rPr/>
      </w:pPr>
      <w:r>
        <w:rPr>
          <w:rFonts w:eastAsia="Times New Roman" w:cs="Times New Roman" w:ascii="Times New Roman" w:hAnsi="Times New Roman"/>
          <w:color w:val="111111"/>
          <w:sz w:val="28"/>
          <w:szCs w:val="28"/>
          <w:lang w:val="en-US"/>
        </w:rPr>
        <w:t>Hubungan eksistensial ini bermakna kesatuan khusus yang menafikan  independensi segenap maujud kecuali Maujud Suci Tuhan, dan konsep  ini berdiri dalam wujud yang menjelma dan berdasarkan prinsip  kemendasaran wujud. Sekiranya seseorang melihat maujud independen,  maka instantanya tidak lain dari Maujud Ilahi yang tak-berhingga.</w:t>
      </w:r>
    </w:p>
    <w:p>
      <w:pPr>
        <w:pStyle w:val="BookText"/>
        <w:bidi w:val="0"/>
        <w:jc w:val="both"/>
        <w:rPr/>
      </w:pPr>
      <w:r>
        <w:rPr>
          <w:rFonts w:eastAsia="Times New Roman" w:cs="Times New Roman" w:ascii="Times New Roman" w:hAnsi="Times New Roman"/>
          <w:color w:val="111111"/>
          <w:sz w:val="28"/>
          <w:szCs w:val="28"/>
          <w:lang w:val="en-US"/>
        </w:rPr>
        <w:t>Atas dasar ini, maujud independen mesti dianggap tunggal, dan bahwa  ketunggalan ini tidak bisa tersifati dengan keberagaman sedikitpun.</w:t>
      </w:r>
    </w:p>
    <w:p>
      <w:pPr>
        <w:pStyle w:val="BookText"/>
        <w:bidi w:val="0"/>
        <w:jc w:val="both"/>
        <w:rPr/>
      </w:pPr>
      <w:r>
        <w:rPr>
          <w:rFonts w:eastAsia="Times New Roman" w:cs="Times New Roman" w:ascii="Times New Roman" w:hAnsi="Times New Roman"/>
          <w:color w:val="111111"/>
          <w:sz w:val="28"/>
          <w:szCs w:val="28"/>
          <w:lang w:val="en-US"/>
        </w:rPr>
        <w:t>Karenanya, ia disebut dengan kesatuan hakiki' (wahdah haqqah). Saat  seorang melihat pada pelbagai tingkat dan manifestasi wujud, tampaklah  multiplisitas. Namun demikian, pada saat yang sama, pada pelbagai  tingkat dan manifestasi wujud juga memperlihatkan sejenis ‘persatuan'  (aliyl). Singkatnya, meski akibat tidak identik dengan sebab, tapi akibat  tidak bisa dianggap ‘kedua' dari sebab, melainkan akibat mesti dianggap  sebagai berdiri dengan sebab dan salah satu aspek dan manifestasi  sebab.</w:t>
      </w:r>
    </w:p>
    <w:p>
      <w:pPr>
        <w:pStyle w:val="BookText"/>
        <w:bidi w:val="0"/>
        <w:jc w:val="both"/>
        <w:rPr/>
      </w:pPr>
      <w:r>
        <w:rPr>
          <w:rFonts w:eastAsia="Times New Roman" w:cs="Times New Roman" w:ascii="Times New Roman" w:hAnsi="Times New Roman"/>
          <w:color w:val="111111"/>
          <w:sz w:val="28"/>
          <w:szCs w:val="28"/>
          <w:lang w:val="en-US"/>
        </w:rPr>
        <w:t>Akhirnya, menurut Muhammad Taqi Misbâh Yazdî “persatuan'  mereka ialah bahwa kedua-duanya saling bergantung dan tidak bebas  dari selainnya, kendati ungkapan ‘persatuan' ini bersifat kabur dan tak  memadai dan makna tepatnya tidak dipahami oleh pikiran awam, kalau  tidak malah mengundang kesalahpahaman.</w:t>
      </w:r>
      <w:r>
        <w:rPr>
          <w:rStyle w:val="FootnoteAnchor"/>
        </w:rPr>
        <w:footnoteReference w:id="291"/>
      </w:r>
      <w:r>
        <w:rPr>
          <w:rFonts w:eastAsia="Times New Roman" w:cs="Times New Roman" w:ascii="Times New Roman" w:hAnsi="Times New Roman"/>
          <w:color w:val="111111"/>
          <w:sz w:val="28"/>
          <w:szCs w:val="28"/>
          <w:lang w:val="en-US"/>
        </w:rPr>
        <w:t xml:space="preserve"> Dengan demikia, tampak Muhammad Taqi Misbâh Yazdî secara  implisit mengoreksi pola argumentasi Mullâ Sadrâ tentang wahdah  syakhshiyyah, yang didukung oleh rivalnya, Jawadi Âmulî.</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Pendapat Muhammad Taqi Mishbâh Yazdî tentang wahdat al-wujûd  memperjelas sikap dan pandangannya yang berusaha memisahkan ‘irfan  (mistisime) dari filsafat. Sedangkan filsafat, menurut Jawadi Âmulî, adalah  garis start yang harus dilintasi, dan berujung pada ‘irfan sebagai garis  finish. Secara tegas, Muhammad Taqi Misbâh Yazdî mengatakan bahwa  ‘irfan bukan sebuah ilmu yang dideskripsikan dan dikomunikasikan. Ia  menolak apa yang disebut sebagai ‘irfan teoritis ('irfan nazharî), dan  hanya mengakui ‘irfan praktis (-irfan ‘amali). </w:t>
      </w:r>
    </w:p>
    <w:p>
      <w:pPr>
        <w:pStyle w:val="BookText"/>
        <w:bidi w:val="0"/>
        <w:rPr/>
      </w:pPr>
      <w:r>
        <w:rPr>
          <w:rFonts w:eastAsia="Times New Roman" w:cs="Times New Roman" w:ascii="Times New Roman" w:hAnsi="Times New Roman"/>
          <w:color w:val="111111"/>
          <w:sz w:val="28"/>
          <w:szCs w:val="28"/>
          <w:lang w:val="en-US"/>
        </w:rPr>
        <w:t>Berkenaan dengan konsep wahdat al-wujud, Muhammad Taqi  Misbâh Yazdî menunjukkan penolakannya.26 Thabâthabâ’î, Murtadha  Mutahhari, Jawadi Âmulî, dan Khomeini beraliran wahdat al-wujûd.</w:t>
      </w:r>
    </w:p>
    <w:p>
      <w:pPr>
        <w:pStyle w:val="BookText"/>
        <w:bidi w:val="0"/>
        <w:jc w:val="both"/>
        <w:rPr/>
      </w:pPr>
      <w:r>
        <w:rPr>
          <w:rFonts w:eastAsia="Times New Roman" w:cs="Times New Roman" w:ascii="Times New Roman" w:hAnsi="Times New Roman"/>
          <w:color w:val="111111"/>
          <w:sz w:val="28"/>
          <w:szCs w:val="28"/>
          <w:lang w:val="en-US"/>
        </w:rPr>
        <w:t xml:space="preserve">Sementara Muhammad Taqi Misbâh Yazdî sendiri tidak mengusung  doktrin wahdat al-wujûd, melainkan justru doktrin katsrat (pluralitas  wujud) sebagaimana yang pernah diusung kaum Peripatetik. </w:t>
      </w:r>
      <w:r>
        <w:rPr>
          <w:rStyle w:val="FootnoteAnchor"/>
        </w:rPr>
        <w:footnoteReference w:id="292"/>
      </w:r>
      <w:r>
        <w:rPr>
          <w:rFonts w:eastAsia="Times New Roman" w:cs="Times New Roman" w:ascii="Times New Roman" w:hAnsi="Times New Roman"/>
          <w:color w:val="111111"/>
          <w:sz w:val="28"/>
          <w:szCs w:val="28"/>
          <w:lang w:val="en-US"/>
        </w:rPr>
        <w:t xml:space="preserve"> Dengan enteng, Muhammad Taqi Misbâh Yazdî </w:t>
      </w:r>
      <w:r>
        <w:rPr>
          <w:rStyle w:val="FootnoteAnchor"/>
        </w:rPr>
        <w:footnoteReference w:id="293"/>
      </w:r>
      <w:r>
        <w:rPr>
          <w:rFonts w:eastAsia="Times New Roman" w:cs="Times New Roman" w:ascii="Times New Roman" w:hAnsi="Times New Roman"/>
          <w:color w:val="111111"/>
          <w:sz w:val="28"/>
          <w:szCs w:val="28"/>
          <w:lang w:val="en-US"/>
        </w:rPr>
        <w:t>mengatakan bahwa  menerima atau menolak wahdah al-wujud dan tidak meniscayakan  gugurnya validitas argumentasi dalam tema-tema lain. Umpamanya,  dalam konteks pembahasan kenabian, hal itu sama sekali tidak  berpengaruh. Begitu pula dalam konteks pembahasan ma’âd (eskatologis  atau keahiratan) dan maʼrifatullah (mengenal Tuhan).</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Salah satu alasannya, Muhammad Taqi Misbah Yazdîtidak mempertimbangkan efek negatif terhadap  landasan pandangan dunia ketuhanan yang telah dibagun diatas struktur filsafat yang kokoh.</w:t>
      </w:r>
    </w:p>
    <w:p>
      <w:pPr>
        <w:pStyle w:val="BookText"/>
        <w:bidi w:val="0"/>
        <w:jc w:val="both"/>
        <w:rPr/>
      </w:pPr>
      <w:r>
        <w:rPr>
          <w:rFonts w:eastAsia="Times New Roman" w:cs="Times New Roman" w:ascii="Times New Roman" w:hAnsi="Times New Roman"/>
          <w:color w:val="111111"/>
          <w:sz w:val="28"/>
          <w:szCs w:val="28"/>
          <w:lang w:val="en-US"/>
        </w:rPr>
        <w:t>Karena, menurutnya, Tauhid mengandungi dua makna. Pertama,  wujud hanya milik Allah, sedangkan lain-Nya adalah manifestasi-  Nya. Kedua, Allah meimiliki wujud, demikian pula lain-Nya, memiliki  wujud  Muhammad Taqi Misbâh Yazdî dan Jawadi Âmulî sama-sama  menerima kasrat dalam konteks ini. Artinya, Tuhan ada, dan kasrat  (keberadaan lain-Nya) juga ada, seperti langit dan bumi. Yang disebut  pertama merupakan doktrin ktasrat al-zhuhur yang banyak diusung  kaum ‘arif. Adapun yang terakhir disebut, yakni katsrat al-wujûd,  diusung kalangan filsuf.</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26 Pendapat ini dikonfirmasi Dr. Ali Syirvani dalam wawancara dengan penulis. Menurutnya, sikap Muhammad  Taqi Misbah Yazdi ini tidaklah mengherankan lantaran dasar-dasar pemikiran Mulla Sadrã (sendiri)  adalah ittihad-e wahdate shakhsiyye wujud. Artinya, dasar-dasar pemikiran Mulla Sadra yang terdiri dari  ashâlat al-wujud, tasykik al-wujud, dan hubungan kausalitas; ketiganya memproses wahdat syakhsi,  yang dapat menghasilkan wahdat syakhsi, bisa juga menghasilkan katsrat. Akan tetapi, MullaSadrâ  sendiri menerima wahdah syakhsyah </w:t>
      </w:r>
    </w:p>
    <w:p>
      <w:pPr>
        <w:pStyle w:val="BookText"/>
        <w:bidi w:val="0"/>
        <w:rPr/>
      </w:pPr>
      <w:r>
        <w:rPr>
          <w:rFonts w:eastAsia="Times New Roman" w:cs="Times New Roman" w:ascii="Times New Roman" w:hAnsi="Times New Roman"/>
          <w:color w:val="111111"/>
          <w:sz w:val="28"/>
          <w:szCs w:val="28"/>
          <w:lang w:val="en-US"/>
        </w:rPr>
        <w:t>Lebih jauh, saat ditanya mengenai posisi wahdat al-wujûd sebagai  prinsip dan postulat yang diterima kalangan pakar filsafat, Muhammad  Taqî Misbâh Yazdî menjelaskan: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Pertama, kata-kata “disepakati harus ditunda lebih dulu.</w:t>
      </w:r>
    </w:p>
    <w:p>
      <w:pPr>
        <w:pStyle w:val="BookText"/>
        <w:bidi w:val="0"/>
        <w:jc w:val="both"/>
        <w:rPr/>
      </w:pPr>
      <w:r>
        <w:rPr>
          <w:rFonts w:eastAsia="Times New Roman" w:cs="Times New Roman" w:ascii="Times New Roman" w:hAnsi="Times New Roman"/>
          <w:color w:val="111111"/>
          <w:sz w:val="28"/>
          <w:szCs w:val="28"/>
          <w:lang w:val="en-US"/>
        </w:rPr>
        <w:t>Sebelum Muhyiddin Ibn Arabi, (konsep tersebut) belum dibuktikan  (keandalannya) oleh para ‘arif tersohor. Kebanyakan bukti dan  penetapan tentangnya banyak dikemukakan pada masa pasca Ibn  Arabi. Oleh karena itu, kata “disepakati masih perlu ditunda.</w:t>
      </w:r>
    </w:p>
    <w:p>
      <w:pPr>
        <w:pStyle w:val="BookText"/>
        <w:bidi w:val="0"/>
        <w:jc w:val="both"/>
        <w:rPr/>
      </w:pPr>
      <w:r>
        <w:rPr>
          <w:rFonts w:eastAsia="Times New Roman" w:cs="Times New Roman" w:ascii="Times New Roman" w:hAnsi="Times New Roman"/>
          <w:color w:val="111111"/>
          <w:sz w:val="28"/>
          <w:szCs w:val="28"/>
          <w:lang w:val="en-US"/>
        </w:rPr>
        <w:t>Kedua, penafsiran dari permahaman tentangnya. Secara  terperinci, apa yang dikandungnya? Apa penjelasan paling paripurna  untuk mencecap kebenaran ini? Umpama, apa makna dari terminologi  'syakhsi’? Wahdah syakhsiyyah merupakan istilah filsafat, yang  maknanya berkebalikan dengan wahdah jinsiyyah (kesatuan jenis)  dan wahdat nau’i (kesatuan spesies). Tentunya hal ini tidak sesuai  dengan pembahasan wahdah ‘irfaniyyah dan wahdat al-wujûd.</w:t>
      </w:r>
    </w:p>
    <w:p>
      <w:pPr>
        <w:pStyle w:val="BookText"/>
        <w:bidi w:val="0"/>
        <w:jc w:val="both"/>
        <w:rPr/>
      </w:pPr>
      <w:r>
        <w:rPr>
          <w:rFonts w:eastAsia="Times New Roman" w:cs="Times New Roman" w:ascii="Times New Roman" w:hAnsi="Times New Roman"/>
          <w:color w:val="111111"/>
          <w:sz w:val="28"/>
          <w:szCs w:val="28"/>
          <w:lang w:val="en-US"/>
        </w:rPr>
        <w:t>Wahdah syakhsiyyah berhubungan dengan bilangan. Kalau begitu,  apa yang dimaksud dengan wahdah syakhsiyyah tadi? Ini harus  jelas lebih dulu. Jika belum jelas, maka klaim dasarnya tidak dapat  diterima. Saya punya klaim yang saya tidak peduli apakah orang  lain mau mengakuinya atau tidak, bahwa apa yang dijumpai dalam  filsafat sebagai wujûd mustaqil (keberadaan independen) sebagai  kebalikan dari wujûd râbith (wujud kopulatif, dependen). Mereka  menggunakan istilah wujud hakiki sebagai ganti wujud mustaqil,  dan menggunakan istilah wujud majazi sebagai ganti wujud rabith.</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Kalau itu yang dimaksud, maka dapat diterima, dan dalam dasar-  dasar filsafat juga dapat dikonfirmasi. Ini sebagaimana ditulis Mullâ  Sadrâ, dan kami bangga karenanya. Akan tetapi, jika bukan itu yang  dimaksud dengan wahdah syakhsiyyah, maka terus terang saja, sulit  diterima.”</w:t>
      </w:r>
      <w:r>
        <w:rPr>
          <w:rStyle w:val="FootnoteAnchor"/>
        </w:rPr>
        <w:footnoteReference w:id="295"/>
      </w:r>
      <w:bookmarkStart w:id="205" w:name="pg6424_45167"/>
    </w:p>
    <w:p>
      <w:pPr>
        <w:pStyle w:val="BookText"/>
        <w:bidi w:val="0"/>
        <w:rPr/>
      </w:pPr>
      <w:bookmarkEnd w:id="205"/>
      <w:r>
        <w:rPr>
          <w:rFonts w:eastAsia="Times New Roman" w:cs="Times New Roman" w:ascii="Times New Roman" w:hAnsi="Times New Roman"/>
          <w:color w:val="111111"/>
          <w:sz w:val="28"/>
          <w:szCs w:val="28"/>
          <w:lang w:val="en-US"/>
        </w:rPr>
        <w:t>Namun, sejauh pengamatan penulis, Muhammad Taqi Misbah Yazdî  dan Jawadi Amoli sama-sama menerima ashâlat wujud, tasykîk al-wujûd,  dan relasi kausalitas. Tetapi, dalam masalah wahdah syakhsiyyah, kedua  tokoh utama filsafat di hawzah ‘Ilmiyah Qom ini berbeda pendapat.</w:t>
      </w:r>
    </w:p>
    <w:p>
      <w:pPr>
        <w:pStyle w:val="BookText"/>
        <w:bidi w:val="0"/>
        <w:jc w:val="both"/>
        <w:rPr/>
      </w:pPr>
      <w:r>
        <w:rPr>
          <w:rFonts w:eastAsia="Times New Roman" w:cs="Times New Roman" w:ascii="Times New Roman" w:hAnsi="Times New Roman"/>
          <w:color w:val="111111"/>
          <w:sz w:val="28"/>
          <w:szCs w:val="28"/>
          <w:lang w:val="en-US"/>
        </w:rPr>
        <w:t>Artinya, Muhammad Taqi Misbâh Yazdî sadalah pemikir Sadraian  namun ada kalanya juga cenderung pada prinsip katsrah peripatetisme  disebabkan mempunyai interpretasi bebeda tentang prnsip unitas yang  dikenal dengan qâ'idat al-wâhid sebagaimana diuraikan pada bagian  kausalitas.</w:t>
      </w:r>
    </w:p>
    <w:p>
      <w:pPr>
        <w:pStyle w:val="BookText"/>
        <w:bidi w:val="0"/>
        <w:jc w:val="both"/>
        <w:rPr/>
      </w:pPr>
      <w:r>
        <w:rPr>
          <w:rFonts w:eastAsia="Times New Roman" w:cs="Times New Roman" w:ascii="Times New Roman" w:hAnsi="Times New Roman"/>
          <w:color w:val="111111"/>
          <w:sz w:val="28"/>
          <w:szCs w:val="28"/>
          <w:lang w:val="en-US"/>
        </w:rPr>
        <w:t>Hal lain yang menurut penulis amat disayangkan adalah penolakan  Muhammad Taqi Misbâh Yazdî wahdah tidak diajukan secara  komprehensif. Bahkan, saat dikonfirmasi, ia cenderung menganggap  persoalan wahdat al-wujud hanyalah konsumsi para penggemar polemik  filsufis yang tidak banyak memberikan pengaruh bagi penguatan  pandangan dunia tauhid.</w:t>
      </w:r>
      <w:r>
        <w:rPr>
          <w:rStyle w:val="FootnoteAnchor"/>
        </w:rPr>
        <w:footnoteReference w:id="296"/>
      </w:r>
      <w:r>
        <w:rPr>
          <w:rFonts w:eastAsia="Times New Roman" w:cs="Times New Roman" w:ascii="Times New Roman" w:hAnsi="Times New Roman"/>
          <w:color w:val="111111"/>
          <w:sz w:val="28"/>
          <w:szCs w:val="28"/>
          <w:lang w:val="en-US"/>
        </w:rPr>
        <w:t xml:space="preserve"> Yang mengherankan lagi, ia yang semestinya mendukung prinsip  wahdat al-wujud secara totak, karena rasionalis, malah lebih mirip dengan  para mutakallim yang sejak semula tidak mendasarkan ushuluddin pada  wahdat al-wujud.</w:t>
      </w:r>
    </w:p>
    <w:p>
      <w:pPr>
        <w:pStyle w:val="Heading4"/>
        <w:numPr>
          <w:ilvl w:val="3"/>
          <w:numId w:val="1"/>
        </w:numPr>
        <w:bidi w:val="0"/>
        <w:jc w:val="left"/>
        <w:rPr/>
      </w:pPr>
      <w:bookmarkStart w:id="206" w:name="__RefHeading___Toc688667_653776707"/>
      <w:bookmarkStart w:id="207" w:name="_Toc73"/>
      <w:bookmarkEnd w:id="206"/>
      <w:r>
        <w:rPr/>
        <w:t>3. Tasykik al-Wujûd</w:t>
      </w:r>
      <w:bookmarkEnd w:id="2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Latar belakang teori “Gradasi Wujud” Sadrâ bertaut erat dengan  logika Aristotelian tentang perbedaan dua jenis universalia atau pengertian  yang mengandungi konotasi keberlakuan secara universal (kullî),  antara kullî mutâwathi' (universal univocal, seperti manusia [universal]  yang membawahi si Ahmad, Ali, dan sebagainya, dimana di antara  individu-individu tersebut tak terdapat perbedaan dari sisi “humanness”  ([kemanusiaan]nya) dan kullî musyakkik (universalia equivocal atau  universalia ambigu, seperti warna “putih” yang membawahi persona-  persona [afrâd] “putih” yang ragamnya bergradasi, ada putihnya saju,  putihnya kapas, dan sejenisnya). Persoalannya, apakah “universalia </w:t>
      </w:r>
    </w:p>
    <w:p>
      <w:pPr>
        <w:pStyle w:val="BookText"/>
        <w:bidi w:val="0"/>
        <w:rPr/>
      </w:pPr>
      <w:r>
        <w:rPr>
          <w:rFonts w:eastAsia="Times New Roman" w:cs="Times New Roman" w:ascii="Times New Roman" w:hAnsi="Times New Roman"/>
          <w:color w:val="111111"/>
          <w:sz w:val="28"/>
          <w:szCs w:val="28"/>
          <w:lang w:val="en-US"/>
        </w:rPr>
        <w:t>gradual” (kullî musyakkik) yang membawahi suatu esensi dengan segala  gradasinya ini akan mengalami perubahan wujud bila intensifikasi  terjadi dalam dirinya ataukah tidak? Dalam redaksi lain, apakah ketika  warna putih tertentu mengalami intensitas keputihannya, maka esensi  “putih”nya juga berubah, atau tidak? Apakah perbedaan gradasional  dalam satu esensi akan menyebabkan esensi tersebut juga berubah atau  tetap dengan esensinya yang terdahulu?  Sebelumnya telah diuraikan secara ringkas bagaimana Mullâ Sadrâ,  yang datang belakangan, mengatasi kebuntuan polemis antara dua aliran,  Peripatetisme dan Iluminasionisme, dengan menawarkan dua prinsip  baru sebagai gantinya.</w:t>
      </w:r>
    </w:p>
    <w:p>
      <w:pPr>
        <w:pStyle w:val="BookText"/>
        <w:bidi w:val="0"/>
        <w:jc w:val="both"/>
        <w:rPr/>
      </w:pPr>
      <w:r>
        <w:rPr>
          <w:rFonts w:eastAsia="Times New Roman" w:cs="Times New Roman" w:ascii="Times New Roman" w:hAnsi="Times New Roman"/>
          <w:color w:val="111111"/>
          <w:sz w:val="28"/>
          <w:szCs w:val="28"/>
          <w:lang w:val="en-US"/>
        </w:rPr>
        <w:t>Pertama, selain wujûd—beradasarkan prinisp ashâlat al-wujûd-  tidaklah nyata, termasuk mâhiyyah (yang diklaim bersifat artifisal).</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itulah Mullâ Sadrâ mengimbau para filsuf untuk mengadopsi  pembagian universalia dalam logika tersebut lalu menerapkannya  pada wujud. Meski demikian, Mullâ Sadrâ juga menerapkan hal itu  pada esensi derivatif (bi al-'aradh). Gagasan ini pada masa itu sangat  menghebohkan dan mencengangkan. Jika esensi bersifat univokal (tak  bergradasi), maka eksistensi niscaya bergradasi (ambigu). Karena wujud  ambigu (bukan semata karena wujud itu satu, sehingga tidak dapat  menjadi prinsip pembeda), maka hanya wujud-lah yang menyebabkan  perbedaan antar maujud-maujud, bukan esensi, sebagaimana klaim kaum  esensialis. Mullâ Sadrâ mengatakan: Mâ bihi al-ittifaq huwa 'ain mâ  bihi al-ikhtilâf (sesuatu yang menjadi sumber kesamaan pastilah menjadi  sumber perbedaan). </w:t>
      </w:r>
      <w:r>
        <w:rPr>
          <w:rStyle w:val="FootnoteAnchor"/>
        </w:rPr>
        <w:footnoteReference w:id="297"/>
      </w:r>
      <w:r>
        <w:rPr>
          <w:rFonts w:eastAsia="Times New Roman" w:cs="Times New Roman" w:ascii="Times New Roman" w:hAnsi="Times New Roman"/>
          <w:color w:val="111111"/>
          <w:sz w:val="28"/>
          <w:szCs w:val="28"/>
          <w:lang w:val="en-US"/>
        </w:rPr>
        <w:t xml:space="preserve"> Kedua, wujud tidak hanya musyakkik (gradual, ambigu), tapi juga  berurutan, tidak acak, tertata mulai dari yang umum, kemudian samar,  lalu khusus (bercirikan), lalu individual, dan tunggal. Gerak gradual  dalam wujud dimulai dari kurang sempurna ke arah yang lebih sempurna,  dan tidak bergerak ke arah sebaliknya. Itulah sebabnya, mengapa Mullâ  Sadrâ dan para filsuf Muslim menolak reinkarnasi, karena hal itu </w:t>
      </w:r>
      <w:bookmarkStart w:id="208" w:name="pg6424_45172"/>
    </w:p>
    <w:p>
      <w:pPr>
        <w:pStyle w:val="BookText"/>
        <w:bidi w:val="0"/>
        <w:rPr/>
      </w:pPr>
      <w:bookmarkEnd w:id="208"/>
      <w:r>
        <w:rPr>
          <w:rFonts w:eastAsia="Times New Roman" w:cs="Times New Roman" w:ascii="Times New Roman" w:hAnsi="Times New Roman"/>
          <w:color w:val="111111"/>
          <w:sz w:val="28"/>
          <w:szCs w:val="28"/>
          <w:lang w:val="en-US"/>
        </w:rPr>
        <w:t xml:space="preserve">mengindikasikan gerak ke belakang, ke posisi yang lebih rendah secara  eksistensial. Dari sini, kita dapat menyingkap hubungan antara prinisp  “gradasi wujud” dan prinisp “gerak subtansial”. </w:t>
      </w:r>
      <w:r>
        <w:rPr>
          <w:rStyle w:val="FootnoteAnchor"/>
        </w:rPr>
        <w:footnoteReference w:id="298"/>
      </w:r>
      <w:r>
        <w:rPr>
          <w:rFonts w:eastAsia="Times New Roman" w:cs="Times New Roman" w:ascii="Times New Roman" w:hAnsi="Times New Roman"/>
          <w:color w:val="111111"/>
          <w:sz w:val="28"/>
          <w:szCs w:val="28"/>
          <w:lang w:val="en-US"/>
        </w:rPr>
        <w:t xml:space="preserve"> Menurut Muhammad Taqi Misbah Yazdî, kesatuan individual semua  maujud yang menjelma tidak bertentangan dengan keberagaman hakiki  semua maujud. Demikian pula, kesatuan berkesinambungan alam  material tidak bertentangan dengan keberagaman benda-benda material,  keberagaman yang diperoleh dari bayangan multiplisitas forma yang  berbeda-beda. Lalu, kesatuan individual alam sebagai maujud bernyawa  dan berjiwa tunggal tidak bisa diisbatkan. Dan kalaupun bisa diisbatkan,  maka kesatuan itu (mesti diandaikan) bersifat aksidental. Bagaimanapun  juga, subjek kesatuan dalam tiga pengandaian di atas adalah alam semesta  atau, alam maujud-maujud kontingen. </w:t>
      </w:r>
      <w:r>
        <w:rPr>
          <w:rStyle w:val="FootnoteAnchor"/>
        </w:rPr>
        <w:footnoteReference w:id="299"/>
      </w:r>
      <w:r>
        <w:rPr>
          <w:rFonts w:eastAsia="Times New Roman" w:cs="Times New Roman" w:ascii="Times New Roman" w:hAnsi="Times New Roman"/>
          <w:color w:val="111111"/>
          <w:sz w:val="28"/>
          <w:szCs w:val="28"/>
          <w:lang w:val="en-US"/>
        </w:rPr>
        <w:t xml:space="preserve"> Menurut penulis, bila Muhammad Taqi Misbâh Yazdî tidak sepenuh  hati menerima wahdah syakhsyiyyah dan menolak prinsip al-wahid,  semestinya ia tidak perlu memberikan pembelaan terhadap konsep  tasykîk al-wujûd. Ini membuktikan bahwa ia tidak bertujuan membangun  sebuah konsep dalam ontologi.</w:t>
      </w:r>
    </w:p>
    <w:p>
      <w:pPr>
        <w:pStyle w:val="Heading4"/>
        <w:numPr>
          <w:ilvl w:val="3"/>
          <w:numId w:val="1"/>
        </w:numPr>
        <w:bidi w:val="0"/>
        <w:jc w:val="left"/>
        <w:rPr/>
      </w:pPr>
      <w:bookmarkStart w:id="209" w:name="__RefHeading___Toc688669_653776707"/>
      <w:bookmarkStart w:id="210" w:name="_Toc74"/>
      <w:bookmarkEnd w:id="209"/>
      <w:r>
        <w:rPr/>
        <w:t>4. Râbith dan Mustaqil</w:t>
      </w:r>
      <w:bookmarkEnd w:id="21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Mullâ Sadrâ dan Thabâthabâ’î, Muhammad Taqî  Misbâh Yazdî mengklasifikasi wujud dalam dua jenis; mustaqil (mandiri)  dan râbith (tidak mandiri, dependen). </w:t>
      </w:r>
      <w:r>
        <w:rPr>
          <w:rStyle w:val="FootnoteAnchor"/>
        </w:rPr>
        <w:footnoteReference w:id="300"/>
      </w:r>
    </w:p>
    <w:p>
      <w:pPr>
        <w:pStyle w:val="BookText"/>
        <w:bidi w:val="0"/>
        <w:rPr/>
      </w:pPr>
      <w:r>
        <w:rPr>
          <w:rFonts w:eastAsia="Times New Roman" w:cs="Times New Roman" w:ascii="Times New Roman" w:hAnsi="Times New Roman"/>
          <w:color w:val="111111"/>
          <w:sz w:val="28"/>
          <w:szCs w:val="28"/>
          <w:lang w:val="en-US"/>
        </w:rPr>
        <w:t xml:space="preserve">Mullâ Sadrâ melukiskan seluruh maujud di alam imkan  (kemungkinan) sejak malak (alam fisik) hingga malakût (alam ruh)  sebagai “kebergantungan' (rabth) itu sendiri. Jatidiri setiap maujud  mumkin (serba-mungkin dalam konteks ada-tiadanya) terletak pada  ‘kebergantungan pada Sebab Pemilik, sebagai wujud yang mandiri. </w:t>
      </w:r>
      <w:r>
        <w:rPr>
          <w:rStyle w:val="FootnoteAnchor"/>
        </w:rPr>
        <w:footnoteReference w:id="301"/>
      </w:r>
      <w:r>
        <w:rPr>
          <w:rFonts w:eastAsia="Times New Roman" w:cs="Times New Roman" w:ascii="Times New Roman" w:hAnsi="Times New Roman"/>
          <w:color w:val="111111"/>
          <w:sz w:val="28"/>
          <w:szCs w:val="28"/>
          <w:lang w:val="en-US"/>
        </w:rPr>
        <w:t xml:space="preserve"> Dari sinilah, Mullâ Sadrâ memulai sebuah pembagian baru, yaitu  wujûd râbith dan wujûd mustaqil. Ia adalah realitas yang menjadi  substansi eksistensial. Entitas atau realitas yang memiliki wujud mandiri  hanyalah satu, yaitu wujud Tuhan sebagai kausa prima; sedangkan wujud  selain-Nya hanyalah ‘wujud bergantung'.</w:t>
      </w:r>
    </w:p>
    <w:p>
      <w:pPr>
        <w:pStyle w:val="BookText"/>
        <w:bidi w:val="0"/>
        <w:jc w:val="both"/>
        <w:rPr/>
      </w:pPr>
      <w:r>
        <w:rPr>
          <w:rFonts w:eastAsia="Times New Roman" w:cs="Times New Roman" w:ascii="Times New Roman" w:hAnsi="Times New Roman"/>
          <w:color w:val="111111"/>
          <w:sz w:val="28"/>
          <w:szCs w:val="28"/>
          <w:lang w:val="en-US"/>
        </w:rPr>
        <w:t>Wujûd râbith diyakini sebagai infrastruktur sistem kosmik. Tanpa  wujûd râbith, sistem eksistensi tidak akan pernah dipahami. Seseorang  yang hendak memahami alam eksistensi tanpa wujûd râbith hanya  akan menangkap serangkaian konsep yang acak. Tanpa wujûd râbith  pula, seseorang tidak akan mampu menyandingkan konsep (sebagai  subjek) dengan konsep lain sebagai predikatnya. Wujûd râbith berfungsi  menyadarkan manusia terhadap pola relasi ciptaan dengan Sang Pencipta.</w:t>
      </w:r>
    </w:p>
    <w:p>
      <w:pPr>
        <w:pStyle w:val="BookText"/>
        <w:bidi w:val="0"/>
        <w:jc w:val="both"/>
        <w:rPr/>
      </w:pPr>
      <w:r>
        <w:rPr>
          <w:rFonts w:eastAsia="Times New Roman" w:cs="Times New Roman" w:ascii="Times New Roman" w:hAnsi="Times New Roman"/>
          <w:color w:val="111111"/>
          <w:sz w:val="28"/>
          <w:szCs w:val="28"/>
          <w:lang w:val="en-US"/>
        </w:rPr>
        <w:t>Alhasil, wujûd râbith merupakan realitas yang berfungsi sebagai predikat  yang bergantung pada substansi.</w:t>
      </w:r>
      <w:r>
        <w:rPr>
          <w:rStyle w:val="FootnoteAnchor"/>
        </w:rPr>
        <w:footnoteReference w:id="30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Selanjutnya, Thabathaba'i membagi wujud mandiri menjadi dua. Pertama, wujud mandiri yang ada  dengan sendirinya atau untuk dirinya. Ia adalah wujud yang menegasi ketiadaan dari quiditasnya  sendiri, seperti spesies-spesies substansial yang meliputi manusia, kuda, dan sebagainya. Kedua,  wujud mandiri yang ada untuk selain dirinya. Ia menegasi ketiadaan dari quiditasnya, juga menegasi  ketiadaan dari sesuatu yang lain, atau menolak ketiadaan yang melekat atas quiditas dirinya,  seperti wujud 'sebab' atau wujud 'ilmu' yang menolak ketiadaan (ketiadaan ilmu) dari dirinya, juga  menolak kebodohann yang merupakan ketiadaan.yang melekat atas penyandangnya (substansi yang menyandang ilmu, Budi, misalnya). (Thabâthabâ'ſ,  Nihayat al-Hikmah, Jameeh Modarresin, 1997, Qom, hlm 40).</w:t>
      </w:r>
    </w:p>
    <w:p>
      <w:pPr>
        <w:pStyle w:val="BookText"/>
        <w:bidi w:val="0"/>
        <w:rPr/>
      </w:pPr>
      <w:r>
        <w:rPr>
          <w:rFonts w:eastAsia="Times New Roman" w:cs="Times New Roman" w:ascii="Times New Roman" w:hAnsi="Times New Roman"/>
          <w:color w:val="111111"/>
          <w:sz w:val="28"/>
          <w:szCs w:val="28"/>
          <w:lang w:val="en-US"/>
        </w:rPr>
        <w:t>Namun, Muhammad Taqi Misbah Yazdî menolak argumen  wujûd râbith yang dikemukakan oleh Thabâthabâ’i, yang kemudian  dipertahankan Jawadi Âmulî:</w:t>
      </w:r>
      <w:r>
        <w:rPr>
          <w:rStyle w:val="FootnoteAnchor"/>
        </w:rPr>
        <w:footnoteReference w:id="303"/>
      </w:r>
      <w:r>
        <w:rPr>
          <w:rFonts w:eastAsia="Times New Roman" w:cs="Times New Roman" w:ascii="Times New Roman" w:hAnsi="Times New Roman"/>
          <w:color w:val="111111"/>
          <w:sz w:val="28"/>
          <w:szCs w:val="28"/>
          <w:lang w:val="en-US"/>
        </w:rPr>
        <w:t>Menurutnya, argumen seputar wujûd  râbith dengan menganalisis proposisi tidaklah valid. Sebab, pembahasan  tentang proposisi terdapat dalam logika dan tidak bersangkut-paut dengan  realitas objektif. Ia menganggap analisis prinsip kausalitas sebagai dalil  sahih atas keniscayaan wujûd râbith.</w:t>
      </w:r>
      <w:r>
        <w:rPr>
          <w:rStyle w:val="FootnoteAnchor"/>
        </w:rPr>
        <w:footnoteReference w:id="304"/>
      </w:r>
      <w:r>
        <w:rPr>
          <w:rFonts w:eastAsia="Times New Roman" w:cs="Times New Roman" w:ascii="Times New Roman" w:hAnsi="Times New Roman"/>
          <w:color w:val="111111"/>
          <w:sz w:val="28"/>
          <w:szCs w:val="28"/>
          <w:lang w:val="en-US"/>
        </w:rPr>
        <w:t xml:space="preserve"> Seraya itu, ia menganggap analisis prinsip kausalitas sebagai dalil  sahih bagi keniscayaan wujûd râbith. Menurut Muhammad Taqi Misbah  Yazdî, secara filsufis, setiap proposisi terdiri dari tiga elemen; subjek,  predikat, dan kopula (penghubung).</w:t>
      </w:r>
      <w:r>
        <w:rPr>
          <w:rStyle w:val="FootnoteAnchor"/>
        </w:rPr>
        <w:footnoteReference w:id="305"/>
      </w:r>
      <w:r>
        <w:rPr>
          <w:rFonts w:eastAsia="Times New Roman" w:cs="Times New Roman" w:ascii="Times New Roman" w:hAnsi="Times New Roman"/>
          <w:color w:val="111111"/>
          <w:sz w:val="28"/>
          <w:szCs w:val="28"/>
          <w:lang w:val="en-US"/>
        </w:rPr>
        <w:t xml:space="preserve"> Menurut penulis, pandangan Muhammad Taqi Mishbâh Yazdî tentang  wujûd râbith (wujud kopulatif) jelas berbeda dengan tradisi filsafat islam.</w:t>
      </w:r>
    </w:p>
    <w:p>
      <w:pPr>
        <w:pStyle w:val="BookText"/>
        <w:bidi w:val="0"/>
        <w:jc w:val="both"/>
        <w:rPr/>
      </w:pPr>
      <w:r>
        <w:rPr>
          <w:rFonts w:eastAsia="Times New Roman" w:cs="Times New Roman" w:ascii="Times New Roman" w:hAnsi="Times New Roman"/>
          <w:color w:val="111111"/>
          <w:sz w:val="28"/>
          <w:szCs w:val="28"/>
          <w:lang w:val="en-US"/>
        </w:rPr>
        <w:t>Para penganut ashâlat al-wujûd percaya bahwa wujud yang dibahwa  dalam topik ashâlat al-wujûd bukan semata-mata konsep wujud; akan  tetapi mishdâq (isntanta) di luar. Hakikat real wujud ini mencakup wujud  redikatif (mahmûli) dan wujud kopulatif (râbith). Bagi Muhammad Taqî  Mishbâh Yazdî, wujud kopulatif tidak termasuk dalam pembahasan  ashâlat al-wujûd, karena ia semestinya dibahas dalam ilmu mantiq.</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Alasan ini diperkuat dengan sanggahan Muhammad Taqi Mishbâh Yazdî  atas penjelasan wujud rabith (eksistensi kopulatif) yang diketengahkan  oleh gururnya dalam Nihâyat al-Hikmah. Atas dasar inilah ia percaya  bahwa pembahasan ashâlat al-wujûd menjadi tepat setelah dibahas </w:t>
      </w:r>
    </w:p>
    <w:p>
      <w:pPr>
        <w:pStyle w:val="BookText"/>
        <w:bidi w:val="0"/>
        <w:rPr/>
      </w:pPr>
      <w:r>
        <w:rPr>
          <w:rFonts w:eastAsia="Times New Roman" w:cs="Times New Roman" w:ascii="Times New Roman" w:hAnsi="Times New Roman"/>
          <w:color w:val="111111"/>
          <w:sz w:val="28"/>
          <w:szCs w:val="28"/>
          <w:lang w:val="en-US"/>
        </w:rPr>
        <w:t>pembuktian atas validitas satu macam wujud; yaitu wujud predikatif.</w:t>
      </w:r>
      <w:r>
        <w:rPr>
          <w:rStyle w:val="FootnoteAnchor"/>
        </w:rPr>
        <w:footnoteReference w:id="306"/>
      </w:r>
      <w:r>
        <w:rPr>
          <w:rFonts w:eastAsia="Times New Roman" w:cs="Times New Roman" w:ascii="Times New Roman" w:hAnsi="Times New Roman"/>
          <w:color w:val="111111"/>
          <w:sz w:val="28"/>
          <w:szCs w:val="28"/>
          <w:lang w:val="en-US"/>
        </w:rPr>
        <w:t xml:space="preserve"> Dalam pandangan kami, wujud atau kakikat real wujud mencakup  wujud redikatif (mahmuli) dan wujud kopulatif (râbith), dan pandangan  Muhamamd Taqi Misbâh Yazdi tidaklah benar, karena pembahasan  tentang asas wujud kopulatif itu sendiri adalah pembahasan filsufis,  sementara mantiq membahasnya dalam batas-batas sifat dan hukum-  hukumnya. Ini persis ketika filsafat membahas wujud-nya keniscayaan  (dharûrat) dan kemungkinan (imkân) secara prinsipal, lalu mantiq  membahas pembagian proposisi-proposal formal atas dasar keniscayaan  dan kemungkinan itu.</w:t>
      </w:r>
    </w:p>
    <w:p>
      <w:pPr>
        <w:pStyle w:val="BookText"/>
        <w:bidi w:val="0"/>
        <w:jc w:val="both"/>
        <w:rPr/>
      </w:pPr>
      <w:r>
        <w:rPr>
          <w:rFonts w:eastAsia="Times New Roman" w:cs="Times New Roman" w:ascii="Times New Roman" w:hAnsi="Times New Roman"/>
          <w:color w:val="111111"/>
          <w:sz w:val="28"/>
          <w:szCs w:val="28"/>
          <w:lang w:val="en-US"/>
        </w:rPr>
        <w:t>Selain itu, filsafat tidak hanya membahas prinsip wujud kopulatif,  bahkan wujud ini juga menjadi aksis untuk banyak argumentasi-  argumenyasi filsufis; termasuk salah satu bukti atas ashâlat al-wujûd.</w:t>
      </w:r>
    </w:p>
    <w:p>
      <w:pPr>
        <w:pStyle w:val="BookText"/>
        <w:bidi w:val="0"/>
        <w:jc w:val="both"/>
        <w:rPr/>
      </w:pPr>
      <w:r>
        <w:rPr>
          <w:rFonts w:eastAsia="Times New Roman" w:cs="Times New Roman" w:ascii="Times New Roman" w:hAnsi="Times New Roman"/>
          <w:color w:val="111111"/>
          <w:sz w:val="28"/>
          <w:szCs w:val="28"/>
          <w:lang w:val="en-US"/>
        </w:rPr>
        <w:t>Oleh karena itu, Mullâ Hâdi Sabzawari menuturkan dalam syairnya:</w:t>
      </w:r>
    </w:p>
    <w:p>
      <w:pPr>
        <w:pStyle w:val="BookText"/>
        <w:bidi w:val="0"/>
        <w:jc w:val="both"/>
        <w:rPr/>
      </w:pPr>
      <w:r>
        <w:rPr>
          <w:rFonts w:eastAsia="Times New Roman" w:cs="Times New Roman" w:ascii="Times New Roman" w:hAnsi="Times New Roman"/>
          <w:color w:val="111111"/>
          <w:sz w:val="28"/>
          <w:szCs w:val="28"/>
          <w:lang w:val="en-US"/>
        </w:rPr>
        <w:t>Andai saja wujud itu bukan ashil tak kan ada kesatuan  Sebab selain wujud hanyalah sumber keragaman</w:t>
      </w:r>
      <w:r>
        <w:rPr>
          <w:rStyle w:val="FootnoteAnchor"/>
        </w:rPr>
        <w:footnoteReference w:id="307"/>
      </w:r>
      <w:r>
        <w:rPr>
          <w:rFonts w:eastAsia="Times New Roman" w:cs="Times New Roman" w:ascii="Times New Roman" w:hAnsi="Times New Roman"/>
          <w:color w:val="111111"/>
          <w:sz w:val="28"/>
          <w:szCs w:val="28"/>
          <w:lang w:val="en-US"/>
        </w:rPr>
        <w:t xml:space="preserve"> Bila wujud itu tidak ashil, maka wujûd râbith yang merupakan  bagian dari wujud mutlak adalah i’tibârî (konvensional) dan dengan  demikian maka predikasi dalam setiap propopsisi yang berbeda subjek  dan predikatnya tidak akan pernah terjadi, karena predikasi (haml) selain  adanya perbedaan, mesti ada kesatuan, tentunya dari sisi yang berbeda.</w:t>
      </w:r>
    </w:p>
    <w:p>
      <w:pPr>
        <w:pStyle w:val="BookText"/>
        <w:bidi w:val="0"/>
        <w:jc w:val="both"/>
        <w:rPr/>
      </w:pPr>
      <w:r>
        <w:rPr>
          <w:rFonts w:eastAsia="Times New Roman" w:cs="Times New Roman" w:ascii="Times New Roman" w:hAnsi="Times New Roman"/>
          <w:color w:val="111111"/>
          <w:sz w:val="28"/>
          <w:szCs w:val="28"/>
          <w:lang w:val="en-US"/>
        </w:rPr>
        <w:t>Maka dari itu, ashâlat al-wujûd dan wujud râbith sangat menentukan  prinsip predikasi dan proposisi dalam pembahasan-pembahasan logika.</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Perlu diperhatikan pula bahwa proposisi analitik semirip ketat  dengan apa yang dikenal dalam filsafat Mullâ Sadrâ dengan istilah  haml awwalî dzâtî dengan penjelasan yang telah dibawakan. Padangan  Muhammad Taqi Mishbâh Yazdî dapat disimpulkan bahwa dalam  proposisi analitik mesti ada kopula (râbith), tetapi râbith ini tidak mesti </w:t>
      </w:r>
    </w:p>
    <w:p>
      <w:pPr>
        <w:pStyle w:val="BookText"/>
        <w:bidi w:val="0"/>
        <w:rPr/>
      </w:pPr>
      <w:r>
        <w:rPr>
          <w:rFonts w:eastAsia="Times New Roman" w:cs="Times New Roman" w:ascii="Times New Roman" w:hAnsi="Times New Roman"/>
          <w:color w:val="111111"/>
          <w:sz w:val="28"/>
          <w:szCs w:val="28"/>
          <w:lang w:val="en-US"/>
        </w:rPr>
        <w:t xml:space="preserve">wujud; yakni wujûd râbith </w:t>
      </w:r>
      <w:r>
        <w:rPr>
          <w:rStyle w:val="FootnoteAnchor"/>
        </w:rPr>
        <w:footnoteReference w:id="308"/>
      </w:r>
      <w:r>
        <w:rPr>
          <w:rFonts w:eastAsia="Times New Roman" w:cs="Times New Roman" w:ascii="Times New Roman" w:hAnsi="Times New Roman"/>
          <w:color w:val="111111"/>
          <w:sz w:val="28"/>
          <w:szCs w:val="28"/>
          <w:lang w:val="en-US"/>
        </w:rPr>
        <w:t>. Ia hanyalah hubungan logis yang mesti  dalam analisis mental, dan ini tidak mesti ia sebagai wujud, karena ada  banyak hal yang berkembang dalam konstruksi mental (i’tibâriyyât aql/  mafhûm intizâ'i, ma'qûl tsânî manthiqi) yang sama sekali tidak punya  acuan di luar mental, seperti proposisi, universal, partikular, dan konsep-  konsep sekunder logis lainnya.</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ini sebenarnya melawan pandangan gurunya yang  menegaskan bahwa dalam proposisi primer; termasuk proposisi analitik,  tidak ada râbith. Perselisihan ini akan menjadi krusial tatkala dihubungkan  dengan ashâlat al-wujûd. Menurut Thabâthabâ’î, setiap hukum yang  dinisbahkan kepada mâhiyyât, pada dasarnya adalah hukum wujud, lalu  dengan wujud, hukum itu berlaku pada mâhiyyat, baik hukum itu sifat-  sifat aksidental mâhiyyât ataupun sifat-sifat substansialnya. </w:t>
      </w:r>
      <w:r>
        <w:rPr>
          <w:rStyle w:val="FootnoteAnchor"/>
        </w:rPr>
        <w:footnoteReference w:id="309"/>
      </w:r>
      <w:r>
        <w:rPr>
          <w:rFonts w:eastAsia="Times New Roman" w:cs="Times New Roman" w:ascii="Times New Roman" w:hAnsi="Times New Roman"/>
          <w:color w:val="111111"/>
          <w:sz w:val="28"/>
          <w:szCs w:val="28"/>
          <w:lang w:val="en-US"/>
        </w:rPr>
        <w:t xml:space="preserve"> Namun bagi Muhammad Taqi Mishbâh Yazdî, meski ia tepat pada  hukum-hukum aksidental mâhiyyat (dimana keberlakuannya pada  mâhiyyât berlangsung dengan wujud), akan tetapi tidak demikian pada  hukum-hukum substansial mâhiyyat, sperti hewan untuk mâhiyyât  manusia, sebab predikasi hewan pada manusia menjadi benar  hanya dengan kesatuan konseptual saja, oleh karena itu tidak perlu  mengasumsikan kesatuan itu adalah wujûd ashîl itu.</w:t>
      </w:r>
      <w:r>
        <w:rPr>
          <w:rStyle w:val="FootnoteAnchor"/>
        </w:rPr>
        <w:footnoteReference w:id="310"/>
      </w:r>
      <w:r>
        <w:rPr>
          <w:rFonts w:eastAsia="Times New Roman" w:cs="Times New Roman" w:ascii="Times New Roman" w:hAnsi="Times New Roman"/>
          <w:color w:val="111111"/>
          <w:sz w:val="28"/>
          <w:szCs w:val="28"/>
          <w:lang w:val="en-US"/>
        </w:rPr>
        <w:t xml:space="preserve"> Tampaknya, apapun predikasi, baik analitik ataupun sintetik, baik  awwali ataupun syai’shinâ’î, pasti melazimkan adanya semacam  kesatuan. Dan dalam kaidah dasar filsafat, kesatuan itu musâwiq (identik  seketat-ketatnya) dengan wujud. Maka, sekalipun kesatuan itu dalam  poros konsep, tetap saja wujud terselubung di sana. Yakni, kesatuan  subjek dan predikat atau kesatuan dua konsep dalam satu proposisi  yaitu keterbuhungan dua sesuatu, dan jelas sekali keterhubungan ini  adalah bagian dari corak wujud. Maka bagaimanapun wujud tidak bisa  diasumsikan lepas dari suatu gejala. </w:t>
      </w:r>
      <w:bookmarkStart w:id="211" w:name="pg6424_45185"/>
    </w:p>
    <w:p>
      <w:pPr>
        <w:pStyle w:val="Heading4"/>
        <w:numPr>
          <w:ilvl w:val="3"/>
          <w:numId w:val="1"/>
        </w:numPr>
        <w:bidi w:val="0"/>
        <w:jc w:val="left"/>
        <w:rPr/>
      </w:pPr>
      <w:bookmarkStart w:id="212" w:name="__RefHeading___Toc688671_653776707"/>
      <w:bookmarkStart w:id="213" w:name="_Toc75"/>
      <w:bookmarkEnd w:id="211"/>
      <w:bookmarkEnd w:id="212"/>
      <w:r>
        <w:rPr/>
        <w:t>5. Wajib dan Mumkin</w:t>
      </w:r>
      <w:bookmarkEnd w:id="213"/>
    </w:p>
    <w:p>
      <w:pPr>
        <w:pStyle w:val="BookText"/>
        <w:bidi w:val="0"/>
        <w:jc w:val="both"/>
        <w:rPr/>
      </w:pPr>
      <w:r>
        <w:rPr>
          <w:rFonts w:eastAsia="Times New Roman" w:cs="Times New Roman" w:ascii="Times New Roman" w:hAnsi="Times New Roman"/>
          <w:color w:val="111111"/>
          <w:sz w:val="28"/>
          <w:szCs w:val="28"/>
          <w:lang w:val="en-US"/>
        </w:rPr>
        <w:t>Kadang membingungkan bila terminologi wujûb dan imkân,  sebagaimana kata lainnya, ditemukan dalam epistemologi dan ontologi.</w:t>
      </w:r>
    </w:p>
    <w:p>
      <w:pPr>
        <w:pStyle w:val="BookText"/>
        <w:bidi w:val="0"/>
        <w:jc w:val="both"/>
        <w:rPr/>
      </w:pPr>
      <w:r>
        <w:rPr>
          <w:rFonts w:eastAsia="Times New Roman" w:cs="Times New Roman" w:ascii="Times New Roman" w:hAnsi="Times New Roman"/>
          <w:color w:val="111111"/>
          <w:sz w:val="28"/>
          <w:szCs w:val="28"/>
          <w:lang w:val="en-US"/>
        </w:rPr>
        <w:t>Karena itu, perlu diperjelas konteks pembahasannya serta relasinya. Kata  wujûb dan imkân merupakan dua frase yang ada dalam setiap pembahasan  filsafat tradisional.</w:t>
      </w:r>
    </w:p>
    <w:p>
      <w:pPr>
        <w:pStyle w:val="BookText"/>
        <w:bidi w:val="0"/>
        <w:jc w:val="both"/>
        <w:rPr/>
      </w:pPr>
      <w:r>
        <w:rPr>
          <w:rFonts w:eastAsia="Times New Roman" w:cs="Times New Roman" w:ascii="Times New Roman" w:hAnsi="Times New Roman"/>
          <w:color w:val="111111"/>
          <w:sz w:val="28"/>
          <w:szCs w:val="28"/>
          <w:lang w:val="en-US"/>
        </w:rPr>
        <w:t>Untuk itu, Muhammad Taqi Misbâh Yazdî, melakukan klarifikasi.</w:t>
      </w:r>
    </w:p>
    <w:p>
      <w:pPr>
        <w:pStyle w:val="BookText"/>
        <w:bidi w:val="0"/>
        <w:jc w:val="both"/>
        <w:rPr/>
      </w:pPr>
      <w:r>
        <w:rPr>
          <w:rFonts w:eastAsia="Times New Roman" w:cs="Times New Roman" w:ascii="Times New Roman" w:hAnsi="Times New Roman"/>
          <w:color w:val="111111"/>
          <w:sz w:val="28"/>
          <w:szCs w:val="28"/>
          <w:lang w:val="en-US"/>
        </w:rPr>
        <w:t>Menurutnya, setiap proposisi, sekalipun yang paling sederhana, sekurang-  kurangnya mesti tersusun dari dua konsep; subjek dan predikat. Misalnya,  proposisi yang berbunyi “matahari bersinar”. Proposisi ini terdiri dari  matahari sebagai subjek dan bersinar sebagai predikat.</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Anehnya, analisis ini lebih relevan dengan logika, bukan ontologi. Inilah salah ambigiutas yang masih  ditemukan dalam filsafat tradisional.</w:t>
      </w:r>
    </w:p>
    <w:p>
      <w:pPr>
        <w:pStyle w:val="BookText"/>
        <w:bidi w:val="0"/>
        <w:jc w:val="both"/>
        <w:rPr/>
      </w:pPr>
      <w:r>
        <w:rPr>
          <w:rFonts w:eastAsia="Times New Roman" w:cs="Times New Roman" w:ascii="Times New Roman" w:hAnsi="Times New Roman"/>
          <w:color w:val="111111"/>
          <w:sz w:val="28"/>
          <w:szCs w:val="28"/>
          <w:lang w:val="en-US"/>
        </w:rPr>
        <w:t>Dalam hal ini,  tidak terdapat alternatif lain terkait dengan korelasi predikat dan subjek  selain dari tiga kondisi berikut  Pertama, korelasi predikat dan subjek bersifat mustahil (mumtani').</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Contohnya, angka tiga lebih besar dari angka empat. Kedua, korelasi  predikat dan subjek merupakan sesuatu yang mesti (dharûrî). Contohnya,  dua adalah setengah dari empat. Ketiga, korelasi predikat dan subjek  bersifat tidak mustahil sekaligus bukan kemestian. Contohnya, matahari  berada di atas kepala kita.</w:t>
      </w:r>
      <w:r>
        <w:rPr>
          <w:rStyle w:val="FootnoteAnchor"/>
        </w:rPr>
        <w:footnoteReference w:id="312"/>
      </w:r>
      <w:r>
        <w:rPr>
          <w:rFonts w:eastAsia="Times New Roman" w:cs="Times New Roman" w:ascii="Times New Roman" w:hAnsi="Times New Roman"/>
          <w:color w:val="111111"/>
          <w:sz w:val="28"/>
          <w:szCs w:val="28"/>
          <w:lang w:val="en-US"/>
        </w:rPr>
        <w:t xml:space="preserve"> Dalam logika, dijelaskan bahwa proposisi pada kondisi pertama  bersifat mumtani', alias tidak mungkin terjadi (sebagaimana contoh  pertama, angka tiga lebih besar dari angka empat). Pada kondisi kedua,  proposisi bersifat dharûrî atau wajib, yaitu mesti dan niscaya. Sedangkan  pada kondisi ketiga, proposisi bersifat mumkin (mungkin) dengan makna  khusus. Namun, lantaran filsafat hanya membahas sesuatu yang ada,  maka para filsuf hanya membagi konsep wujud dalam dua kategori;  wâjib al-wujûd dan mumkin al-wujûd.</w:t>
      </w:r>
      <w:r>
        <w:rPr>
          <w:rStyle w:val="FootnoteAnchor"/>
        </w:rPr>
        <w:footnoteReference w:id="313"/>
      </w:r>
    </w:p>
    <w:p>
      <w:pPr>
        <w:pStyle w:val="BookText"/>
        <w:bidi w:val="0"/>
        <w:rPr/>
      </w:pPr>
      <w:r>
        <w:rPr>
          <w:rFonts w:eastAsia="Times New Roman" w:cs="Times New Roman" w:ascii="Times New Roman" w:hAnsi="Times New Roman"/>
          <w:color w:val="111111"/>
          <w:sz w:val="28"/>
          <w:szCs w:val="28"/>
          <w:lang w:val="en-US"/>
        </w:rPr>
        <w:t>Wâjib al-wujûd adalah wujud ſyang maujud) dengan dirinya sendiri,  tidak bergantung pada yang lain. Tentu, wujud semacam ini bersifat  azali (tidak bermula) dan abadi (tidak berakhir). Karena, apabila sesuatu  ma'dum (tiada) pada masa tertentu, maka ia bukan wujud dengan dirinya  sendiri, alias membutuhkan selainnya yang merupakan penyebab atau  syarat keberadaannya. Tentunya, jika penyebab atau syarat tidak ada, ia  juga tidak akan meng-ada.</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Sedangkan mumkin al-wujûd adalah sesuatu yang meng-ada bukan  dengan dirinya sendiri, melainkan diadakan dan bergantung kepada  selainnya. Dengan kata lain, mumkin al-wujûd tidak mungkin terwujud  kecuali dengan mediasi selainnya.</w:t>
      </w:r>
      <w:r>
        <w:rPr>
          <w:rStyle w:val="FootnoteAnchor"/>
        </w:rPr>
        <w:footnoteReference w:id="314"/>
      </w:r>
      <w:r>
        <w:rPr>
          <w:rFonts w:eastAsia="Times New Roman" w:cs="Times New Roman" w:ascii="Times New Roman" w:hAnsi="Times New Roman"/>
          <w:color w:val="111111"/>
          <w:sz w:val="28"/>
          <w:szCs w:val="28"/>
          <w:lang w:val="en-US"/>
        </w:rPr>
        <w:t xml:space="preserve"> Penjelasan rasional ini menafikan secara pasti adanya mumtani’  al-wujûd (wujud mustahil). Pada saat yang sama, penjelasan ini tidak  mengidentifikasi apakah wujud eksternal (khârij) itu wâjib al-wujûd  ataukah mumkin al-wujûd. Dengan kata lain, kebenaran proposisi tersebut  dapat dipetakan dalam tiga asumsi. Pertama, setiap wujud adalah wajib  al-wujûd. Kedua, setiap wujud adalah mumkin al-wujûd. Ketiga, sebagian  realitas adalah wajib al-wujûd, dan sebagian lainnya mumkin al-wujûd.</w:t>
      </w:r>
      <w:r>
        <w:rPr>
          <w:rStyle w:val="FootnoteAnchor"/>
        </w:rPr>
        <w:footnoteReference w:id="315"/>
      </w:r>
      <w:r>
        <w:rPr>
          <w:rFonts w:eastAsia="Times New Roman" w:cs="Times New Roman" w:ascii="Times New Roman" w:hAnsi="Times New Roman"/>
          <w:color w:val="111111"/>
          <w:sz w:val="28"/>
          <w:szCs w:val="28"/>
          <w:lang w:val="en-US"/>
        </w:rPr>
        <w:t xml:space="preserve"> Berdasarkan asumsi pertama dan ketiga, menurut Muhammad Taqî  Misbâh Yazdî, keberadaan wajib al-wujûd sudah diafirmasi. Selanjutnya  beliau mempertanyakan: Apakah mungkin setiap keberadaan itu mumkin  al-wujûd? Kalau asumsi ini dapat digugurkan, maka keberadaan wajib  al-wujûd secara pasti dapat ditegaskan-kendati untuk mengafirmasi  keesaan dan seluruh sifat-Nya, diperlukan argumentasi tersendiri. </w:t>
      </w:r>
      <w:r>
        <w:rPr>
          <w:rStyle w:val="FootnoteAnchor"/>
        </w:rPr>
        <w:footnoteReference w:id="316"/>
      </w:r>
      <w:r>
        <w:rPr>
          <w:rFonts w:eastAsia="Times New Roman" w:cs="Times New Roman" w:ascii="Times New Roman" w:hAnsi="Times New Roman"/>
          <w:color w:val="111111"/>
          <w:sz w:val="28"/>
          <w:szCs w:val="28"/>
          <w:lang w:val="en-US"/>
        </w:rPr>
        <w:t xml:space="preserve"> Untuk menggugurkan asumsi kedua, menurutnya, perlu ditambahkan  premis lain pada argumen sebelumnya; bahwa seluruh keberadaan  tidak mungkin bersifat mumkin al-wujûd. Namun, premis ini bukanlah  premis badîhî (aprior). Oleh karena itu, mumkin al-wujûd membutuhkan  penyebab, yang karenanya, rangkaian penyebab tak berujung itu muhal  (mustahil). Maka dari itu, rangkaian penyebab harus berakhir pada </w:t>
      </w:r>
      <w:bookmarkStart w:id="214" w:name="pg6424_45191"/>
    </w:p>
    <w:p>
      <w:pPr>
        <w:pStyle w:val="BookText"/>
        <w:bidi w:val="0"/>
        <w:rPr/>
      </w:pPr>
      <w:bookmarkEnd w:id="214"/>
      <w:r>
        <w:rPr>
          <w:rFonts w:eastAsia="Times New Roman" w:cs="Times New Roman" w:ascii="Times New Roman" w:hAnsi="Times New Roman"/>
          <w:color w:val="111111"/>
          <w:sz w:val="28"/>
          <w:szCs w:val="28"/>
          <w:lang w:val="en-US"/>
        </w:rPr>
        <w:t xml:space="preserve">maujud yang bukan mumkin al-wujûd dan juga tidak lagi butuh kepada  penyebab. Artinya, ia wajib al-wujûd. </w:t>
      </w:r>
      <w:r>
        <w:rPr>
          <w:rStyle w:val="FootnoteAnchor"/>
        </w:rPr>
        <w:footnoteReference w:id="317"/>
      </w:r>
    </w:p>
    <w:p>
      <w:pPr>
        <w:pStyle w:val="Heading4"/>
        <w:numPr>
          <w:ilvl w:val="3"/>
          <w:numId w:val="1"/>
        </w:numPr>
        <w:bidi w:val="0"/>
        <w:jc w:val="left"/>
        <w:rPr/>
      </w:pPr>
      <w:bookmarkStart w:id="215" w:name="__RefHeading___Toc688673_653776707"/>
      <w:bookmarkStart w:id="216" w:name="_Toc76"/>
      <w:bookmarkEnd w:id="215"/>
      <w:r>
        <w:rPr/>
        <w:t>6. Illah dan Ma'lûl</w:t>
      </w:r>
      <w:bookmarkEnd w:id="21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Selain hukum Imtinâ’ ijtimâ'al-naqîdhain (prinisp non kontradiksi),  salah satu prinsip metafisika Sadrian adalah hukum kausalitas. Secara  umum, pendapat Muhammad Taqi Misbâh Yazdî tentang prinsip  kausalitas tidaklah berbeda dengan Mullâ Sadrâ.</w:t>
      </w:r>
      <w:r>
        <w:rPr>
          <w:rStyle w:val="FootnoteAnchor"/>
        </w:rPr>
        <w:footnoteReference w:id="318"/>
      </w:r>
      <w:r>
        <w:rPr>
          <w:rFonts w:eastAsia="Times New Roman" w:cs="Times New Roman" w:ascii="Times New Roman" w:hAnsi="Times New Roman"/>
          <w:color w:val="111111"/>
          <w:sz w:val="28"/>
          <w:szCs w:val="28"/>
          <w:lang w:val="en-US"/>
        </w:rPr>
        <w:t xml:space="preserve">Namun, sebagaimana  telah dijelaskan sebelumnya dalam tema harakah jawhariyyah dan  tasykîk al-wujûd, ia menolak rute gerak dan tasykîk yang menyamping  ('aradhiyyah) karena tidak berbasis kausalitas.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Menurut Muhammad Taqi Misbah Yazdî, dalam konteks filsafat,  wujud yang bergantung disebut akibat (maʼlül), dan wujud selainnya  (yang menjadi medium bergantung bagi wujud ma’lûl) disebut sebab  ('illah). Dan, boleh jadi sebab itu sendiri masih bergantung pada sebab  yang lain. Karena itu diperlukan distingsi tentang ragam 'illah.</w:t>
      </w:r>
      <w:r>
        <w:rPr>
          <w:rStyle w:val="FootnoteAnchor"/>
        </w:rPr>
        <w:footnoteReference w:id="319"/>
      </w:r>
      <w:r>
        <w:rPr>
          <w:rFonts w:eastAsia="Times New Roman" w:cs="Times New Roman" w:ascii="Times New Roman" w:hAnsi="Times New Roman"/>
          <w:color w:val="111111"/>
          <w:sz w:val="28"/>
          <w:szCs w:val="28"/>
          <w:lang w:val="en-US"/>
        </w:rPr>
        <w:t xml:space="preserve"> Dengan kata lain, pada gilirannya, “wujud sebab” itu sendiri masih  membutuhkan dan bergantung kepada sebab lain, yang hakikatnya juga  merupakan akibat dari wujud ketiga tersebut. Namun, jika sebab tersebut  bukan akibat dan tidak bergantung pada yang lain, maka ia adalah sebab  mutlak yang sama sekali tidak membutuhkan selainnya. Dengannya,  dikenal dua istilah filsafat, yakni “sebab" dan "akibat", berikut definisinya  masing-masing </w:t>
      </w:r>
      <w:r>
        <w:rPr>
          <w:rStyle w:val="FootnoteAnchor"/>
        </w:rPr>
        <w:footnoteReference w:id="320"/>
      </w:r>
      <w:r>
        <w:rPr>
          <w:rFonts w:eastAsia="Times New Roman" w:cs="Times New Roman" w:ascii="Times New Roman" w:hAnsi="Times New Roman"/>
          <w:color w:val="111111"/>
          <w:sz w:val="28"/>
          <w:szCs w:val="28"/>
          <w:lang w:val="en-US"/>
        </w:rPr>
        <w:t xml:space="preserve"> Selanjutnya, Muhammad Taqi Mishbâh Yazdî mengemukakan premis  bahwa setiap mumkin al-wujûdmembutuhkan sebab.</w:t>
      </w:r>
      <w:r>
        <w:rPr>
          <w:rStyle w:val="FootnoteAnchor"/>
        </w:rPr>
        <w:footnoteReference w:id="321"/>
      </w:r>
      <w:r>
        <w:rPr>
          <w:rFonts w:eastAsia="Times New Roman" w:cs="Times New Roman" w:ascii="Times New Roman" w:hAnsi="Times New Roman"/>
          <w:color w:val="111111"/>
          <w:sz w:val="28"/>
          <w:szCs w:val="28"/>
          <w:lang w:val="en-US"/>
        </w:rPr>
        <w:t xml:space="preserve">Mengingat mumkin  al-wujûd itu meng-ada bukan dengan dirinya sendiri, maka mumkinul  wujud bergantung pada sesuatu yang lain. Proposisi (qadhiyyah) berikut  ini diakui cukup gamblang; bahwa saat suatu predikat disandingkan  dengan suatu subjek, maka adakalanya predikat dapat diafirmasi pada  subjek secara dzati (substansial), dan adakalanya secara aradhi atau  aksidental, karena sesuatu yang lain (misal, sesuatu terkadang terang  secara substansial (dengan sendirinya], adakalanya disebabkan sesuatu  yang lain, misalnya cahaya; atau, setiap benda (jism] berminyak dengan  sendirinya, atau berminyak berkat mediasi yang lain, seperti minyak-  sementara asumsi yang mengatakan bahwa sesuatu terang atau berminyak  tidak dengan sendirinya, tidak pula melalui mediasi yang lain, tak lain  dari asumsi yang absurd). Karenanya, jika afirmasi wujud suatu subjek  tidak dengan dirinya sendiri, maka dipastikan wujudnya itu diafirmasi  melalui mediasi yang lain. Atas dasar ini, setiap mumkin al-wujûd (yang </w:t>
      </w:r>
    </w:p>
    <w:p>
      <w:pPr>
        <w:pStyle w:val="BookText"/>
        <w:bidi w:val="0"/>
        <w:rPr/>
      </w:pPr>
      <w:r>
        <w:rPr>
          <w:rFonts w:eastAsia="Times New Roman" w:cs="Times New Roman" w:ascii="Times New Roman" w:hAnsi="Times New Roman"/>
          <w:color w:val="111111"/>
          <w:sz w:val="28"/>
          <w:szCs w:val="28"/>
          <w:lang w:val="en-US"/>
        </w:rPr>
        <w:t xml:space="preserve">mungkin meng-ada) eksis melalui mediasi lain dan ia adalah akibat  baginya. </w:t>
      </w:r>
      <w:r>
        <w:rPr>
          <w:rStyle w:val="FootnoteAnchor"/>
        </w:rPr>
        <w:footnoteReference w:id="322"/>
      </w:r>
      <w:r>
        <w:rPr>
          <w:rFonts w:eastAsia="Times New Roman" w:cs="Times New Roman" w:ascii="Times New Roman" w:hAnsi="Times New Roman"/>
          <w:color w:val="111111"/>
          <w:sz w:val="28"/>
          <w:szCs w:val="28"/>
          <w:lang w:val="en-US"/>
        </w:rPr>
        <w:t xml:space="preserve"> Terdapat kaidah logika yang niscaya masuk akal; bahwa setiap  mumkin al-wujûd membutuhkan penyebab. Namun, bertolak dari  perspektif hukum Kausalitas (bahwa setiap keberadaan membutuhkan  sebab), sebagian orang lantas berasumsi bahwa wujud Allah SWT juga  seharusnya memerlukan penyebab. Namun, tak dapat disangkal bahwa  subjek dari hukum kausalitas bukanlah keberadaan absolut, melainkan  keberadaan yang mumkin atau ma’lül (akibat). Dengan kata lain, setiap  keberadaan "yang tidak berdiri sendiri” membutuhkan penyebab, bukan  setiap keberadaan tanpa ajektif itu.</w:t>
      </w:r>
      <w:r>
        <w:rPr>
          <w:rStyle w:val="FootnoteAnchor"/>
        </w:rPr>
        <w:footnoteReference w:id="323"/>
      </w:r>
      <w:r>
        <w:rPr>
          <w:rFonts w:eastAsia="Times New Roman" w:cs="Times New Roman" w:ascii="Times New Roman" w:hAnsi="Times New Roman"/>
          <w:color w:val="111111"/>
          <w:sz w:val="28"/>
          <w:szCs w:val="28"/>
          <w:lang w:val="en-US"/>
        </w:rPr>
        <w:t xml:space="preserve"> Muhammad Taqi Misbâh Yazdî juga mengargumentasikan wâjib  al-wujûd dengan prinsip imtinâ’ at-tasalsul (continuum ad infinitum).</w:t>
      </w:r>
    </w:p>
    <w:p>
      <w:pPr>
        <w:pStyle w:val="BookText"/>
        <w:bidi w:val="0"/>
        <w:jc w:val="both"/>
        <w:rPr/>
      </w:pPr>
      <w:r>
        <w:rPr>
          <w:rFonts w:eastAsia="Times New Roman" w:cs="Times New Roman" w:ascii="Times New Roman" w:hAnsi="Times New Roman"/>
          <w:color w:val="111111"/>
          <w:sz w:val="28"/>
          <w:szCs w:val="28"/>
          <w:lang w:val="en-US"/>
        </w:rPr>
        <w:t>Menurutnya, premis terakhir yang digunakan dalam argumentasi ini  ialah bahwa matarantai penyebab harus berakhir pada keberadaan  yang dengan sendirinya bukan lagi merupakan akibat. Sebagaimana  telah dikemukakan kaum teolog, tasalsul (continuum ad infinitum  atau matarantai sebab-akibat tak berujung pangkal) itu mustahil. Atas  dasar ini, wujud Tuhan dapat dibuktikan sebagai wâjib al-wujûd yang  merupakan penyebab pertama yang maujud dengan sendirinya dan tidak  memerlukan selainnya.</w:t>
      </w:r>
      <w:r>
        <w:rPr>
          <w:rStyle w:val="FootnoteAnchor"/>
        </w:rPr>
        <w:footnoteReference w:id="324"/>
      </w:r>
      <w:r>
        <w:rPr>
          <w:rFonts w:eastAsia="Times New Roman" w:cs="Times New Roman" w:ascii="Times New Roman" w:hAnsi="Times New Roman"/>
          <w:color w:val="111111"/>
          <w:sz w:val="28"/>
          <w:szCs w:val="28"/>
          <w:lang w:val="en-US"/>
        </w:rPr>
        <w:t xml:space="preserve"> Kalangan filsuf telah mengajukan berbagai argumen untuk  menunjukkan kemustahilan tasalsul ini; meski pada dasarnya,  itu merupakan persoalan yang nyaris badîhî (tidak memerlukan  argumentasi rasional). Setiap orang, sejenak saja merenungkan, akan  mampu memastikan kemustahilan tasalsul. Artinya, setiap wujud akibat  membutuhkan penyebab. Dengan kata lain, keberadaan penyebab  menjadi syarat keberadaannya.</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Menurutnya, apabila diasumsikan bahwa segala sesuatu merupakan  akibat (wujud yang diakibatkan) yang membutuhkan penyebab, tentu </w:t>
      </w:r>
    </w:p>
    <w:p>
      <w:pPr>
        <w:pStyle w:val="BookText"/>
        <w:bidi w:val="0"/>
        <w:rPr/>
      </w:pPr>
      <w:r>
        <w:rPr>
          <w:rFonts w:eastAsia="Times New Roman" w:cs="Times New Roman" w:ascii="Times New Roman" w:hAnsi="Times New Roman"/>
          <w:color w:val="111111"/>
          <w:sz w:val="28"/>
          <w:szCs w:val="28"/>
          <w:lang w:val="en-US"/>
        </w:rPr>
        <w:t>tidak akan ada keberadaan apapun. Karena, tidaklah masuk akal bila  mengasumsikan adanya matarantai yang saling bergantung tanpa  mengandaikan eksistensi yang memuncaki matarantai kesaling-  bergantungan itu. Lomba lari marathon, misalnya. Apabila seluruh  peserta berdiri di garis start, itu artinya mereka sudah siap berlomba.</w:t>
      </w:r>
    </w:p>
    <w:p>
      <w:pPr>
        <w:pStyle w:val="BookText"/>
        <w:bidi w:val="0"/>
        <w:jc w:val="both"/>
        <w:rPr/>
      </w:pPr>
      <w:r>
        <w:rPr>
          <w:rFonts w:eastAsia="Times New Roman" w:cs="Times New Roman" w:ascii="Times New Roman" w:hAnsi="Times New Roman"/>
          <w:color w:val="111111"/>
          <w:sz w:val="28"/>
          <w:szCs w:val="28"/>
          <w:lang w:val="en-US"/>
        </w:rPr>
        <w:t>Namun ternyata, semua peserta tidak mau memulai untuk berlari kecuali  jika yang lainnya memulai lebih dulu. Nah, apabila keputusan ini diambil  seluruh peserta, niscaya perlombaan lari itu tidak akan berlangsung  Begitu pula dengan wujud; jika segala sesuatu diakibatkan wujud yang  lain, niscaya tidak akan terwujud apapun, sama sekali.</w:t>
      </w:r>
    </w:p>
    <w:p>
      <w:pPr>
        <w:pStyle w:val="BookText"/>
        <w:bidi w:val="0"/>
        <w:jc w:val="both"/>
        <w:rPr/>
      </w:pPr>
      <w:r>
        <w:rPr>
          <w:rFonts w:eastAsia="Times New Roman" w:cs="Times New Roman" w:ascii="Times New Roman" w:hAnsi="Times New Roman"/>
          <w:color w:val="111111"/>
          <w:sz w:val="28"/>
          <w:szCs w:val="28"/>
          <w:lang w:val="en-US"/>
        </w:rPr>
        <w:t>Dengan demikian, adanya hal-hal eksternal yang bersifat objektif  merupakan bukti dari keberadaan sesuatu yang secara eksistensial tidak  membutuhkan wujud (penyebab) selainnya.</w:t>
      </w:r>
      <w:r>
        <w:rPr>
          <w:rStyle w:val="FootnoteAnchor"/>
        </w:rPr>
        <w:footnoteReference w:id="325"/>
      </w:r>
      <w:r>
        <w:rPr>
          <w:rFonts w:eastAsia="Times New Roman" w:cs="Times New Roman" w:ascii="Times New Roman" w:hAnsi="Times New Roman"/>
          <w:color w:val="111111"/>
          <w:sz w:val="28"/>
          <w:szCs w:val="28"/>
          <w:lang w:val="en-US"/>
        </w:rPr>
        <w:t xml:space="preserve"> Menurut Muhammad Taqi Misbah Yazdî, wujud segala sesuatu "yang  mungkin meng-ada” tidak terlepas dari dua kondisi: wujudnya bersifat  niscaya, ada dengan dirinya sendiri, yang diistilahkan dengan wâjib al-  wujûd (wujud niscaya-ada), atau tidak bersifat niscaya, namun wujudnya  tergantung pada yang lain (sebagaimana diistilahkan sebelumnya dengan  mumkin al-wujûd).</w:t>
      </w:r>
    </w:p>
    <w:p>
      <w:pPr>
        <w:pStyle w:val="BookText"/>
        <w:bidi w:val="0"/>
        <w:jc w:val="both"/>
        <w:rPr/>
      </w:pPr>
      <w:r>
        <w:rPr>
          <w:rFonts w:eastAsia="Times New Roman" w:cs="Times New Roman" w:ascii="Times New Roman" w:hAnsi="Times New Roman"/>
          <w:color w:val="111111"/>
          <w:sz w:val="28"/>
          <w:szCs w:val="28"/>
          <w:lang w:val="en-US"/>
        </w:rPr>
        <w:t>Dengan kata lain, sesuatu itu wâjib al-wujûd atau mumkin al-wujûd.</w:t>
      </w:r>
    </w:p>
    <w:p>
      <w:pPr>
        <w:pStyle w:val="BookText"/>
        <w:bidi w:val="0"/>
        <w:jc w:val="both"/>
        <w:rPr/>
      </w:pPr>
      <w:r>
        <w:rPr>
          <w:rFonts w:eastAsia="Times New Roman" w:cs="Times New Roman" w:ascii="Times New Roman" w:hAnsi="Times New Roman"/>
          <w:color w:val="111111"/>
          <w:sz w:val="28"/>
          <w:szCs w:val="28"/>
          <w:lang w:val="en-US"/>
        </w:rPr>
        <w:t>Jelas, jika bersifat mumtani' (tidak mungkin), maka sesuatu sama sekali  tidak akan pernah terwujud, dan tidak akan dinilai sebagai sesuatu apapun.</w:t>
      </w:r>
    </w:p>
    <w:p>
      <w:pPr>
        <w:pStyle w:val="BookText"/>
        <w:bidi w:val="0"/>
        <w:jc w:val="both"/>
        <w:rPr/>
      </w:pPr>
      <w:r>
        <w:rPr>
          <w:rFonts w:eastAsia="Times New Roman" w:cs="Times New Roman" w:ascii="Times New Roman" w:hAnsi="Times New Roman"/>
          <w:color w:val="111111"/>
          <w:sz w:val="28"/>
          <w:szCs w:val="28"/>
          <w:lang w:val="en-US"/>
        </w:rPr>
        <w:t>Dengan demikian, setiap sesuatu adalah, entah sebagai wujud niscaya-  ada (wajib al-wujûd) atau wujud kontingen (mumkin al-wujûd).</w:t>
      </w:r>
      <w:r>
        <w:rPr>
          <w:rStyle w:val="FootnoteAnchor"/>
        </w:rPr>
        <w:footnoteReference w:id="326"/>
      </w:r>
      <w:r>
        <w:rPr>
          <w:rFonts w:eastAsia="Times New Roman" w:cs="Times New Roman" w:ascii="Times New Roman" w:hAnsi="Times New Roman"/>
          <w:color w:val="111111"/>
          <w:sz w:val="28"/>
          <w:szCs w:val="28"/>
          <w:lang w:val="en-US"/>
        </w:rPr>
        <w:t xml:space="preserve"> Lalu, jika konsep wujud kontingen (mumkin al-wujûd) dikaji secara  teliti, jelas bahwa sesuatu yang menjadi mishdâq</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Misalnya, konsep manusia.adalah sebuah mishdâq dari konsep "yang universal", atau dari konsep "spesies". Terkadang, istilah  mishdâq diperkenalkan secara leksikal dengan kata intanta, terapan, ekstensi, atau personifikasi. Di sini  dan untuk selanjutnya, kami menggunakan istilah ini sebagaimana maksud dan ejaan aslinya.</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atau objek [eksternal</w:t>
      </w:r>
    </w:p>
    <w:p>
      <w:pPr>
        <w:pStyle w:val="BookText"/>
        <w:bidi w:val="0"/>
        <w:rPr/>
      </w:pPr>
      <w:r>
        <w:rPr>
          <w:rFonts w:eastAsia="Times New Roman" w:cs="Times New Roman" w:ascii="Times New Roman" w:hAnsi="Times New Roman"/>
          <w:color w:val="111111"/>
          <w:sz w:val="28"/>
          <w:szCs w:val="28"/>
          <w:lang w:val="en-US"/>
        </w:rPr>
        <w:t>maupun mental] yang koheren dengan konsep itu niscaya merupakan  [maujud] akibat dan membutuhkan penyebab. Karena, sesuatu yang  maujud tidak dengan dirinya sendiri dan keberadaannya membutuhkan  mediasi selainnya, maka wujudnya menjadi niscaya melalui mediasi  selainnya. Ini sebagaimana setiap sifat yang tidak dapat ditetapkan  dengan sendirinya, melainkan harus ditetapkan melalui mediasi.</w:t>
      </w:r>
      <w:r>
        <w:rPr>
          <w:rStyle w:val="FootnoteAnchor"/>
        </w:rPr>
        <w:footnoteReference w:id="328"/>
      </w:r>
      <w:r>
        <w:rPr>
          <w:rFonts w:eastAsia="Times New Roman" w:cs="Times New Roman" w:ascii="Times New Roman" w:hAnsi="Times New Roman"/>
          <w:color w:val="111111"/>
          <w:sz w:val="28"/>
          <w:szCs w:val="28"/>
          <w:lang w:val="en-US"/>
        </w:rPr>
        <w:t xml:space="preserve"> Inilah, menurut Muhammad Taqi Misbâh Yazdî, yang merupakan  makna hukum kausalitas, bahwa setiap sesuatu yang wujudnya lemah  atau bergantung serta bersifat mumkin al-wujûd, tentu membutuhkan  penyebab. Bila dikatakan bahwa “setiap sesuatu” membutuhkan  penyebab, maka itu bukan bermakna bahwa Tuhan juga memerlukannya  (penyebab), atau bukan bermakna bahwa iman kepada Allah, Zat Tak  Bersebab, bertentangan dengan hukum kausalitas.</w:t>
      </w:r>
    </w:p>
    <w:p>
      <w:pPr>
        <w:pStyle w:val="BookText"/>
        <w:bidi w:val="0"/>
        <w:jc w:val="both"/>
        <w:rPr/>
      </w:pPr>
      <w:r>
        <w:rPr>
          <w:rFonts w:eastAsia="Times New Roman" w:cs="Times New Roman" w:ascii="Times New Roman" w:hAnsi="Times New Roman"/>
          <w:color w:val="111111"/>
          <w:sz w:val="28"/>
          <w:szCs w:val="28"/>
          <w:lang w:val="en-US"/>
        </w:rPr>
        <w:t>Di sisi lain, jika dikatakan bahwa setiap keberadaan adalah wujud  kontingen (mumkin al-wujûd) dan membutuhkan penyebab, niscaya tidak  akan terwujud apapun. Ini sebagaimana contoh yang telah dikemukakan;  bahwa bila setiap peserta lomba marathon menggantungkan keputusan  untuk berlari kepada selainnya, niscaya perlombaan itu tidak akan pernah  berlangsung. Dengan demikian, hal-hal yang ada di luar itu merupakan  dasar pembuktian atas keberadaan wujud niscaya-ada (wâjib al-wujûd).</w:t>
      </w:r>
      <w:r>
        <w:rPr>
          <w:rStyle w:val="FootnoteAnchor"/>
        </w:rPr>
        <w:footnoteReference w:id="329"/>
      </w:r>
      <w:r>
        <w:rPr>
          <w:rFonts w:eastAsia="Times New Roman" w:cs="Times New Roman" w:ascii="Times New Roman" w:hAnsi="Times New Roman"/>
          <w:color w:val="111111"/>
          <w:sz w:val="28"/>
          <w:szCs w:val="28"/>
          <w:lang w:val="en-US"/>
        </w:rPr>
        <w:t xml:space="preserve"> Dari sini, gerbang teologi (al-ilâhiyat bi al-ma'nâ al-akhash) pun  terbuka. Melalui inferensi tentang (badâhah) ke-badîhî-yan—hubungan  sebab-akibat, keberadaan sebab yang pre-eternal menjadi sebuah  keniscayaan.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pandangan khas Muhammad Taqi Misbâh Yazdî dalam  masalah al-'illiyyah adalah penolakannya terhadap generalitas prinsip  unitas sebab bagi akibat yang dikenal dengan qâ'idat al-wâhid. </w:t>
      </w:r>
    </w:p>
    <w:p>
      <w:pPr>
        <w:pStyle w:val="BookText"/>
        <w:bidi w:val="0"/>
        <w:rPr/>
      </w:pPr>
      <w:r>
        <w:rPr>
          <w:rFonts w:eastAsia="Times New Roman" w:cs="Times New Roman" w:ascii="Times New Roman" w:hAnsi="Times New Roman"/>
          <w:color w:val="111111"/>
          <w:sz w:val="28"/>
          <w:szCs w:val="28"/>
          <w:lang w:val="en-US"/>
        </w:rPr>
        <w:t>Para filsuf Muslim bergumentasi bahwa keidentikan inheren  (sinkhiyyah dzâtiyyah) antara sebab dan akibat adalah keniscayaan  logis. Hal itu karena andaikan ada dua hal yang bertentangan atau lebih  merupakan akibat dari satu sebab, maka di dalam sebabnya haruslah ada  beberapa hal bertentangan yang sesuai (tusanikh) dengan setiap yang ada  di akibat. Artinya, sebab itu tidak lagi basîth (sederhana), padahal asumsi  Asumsi sebelumnya sebab itu adalah basîth.</w:t>
      </w:r>
    </w:p>
    <w:p>
      <w:pPr>
        <w:pStyle w:val="BookText"/>
        <w:bidi w:val="0"/>
        <w:jc w:val="both"/>
        <w:rPr/>
      </w:pPr>
      <w:r>
        <w:rPr>
          <w:rFonts w:eastAsia="Times New Roman" w:cs="Times New Roman" w:ascii="Times New Roman" w:hAnsi="Times New Roman"/>
          <w:color w:val="111111"/>
          <w:sz w:val="28"/>
          <w:szCs w:val="28"/>
          <w:lang w:val="en-US"/>
        </w:rPr>
        <w:t>Secara gelobal terdapat dua sudut pandang yang berbeda tentang  kaidah ini. Sebagian dari filsuf memandang dan memahaminya secara  umum dan gelobal, dimana satu sisi mencakup seluruh cabang sebab  bahkan termasuk juga sebab-sebab mu`idd (provider). Dan dari sisi lain,  jugamencakup seluruh pembagian jenis wâhidtermasuk jugawâhidnau'âi  (satu sebagai spesies). Menurut mereka ini, mufad(mafhum-)nya kaidah  al-wahid adalah bahwa setiap hal yang tunggal (wâhid) hanya dapat  memiliki satu sisi kekhususan dari kausalitas dan keterpengaruhan”.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Sebagian yang lain berpendapat bahwa lingkup kaidah al-wâhid  hanya berlaku pada wâjib al-wujûd. Hal itu karena, menurut mereka,  yang dimaksudkan dengan "Sebab Tunggal” adalah sebab yang memiliki  dimensi tunggal dan basâthah (ketidak terangkaian) secara sempurna,  bahkan tidak juga terangkai dari esensi (mâhiyyah) dan eksistensi  (eksistensi).</w:t>
      </w:r>
      <w:r>
        <w:rPr>
          <w:rStyle w:val="FootnoteAnchor"/>
        </w:rPr>
        <w:footnoteReference w:id="330"/>
      </w:r>
      <w:r>
        <w:rPr>
          <w:rFonts w:eastAsia="Times New Roman" w:cs="Times New Roman" w:ascii="Times New Roman" w:hAnsi="Times New Roman"/>
          <w:color w:val="111111"/>
          <w:sz w:val="28"/>
          <w:szCs w:val="28"/>
          <w:lang w:val="en-US"/>
        </w:rPr>
        <w:t xml:space="preserve"> Jelasnya, dalam kaidah al-wâhid tedapat dua hal yang pokok; yaitu  ketunggalan dan basathah (ketidak terangkaian).</w:t>
      </w:r>
      <w:r>
        <w:rPr>
          <w:rStyle w:val="FootnoteAnchor"/>
        </w:rPr>
        <w:footnoteReference w:id="331"/>
      </w:r>
      <w:r>
        <w:rPr>
          <w:rFonts w:eastAsia="Times New Roman" w:cs="Times New Roman" w:ascii="Times New Roman" w:hAnsi="Times New Roman"/>
          <w:color w:val="111111"/>
          <w:sz w:val="28"/>
          <w:szCs w:val="28"/>
          <w:lang w:val="en-US"/>
        </w:rPr>
        <w:t xml:space="preserve">Dengan kata lain,  bahwa yang dimaksudkan al-wâhid dalam kaidah tersebut adalah sesuatu </w:t>
      </w:r>
      <w:bookmarkStart w:id="217" w:name="pg6424_45209"/>
    </w:p>
    <w:p>
      <w:pPr>
        <w:pStyle w:val="BookText"/>
        <w:bidi w:val="0"/>
        <w:rPr/>
      </w:pPr>
      <w:bookmarkEnd w:id="217"/>
      <w:r>
        <w:rPr>
          <w:rFonts w:eastAsia="Times New Roman" w:cs="Times New Roman" w:ascii="Times New Roman" w:hAnsi="Times New Roman"/>
          <w:color w:val="111111"/>
          <w:sz w:val="28"/>
          <w:szCs w:val="28"/>
          <w:lang w:val="en-US"/>
        </w:rPr>
        <w:t>yang bukan kastrat (berbilang) dan bukan pula murakkab (terangkai).</w:t>
      </w:r>
      <w:r>
        <w:rPr>
          <w:rStyle w:val="FootnoteAnchor"/>
        </w:rPr>
        <w:footnoteReference w:id="332"/>
      </w:r>
      <w:r>
        <w:rPr>
          <w:rFonts w:eastAsia="Times New Roman" w:cs="Times New Roman" w:ascii="Times New Roman" w:hAnsi="Times New Roman"/>
          <w:color w:val="111111"/>
          <w:sz w:val="28"/>
          <w:szCs w:val="28"/>
          <w:lang w:val="en-US"/>
        </w:rPr>
        <w:t xml:space="preserve"> Muhammad Taqi Misbah Yazdî menolak argumentasi diatas.</w:t>
      </w:r>
    </w:p>
    <w:p>
      <w:pPr>
        <w:pStyle w:val="BookText"/>
        <w:bidi w:val="0"/>
        <w:jc w:val="both"/>
        <w:rPr/>
      </w:pPr>
      <w:r>
        <w:rPr>
          <w:rFonts w:eastAsia="Times New Roman" w:cs="Times New Roman" w:ascii="Times New Roman" w:hAnsi="Times New Roman"/>
          <w:color w:val="111111"/>
          <w:sz w:val="28"/>
          <w:szCs w:val="28"/>
          <w:lang w:val="en-US"/>
        </w:rPr>
        <w:t>Pertama, kaidah tersebut tidak berlaku khusus untuk Allah SWT, namun  mencakup segala sesuatu yang basiyth dalam alam realitas. Kedua,  kaidah tersebut tidak khusus untuk satu yang bersifat personal (syakhshî),  tapi juga mencakup satu spesies (nau'). Oleh karena itu, kaidah tersebut  hanya bisa diterapkan kepada yang sebab basith yang memiliki satu  macam kesempurnaan, seperti 'uqûl ‘ardhiyyah (intelektus-intelektus  horizontal)-bagi yang meyakininya—hanya bisa menghasilkan akibat  yang memiliki kesempurnaan di bawahnya. Sedangkan 'uqûl thûliyyah  (intelektus-intelektus vertikal) apalagi Allah, walaupun basith, memiliki  kesempurnaan yang banyak. Karenanya, bisa saja untuk menghasilkan  akibat yang banyak dan berbeda-beda.</w:t>
      </w:r>
    </w:p>
    <w:p>
      <w:pPr>
        <w:pStyle w:val="BookText"/>
        <w:bidi w:val="0"/>
        <w:jc w:val="both"/>
        <w:rPr/>
      </w:pPr>
      <w:r>
        <w:rPr>
          <w:rFonts w:eastAsia="Times New Roman" w:cs="Times New Roman" w:ascii="Times New Roman" w:hAnsi="Times New Roman"/>
          <w:color w:val="111111"/>
          <w:sz w:val="28"/>
          <w:szCs w:val="28"/>
          <w:lang w:val="en-US"/>
        </w:rPr>
        <w:t>Muhammad Taqi Misbâh Yazdî tidak menolak kaidah sinkhiyyah  (tasanukh) dalam sebab dan akibat, namun menurutnya, kaidah itu tidak  belaku umum, dan hanya berlaku untuk yang basîth dan memiliki satu  kesempurnaan.</w:t>
      </w:r>
      <w:r>
        <w:rPr>
          <w:rStyle w:val="FootnoteAnchor"/>
        </w:rPr>
        <w:footnoteReference w:id="333"/>
      </w:r>
    </w:p>
    <w:p>
      <w:pPr>
        <w:pStyle w:val="Heading3"/>
        <w:numPr>
          <w:ilvl w:val="2"/>
          <w:numId w:val="1"/>
        </w:numPr>
        <w:bidi w:val="0"/>
        <w:jc w:val="left"/>
        <w:rPr/>
      </w:pPr>
      <w:bookmarkStart w:id="218" w:name="__RefHeading___Toc688675_653776707"/>
      <w:bookmarkStart w:id="219" w:name="_Toc77"/>
      <w:bookmarkEnd w:id="218"/>
      <w:r>
        <w:rPr/>
        <w:t>B. Mâhiyyah</w:t>
      </w:r>
      <w:bookmarkEnd w:id="21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Istilah mâhiyyah dalam filsafat bermakna dua; salah satunya lebih  umum daripada selainnya. Makna khususnya didefinisikan sebagai  “sesuatu yang dikatakan sebagai jawaban atas pertanyaan “Apakah  itu?” Tentunya ia bisa diterapkan pada segenap maujud yang dapat  dikenali oleh pikiran yang, secara teknis, dikatakan memiliki batasan-  batasan spesifik eksistensi (specific limits of existence) dan yang tersantir  dalam benak sebagai bentuk objek-objek universalia primer (primary </w:t>
      </w:r>
    </w:p>
    <w:p>
      <w:pPr>
        <w:pStyle w:val="BookText"/>
        <w:bidi w:val="0"/>
        <w:rPr/>
      </w:pPr>
      <w:r>
        <w:rPr>
          <w:rFonts w:eastAsia="Times New Roman" w:cs="Times New Roman" w:ascii="Times New Roman" w:hAnsi="Times New Roman"/>
          <w:color w:val="111111"/>
          <w:sz w:val="28"/>
          <w:szCs w:val="28"/>
          <w:lang w:val="en-US"/>
        </w:rPr>
        <w:t xml:space="preserve">intelligibles)atau yang kita sebut juga dengan konsep-konsep mâhiyyah  (whatish concepts). </w:t>
      </w:r>
      <w:r>
        <w:rPr>
          <w:rStyle w:val="FootnoteAnchor"/>
        </w:rPr>
        <w:footnoteReference w:id="334"/>
      </w:r>
      <w:r>
        <w:rPr>
          <w:rFonts w:eastAsia="Times New Roman" w:cs="Times New Roman" w:ascii="Times New Roman" w:hAnsi="Times New Roman"/>
          <w:color w:val="111111"/>
          <w:sz w:val="28"/>
          <w:szCs w:val="28"/>
          <w:lang w:val="en-US"/>
        </w:rPr>
        <w:t xml:space="preserve">Tetapi, istilah yang lebih umumnya didefinisikan  sebagai </w:t>
      </w:r>
      <w:r>
        <w:rPr>
          <w:rFonts w:ascii="IRNazanin" w:hAnsi="IRNazanin" w:eastAsia="IRNazanin"/>
          <w:color w:val="111111"/>
          <w:sz w:val="28"/>
          <w:sz w:val="28"/>
          <w:szCs w:val="28"/>
          <w:rtl w:val="true"/>
          <w:lang w:bidi="fa-IR"/>
        </w:rPr>
        <w:t>ما به الشیی هوهو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hal yang menjadikan A adalah A/ that which  the thing itself is.). Dalam definisi kedua ini, mâhiyyah juga mencakup  pengertian hakikat objektif wujud dan Dzat Suci Tuhan. Dalam pengertian  inilah dikatakan bahwa “mâhiyyah Tuhan adalah wujud-Nya (</w:t>
      </w:r>
      <w:r>
        <w:rPr>
          <w:rFonts w:ascii="IRNazanin" w:hAnsi="IRNazanin" w:eastAsia="IRNazanin"/>
          <w:color w:val="111111"/>
          <w:sz w:val="28"/>
          <w:sz w:val="28"/>
          <w:szCs w:val="28"/>
          <w:rtl w:val="true"/>
          <w:lang w:bidi="fa-IR"/>
        </w:rPr>
        <w:t>الحق ماهیتة  انیته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Kalangan filsuf Muslim membagi quiditas-quditas (mâhiyat) yang  telah mengenakan busana wujud dalam realitas memiliki wujud lain yang  tidak menyandang pengaruh-pengaruh objektif yang bersifat eksternal.</w:t>
      </w:r>
    </w:p>
    <w:p>
      <w:pPr>
        <w:pStyle w:val="BookText"/>
        <w:bidi w:val="0"/>
        <w:jc w:val="both"/>
        <w:rPr/>
      </w:pPr>
      <w:r>
        <w:rPr>
          <w:rFonts w:eastAsia="Times New Roman" w:cs="Times New Roman" w:ascii="Times New Roman" w:hAnsi="Times New Roman"/>
          <w:color w:val="111111"/>
          <w:sz w:val="28"/>
          <w:szCs w:val="28"/>
          <w:lang w:val="en-US"/>
        </w:rPr>
        <w:t>Wujud yang tidak memiliki konsekuensi-konsekuensi eksternal inilah  yang disebut wujud zihni (eksistensi subjektif, wujûd dzihnî), yaitu  pengetahuan dan konsep seseorang tentang quiditas segala sesuatu.</w:t>
      </w:r>
    </w:p>
    <w:p>
      <w:pPr>
        <w:pStyle w:val="BookText"/>
        <w:bidi w:val="0"/>
        <w:jc w:val="both"/>
        <w:rPr/>
      </w:pPr>
      <w:r>
        <w:rPr>
          <w:rFonts w:eastAsia="Times New Roman" w:cs="Times New Roman" w:ascii="Times New Roman" w:hAnsi="Times New Roman"/>
          <w:color w:val="111111"/>
          <w:sz w:val="28"/>
          <w:szCs w:val="28"/>
          <w:lang w:val="en-US"/>
        </w:rPr>
        <w:t>Sesuatu yang ada karena manusia mempersepsinya disebut sesuatu yang  eksis secara konseptual. Eksistensi konseptual tak ubahnya bayangan  atau pantulan dari eksistensi eksternal objektif. Gambar dalam benak  tentang [sosok bernama) Salim, misalnya, adalah sesuatu yang eksis  secara konseptual setelah tidak lagi bertemu dan melihat sosok Salim  yang eksis secara eskternal.</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Eksistensi subjektif ini, dalam kamus ontologi, disebut shurah  (konsep, ide). Kata “ide” (idea) berasal dari kata Yunani, eidos,  yang semula berarti “visi” atau “kontemplasi”.</w:t>
      </w:r>
      <w:r>
        <w:rPr>
          <w:rStyle w:val="FootnoteAnchor"/>
        </w:rPr>
        <w:footnoteReference w:id="335"/>
      </w:r>
      <w:r>
        <w:rPr>
          <w:rFonts w:eastAsia="Times New Roman" w:cs="Times New Roman" w:ascii="Times New Roman" w:hAnsi="Times New Roman"/>
          <w:color w:val="111111"/>
          <w:sz w:val="28"/>
          <w:szCs w:val="28"/>
          <w:lang w:val="en-US"/>
        </w:rPr>
        <w:t xml:space="preserve">“Ide” didefinisikan  berdasarkan teori paripatetik sebagai gambaran yang muncul sebagai hasil  refleksi dari entitas eksternal dan objektif—dan sebagai curahan (faidh),  menurut pendapat Muhammad Taqi Misbâh Yazdî. Sedangkan “realitas”  didefinisikan sebagai entitas objektif yang eksis secara eksternal vis-à-  vis subjek berikut segenap pengaruhnya. Pemilik eksistensinya disebut  maujud (entitas) atau quiditas yang berwujud (mâhiyyah maujudah). </w:t>
      </w:r>
    </w:p>
    <w:p>
      <w:pPr>
        <w:pStyle w:val="BookText"/>
        <w:bidi w:val="0"/>
        <w:rPr/>
      </w:pPr>
      <w:r>
        <w:rPr>
          <w:rFonts w:eastAsia="Times New Roman" w:cs="Times New Roman" w:ascii="Times New Roman" w:hAnsi="Times New Roman"/>
          <w:color w:val="111111"/>
          <w:sz w:val="28"/>
          <w:szCs w:val="28"/>
          <w:lang w:val="en-US"/>
        </w:rPr>
        <w:t xml:space="preserve">Menurut Javadi Amuli, pembahasan wujûd dzihnî sangat terbuka  dengan kehadiran epistemologi-kendati sebagian isunya mesti  dilengkapi tema pembahasan al-'âqil wa al-ma'qûl (ontologi al-Hikmah  al-Muta’aliyah). Jika menyoroti ilmu dalam kaitannya dengan objeknya  (al-mahkî), maka ia dapat dibahas dalam tema wujud dzihnî. Namun  bila memandang hakikat ilmu itu sendiri sebagai sebuah realitas objektif  (khârijî) dalam an-nafs, maka seseorang harus memasuki kawasan al-aqil  wa ma`qûl (ontologi al-Hikmah al-Muta’aliyah). Dengan kata lain, wujud  zihni merupakan bagian dari pengetahuan hushûlî, karena merupakan  pengetahuan yang dimediasi konsep. Sedangkan pengetahuan hudhûrî  yang tidak dimediasi konsep berada di luar ranah wujûd dzihnî, karena  merupakan entitas objektif yang tak terindra. Itu artinya, pengetahuan  hushûlî merupakan isu epistemologis, sementara pengetahuan hudhûrî  termasuk isu ontologis. </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Saat ditanyakan, apakah ia juga meyakini ashalat al-wujúd wa al-mahiyyah sekaligus, Muhammad  Taqi Misbah Yazdi bersikukuh mempertahankan ashâlat al-wujûd. Boleh jadi, sikapnya ini demi  menghindarkan atmosfer filsafat di hawzah dari kekacauan. Harus diakui, pandangan ashalat  al-wujûd wa al-mahiyyah bisa dianggap sebagai sebuah ancaman serius terhadap bangunan  megah filsafat Sadra yang berdiri di atas fondasi ashâlat al-wujud. Fayyazdhi, dalam wawancara  dengan penulis, berjanji akan menerbitkan buku kontroversial yang isinya mendemonstrasikan  argumen-argumen tentang lemahnya prinsip ashålat al-wujûd.</w:t>
      </w:r>
    </w:p>
    <w:p>
      <w:pPr>
        <w:pStyle w:val="BookText"/>
        <w:bidi w:val="0"/>
        <w:jc w:val="both"/>
        <w:rPr/>
      </w:pPr>
      <w:r>
        <w:rPr>
          <w:rFonts w:eastAsia="Times New Roman" w:cs="Times New Roman" w:ascii="Times New Roman" w:hAnsi="Times New Roman"/>
          <w:color w:val="111111"/>
          <w:sz w:val="28"/>
          <w:szCs w:val="28"/>
          <w:lang w:val="en-US"/>
        </w:rPr>
        <w:t>Muhammad Taqi Misbah Yazdî juga menerima pendapat Mullâ  Sadrâ seputar pembagian primer mâhiyyah ke dalam dua kategori; 1)  esensi kompleks (mâhiyyah murakkabah),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2) esensi simpleks (mâhiyyah  basîtah).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Namun, Muhammad Taqi Misbâh Yazdî tidak memandang pembagian  Mullâ Sadrâ berdasarkan mâhiyyah kepada jawhar (subsantasi)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aradh (aksiden)</w:t>
      </w:r>
      <w:r>
        <w:rPr>
          <w:rStyle w:val="FootnoteAnchor"/>
        </w:rPr>
        <w:footnoteReference w:id="337"/>
      </w:r>
      <w:r>
        <w:rPr>
          <w:rFonts w:eastAsia="Times New Roman" w:cs="Times New Roman" w:ascii="Times New Roman" w:hAnsi="Times New Roman"/>
          <w:color w:val="111111"/>
          <w:sz w:val="28"/>
          <w:szCs w:val="28"/>
          <w:lang w:val="en-US"/>
        </w:rPr>
        <w:t>sebagai sisa pengaruh mazhab ashâlat al-wujûd yang  dianut sebelumnya oleh Mullâ Sadrâ. Ia baru menyadarinya beberapa  tahun setelah tidak lagi aktif memberikan kuliah al-Asfâr al-Arba'ah-  sebagaimana diungkapkan murid utamanya, Gholâm Rezâ Fayyâdhî,  dalam kuliah Nihâyat al-Hikmah beberapa tahun silam. Karena menyadari  hal itu, banyak pengajar filsafat yang tidak merasa perlu menjelaskan  secara terperinci sifat-sifat aksiden dan jenis-jenisnya. Selain karena  sebagian isinya tidak dapat dipertanggungkjawabkan secara argumentatif,  juga dianggap sudah memasuki ranah kosmologi dan fisika.</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Selanjutnya, klasifikasi eksistensial terhadap substansi yang  dilakukan Sadrâ menjadi lima kategori, yaitu mâddah</w:t>
      </w:r>
      <w:r>
        <w:rPr>
          <w:rStyle w:val="FootnoteAnchor"/>
        </w:rPr>
        <w:footnoteReference w:id="338"/>
      </w:r>
      <w:r>
        <w:rPr>
          <w:rFonts w:eastAsia="Times New Roman" w:cs="Times New Roman" w:ascii="Times New Roman" w:hAnsi="Times New Roman"/>
          <w:color w:val="111111"/>
          <w:sz w:val="28"/>
          <w:szCs w:val="28"/>
          <w:lang w:val="en-US"/>
        </w:rPr>
        <w:t>, shûrah”,</w:t>
      </w:r>
      <w:r>
        <w:rPr>
          <w:rStyle w:val="FootnoteAnchor"/>
        </w:rPr>
        <w:footnoteReference w:id="339"/>
      </w:r>
      <w:r>
        <w:rPr>
          <w:rFonts w:eastAsia="Times New Roman" w:cs="Times New Roman" w:ascii="Times New Roman" w:hAnsi="Times New Roman"/>
          <w:color w:val="111111"/>
          <w:sz w:val="28"/>
          <w:szCs w:val="28"/>
          <w:lang w:val="en-US"/>
        </w:rPr>
        <w:t xml:space="preserve"> jism</w:t>
      </w:r>
      <w:r>
        <w:rPr>
          <w:rStyle w:val="FootnoteAnchor"/>
        </w:rPr>
        <w:footnoteReference w:id="340"/>
      </w:r>
      <w:r>
        <w:rPr>
          <w:rFonts w:eastAsia="Times New Roman" w:cs="Times New Roman" w:ascii="Times New Roman" w:hAnsi="Times New Roman"/>
          <w:color w:val="111111"/>
          <w:sz w:val="28"/>
          <w:szCs w:val="28"/>
          <w:lang w:val="en-US"/>
        </w:rPr>
        <w:t>, nafs</w:t>
      </w:r>
      <w:r>
        <w:rPr>
          <w:rStyle w:val="FootnoteAnchor"/>
        </w:rPr>
        <w:footnoteReference w:id="341"/>
      </w:r>
      <w:r>
        <w:rPr>
          <w:rFonts w:eastAsia="Times New Roman" w:cs="Times New Roman" w:ascii="Times New Roman" w:hAnsi="Times New Roman"/>
          <w:color w:val="111111"/>
          <w:sz w:val="28"/>
          <w:szCs w:val="28"/>
          <w:lang w:val="en-US"/>
        </w:rPr>
        <w:t>, dan aql</w:t>
      </w:r>
      <w:r>
        <w:rPr>
          <w:rStyle w:val="FootnoteAnchor"/>
        </w:rPr>
        <w:footnoteReference w:id="342"/>
      </w:r>
      <w:r>
        <w:rPr>
          <w:rFonts w:eastAsia="Times New Roman" w:cs="Times New Roman" w:ascii="Times New Roman" w:hAnsi="Times New Roman"/>
          <w:color w:val="111111"/>
          <w:sz w:val="28"/>
          <w:szCs w:val="28"/>
          <w:lang w:val="en-US"/>
        </w:rPr>
        <w:t xml:space="preserve">, mulai dipertanyakan validitas dan legitimasinya  oleh Muhammad Taqi Misbâh Yazdî. </w:t>
      </w:r>
      <w:r>
        <w:rPr>
          <w:rStyle w:val="FootnoteAnchor"/>
        </w:rPr>
        <w:footnoteReference w:id="343"/>
      </w:r>
      <w:r>
        <w:rPr>
          <w:rFonts w:eastAsia="Times New Roman" w:cs="Times New Roman" w:ascii="Times New Roman" w:hAnsi="Times New Roman"/>
          <w:color w:val="111111"/>
          <w:sz w:val="28"/>
          <w:szCs w:val="28"/>
          <w:lang w:val="en-US"/>
        </w:rPr>
        <w:t xml:space="preserve"> Menurutnya, pembagian yang menghasilkan lima substansi itu  merupakan sebuah keterlanjuran. Ia tidak berkeberatan bila pembagian  itu dirampingkan menjadi tiga, yaitu jism (benda), nafs (jiwa), dan aql  (intelek). Dalam pada itu, ia menolak mâddah (materia, hyle, hayûlî)yang  otonom tanpa forma (shûrah), karena menurutnya, hayâlâ adalah sesuatu  yang bersifat artifisal. Lebih dari itu, ia malah mencurigainya sebagai  imbas dari mitologi Yunani kuno yang memengaruhi cara pandang para  filsuf Stoik. Selanjutnya, ia menelurkan dua opsi. Pertama, hyle itu  eksis. Bila demikian, itu artinya ia tidak memerlukan forma-sementara </w:t>
      </w:r>
      <w:bookmarkStart w:id="220" w:name="pg6424_45220"/>
    </w:p>
    <w:p>
      <w:pPr>
        <w:pStyle w:val="BookText"/>
        <w:bidi w:val="0"/>
        <w:rPr/>
      </w:pPr>
      <w:bookmarkEnd w:id="220"/>
      <w:r>
        <w:rPr>
          <w:rFonts w:eastAsia="Times New Roman" w:cs="Times New Roman" w:ascii="Times New Roman" w:hAnsi="Times New Roman"/>
          <w:color w:val="111111"/>
          <w:sz w:val="28"/>
          <w:szCs w:val="28"/>
          <w:lang w:val="en-US"/>
        </w:rPr>
        <w:t>ia hanya eksis secara eksternal bila dibubuhi forma. Kedua, bila hyle  (hayâlâ) tidak eksis, maka menggolongkannya sebagai salah satu kategori  substansi menjadi invalid. Nampaknya, inilah kritik pertama Muhammad  Taqî Misbâh Yazdî terhadap al-Hikmah al-Muta’aliyah.</w:t>
      </w:r>
    </w:p>
    <w:p>
      <w:pPr>
        <w:pStyle w:val="Heading3"/>
        <w:numPr>
          <w:ilvl w:val="2"/>
          <w:numId w:val="1"/>
        </w:numPr>
        <w:bidi w:val="0"/>
        <w:jc w:val="left"/>
        <w:rPr/>
      </w:pPr>
      <w:bookmarkStart w:id="221" w:name="__RefHeading___Toc688677_653776707"/>
      <w:bookmarkStart w:id="222" w:name="_Toc78"/>
      <w:bookmarkEnd w:id="221"/>
      <w:r>
        <w:rPr/>
        <w:t>C. Jawhar dan `Aradh</w:t>
      </w:r>
      <w:bookmarkEnd w:id="222"/>
    </w:p>
    <w:p>
      <w:pPr>
        <w:pStyle w:val="BookText"/>
        <w:bidi w:val="0"/>
        <w:jc w:val="both"/>
        <w:rPr/>
      </w:pPr>
      <w:r>
        <w:rPr>
          <w:rFonts w:eastAsia="Times New Roman" w:cs="Times New Roman" w:ascii="Times New Roman" w:hAnsi="Times New Roman"/>
          <w:color w:val="111111"/>
          <w:sz w:val="28"/>
          <w:szCs w:val="28"/>
          <w:lang w:val="en-US"/>
        </w:rPr>
        <w:t>Mullâ Sadrâ membagi substansi, ditinjau dari eksistensinya terbagi  menjadi lima; 1) Forma, (shûrah), yaitu tampilan khusus seseuatu,  seperti gambar (tampilan) manusia, pohon, dan sebagainya. 2) Benda  (materi, mâddah), yaitu inti setiap entitas dan mengenakan forma, seperti  benda kayu dalam tampilan kursi, benda katun dalam forma kemeja, dan  sebagainya. 3) Raga, (body, jsm) yaitu entitas (sesuatu) yang terdiri atas  benda dan forma. 4) Jiwa (nafs), entitas non bendawi namun berhubungan  (bersambung) dengan raga material dan bekerja di dalamnya secara  misterius. 5) Akal ("aql, intelek), yaitu substansi unik yang mempunyai  kemampuan untuk memahami dengan perantara benda, dan kadang kala  tanpa perantaranya.</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Aksiden-aksiden yang berjumlah 9 itu adalah genus-genus maksimum  (ajnas ‘aliyah) yang tidak berada di bawah level genus apapun. Karena  itulah, masing-masing aksiden tidak dapat didefinisikan secara hakiki  dengan genus dan deferentia. </w:t>
      </w:r>
      <w:r>
        <w:rPr>
          <w:rStyle w:val="FootnoteAnchor"/>
        </w:rPr>
        <w:footnoteReference w:id="344"/>
      </w:r>
      <w:r>
        <w:rPr>
          <w:rFonts w:eastAsia="Times New Roman" w:cs="Times New Roman" w:ascii="Times New Roman" w:hAnsi="Times New Roman"/>
          <w:color w:val="111111"/>
          <w:sz w:val="28"/>
          <w:szCs w:val="28"/>
          <w:lang w:val="en-US"/>
        </w:rPr>
        <w:t xml:space="preserve"> Muhammad Taqi Misbâh Yazdî mempertanyakan dasar pembagian  substansi ini, karena, menurutnya, potensi adalah sesuatu yang  semestinya tidak berada di dalamnya. Sebagaimana diketahui, raga atau  jism adalah gabungan dari quwwah atau mâddah ûlâ dan shûrah atau  forma yang bertugas memberikan baju realitas (wâqi'). Artinya, sejak  semula ditetapkan bahwa quwwah (potensi) tanpa shûrah (aktus) tidaklah  ada. Dari definisi ini, Muhammad Taqi Misbah Yazdî menganggap </w:t>
      </w:r>
    </w:p>
    <w:p>
      <w:pPr>
        <w:pStyle w:val="BookText"/>
        <w:bidi w:val="0"/>
        <w:rPr/>
      </w:pPr>
      <w:r>
        <w:rPr>
          <w:rFonts w:eastAsia="Times New Roman" w:cs="Times New Roman" w:ascii="Times New Roman" w:hAnsi="Times New Roman"/>
          <w:color w:val="111111"/>
          <w:sz w:val="28"/>
          <w:szCs w:val="28"/>
          <w:lang w:val="en-US"/>
        </w:rPr>
        <w:t xml:space="preserve">keanggotaan quwwah yang disebut al-hayula dalam substansi adalah  sesuatu yang percuma dan tidak berdasar. </w:t>
      </w:r>
      <w:r>
        <w:rPr>
          <w:rStyle w:val="FootnoteAnchor"/>
        </w:rPr>
        <w:footnoteReference w:id="345"/>
      </w:r>
      <w:r>
        <w:rPr>
          <w:rFonts w:eastAsia="Times New Roman" w:cs="Times New Roman" w:ascii="Times New Roman" w:hAnsi="Times New Roman"/>
          <w:color w:val="111111"/>
          <w:sz w:val="28"/>
          <w:szCs w:val="28"/>
          <w:lang w:val="en-US"/>
        </w:rPr>
        <w:t xml:space="preserve"> Dalam wawancara dengan penulis, saat dikonformasi tentang pola  baru pembagian substansi, Muhammad Taqi Misbâh Yazdî mengusulkan  agar pembagian substansi dirampingkan menjadi tiga; ‘aql, nafs dan jism.</w:t>
      </w:r>
    </w:p>
    <w:p>
      <w:pPr>
        <w:pStyle w:val="BookText"/>
        <w:bidi w:val="0"/>
        <w:jc w:val="both"/>
        <w:rPr/>
      </w:pPr>
      <w:r>
        <w:rPr>
          <w:rFonts w:eastAsia="Times New Roman" w:cs="Times New Roman" w:ascii="Times New Roman" w:hAnsi="Times New Roman"/>
          <w:color w:val="111111"/>
          <w:sz w:val="28"/>
          <w:szCs w:val="28"/>
          <w:lang w:val="en-US"/>
        </w:rPr>
        <w:t xml:space="preserve">Sedangkan shurah, karena tidak lagi dianggap sebagai pasangan mâddah  ûlâ, maka dia menjadi bagian dari tak terpisahkan dari setiap entitas  ragawi. Sayangnya, dalam Âmûzesy-e Falsafeh, ia tidak menggunakan  pola pembagian tersebut. </w:t>
      </w:r>
      <w:r>
        <w:rPr>
          <w:rStyle w:val="FootnoteAnchor"/>
        </w:rPr>
        <w:footnoteReference w:id="346"/>
      </w:r>
      <w:r>
        <w:rPr>
          <w:rFonts w:eastAsia="Times New Roman" w:cs="Times New Roman" w:ascii="Times New Roman" w:hAnsi="Times New Roman"/>
          <w:color w:val="111111"/>
          <w:sz w:val="28"/>
          <w:szCs w:val="28"/>
          <w:lang w:val="en-US"/>
        </w:rPr>
        <w:t xml:space="preserve"> Salah satu pandangan khas Muhammad Taqi Misbâh Yazdî adalah  penolakannya terhadap sepuluh intelektus ('uqûl asyrah).</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Meskitidak menyetujui adanya jumlah akal yang sepuluh, Muhammad  Taqî Misbâh Yazdî sebagimana para filsuf sebelumnya, bependapat  bahwa terdapat hirarki wujud (silsilah marâtib al-wujûd) dan bahwa  yang pertama adalah paling sempurna serta hanya ada satu tidak lebih,  disebut dengan al-'aql al-awwal, namun Muhammad Taqi Misbâh Yazdî  tidak mendasarkannya kaidah al-wahid, melainkan mendasarkannya  pada prinsip ashâlat al-wujûd, karena, menurutnya, bila wujud semakin  kuat, maka semakin basith dan semakin dekat dengan ketunggalan (al-  wahdat). </w:t>
      </w:r>
      <w:r>
        <w:rPr>
          <w:rStyle w:val="FootnoteAnchor"/>
        </w:rPr>
        <w:footnoteReference w:id="347"/>
      </w:r>
      <w:r>
        <w:rPr>
          <w:rFonts w:eastAsia="Times New Roman" w:cs="Times New Roman" w:ascii="Times New Roman" w:hAnsi="Times New Roman"/>
          <w:color w:val="111111"/>
          <w:sz w:val="28"/>
          <w:szCs w:val="28"/>
          <w:lang w:val="en-US"/>
        </w:rPr>
        <w:t xml:space="preserve"> Mereka yang menerima bahwa kaidah al-wahid mencakup selain  Allah SWT, maka mereka harus menajwab pertanyaan bagaimana  munculnya yang banyak dari Akal ke 10 thûliyyah dan begitu juga al-  ‘uqul al-`aradhiyyah (Isyraq). Para pengiman 10 akal menjelaskan  bahwa walaupun akal pertama itu adalah satu personal, namun memiliki  banyak aspek (jihat), yaitu </w:t>
      </w:r>
    </w:p>
    <w:p>
      <w:pPr>
        <w:pStyle w:val="BookText"/>
        <w:bidi w:val="0"/>
        <w:rPr/>
      </w:pPr>
      <w:r>
        <w:rPr>
          <w:rFonts w:eastAsia="Times New Roman" w:cs="Times New Roman" w:ascii="Times New Roman" w:hAnsi="Times New Roman"/>
          <w:color w:val="111111"/>
          <w:sz w:val="28"/>
          <w:szCs w:val="28"/>
          <w:lang w:val="en-US"/>
        </w:rPr>
        <w:t>(1) ilmunya tentang esensi dirinya yang mumkin, --→ menjadi sebab  munculnya jurm al-falak al-aqshâ.</w:t>
      </w:r>
    </w:p>
    <w:p>
      <w:pPr>
        <w:pStyle w:val="BookText"/>
        <w:bidi w:val="0"/>
        <w:jc w:val="both"/>
        <w:rPr/>
      </w:pPr>
      <w:r>
        <w:rPr>
          <w:rFonts w:eastAsia="Times New Roman" w:cs="Times New Roman" w:ascii="Times New Roman" w:hAnsi="Times New Roman"/>
          <w:color w:val="111111"/>
          <w:sz w:val="28"/>
          <w:szCs w:val="28"/>
          <w:lang w:val="en-US"/>
        </w:rPr>
        <w:t>(2) pengetahuannya, bahwa ia wajib bi al-ghair, --&gt; menjadi sebab  munculnya falak aqsha.</w:t>
      </w:r>
    </w:p>
    <w:p>
      <w:pPr>
        <w:pStyle w:val="BookText"/>
        <w:bidi w:val="0"/>
        <w:jc w:val="both"/>
        <w:rPr/>
      </w:pPr>
      <w:r>
        <w:rPr>
          <w:rFonts w:eastAsia="Times New Roman" w:cs="Times New Roman" w:ascii="Times New Roman" w:hAnsi="Times New Roman"/>
          <w:color w:val="111111"/>
          <w:sz w:val="28"/>
          <w:szCs w:val="28"/>
          <w:lang w:val="en-US"/>
        </w:rPr>
        <w:t>(3) ilmunya pada `illah-nya, yaitu wajib, --&gt; menjadi sebab munculnya  akal ke-2 dan begitulah seterusnya hingga akal ke-9.</w:t>
      </w:r>
    </w:p>
    <w:p>
      <w:pPr>
        <w:pStyle w:val="BookText"/>
        <w:bidi w:val="0"/>
        <w:jc w:val="both"/>
        <w:rPr/>
      </w:pPr>
      <w:r>
        <w:rPr>
          <w:rFonts w:eastAsia="Times New Roman" w:cs="Times New Roman" w:ascii="Times New Roman" w:hAnsi="Times New Roman"/>
          <w:color w:val="111111"/>
          <w:sz w:val="28"/>
          <w:szCs w:val="28"/>
          <w:lang w:val="en-US"/>
        </w:rPr>
        <w:t>Sedangkan akal 10 yang muncul darinya tanpa keikutsertaan yang  lain, ialah jurm âlam al-anâshir. Menurut mereka, yang tercipta dengan  keikutsertaan yang lain adalah shuwar (forma-forma) dan 'a'radh  (aksiden-aksiden), karena itu yang banyak ini tidaklah tercipta dari  pelaku wahid bimâ annahu wâhid (satu sebagai yang satu).</w:t>
      </w:r>
    </w:p>
    <w:p>
      <w:pPr>
        <w:pStyle w:val="BookText"/>
        <w:bidi w:val="0"/>
        <w:jc w:val="both"/>
        <w:rPr/>
      </w:pPr>
      <w:r>
        <w:rPr>
          <w:rFonts w:eastAsia="Times New Roman" w:cs="Times New Roman" w:ascii="Times New Roman" w:hAnsi="Times New Roman"/>
          <w:color w:val="111111"/>
          <w:sz w:val="28"/>
          <w:szCs w:val="28"/>
          <w:lang w:val="en-US"/>
        </w:rPr>
        <w:t>Muhammad Taqi Misbah Yazdî mempertanyakan penjelasan para  filsuf pendukung 10 akal. Apakah sisi yang tiga itu banyaknya haqîqî  atau i'tibârî? Jika haqîqî, maka berarti akan bertentangan dengan kaidah  al-wâhid itu sendiri, karena telah tercipta sesuatu yang banyak dari satu  sebab di tingkat pertama. Sebaliknya, andaikan ia berisfat i'tibârî, maka  hal itu juga keniscayaan pada tingkat ke dua.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Lebih lenjut, Muhammad Taqi Misbah Yazdî mempertanyakan  hubungan antar masing-masing ilmu dengan akibatnya. Dengan kata lain,  ia mepertanyakan jenis hubungan inheren apakah yang mengharuskan  masing-masing secara niscaya (bi al-dharûrah), padahal di dalam pelaku  ilmi, yang diharuskan adalah pengetahuannya dengan akibatnya bukan  dengan lainnya? Mengapa ‘akal kedua” tidak menghasilkan akibat yang  lebih banyak, padahal dia memiliki ilmu lain, yaitu pengetahuannya  dengan akal pertama? Pertanyaan sanggahan ini juga berlaku untuk  setiap akal berikutnya.</w:t>
      </w:r>
      <w:r>
        <w:rPr>
          <w:rStyle w:val="FootnoteAnchor"/>
        </w:rPr>
        <w:footnoteReference w:id="348"/>
      </w:r>
      <w:r>
        <w:rPr>
          <w:rFonts w:eastAsia="Times New Roman" w:cs="Times New Roman" w:ascii="Times New Roman" w:hAnsi="Times New Roman"/>
          <w:color w:val="111111"/>
          <w:sz w:val="28"/>
          <w:szCs w:val="28"/>
          <w:lang w:val="en-US"/>
        </w:rPr>
        <w:t xml:space="preserve"> Menurut penulis, pandangan Muhammad Taqi Misbah Yazdî tentang  potensi yang dianggapnya sebagai non eksis, dan karenanya tidak mesti </w:t>
      </w:r>
      <w:bookmarkStart w:id="223" w:name="pg6424_45229"/>
    </w:p>
    <w:p>
      <w:pPr>
        <w:pStyle w:val="BookText"/>
        <w:bidi w:val="0"/>
        <w:rPr/>
      </w:pPr>
      <w:bookmarkEnd w:id="223"/>
      <w:r>
        <w:rPr>
          <w:rFonts w:eastAsia="Times New Roman" w:cs="Times New Roman" w:ascii="Times New Roman" w:hAnsi="Times New Roman"/>
          <w:color w:val="111111"/>
          <w:sz w:val="28"/>
          <w:szCs w:val="28"/>
          <w:lang w:val="en-US"/>
        </w:rPr>
        <w:t>menjadi bagian dari substansi, memang rasional. Namun, sikap tersebut  tidak ditunjukkan secara ekspilisit dalam karya-karyanya. Mestinya, ia  membagi substansi pada tiga bagian saja, yaitu ‘aql sebagai substansi  abstrak, nafs sebagai substansi semi abstrak, dan jism sebagai substansi  konkret. Namun dalam bukunya, ia tetap membagi substansi menjadi  lima, aql, nafs, jism, potensi dan aktus.</w:t>
      </w:r>
    </w:p>
    <w:p>
      <w:pPr>
        <w:pStyle w:val="BookText"/>
        <w:bidi w:val="0"/>
        <w:jc w:val="both"/>
        <w:rPr/>
      </w:pPr>
      <w:r>
        <w:rPr>
          <w:rFonts w:eastAsia="Times New Roman" w:cs="Times New Roman" w:ascii="Times New Roman" w:hAnsi="Times New Roman"/>
          <w:color w:val="111111"/>
          <w:sz w:val="28"/>
          <w:szCs w:val="28"/>
          <w:lang w:val="en-US"/>
        </w:rPr>
        <w:t>Hal lain yang menimbulkan tanda tanya, ialah kalaupun potensi dan  aktus diakui keberadaannya sebagai pasangan yang tak terpisahkan, maka  sebenarnya keduanya juga tidak patut dimasukkan dalam pembagian  substansi, karena quwwah dan shûrah tidak lain dari bagian membentuk  jism yang telah disebutkan pada urutan substansi sebelumnya. Jadi,  memasukkan keduanya merupakan inkonsistensi dan ketidakcermatan  dalam pembagian.</w:t>
      </w:r>
    </w:p>
    <w:p>
      <w:pPr>
        <w:pStyle w:val="Heading3"/>
        <w:numPr>
          <w:ilvl w:val="2"/>
          <w:numId w:val="1"/>
        </w:numPr>
        <w:bidi w:val="0"/>
        <w:jc w:val="left"/>
        <w:rPr/>
      </w:pPr>
      <w:bookmarkStart w:id="224" w:name="__RefHeading___Toc688679_653776707"/>
      <w:bookmarkStart w:id="225" w:name="_Toc79"/>
      <w:bookmarkEnd w:id="224"/>
      <w:r>
        <w:rPr/>
        <w:t>D. Harakah Jawhariyyah</w:t>
      </w:r>
      <w:bookmarkEnd w:id="225"/>
    </w:p>
    <w:p>
      <w:pPr>
        <w:pStyle w:val="BookText"/>
        <w:bidi w:val="0"/>
        <w:jc w:val="both"/>
        <w:rPr/>
      </w:pPr>
      <w:r>
        <w:rPr>
          <w:rFonts w:eastAsia="Times New Roman" w:cs="Times New Roman" w:ascii="Times New Roman" w:hAnsi="Times New Roman"/>
          <w:color w:val="111111"/>
          <w:sz w:val="28"/>
          <w:szCs w:val="28"/>
          <w:lang w:val="en-US"/>
        </w:rPr>
        <w:t>Secara filsufis gerak biasanya didefinisikan dengan perubahan  bertahap sejalan dengan perputaran waktu. Wacana gerak, seperti  halnya wacana-wacana filsafat lainnya telah lama menjadi perhatian  para filsuf. Perhatian itu bahkan telah ada sejak masa Yunani Kuno.</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Persoalan krusial yang muncul di seputar wacana gerak ini adalah  pertama, apakah perubahan-perubahan yang terjadi di alam semesta  ini merupakan perubahan-perubahan yang bersifat luaran, yaitu hanya  menyangkut konfigurasi, bentuk dan aksiden dari alam semesta, ataukah  merupakan sesuatu yang fundamental, sehingga tidak terdapat fenomena  yang konstan di alam semesta? Kedua, apakah perubahan-perubahan  yang terjadi di alam ini bersifat sesaat dan sementara, ataukah bersifat  gradual dan berlarut-larut? Democritus menyatakan bahwa seluruh  perubahan atau pergantian bentuk, hanya terjadi pada bagian luar saja  (konfigurasi, bentuk dan aksiden alam semesta). Karena maujud-maujud  alamiah dibentuk oleh partikel-partikel atomik yang selamanya berada  dalam keadaan sama dan tak dapat berubah. </w:t>
      </w:r>
    </w:p>
    <w:p>
      <w:pPr>
        <w:pStyle w:val="BookText"/>
        <w:bidi w:val="0"/>
        <w:rPr/>
      </w:pPr>
      <w:r>
        <w:rPr>
          <w:rFonts w:eastAsia="Times New Roman" w:cs="Times New Roman" w:ascii="Times New Roman" w:hAnsi="Times New Roman"/>
          <w:color w:val="111111"/>
          <w:sz w:val="28"/>
          <w:szCs w:val="28"/>
          <w:lang w:val="en-US"/>
        </w:rPr>
        <w:t>Singkatnya perubahan sesuatu menurut Demokritus adalah perubahan  dari satu bentuk ke bentuk lain. Sedangkan ciri atau watak alamiah  tidak pernah mengalami perubahan. Aristoteles mengikut Demokritus  meyakini bahwa gerak atau perubahan yang terjadi pada sesuatu adalah  perubahan bagian luar. Karena itu, gerak atau perubahan kuantitatif dan  perubahan lokal (gerak aksiden). Mullâ Sadrâ mengritik rumusan gerak  atau perubahan yang terjadi pada empat kategori di atas, dan mengajukan  satu konsep gerak yang cukup fundamental, harakah jawhariyyah.</w:t>
      </w:r>
    </w:p>
    <w:p>
      <w:pPr>
        <w:pStyle w:val="BookText"/>
        <w:bidi w:val="0"/>
        <w:jc w:val="both"/>
        <w:rPr/>
      </w:pPr>
      <w:r>
        <w:rPr>
          <w:rFonts w:eastAsia="Times New Roman" w:cs="Times New Roman" w:ascii="Times New Roman" w:hAnsi="Times New Roman"/>
          <w:color w:val="111111"/>
          <w:sz w:val="28"/>
          <w:szCs w:val="28"/>
          <w:lang w:val="en-US"/>
        </w:rPr>
        <w:t xml:space="preserve">Dalam konsep ini, Mullâ Sadrâ menyatakan bahwa perubahan yang  terjadi tidak terbatas pada empat kategori aksiden, tapi juga terjadi  pada kategori substansi. Sebab, menurutnya, jika substansi benda tidak  berubah maka keadaan-keadaan, sifat-sifat dan aksiden-aksidennya pun  tidak akan mungkin berubah. </w:t>
      </w:r>
      <w:r>
        <w:rPr>
          <w:rStyle w:val="FootnoteAnchor"/>
        </w:rPr>
        <w:footnoteReference w:id="349"/>
      </w:r>
      <w:r>
        <w:rPr>
          <w:rFonts w:eastAsia="Times New Roman" w:cs="Times New Roman" w:ascii="Times New Roman" w:hAnsi="Times New Roman"/>
          <w:color w:val="111111"/>
          <w:sz w:val="28"/>
          <w:szCs w:val="28"/>
          <w:lang w:val="en-US"/>
        </w:rPr>
        <w:t>Susbtansi adalah poros geraknya. Karena  itu ia mesti bergerak.</w:t>
      </w:r>
    </w:p>
    <w:p>
      <w:pPr>
        <w:pStyle w:val="BookText"/>
        <w:bidi w:val="0"/>
        <w:jc w:val="both"/>
        <w:rPr/>
      </w:pPr>
      <w:r>
        <w:rPr>
          <w:rFonts w:eastAsia="Times New Roman" w:cs="Times New Roman" w:ascii="Times New Roman" w:hAnsi="Times New Roman"/>
          <w:color w:val="111111"/>
          <w:sz w:val="28"/>
          <w:szCs w:val="28"/>
          <w:lang w:val="en-US"/>
        </w:rPr>
        <w:t>Mullâ Sadrâ meyakini bahwa setiap maujud ragawi mesti bergerak,  karena maujud stagnan (yang tidak bergerak) pastilah abstrak (bebas dari  materia). Dengan kata lain, menurutnya, hanya maujud immaterial yang  tidak mengalami gerak. Gerak dalam aksiden-aksiden (gerak aksidental)-  yang sebelumnya diyakini oleh para filsuf sebelumnya, adalah akibat  dari gerak dalam substansi. Itu berarti, gerak terjadi dalam substansi dan  terjadi pula dalam aksiden, sebagai akibatnya.</w:t>
      </w:r>
      <w:r>
        <w:rPr>
          <w:rStyle w:val="FootnoteAnchor"/>
        </w:rPr>
        <w:footnoteReference w:id="350"/>
      </w:r>
      <w:r>
        <w:rPr>
          <w:rFonts w:eastAsia="Times New Roman" w:cs="Times New Roman" w:ascii="Times New Roman" w:hAnsi="Times New Roman"/>
          <w:color w:val="111111"/>
          <w:sz w:val="28"/>
          <w:szCs w:val="28"/>
          <w:lang w:val="en-US"/>
        </w:rPr>
        <w:t xml:space="preserve"> Yang dimaksud Mullâ Sadrâ dengan gerak substansi (gerak  substansial), adalah perjalanan (perpindahan) dari sebuah substansi ke  substansi lainnya, sehingga substansi menjadi rute bagi diri substansi  sekaligus menjadi rute perpindahan bagi substansi tersebut. Jadi, yang  bergerak (mutaharrik) dalam semua macam gerak adalah substansi,  bukan selain-Nya. Contohnya adalah gerak yang dialami makanan.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Asumsikan bahwa substansi yang dikonsukmsi manusia itu adalah  substansi padat, ia bergerak menuju kesempurnaan ketika dimakan, lalu  menjadi tanaman dan substansi berkembang. Ia melanjutkan prosesnya </w:t>
      </w:r>
    </w:p>
    <w:p>
      <w:pPr>
        <w:pStyle w:val="BookText"/>
        <w:bidi w:val="0"/>
        <w:rPr/>
      </w:pPr>
      <w:r>
        <w:rPr>
          <w:rFonts w:eastAsia="Times New Roman" w:cs="Times New Roman" w:ascii="Times New Roman" w:hAnsi="Times New Roman"/>
          <w:color w:val="111111"/>
          <w:sz w:val="28"/>
          <w:szCs w:val="28"/>
          <w:lang w:val="en-US"/>
        </w:rPr>
        <w:t>dan menanjak dalam peringkat-peringkat tumbuh-tumbuhan hingga  mencapai peringkat tertinggi. Tahap berikutnya adalah peringkat paling  rendah kebinatangan, yang merupakan gerak dalam kategori substansi,  lalu memasuki peringkat kemanusiaan dan menjadi substansi insani.</w:t>
      </w:r>
    </w:p>
    <w:p>
      <w:pPr>
        <w:pStyle w:val="BookText"/>
        <w:bidi w:val="0"/>
        <w:jc w:val="both"/>
        <w:rPr/>
      </w:pPr>
      <w:r>
        <w:rPr>
          <w:rFonts w:eastAsia="Times New Roman" w:cs="Times New Roman" w:ascii="Times New Roman" w:hAnsi="Times New Roman"/>
          <w:color w:val="111111"/>
          <w:sz w:val="28"/>
          <w:szCs w:val="28"/>
          <w:lang w:val="en-US"/>
        </w:rPr>
        <w:t>Dengan kata lain, perpindahan dari makanan ke sperma, dari sperma ke  binatang adalah gerak substansial.</w:t>
      </w:r>
      <w:r>
        <w:rPr>
          <w:rStyle w:val="FootnoteAnchor"/>
        </w:rPr>
        <w:footnoteReference w:id="351"/>
      </w:r>
      <w:r>
        <w:rPr>
          <w:rFonts w:eastAsia="Times New Roman" w:cs="Times New Roman" w:ascii="Times New Roman" w:hAnsi="Times New Roman"/>
          <w:color w:val="111111"/>
          <w:sz w:val="28"/>
          <w:szCs w:val="28"/>
          <w:lang w:val="en-US"/>
        </w:rPr>
        <w:t xml:space="preserve"> Menurut Mullâ Sadrâ, pola wujud rag -raga natural (ajsâm thabî'iyyah)  adalah keberbaharuan (tajaddud) dan keberakhiran (inqidhâ') yang terus  menerus, dan bahwa proses keluar dari potensi ke aksi juga merupakan  salah satu pola wujud. </w:t>
      </w:r>
      <w:r>
        <w:rPr>
          <w:rStyle w:val="FootnoteAnchor"/>
        </w:rPr>
        <w:footnoteReference w:id="352"/>
      </w:r>
      <w:r>
        <w:rPr>
          <w:rFonts w:eastAsia="Times New Roman" w:cs="Times New Roman" w:ascii="Times New Roman" w:hAnsi="Times New Roman"/>
          <w:color w:val="111111"/>
          <w:sz w:val="28"/>
          <w:szCs w:val="28"/>
          <w:lang w:val="en-US"/>
        </w:rPr>
        <w:t xml:space="preserve"> Setelah menerima pandangan Mullâ Sadrâ tentang harakah jawhar-  iyyah, Muhammad Taqi Misbâh Yazdî mengecualikan dua sub tema di  dalamnya, yang secara tegas ditolaknya, yaitu seputar klaim bahwa  gerak substansi selalu mengarah pada kesempurnaan (sair takâmulî)  dan klaim tentang harakah 'ardhiyyah (menyamping).</w:t>
      </w:r>
    </w:p>
    <w:p>
      <w:pPr>
        <w:pStyle w:val="BookText"/>
        <w:bidi w:val="0"/>
        <w:jc w:val="both"/>
        <w:rPr/>
      </w:pPr>
      <w:r>
        <w:rPr>
          <w:rFonts w:eastAsia="Times New Roman" w:cs="Times New Roman" w:ascii="Times New Roman" w:hAnsi="Times New Roman"/>
          <w:color w:val="111111"/>
          <w:sz w:val="28"/>
          <w:szCs w:val="28"/>
          <w:lang w:val="en-US"/>
        </w:rPr>
        <w:t>Muhammad Taqi Misbah Yazdî menolak rute horizontal dalam gradasi  wujud dan gerak substansi yang dikemukan Mullâ Sadrâ. Menurutnya,  gradasi (tasykîk wujûd) hanya bersifat vertikal (thûlî), karena gradualitas  dalam wujud hanya bisa diinterpretasi berdasarkan prinsip kausalitas,  sedangkan pada gradasi horizontal (tasykîk 'ardhî) tidak terdapat relasi  kausal. Pendapat ini memperluas jarak antara Muhammad Taqi Misbah  Yazdî dengan para pemikir hauzah lainnya, seperti Javadi Âmuli yang  mengikuti jejak Thabâthabâ’îyang meyakini dua jenis gradasi (gradulitas)  vertikal dan horizontal sekaligus.</w:t>
      </w:r>
    </w:p>
    <w:p>
      <w:pPr>
        <w:pStyle w:val="BookText"/>
        <w:bidi w:val="0"/>
        <w:jc w:val="both"/>
        <w:rPr/>
      </w:pPr>
      <w:r>
        <w:rPr>
          <w:rFonts w:eastAsia="Times New Roman" w:cs="Times New Roman" w:ascii="Times New Roman" w:hAnsi="Times New Roman"/>
          <w:color w:val="111111"/>
          <w:sz w:val="28"/>
          <w:szCs w:val="28"/>
          <w:lang w:val="en-US"/>
        </w:rPr>
        <w:t>Menurut Muhammad Taqi Misbah Yazdî—barangkali hanya  dirinya yang berpandangan demikian, gerak substansial tidak selalu  menyempurna, seperti gerak apel yang matang ke (menjadi) apel busuk.</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Gerak dari kondisi matang ke kondisi busuk tidak dapat dikatakan sebagai </w:t>
      </w:r>
    </w:p>
    <w:p>
      <w:pPr>
        <w:pStyle w:val="BookText"/>
        <w:bidi w:val="0"/>
        <w:rPr/>
      </w:pPr>
      <w:r>
        <w:rPr>
          <w:rFonts w:eastAsia="Times New Roman" w:cs="Times New Roman" w:ascii="Times New Roman" w:hAnsi="Times New Roman"/>
          <w:color w:val="111111"/>
          <w:sz w:val="28"/>
          <w:szCs w:val="28"/>
          <w:lang w:val="en-US"/>
        </w:rPr>
        <w:t xml:space="preserve">proses menyempurna buah apel. </w:t>
      </w:r>
      <w:r>
        <w:rPr>
          <w:rStyle w:val="FootnoteAnchor"/>
        </w:rPr>
        <w:footnoteReference w:id="353"/>
      </w:r>
      <w:r>
        <w:rPr>
          <w:rFonts w:eastAsia="Times New Roman" w:cs="Times New Roman" w:ascii="Times New Roman" w:hAnsi="Times New Roman"/>
          <w:color w:val="111111"/>
          <w:sz w:val="28"/>
          <w:szCs w:val="28"/>
          <w:lang w:val="en-US"/>
        </w:rPr>
        <w:t>Atas dasar ini, substansi manusia  tetap bergerak, yang apabila menyempurna, akan sampai ke surga; atau  sebaliknya, jika merosot, akan terperosok ke neraka.</w:t>
      </w:r>
      <w:r>
        <w:rPr>
          <w:rStyle w:val="FootnoteAnchor"/>
        </w:rPr>
        <w:footnoteReference w:id="354"/>
      </w:r>
      <w:r>
        <w:rPr>
          <w:rFonts w:eastAsia="Times New Roman" w:cs="Times New Roman" w:ascii="Times New Roman" w:hAnsi="Times New Roman"/>
          <w:color w:val="111111"/>
          <w:sz w:val="28"/>
          <w:szCs w:val="28"/>
          <w:lang w:val="en-US"/>
        </w:rPr>
        <w:t>Menurutnya,  harakah jawhariyyah (gerak substansial) dapat bersifat shu'ûdiyyah,  bisa pula nuzuliyyah.</w:t>
      </w:r>
      <w:r>
        <w:rPr>
          <w:rStyle w:val="FootnoteAnchor"/>
        </w:rPr>
        <w:footnoteReference w:id="355"/>
      </w:r>
      <w:r>
        <w:rPr>
          <w:rFonts w:eastAsia="Times New Roman" w:cs="Times New Roman" w:ascii="Times New Roman" w:hAnsi="Times New Roman"/>
          <w:color w:val="111111"/>
          <w:sz w:val="28"/>
          <w:szCs w:val="28"/>
          <w:lang w:val="en-US"/>
        </w:rPr>
        <w:t xml:space="preserve"> Pandangan Muhammad Taqi Misbâh Yazdî yang menolak rute  horizontal dalam gerak substansi memang cukup menggetarkan. Namun,  semestinya Muhammad Taqi Misbâh Yazdî menguraikan pandangannya  secara lebih komprehensif. Sayangnya, ia hanya mengungkapnya secara  sporadis sehingga peluang untuk membandingkannya dengan pendapat  para pembela harakah ardhiyyah tetap terbuka.</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penulis, penentangan Muhammad Taqi Misbâh Yazdî  terhadap rute horizontal gerak substansi yang dikemukakan Mullâ Sadrâ  didasarkan pada asumsinya yang membatasi pengertian kausalitas pada  rute vertikal, padahal Muhammad Taqi Misbâh Yazdî saat membahas  tema-tema teologi, terutama saat menganalisa persitiwa-peristiwa kosmik  yang bisa dinisbatkan kepada alam sebagai kausa horizontal dan kepada  Tuhan sebagai kausa vertikal, juga mukjizat takw iniyah, mengisyaratkan  adanya dua pols relasi kausal, vertikal dan horizontal. </w:t>
      </w:r>
      <w:r>
        <w:rPr>
          <w:rStyle w:val="FootnoteAnchor"/>
        </w:rPr>
        <w:footnoteReference w:id="356"/>
      </w:r>
      <w:r>
        <w:rPr>
          <w:rFonts w:eastAsia="Times New Roman" w:cs="Times New Roman" w:ascii="Times New Roman" w:hAnsi="Times New Roman"/>
          <w:color w:val="111111"/>
          <w:sz w:val="28"/>
          <w:szCs w:val="28"/>
          <w:lang w:val="en-US"/>
        </w:rPr>
        <w:t xml:space="preserve"> Dari penjelasan yang dibawakan Muhammad Taqi Misbâh Yazdî,  kiranya perlu dibedakan dua dimensi dari isu gerak substansial; pertama  adalah dimesi filsufis; Apakah gerak itu pasti dan selalu menyempurna  ataukah tidak; kedua adalah dimensi epistemologis dan pembuktian atas  realitas gerak menyempurna diluar; Apakah semua gerak di alam ini  menyempurna ataukah tidak?  Dalam pembahasan filsufis, tidak semestinya kita mengacu  pada instanta (mashadiq) di luar, karena fokus pada misdaq seperti  membusuknya buah apel yang dicontohkan oleh Muhammad Taqi </w:t>
      </w:r>
    </w:p>
    <w:p>
      <w:pPr>
        <w:pStyle w:val="BookText"/>
        <w:bidi w:val="0"/>
        <w:rPr/>
      </w:pPr>
      <w:r>
        <w:rPr>
          <w:rFonts w:eastAsia="Times New Roman" w:cs="Times New Roman" w:ascii="Times New Roman" w:hAnsi="Times New Roman"/>
          <w:color w:val="111111"/>
          <w:sz w:val="28"/>
          <w:szCs w:val="28"/>
          <w:lang w:val="en-US"/>
        </w:rPr>
        <w:t>Misbâh Yazdî adalah kasuistik dimana mungkin sekali bagi seseorang,  suatu gerak dipandang sebagai gerak melemah, dan bagi orang lain justru  itu menyempurna. Atau proses kematian manusia yang jadi perselisihan;  bagi sebagian orang itu adalah ketiadaan, bagi orang lain itu adalah cara  penyempurnaan jiwa.</w:t>
      </w:r>
    </w:p>
    <w:p>
      <w:pPr>
        <w:pStyle w:val="BookText"/>
        <w:bidi w:val="0"/>
        <w:jc w:val="both"/>
        <w:rPr/>
      </w:pPr>
      <w:r>
        <w:rPr>
          <w:rFonts w:eastAsia="Times New Roman" w:cs="Times New Roman" w:ascii="Times New Roman" w:hAnsi="Times New Roman"/>
          <w:color w:val="111111"/>
          <w:sz w:val="28"/>
          <w:szCs w:val="28"/>
          <w:lang w:val="en-US"/>
        </w:rPr>
        <w:t>Tampaknya, pandangan Muhammad Taqi Misbâh Yazdî tentang  melemahnya sebagian gerak substansial terfokus pada dimensi kedua  semata. Dengan demikian, menurut penulis, kritik dan argumentasinya  tidak dapat menggugurkan dimesi filsufis isu ini, dan tidak juga dapat  mendukungnya untuk mengagas pandangan baru, melemahnya sebagian  gerak substansi. Dengan kata lain, perbedaan Muhammad Taqi Misbah  Yazdî dengan pengertian dominan tentang proses menyempurnannya  gerak substansi dalam Hikmah Muta`aliyah, sebatas verbal; tidak tajam  sampai pada dasar filsufis, karena bagaimana pun Muhammad Taqi  Misbah Yazdî juga menerima prinsip esesni gerak sebagai peralihan dari  potensi ke aktus; dan dia juga menerima bahwa aktus itu lebih sempurna  dari potensi karena aksi identik dengan wujud.</w:t>
      </w:r>
    </w:p>
    <w:p>
      <w:pPr>
        <w:pStyle w:val="BookText"/>
        <w:bidi w:val="0"/>
        <w:jc w:val="both"/>
        <w:rPr/>
      </w:pPr>
      <w:r>
        <w:rPr>
          <w:rFonts w:eastAsia="Times New Roman" w:cs="Times New Roman" w:ascii="Times New Roman" w:hAnsi="Times New Roman"/>
          <w:color w:val="111111"/>
          <w:sz w:val="28"/>
          <w:szCs w:val="28"/>
          <w:lang w:val="en-US"/>
        </w:rPr>
        <w:t>Hal lain yang mengundang tanda tanya sekaitan dengan harakah  jawhariyah ialah kelalaian Muhammad Taqi Misbah Yazdî tidak  membatasi gerak substansi pada materi. Padahal jelas yang dimaksudkan  dengan gerak itu hanya dialami oleh substansi jism bukan 'aql dan nafs  karena keduanya abstrak.</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wawancara dengan penulis, Muhammad Taqi Misbah Yazdî  mengatakan bahwa pembatasan gerak subtansi pada jism sudah bisa  diketahui secara implisit, meski tidak dijelaskan secara ekplisit. Menurut  penulis, sebaiknya harakah jawhariyah ditambahkan dengan harakah  jawhariyah jismiyah atau harakah jawhariyah fi al-ajsâm.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6" w:name="pg6424_45247"/>
      <w:bookmarkStart w:id="227" w:name="pg6424_45247"/>
      <w:bookmarkEnd w:id="227"/>
    </w:p>
    <w:p>
      <w:pPr>
        <w:pStyle w:val="Heading2"/>
        <w:numPr>
          <w:ilvl w:val="1"/>
          <w:numId w:val="1"/>
        </w:numPr>
        <w:bidi w:val="0"/>
        <w:jc w:val="left"/>
        <w:rPr/>
      </w:pPr>
      <w:bookmarkStart w:id="228" w:name="pg6424_45247"/>
      <w:bookmarkStart w:id="229" w:name="__RefHeading___Toc688681_653776707"/>
      <w:bookmarkStart w:id="230" w:name="_Toc80"/>
      <w:bookmarkEnd w:id="228"/>
      <w:bookmarkEnd w:id="229"/>
      <w:r>
        <w:rPr/>
        <w:t>BAB VII:PEMIKIRAN TEOLOGI MUHAMMAD TAQÎ MISHBÂH YAZDI</w:t>
      </w:r>
      <w:bookmarkEnd w:id="230"/>
    </w:p>
    <w:p>
      <w:pPr>
        <w:pStyle w:val="Heading3"/>
        <w:numPr>
          <w:ilvl w:val="2"/>
          <w:numId w:val="1"/>
        </w:numPr>
        <w:bidi w:val="0"/>
        <w:jc w:val="left"/>
        <w:rPr/>
      </w:pPr>
      <w:bookmarkStart w:id="231" w:name="__RefHeading___Toc688683_653776707"/>
      <w:bookmarkStart w:id="232" w:name="_Toc81"/>
      <w:bookmarkEnd w:id="231"/>
      <w:r>
        <w:rPr/>
        <w:t>A. Sistematika Teologi</w:t>
      </w:r>
      <w:bookmarkEnd w:id="232"/>
    </w:p>
    <w:p>
      <w:pPr>
        <w:pStyle w:val="BookText"/>
        <w:bidi w:val="0"/>
        <w:jc w:val="both"/>
        <w:rPr/>
      </w:pPr>
      <w:r>
        <w:rPr>
          <w:rFonts w:eastAsia="Times New Roman" w:cs="Times New Roman" w:ascii="Times New Roman" w:hAnsi="Times New Roman"/>
          <w:color w:val="111111"/>
          <w:sz w:val="28"/>
          <w:szCs w:val="28"/>
          <w:lang w:val="en-US"/>
        </w:rPr>
        <w:t>Kata ‘teologi’ berasal dari bahasa Yunani klasik, tetapi lambat laun  memperoleh makna yang baru ketika kata itu diambil dalam bentuk Yunani  maupun Latinnya oleh para penulis Kristen. Karena itu, penggunaan  kata ini, khususnya di Barat, mempunyai latar belakang Kristen. Namun  demikian, di masa kini istilah ini dapat digunakan untuk wacana yang  berdasarkan nalar di lingkungan ataupun tentang berbagai agama. Di  lingkungan agama Kristen sendiri, disiplin ‘teologi’ melahirkan banyak  subdivisi. Pada abad pertengahan, teologi merupakan subjek utama di  sekolah-sekolah universitas dan biasa disebut sebagai “The Queen of the  Sciences”. Dalam hal ini, ilmu filsafat merupakan dasar yang membantu  pemikiran dalam teologi.</w:t>
      </w:r>
      <w:r>
        <w:rPr>
          <w:rStyle w:val="FootnoteAnchor"/>
        </w:rPr>
        <w:footnoteReference w:id="35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bawah, Teologi dan agama-agama lain di luar agama Kristen"). Dengan demikian, teologi adalah  ilmu yang mempelajari segala sesuatu yang berkaitan dengan keyakinan beragama. Teologi meli-  puti segala sesuatu yang berhubungan dengan Tuhan. Para teolog berupaya menggunakan analisis  dan argumenargumen rasional untuk mendiskusikan, menafsirkan dan mengajar dalam salah satu  bidang dari topiktopik agama. Teologi dapat dipelajari sekadar untuk menolong sang teolog untuk  lebih memahami tradisi keagamaannya sendiri ataupun tradisi keagamaan lainnya, atau untuk  menolong membuat perbandingan antara berbagai tradisi atau dengan maksud untuk melestarikan  atau memperbarui suatu tradisi tertentu, atau untuk menolong penyebaran suatu tradisi, atau men-  erapkan sumber-sumber dari suatu tradisi dalam suatu situasi atau kebutuhan masa kini, atau untuk  berbagai alasan lainnya. . (http://id.wikipedia.org/wiki/ Teologi (diakses 4 Mei 2008).</w:t>
      </w:r>
    </w:p>
    <w:p>
      <w:pPr>
        <w:pStyle w:val="BookText"/>
        <w:bidi w:val="0"/>
        <w:rPr/>
      </w:pPr>
      <w:r>
        <w:rPr>
          <w:rFonts w:eastAsia="Times New Roman" w:cs="Times New Roman" w:ascii="Times New Roman" w:hAnsi="Times New Roman"/>
          <w:color w:val="111111"/>
          <w:sz w:val="28"/>
          <w:szCs w:val="28"/>
          <w:lang w:val="en-US"/>
        </w:rPr>
        <w:t>Karena konsisten pada prinisp rasionalisme dan pandangannya  yang menganggap filsafat sebagai induk semua ilmu, Muhammad Taqi  Misbah Yazdî tidak memperlakukan bidang Kalam, ilmu yang membahas  Tuhan dan tema-tema turunannya sebagai bidang yang terpisah. Karena  itu, menurut pengamatan penulis, Muhammad Taqi Misbâh Yazdî lebih  memilih pembagian ontologi pada dua bagian, yaitu ontologi (mabâhits  al-wujûd, hastî shenâsî, ilâhiyyât bi al-ma'nâ al-a'am) yang mengambil  subjek ‘ada sebagai tema utama, dan teologi (mabâhits al-ilâhiyyah,  khodâ shenâsî, ilâhiyyât bi al-ma'nâ al-akhash), yang menjadikan wajib  al-wujûd sebagai tema utama. Lebih ekstrem lagi, semua tema filsafat  disebutnya dengan al-ilâhiyât (teologi) yang terbagi dua: teologi umum,  yaitu ontologi (ilahiyyât bi al-ma</w:t>
      </w:r>
      <w:r>
        <w:rPr>
          <w:rFonts w:eastAsia="Consolas" w:cs="Consolas" w:ascii="Consolas" w:hAnsi="Consolas"/>
          <w:color w:val="111111"/>
          <w:sz w:val="28"/>
          <w:szCs w:val="28"/>
          <w:lang w:val="en-US"/>
        </w:rPr>
        <w:t>nâ al-a</w:t>
      </w:r>
      <w:r>
        <w:rPr>
          <w:rFonts w:eastAsia="Times New Roman" w:cs="Times New Roman" w:ascii="Times New Roman" w:hAnsi="Times New Roman"/>
          <w:color w:val="111111"/>
          <w:sz w:val="28"/>
          <w:szCs w:val="28"/>
          <w:lang w:val="en-US"/>
        </w:rPr>
        <w:t>am), dan teologi khusus  (ilâhiyyât bi al-ma</w:t>
      </w:r>
      <w:r>
        <w:rPr>
          <w:rFonts w:eastAsia="Consolas" w:cs="Consolas" w:ascii="Consolas" w:hAnsi="Consolas"/>
          <w:color w:val="111111"/>
          <w:sz w:val="28"/>
          <w:szCs w:val="28"/>
          <w:lang w:val="en-US"/>
        </w:rPr>
        <w:t>nâ al-akhash). Pengertian al-ilahiyât bi al-ma</w:t>
      </w:r>
      <w:r>
        <w:rPr>
          <w:rFonts w:eastAsia="Times New Roman" w:cs="Times New Roman" w:ascii="Times New Roman" w:hAnsi="Times New Roman"/>
          <w:color w:val="111111"/>
          <w:sz w:val="28"/>
          <w:szCs w:val="28"/>
          <w:lang w:val="en-US"/>
        </w:rPr>
        <w:t>nâ  al-akhash itulah yang digunakan oleh Muhammad Taqi Misbâh Yazdî  sebagai ganti dari ilmu kalam.</w:t>
      </w:r>
      <w:r>
        <w:rPr>
          <w:rStyle w:val="FootnoteAnchor"/>
        </w:rPr>
        <w:footnoteReference w:id="358"/>
      </w:r>
      <w:r>
        <w:rPr>
          <w:rFonts w:eastAsia="Times New Roman" w:cs="Times New Roman" w:ascii="Times New Roman" w:hAnsi="Times New Roman"/>
          <w:color w:val="111111"/>
          <w:sz w:val="28"/>
          <w:szCs w:val="28"/>
          <w:lang w:val="en-US"/>
        </w:rPr>
        <w:t xml:space="preserve"> Tampaknya, kalam yang selama ini dipahami oleh kalangan  mutakallimin Sunni dan Syi'ah sebagai ilmu yang membahas tema-tema  ketuhanan dan agama dengan interpretasi rasional, secara implisit tidak  diakui oleh Muhammad Taqi Misbah Yazdî. Aqidah Syi'ah Imamiyyah  dapat dibagi dalam tiga metode, yang masing-masing melahirkan  bangunan keyakinan yang berbeda dalam argumentasi dan pola urutan.</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Karenanya, setiap penganut Syi'ah memiliki rancangan aqidah sendiri-  sendiri sesuai dengan metode pendekatan yang digunakannya. Ada yang  membangun aqidah dengan metode kalam, ada yang dengan metode  filsafat wahdah al-wujud atau katsrat al-wujûd, bahkan ada yang  membangun aqidah dengan ‘irfan. Aqidah dengan pondasi kalam telah  ditetapkan terdiri atas tiga prinsip umum, yaitu ketuhanan, kenabian, dan  kebangkitan, dan dua prinsip khusus, yaitu keimaman (imamah) dan  keadilan Tuhan.</w:t>
      </w:r>
      <w:r>
        <w:rPr>
          <w:rStyle w:val="FootnoteAnchor"/>
        </w:rPr>
        <w:footnoteReference w:id="359"/>
      </w:r>
      <w:r>
        <w:rPr>
          <w:rFonts w:eastAsia="Times New Roman" w:cs="Times New Roman" w:ascii="Times New Roman" w:hAnsi="Times New Roman"/>
          <w:color w:val="111111"/>
          <w:sz w:val="28"/>
          <w:szCs w:val="28"/>
          <w:lang w:val="en-US"/>
        </w:rPr>
        <w:t xml:space="preserve"> Aqidah yang didasarkan pada filsafat (ontologi), terutama ontologi  wahdat al-wujud, tidak terikat pada pola susunan prinisp keyakinan </w:t>
      </w:r>
    </w:p>
    <w:p>
      <w:pPr>
        <w:pStyle w:val="BookText"/>
        <w:bidi w:val="0"/>
        <w:rPr/>
      </w:pPr>
      <w:r>
        <w:rPr>
          <w:rFonts w:eastAsia="Times New Roman" w:cs="Times New Roman" w:ascii="Times New Roman" w:hAnsi="Times New Roman"/>
          <w:color w:val="111111"/>
          <w:sz w:val="28"/>
          <w:szCs w:val="28"/>
          <w:lang w:val="en-US"/>
        </w:rPr>
        <w:t>sebagaimana dalam kalam. Aqidah falsafi lebih ringkas, meski tidak lebih  mudah untuk dianut. Pembentukan aqidah dengan pondasi filsafat dimulai  dengan mendefiniskan terma wujud, mengeksplorasi hukum-hukum  wujud dan melakukan distingsi terhadap terma-terma yang berlawanan  dengan wujud. Biasanya, para penganut aqidah falsafi, yang umumya  pelajar hawzah tingkat menengah atau kalangan akademis, mula-mula  membagi dua pengertian, “ada” dan “tiada”, kemudian membedakan  “ada” sebagai pengertian dan “ada” sebagai realitas itu sendiri (fi nafs  al-amr), kemudian membagi “ada’ menjadi dua; yang beresensi dan yang  tidak beresensi, dan diakhiri dengan mengidentifikasi kriteria-kriteria  masing-masing dan memastikan pilihan dan kesimpulan tentang adanya  sesuatu yang tidak beresensi, tidak ter-apakan, tidak terdiri dari substansi  (subjek) dan aksiden (predikat), tidak tunduk pada kaidah persepsi yang  memposisikan setiap sesuatu sebagai kategori dan terma, baik partikular  maupun universal. Langkah kedua adalah menimbang-nimbang pendapat  ashalah al-wujud dan ashâlat al-mahiyyah dengan mencari titik lemah  semua pendapat yang pernah dikemukakan oleh kedua kelompok filsuf.</w:t>
      </w:r>
    </w:p>
    <w:p>
      <w:pPr>
        <w:pStyle w:val="BookText"/>
        <w:bidi w:val="0"/>
        <w:jc w:val="both"/>
        <w:rPr/>
      </w:pPr>
      <w:r>
        <w:rPr>
          <w:rFonts w:eastAsia="Times New Roman" w:cs="Times New Roman" w:ascii="Times New Roman" w:hAnsi="Times New Roman"/>
          <w:color w:val="111111"/>
          <w:sz w:val="28"/>
          <w:szCs w:val="28"/>
          <w:lang w:val="en-US"/>
        </w:rPr>
        <w:t>Langkah ketiga adalah membandingkan pendapat tentang wujud sebagai  realitas tunggal dan pendapat tentang wujud sebagai realitas plural.</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Langkah berikutnya adalah mengurai sifat sifat maujud, dari yang  abstrak murni (mujarrad mahdh, maujûd asyfaf), yang semi abstrak atau  interval (mitsâlî, barzakhî, nafsânî) sampai yang konkret (jism, raga,  body) dengan dua elemen dasarnya: materia (quwwah, hyle) dan forma  (aktus, shûrah). </w:t>
      </w:r>
      <w:r>
        <w:rPr>
          <w:rStyle w:val="FootnoteAnchor"/>
        </w:rPr>
        <w:footnoteReference w:id="360"/>
      </w:r>
      <w:r>
        <w:rPr>
          <w:rFonts w:eastAsia="Times New Roman" w:cs="Times New Roman" w:ascii="Times New Roman" w:hAnsi="Times New Roman"/>
          <w:color w:val="111111"/>
          <w:sz w:val="28"/>
          <w:szCs w:val="28"/>
          <w:lang w:val="en-US"/>
        </w:rPr>
        <w:t xml:space="preserve"> Inilah gambaraan singkat tentang langkah-langkah umum dalam  ontologi umum atau ilâhiyât bi al-ma'nâ al-âm (teologi umum). Setelah  menemukan maujud beresensi dan yang tidak beresensi, mulailah ia  memasuki tema ketuhanan (ilâhiyât bi al-ma'nâ al-akhash, teologi  khusus) dan membanding-bandingkan semua pendapat dan aliran antara  ketunggalan atau kebinenkaan zat dan sifat, dan begitulah seterusnya. </w:t>
      </w:r>
      <w:bookmarkStart w:id="233" w:name="pg6424_45256"/>
    </w:p>
    <w:p>
      <w:pPr>
        <w:pStyle w:val="BookText"/>
        <w:bidi w:val="0"/>
        <w:rPr/>
      </w:pPr>
      <w:bookmarkEnd w:id="233"/>
      <w:r>
        <w:rPr>
          <w:rFonts w:eastAsia="Times New Roman" w:cs="Times New Roman" w:ascii="Times New Roman" w:hAnsi="Times New Roman"/>
          <w:color w:val="111111"/>
          <w:sz w:val="28"/>
          <w:szCs w:val="28"/>
          <w:lang w:val="en-US"/>
        </w:rPr>
        <w:t>Menurut penulis penggunaan istilah ilâhiyât pada bidang ontologi  menimbulkan kerancuan, karena pada bagian itu, Tuhan tidak dibahas  secara eksplisit. Artinya, dalam bidang itu, pembahas semestinya tidak  diposisikan sebagai pencari wujud Tuhan, namun berposisi sebagai  pencari wujud. Dengan demikian, ontologi dipisahkan secara otonom  dari filsafat ketuhanan.</w:t>
      </w:r>
    </w:p>
    <w:p>
      <w:pPr>
        <w:pStyle w:val="BookText"/>
        <w:bidi w:val="0"/>
        <w:jc w:val="both"/>
        <w:rPr/>
      </w:pPr>
      <w:r>
        <w:rPr>
          <w:rFonts w:eastAsia="Times New Roman" w:cs="Times New Roman" w:ascii="Times New Roman" w:hAnsi="Times New Roman"/>
          <w:color w:val="111111"/>
          <w:sz w:val="28"/>
          <w:szCs w:val="28"/>
          <w:lang w:val="en-US"/>
        </w:rPr>
        <w:t>Hal lain yang juga patut dipertanyakan adalah ketidakjelasan  sistematika saat kalam diistilahkan secara akademik sebagai teologi,  padahal teologi adalah bidang filsafat ketuhanan yang hanya menjadikan  rasio sebagai dasar argumen. Sedangkan ilmu kalam menjadikan teks  ayat sebagai dasar argumen. Oleh karena itu, ilmu kalam semestinya  diterjemahkan sebagai ilmu teologi Islam, sedangkan ilâhiyat sebagai  ilmu ketuhanan semata, karena pembahasnya bisa siapa saja dari agama  apa pun.</w:t>
      </w:r>
    </w:p>
    <w:p>
      <w:pPr>
        <w:pStyle w:val="Heading3"/>
        <w:numPr>
          <w:ilvl w:val="2"/>
          <w:numId w:val="1"/>
        </w:numPr>
        <w:bidi w:val="0"/>
        <w:jc w:val="left"/>
        <w:rPr/>
      </w:pPr>
      <w:bookmarkStart w:id="234" w:name="__RefHeading___Toc688685_653776707"/>
      <w:bookmarkStart w:id="235" w:name="_Toc82"/>
      <w:bookmarkEnd w:id="234"/>
      <w:r>
        <w:rPr/>
        <w:t>B. Kedudukan Teks dalam Teologi</w:t>
      </w:r>
      <w:bookmarkEnd w:id="235"/>
    </w:p>
    <w:p>
      <w:pPr>
        <w:pStyle w:val="BookText"/>
        <w:bidi w:val="0"/>
        <w:jc w:val="both"/>
        <w:rPr/>
      </w:pPr>
      <w:r>
        <w:rPr>
          <w:rFonts w:eastAsia="Times New Roman" w:cs="Times New Roman" w:ascii="Times New Roman" w:hAnsi="Times New Roman"/>
          <w:color w:val="111111"/>
          <w:sz w:val="28"/>
          <w:szCs w:val="28"/>
          <w:lang w:val="en-US"/>
        </w:rPr>
        <w:t>Muhammad Taqi Misbah Yazdî menolak penggunaan doktrin atau  teks murni sebagai dasar argumentasi. Karena itu, ia secara fundamental  menolak konstruksi ilmu kalam. Sebagai gantinya, ia menawarkan  tafsir filsufis. Maksudnya, teks-teks suci dapat dijadikan sebagai dasar  pembuktian selama ia merupakan premis yang telah divalidasi dalam  inferensi rasional yang bermuara pada prinisp badahah. Dengan kata lain,  Muhammad Taqi Misbâh Yazdî tidak mengaanggap ilmu kalam dengan  pengertian umum yang selama ini dipegang oleh para teolog sebagai  sesuatu yang tidak dapat dipertanggungjawabkan secara epistemologis.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Ia malah mengajak semuanya kembali ke filsafat dan menjadikan nalar  deduksi sebagai dasar argumentasi, termasuk saat menghadapi teksteks  suci. Menurutnya, teks-teks suci, agar bisa dijadikan sebagai dasar  penalaran, mesti dipandang terlebih dahulu sebagai premis-premis yang  perlu diargumentasikan, bukan sebagai dogma yang melampaui premis  dan figura-figura penalaran.</w:t>
      </w:r>
      <w:r>
        <w:rPr>
          <w:rStyle w:val="FootnoteAnchor"/>
        </w:rPr>
        <w:footnoteReference w:id="361"/>
      </w:r>
    </w:p>
    <w:p>
      <w:pPr>
        <w:pStyle w:val="BookText"/>
        <w:bidi w:val="0"/>
        <w:rPr/>
      </w:pPr>
      <w:r>
        <w:rPr>
          <w:rFonts w:eastAsia="Times New Roman" w:cs="Times New Roman" w:ascii="Times New Roman" w:hAnsi="Times New Roman"/>
          <w:color w:val="111111"/>
          <w:sz w:val="28"/>
          <w:szCs w:val="28"/>
          <w:lang w:val="en-US"/>
        </w:rPr>
        <w:t>Lebih lanjut, Muhammad Taqi Misbâh Yazdî menepis kekhawatiran  timbulnya kesan dan stigma negatif tentang upaya merasionalisasikan  wahyu. Menurutnya, mestinya keyakinan kita akan kebenaran mutlak  wahyu Tuhan tidak malah membuat kita khawatir bahwa akal, yang  juga ciptaannya, tidak mampu mengungkapnya. Semestinya, keyakinan  akan mutlaknya kebenaran wahyu membuat kita bersunggug-sungguh  mencari dasar rasionalnya. Ia ingin membuktikan bahwa wahyu dan teks  suci lainnya memang menjadi kebenaran supra-rasional bila dikaitkan  dengan premis mayornya, namun saat mamasuki tema-tema minor di  dalamnya, rasio mesti dijadikan dasar, bukan teks itu lagi. Bila tidak,  maka yang muncul adalah daur paradoks siklus.</w:t>
      </w:r>
    </w:p>
    <w:p>
      <w:pPr>
        <w:pStyle w:val="BookText"/>
        <w:bidi w:val="0"/>
        <w:jc w:val="both"/>
        <w:rPr/>
      </w:pPr>
      <w:r>
        <w:rPr>
          <w:rFonts w:eastAsia="Times New Roman" w:cs="Times New Roman" w:ascii="Times New Roman" w:hAnsi="Times New Roman"/>
          <w:color w:val="111111"/>
          <w:sz w:val="28"/>
          <w:szCs w:val="28"/>
          <w:lang w:val="en-US"/>
        </w:rPr>
        <w:t>Ketika Mullâ Sadrâ dan Thabâthabâ'i menggunakan teks-teks ayat  sebagai dalil penguat dalam menjelaskan keesaan Tuhan, Muhammad Taqî  Misbah Yazdî malah memunculkan sebuah pandangan lain.</w:t>
      </w:r>
      <w:r>
        <w:rPr>
          <w:rStyle w:val="FootnoteAnchor"/>
        </w:rPr>
        <w:footnoteReference w:id="362"/>
      </w:r>
      <w:r>
        <w:rPr>
          <w:rFonts w:eastAsia="Times New Roman" w:cs="Times New Roman" w:ascii="Times New Roman" w:hAnsi="Times New Roman"/>
          <w:color w:val="111111"/>
          <w:sz w:val="28"/>
          <w:szCs w:val="28"/>
          <w:lang w:val="en-US"/>
        </w:rPr>
        <w:t>Menurutnya,  teks-teks al-Qur'an dan riwayat (hadis) bisa dikemukakan sebagai dalil,  namun bukan sebagai wahyu yang mesti diterima karena kewahyuannya  yang pasti benar. Menurutnya, teks-teks suci itu dalam pembahasan teologi  mesti diperlakukan sebagai premis yang validitasnya harus dibuktikan  melalui proses penalaran. Untuk mempertegas klaimnya, ia menulis seri  buku berjudul Ma’âref-e Qor'ân. Menurutnya, menggunakan teks-teks  suci sebagai dalil utama dalam pembuktian keberadaan dan keesaan  Tuhan, tidaklah dilarang, namun tidak bisa melahirkan sebuah konklusi  yang valid, karena meniscayakan daur atau siklus.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Taqi Misbâh Yazdî dengan tegas menolak dasar teks  sebagai titik awal argumentasi rasional. Namun, ia tidak berpendapat </w:t>
      </w:r>
    </w:p>
    <w:p>
      <w:pPr>
        <w:pStyle w:val="BookText"/>
        <w:bidi w:val="0"/>
        <w:rPr/>
      </w:pPr>
      <w:r>
        <w:rPr>
          <w:rFonts w:eastAsia="Times New Roman" w:cs="Times New Roman" w:ascii="Times New Roman" w:hAnsi="Times New Roman"/>
          <w:color w:val="111111"/>
          <w:sz w:val="28"/>
          <w:szCs w:val="28"/>
          <w:lang w:val="en-US"/>
        </w:rPr>
        <w:t>bahwa ayat-ayat tersebut dapat diperlakukan sebagai premis-premis dan  diargumentasikan dalam silogisme dan deduksi.</w:t>
      </w:r>
      <w:r>
        <w:rPr>
          <w:rStyle w:val="FootnoteAnchor"/>
        </w:rPr>
        <w:footnoteReference w:id="363"/>
      </w:r>
      <w:r>
        <w:rPr>
          <w:rFonts w:eastAsia="Times New Roman" w:cs="Times New Roman" w:ascii="Times New Roman" w:hAnsi="Times New Roman"/>
          <w:color w:val="111111"/>
          <w:sz w:val="28"/>
          <w:szCs w:val="28"/>
          <w:lang w:val="en-US"/>
        </w:rPr>
        <w:t>Lebih jauh Muhammad  Taqi Misbâh Yazdî, berpendapat bahwa ayat-ayat seputar keesaan Tuhan  dapat dibagi tiga, berdasarkan kandungan dan signifikansinya: pertama  adalah ayat-ayat deskriptif (ayât tawshîfiyyah); kedua adalah ayat-ayat  instruktif (ayât taklîfiyyah); dan ketiga adalah ayat-ayat argumentatif  (ayât istidlâliyyah).</w:t>
      </w:r>
    </w:p>
    <w:p>
      <w:pPr>
        <w:pStyle w:val="BookText"/>
        <w:bidi w:val="0"/>
        <w:jc w:val="both"/>
        <w:rPr/>
      </w:pPr>
      <w:r>
        <w:rPr>
          <w:rFonts w:eastAsia="Times New Roman" w:cs="Times New Roman" w:ascii="Times New Roman" w:hAnsi="Times New Roman"/>
          <w:color w:val="111111"/>
          <w:sz w:val="28"/>
          <w:szCs w:val="28"/>
          <w:lang w:val="en-US"/>
        </w:rPr>
        <w:t>Menurutnya, ada kalanya al-Qur'an menerangkan diri, keesaan,  sifat-sifat dan perbuatan-perbuat Allah dalam bentuk keterangan,  seperti “Tiada sesuatu yang menyerupainya”</w:t>
      </w:r>
      <w:r>
        <w:rPr>
          <w:rStyle w:val="FootnoteAnchor"/>
        </w:rPr>
        <w:footnoteReference w:id="364"/>
      </w:r>
      <w:r>
        <w:rPr>
          <w:rFonts w:eastAsia="Times New Roman" w:cs="Times New Roman" w:ascii="Times New Roman" w:hAnsi="Times New Roman"/>
          <w:color w:val="111111"/>
          <w:sz w:val="28"/>
          <w:szCs w:val="28"/>
          <w:lang w:val="en-US"/>
        </w:rPr>
        <w:t xml:space="preserve">. Biasanya, ayat-ayat yang  berbentuk proposisi predikatif ini diletakkan pada bagian akhir rangkaian  ayat  ,  seperti </w:t>
      </w:r>
      <w:r>
        <w:rPr>
          <w:rFonts w:ascii="IRNazanin" w:hAnsi="IRNazanin" w:eastAsia="IRNazanin"/>
          <w:color w:val="111111"/>
          <w:sz w:val="28"/>
          <w:sz w:val="28"/>
          <w:szCs w:val="28"/>
          <w:rtl w:val="true"/>
          <w:lang w:bidi="fa-IR"/>
        </w:rPr>
        <w:t>و الله سمیع بصیر</w:t>
      </w:r>
      <w:r>
        <w:rPr>
          <w:rFonts w:eastAsia="Times New Roman" w:cs="Times New Roman" w:ascii="Times New Roman" w:hAnsi="Times New Roman"/>
          <w:color w:val="111111"/>
          <w:sz w:val="28"/>
          <w:szCs w:val="28"/>
          <w:lang w:val="en-US"/>
        </w:rPr>
        <w:t xml:space="preserve">atau  </w:t>
      </w:r>
      <w:r>
        <w:rPr>
          <w:rFonts w:ascii="IRNazanin" w:hAnsi="IRNazanin" w:eastAsia="IRNazanin"/>
          <w:color w:val="111111"/>
          <w:sz w:val="28"/>
          <w:sz w:val="28"/>
          <w:szCs w:val="28"/>
          <w:rtl w:val="true"/>
          <w:lang w:bidi="fa-IR"/>
        </w:rPr>
        <w:t>والله بما تعملون خبیر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dan sebagainya.Ayat  ayat yang berbentuk proposisi predikatif ini sangat banyak, karena  sebagian besar sasaran dakwah Nabi Saw adalah masyarakat awam yang  menjadikan figur Nabi sebagai tolok ukur kebenaran.</w:t>
      </w:r>
    </w:p>
    <w:p>
      <w:pPr>
        <w:pStyle w:val="BookText"/>
        <w:bidi w:val="0"/>
        <w:jc w:val="both"/>
        <w:rPr/>
      </w:pPr>
      <w:r>
        <w:rPr>
          <w:rFonts w:eastAsia="Times New Roman" w:cs="Times New Roman" w:ascii="Times New Roman" w:hAnsi="Times New Roman"/>
          <w:color w:val="111111"/>
          <w:sz w:val="28"/>
          <w:szCs w:val="28"/>
          <w:lang w:val="en-US"/>
        </w:rPr>
        <w:t>Ada kalanya al-Qur'an menjadikan keesaan sebagai taklif, dalam  bentuk perintah, baik kepada Nabi ataupun kepada masyarakat, seperti  firman Allah dalam surah al-ikhlas, “Katakanlah bahwa Allah itu satu”.</w:t>
      </w:r>
    </w:p>
    <w:p>
      <w:pPr>
        <w:pStyle w:val="BookText"/>
        <w:bidi w:val="0"/>
        <w:jc w:val="both"/>
        <w:rPr/>
      </w:pPr>
      <w:r>
        <w:rPr>
          <w:rFonts w:eastAsia="Times New Roman" w:cs="Times New Roman" w:ascii="Times New Roman" w:hAnsi="Times New Roman"/>
          <w:color w:val="111111"/>
          <w:sz w:val="28"/>
          <w:szCs w:val="28"/>
          <w:lang w:val="en-US"/>
        </w:rPr>
        <w:t>Bentuk ayat yang berupa proposisi aktif ini tidaklah banyak, karena ia  hanya berlaku bagi orang-orang yang telah mengimani keesaan Allah.</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Biasanya, ayat-ayat demikian diawali dengan kata kerja perintah  “katakanlah” (perintah), karena ditujukan kepada Nabi. Ada kalanya pula  al-Qur’an memuat firman Allah yang dapat dijadikan sebagai argumentasi  atas wujud, keesaan dan sifat-sifat-Nya. Ayat-ayat argumentatif cukup  banyak. Tetapi, hampir bisa disepakati bahwa ayat-ayat argumentatif  tersebut berkenaan dengan keesaan Allah dan sifat-sifat-Nya.</w:t>
      </w:r>
      <w:r>
        <w:rPr>
          <w:rStyle w:val="FootnoteAnchor"/>
        </w:rPr>
        <w:footnoteReference w:id="365"/>
      </w:r>
      <w:r>
        <w:rPr>
          <w:rFonts w:eastAsia="Times New Roman" w:cs="Times New Roman" w:ascii="Times New Roman" w:hAnsi="Times New Roman"/>
          <w:color w:val="111111"/>
          <w:sz w:val="28"/>
          <w:szCs w:val="28"/>
          <w:lang w:val="en-US"/>
        </w:rPr>
        <w:t xml:space="preserve"> Menurut Muhammad Taqi Misbâh Yazdî, dalam al-Qur'an terdapat  banyak ayat argumentatif tentang keesaan (wahdaniyyah) Tuhan. </w:t>
      </w:r>
    </w:p>
    <w:p>
      <w:pPr>
        <w:pStyle w:val="BookText"/>
        <w:bidi w:val="0"/>
        <w:rPr/>
      </w:pPr>
      <w:r>
        <w:rPr>
          <w:rFonts w:eastAsia="Times New Roman" w:cs="Times New Roman" w:ascii="Times New Roman" w:hAnsi="Times New Roman"/>
          <w:color w:val="111111"/>
          <w:sz w:val="28"/>
          <w:szCs w:val="28"/>
          <w:lang w:val="en-US"/>
        </w:rPr>
        <w:t xml:space="preserve">Pertama, “Seandainya di langit dan di bumi terdapat beberapa Tuhan  selain Allah, niscaya keduanya akan rusak” </w:t>
      </w:r>
      <w:r>
        <w:rPr>
          <w:rStyle w:val="FootnoteAnchor"/>
        </w:rPr>
        <w:footnoteReference w:id="366"/>
      </w:r>
      <w:r>
        <w:rPr>
          <w:rFonts w:eastAsia="Times New Roman" w:cs="Times New Roman" w:ascii="Times New Roman" w:hAnsi="Times New Roman"/>
          <w:color w:val="111111"/>
          <w:sz w:val="28"/>
          <w:szCs w:val="28"/>
          <w:lang w:val="en-US"/>
        </w:rPr>
        <w:t>Dalam terminologi ilmu  mantiq (logika Aristotelian), argumentasi di atas disebut dengan qiyas  istitsnâ’î.</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(Muhammad Ridha Mudhaffar, al-Manthiq, Markaz al-Nasyr al-Islami, Qom, 1987, hlm 87).</w:t>
      </w:r>
    </w:p>
    <w:p>
      <w:pPr>
        <w:pStyle w:val="BookText"/>
        <w:bidi w:val="0"/>
        <w:jc w:val="both"/>
        <w:rPr/>
      </w:pPr>
      <w:r>
        <w:rPr>
          <w:rFonts w:eastAsia="Times New Roman" w:cs="Times New Roman" w:ascii="Times New Roman" w:hAnsi="Times New Roman"/>
          <w:color w:val="111111"/>
          <w:sz w:val="28"/>
          <w:szCs w:val="28"/>
          <w:lang w:val="en-US"/>
        </w:rPr>
        <w:t>Dalam aplikasi kehidupan sehari-hari mereka seringkali  memberi contoh seperti ini: jika matahari terbit, maka siang tiba,  namun jika siang belum tiba, berarti matahari belum terbit. Jika Tuhan  itu berbilang, maka alam raya ini tidak teratur dan seimbang, namun  kenyataannya alam raya ini teratur dan seimbang, berarti Tuhan tidak  berbilang. Dalil ini disebut para mutakallimin dan filsuf dengan istilah  burhân tamânu’ (bukti kontradiksi)?.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Jika keduanya menciptakan Ali (satu mahluk), maka Ali menjadi ada sekaligus tiada. Ali menjadi ada  karena diciptakan Tuhan pertama, dan sekaligus tiada karena akan diciptakan oleh Tuhan kedua.</w:t>
      </w:r>
    </w:p>
    <w:p>
      <w:pPr>
        <w:pStyle w:val="BookText"/>
        <w:bidi w:val="0"/>
        <w:jc w:val="both"/>
        <w:rPr/>
      </w:pPr>
      <w:r>
        <w:rPr>
          <w:rFonts w:eastAsia="Times New Roman" w:cs="Times New Roman" w:ascii="Times New Roman" w:hAnsi="Times New Roman"/>
          <w:color w:val="111111"/>
          <w:sz w:val="28"/>
          <w:szCs w:val="28"/>
          <w:lang w:val="en-US"/>
        </w:rPr>
        <w:t>Konsekuensi yang pertama ialah bahwa Tuhan kedua bukanlah Tuhan, karena ia tidak akan men-  ciptakan Ali yang sudah ada karena diciptakan oleh Tuhan pertama. Konsekuensi irrasional ini  dalam logika dikenal dengan tahshil al-hashil (meng-ada-kan sesuatu yang sudah ada, tautologi).</w:t>
      </w:r>
    </w:p>
    <w:p>
      <w:pPr>
        <w:pStyle w:val="BookText"/>
        <w:bidi w:val="0"/>
        <w:jc w:val="both"/>
        <w:rPr/>
      </w:pPr>
      <w:r>
        <w:rPr>
          <w:rFonts w:eastAsia="Times New Roman" w:cs="Times New Roman" w:ascii="Times New Roman" w:hAnsi="Times New Roman"/>
          <w:color w:val="111111"/>
          <w:sz w:val="28"/>
          <w:szCs w:val="28"/>
          <w:lang w:val="en-US"/>
        </w:rPr>
        <w:t>Sebaliknya, jika Ali tidak ada, (karena akan diciptakan oleh Tuhan kedua) maka berarti Tuhan per-  tama tidak menciptakannya, sebab bila tercipta, maka Ali akan selalu ada. (Muhammad Taqi  Misbah Yazdf, Ma-ref-e Qoran, Intisyarat-e Hijrat, Qom,1986 , hlm 85-89).</w:t>
      </w:r>
    </w:p>
    <w:p>
      <w:pPr>
        <w:pStyle w:val="BookText"/>
        <w:bidi w:val="0"/>
        <w:jc w:val="both"/>
        <w:rPr/>
      </w:pPr>
      <w:r>
        <w:rPr>
          <w:rFonts w:eastAsia="Times New Roman" w:cs="Times New Roman" w:ascii="Times New Roman" w:hAnsi="Times New Roman"/>
          <w:color w:val="111111"/>
          <w:sz w:val="28"/>
          <w:szCs w:val="28"/>
          <w:lang w:val="en-US"/>
        </w:rPr>
        <w:t>Ayat lain yang juga diajukan oleh Muhammad Taqî Mishbâh Yazdî  adalah firman Allah: “Manakah yang baik, tuhan-tuhan yang bermacam-  macam itu ataukah Allah Yang Maha Esa lagi Maha Perkasa?”:</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Nabi  Yusuf mengajak berpikir teman satu selnya, manakah yang rasional,  meyakini beberapa tuhan yang beraneka macam ataukah satu Tuhan? Dari  ayat introgratif ini, al-Qur'an memperkenalkan sebuah argumen ontologis  tentang keberadaan Tuhan, yaitu burhân al-nadhm (keteraturan).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Menurutnya, yang dimaksud dengan keteraturan dalam ayat ni adalah  keharmonisan dan keterikatan antar setiap bagian atau antar masing-</w:t>
      </w:r>
    </w:p>
    <w:p>
      <w:pPr>
        <w:pStyle w:val="BookText"/>
        <w:bidi w:val="0"/>
        <w:rPr/>
      </w:pPr>
      <w:r>
        <w:rPr>
          <w:rFonts w:eastAsia="Times New Roman" w:cs="Times New Roman" w:ascii="Times New Roman" w:hAnsi="Times New Roman"/>
          <w:color w:val="111111"/>
          <w:sz w:val="28"/>
          <w:szCs w:val="28"/>
          <w:lang w:val="en-US"/>
        </w:rPr>
        <w:t>masing person, baik dari esensi yang sama, maupun berlainan, menuju  suatu tujuan tertentu, seperti keharmonisan antar bagian-bagian pohon atau  keseimbangan yang merupakan konsekuensi antara kehidupan manusia  dan hewan. Jika setiap fenomena alam diatur oleh beberapa tuhan, maka  tentu alam akan menjadi kacau. Bayangkan, bila air dikendalikan oleh  satu Tuhan, mendung diurus oleh Tuhan lain, matahari berada di bawah  kendali Tuhan lain, maka hujan yang merupakan akibat dari akumulasi  fenomena sebelumnya itu tidak akan pernah terwujud.</w:t>
      </w:r>
    </w:p>
    <w:p>
      <w:pPr>
        <w:pStyle w:val="BookText"/>
        <w:bidi w:val="0"/>
        <w:jc w:val="both"/>
        <w:rPr/>
      </w:pPr>
      <w:r>
        <w:rPr>
          <w:rFonts w:eastAsia="Times New Roman" w:cs="Times New Roman" w:ascii="Times New Roman" w:hAnsi="Times New Roman"/>
          <w:color w:val="111111"/>
          <w:sz w:val="28"/>
          <w:szCs w:val="28"/>
          <w:lang w:val="en-US"/>
        </w:rPr>
        <w:t>Dengan kata lain, seandainya benar bahwa mereka adalah tuhan-  tuhan, maka masing-masing tidak membutuhkan hasil penciptaan dan  pengaturan Tuhan lainnya. Seandainya membutuhkan, maka berarti  Tuhan yang membutuhkan selain dirinya itu bukanlah Tuhan. Itulah  kontradiksi. Bila setiap fenomena alam diciptakan oleh beberapa Tuhan,  niscaya matahari tidak akan butuh pada mendung, mendung tidak  akan membutuhkan angin, dan begitulah seterusnya. Ketika masing-  masing fenomena alam itu berdiri sendiri, maka akan bercerai-berai.</w:t>
      </w:r>
    </w:p>
    <w:p>
      <w:pPr>
        <w:pStyle w:val="BookText"/>
        <w:bidi w:val="0"/>
        <w:jc w:val="both"/>
        <w:rPr/>
      </w:pPr>
      <w:r>
        <w:rPr>
          <w:rFonts w:eastAsia="Times New Roman" w:cs="Times New Roman" w:ascii="Times New Roman" w:hAnsi="Times New Roman"/>
          <w:color w:val="111111"/>
          <w:sz w:val="28"/>
          <w:szCs w:val="28"/>
          <w:lang w:val="en-US"/>
        </w:rPr>
        <w:t>Ketika bercerai-berai, maka tidak akan mewujudkan fenomena yang  namanya hujan.</w:t>
      </w:r>
      <w:r>
        <w:rPr>
          <w:rStyle w:val="FootnoteAnchor"/>
        </w:rPr>
        <w:footnoteReference w:id="368"/>
      </w:r>
      <w:r>
        <w:rPr>
          <w:rFonts w:eastAsia="Times New Roman" w:cs="Times New Roman" w:ascii="Times New Roman" w:hAnsi="Times New Roman"/>
          <w:color w:val="111111"/>
          <w:sz w:val="28"/>
          <w:szCs w:val="28"/>
          <w:lang w:val="en-US"/>
        </w:rPr>
        <w:t>Karena itulah “khair” (yang bisa diartikan baik dan  bisa pula diartikan lebih baik) dalam ayat “Apakah beberapa tuhan yang  berpencaran lebih baik dari satu Tuhan Yang Maha Perkasa” mungkin  bisa diartikan secara modern dengan “lebih rasional”.</w:t>
      </w:r>
    </w:p>
    <w:p>
      <w:pPr>
        <w:pStyle w:val="BookText"/>
        <w:bidi w:val="0"/>
        <w:jc w:val="both"/>
        <w:rPr/>
      </w:pPr>
      <w:r>
        <w:rPr>
          <w:rFonts w:eastAsia="Times New Roman" w:cs="Times New Roman" w:ascii="Times New Roman" w:hAnsi="Times New Roman"/>
          <w:color w:val="111111"/>
          <w:sz w:val="28"/>
          <w:szCs w:val="28"/>
          <w:lang w:val="en-US"/>
        </w:rPr>
        <w:t xml:space="preserve">Muhammad Taqi Mishbâh Yazdî menyodorkan ayat yang memuat  argumentasi ontologis tentang wujud Allah adalah firman Allah: </w:t>
      </w:r>
      <w:r>
        <w:rPr>
          <w:rFonts w:ascii="IRNazanin" w:hAnsi="IRNazanin" w:eastAsia="IRNazanin"/>
          <w:color w:val="111111"/>
          <w:sz w:val="28"/>
          <w:sz w:val="28"/>
          <w:szCs w:val="28"/>
          <w:rtl w:val="true"/>
          <w:lang w:bidi="fa-IR"/>
        </w:rPr>
        <w:t>ام خلقوا  من غیر شی ام هم الخالقون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Apakah mereka diciptakan tanpa sesuatu pun   ataukah mereka yang menciptakan diri mereka sendiri)”. </w:t>
      </w:r>
      <w:r>
        <w:rPr>
          <w:rStyle w:val="FootnoteAnchor"/>
        </w:rPr>
        <w:footnoteReference w:id="369"/>
      </w:r>
      <w:r>
        <w:rPr>
          <w:rFonts w:eastAsia="Times New Roman" w:cs="Times New Roman" w:ascii="Times New Roman" w:hAnsi="Times New Roman"/>
          <w:color w:val="111111"/>
          <w:sz w:val="28"/>
          <w:szCs w:val="28"/>
          <w:lang w:val="en-US"/>
        </w:rPr>
        <w:t>Muhammad  Taqi Misbah Yazdî sependapat dengan komentar Fakhr al-din al-Razi.</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Menurutnya, dalam ayat ini, ada satu kalimat introgatif yang asumtif  (muqaddar), yaitu “am khuliqu” (tidakkah mereka diciptakan?) sebelum  "apakah mereka diciptakan dari selain sesuatu ataukah mereka adalah  pencipta-pencipta”. </w:t>
      </w:r>
      <w:r>
        <w:rPr>
          <w:rStyle w:val="FootnoteAnchor"/>
        </w:rPr>
        <w:footnoteReference w:id="370"/>
      </w:r>
      <w:r>
        <w:rPr>
          <w:rFonts w:eastAsia="Times New Roman" w:cs="Times New Roman" w:ascii="Times New Roman" w:hAnsi="Times New Roman"/>
          <w:color w:val="111111"/>
          <w:sz w:val="28"/>
          <w:szCs w:val="28"/>
          <w:lang w:val="en-US"/>
        </w:rPr>
        <w:t xml:space="preserve">Pertanyaan ini diajukan kepada orang-orang yang </w:t>
      </w:r>
    </w:p>
    <w:p>
      <w:pPr>
        <w:pStyle w:val="BookText"/>
        <w:bidi w:val="0"/>
        <w:rPr/>
      </w:pPr>
      <w:r>
        <w:rPr>
          <w:rFonts w:eastAsia="Times New Roman" w:cs="Times New Roman" w:ascii="Times New Roman" w:hAnsi="Times New Roman"/>
          <w:color w:val="111111"/>
          <w:sz w:val="28"/>
          <w:szCs w:val="28"/>
          <w:lang w:val="en-US"/>
        </w:rPr>
        <w:t>mendustakan keesaan Allah. Kata syay’, menurutnya, berarti sesuatu  yang ada, karena ke-sesuatu-an (al-sy-syay’iyyah, thingnes) identik  dengan ke-ada-an atau keberadaan, sedangkan ke-tidak-sesuatuan atau  la syay’iyyah atau nothingnes</w:t>
      </w:r>
      <w:r>
        <w:rPr>
          <w:rStyle w:val="FootnoteAnchor"/>
        </w:rPr>
        <w:footnoteReference w:id="371"/>
      </w:r>
      <w:r>
        <w:rPr>
          <w:rFonts w:eastAsia="Times New Roman" w:cs="Times New Roman" w:ascii="Times New Roman" w:hAnsi="Times New Roman"/>
          <w:color w:val="111111"/>
          <w:sz w:val="28"/>
          <w:szCs w:val="28"/>
          <w:lang w:val="en-US"/>
        </w:rPr>
        <w:t xml:space="preserve">berarti ketiadaan. </w:t>
      </w:r>
      <w:r>
        <w:rPr>
          <w:rStyle w:val="FootnoteAnchor"/>
        </w:rPr>
        <w:footnoteReference w:id="372"/>
      </w:r>
      <w:r>
        <w:rPr>
          <w:rFonts w:eastAsia="Times New Roman" w:cs="Times New Roman" w:ascii="Times New Roman" w:hAnsi="Times New Roman"/>
          <w:color w:val="111111"/>
          <w:sz w:val="28"/>
          <w:szCs w:val="28"/>
          <w:lang w:val="en-US"/>
        </w:rPr>
        <w:t>“Adakah mereka  diciptakan bukan dari dari sesuatu” berarti “Adakah mereka diciptakan  oleh yang tiada (al-ma'dum)</w:t>
      </w:r>
      <w:r>
        <w:rPr>
          <w:rStyle w:val="FootnoteAnchor"/>
        </w:rPr>
        <w:footnoteReference w:id="373"/>
      </w:r>
      <w:r>
        <w:rPr>
          <w:rFonts w:eastAsia="Times New Roman" w:cs="Times New Roman" w:ascii="Times New Roman" w:hAnsi="Times New Roman"/>
          <w:color w:val="111111"/>
          <w:sz w:val="28"/>
          <w:szCs w:val="28"/>
          <w:lang w:val="en-US"/>
        </w:rPr>
        <w:t xml:space="preserve"> Muhammad Taqi Misbah Yazdî mengakui bahwa ayat di atas tidak  secara eksplisit membuktikan keberadaan Tuhan. Namun, menurutnya,  dari kandungan ayat yang bersifat introgatif ini dapat digali sebuah  argumentasi rasional. Keberadaan manusia dapat diasumsikan dalam  salah satu dari tiga kemungkinan: manusia muncul dengan sendirinya  tanpa pencipta atau sebab pengada; manusia menciptakan dirinya  sendiri, dan manusia diciptakan oleh selain dirinya. Seandainya mereka  beranggapan bahwa mereka tidak diciptakan, maka berarti mereka  menolak kausalitas yang berujung pada penolakan terhadap eksistensi  mereka sendiri, atau mengangggap diri mereka sebagai pencipta. Bila  mereka masing-masing adalah pencipta, maka berarti mereka telah ada  sebelum ada. Ia harus ada karena menjadi pencipta, dan sekaligus tidak  ada karena akan diciptakan.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Bertolak dari kesimpulan bahwa prinsip agama adalah keimanan  kepada wujud Tuhan yang menciptakan alam semesta, dan bahwa  perbedaan mendasar antara pandangan dunia Ilahi dan pandangan  dunia materialisme terletak pada ada-tidaknya keimanan kepada Tuhan  Pencipta alam ini, maka upaya pertama yang perlu dijalani seorang  pencari kebenaran sebelum segala sesuatunya adalah memberi jawaban  terhadap pertanyaan: Apakah Tuhan itu ada atau tidak?</w:t>
      </w:r>
      <w:r>
        <w:rPr>
          <w:rStyle w:val="FootnoteAnchor"/>
        </w:rPr>
        <w:footnoteReference w:id="374"/>
      </w:r>
      <w:r>
        <w:rPr>
          <w:rFonts w:eastAsia="Times New Roman" w:cs="Times New Roman" w:ascii="Times New Roman" w:hAnsi="Times New Roman"/>
          <w:color w:val="111111"/>
          <w:sz w:val="28"/>
          <w:szCs w:val="28"/>
          <w:lang w:val="en-US"/>
        </w:rPr>
        <w:t xml:space="preserve"> Jawaban tentangnya, sebagaimana telah dijelaskan sebelumnya,  hanya mungkin dirumuskan lewat penggunaan properti akal atau dengan  menalar. Ini menjadi sebuah kemestian agar jawaban yang diperoleh, </w:t>
      </w:r>
      <w:bookmarkStart w:id="236" w:name="pg6424_45272"/>
    </w:p>
    <w:p>
      <w:pPr>
        <w:pStyle w:val="BookText"/>
        <w:bidi w:val="0"/>
        <w:rPr/>
      </w:pPr>
      <w:bookmarkEnd w:id="236"/>
      <w:r>
        <w:rPr>
          <w:rFonts w:eastAsia="Times New Roman" w:cs="Times New Roman" w:ascii="Times New Roman" w:hAnsi="Times New Roman"/>
          <w:color w:val="111111"/>
          <w:sz w:val="28"/>
          <w:szCs w:val="28"/>
          <w:lang w:val="en-US"/>
        </w:rPr>
        <w:t>entah positif atau negatif, betul-betul meyakinkan. Bila jawabannya  positif, pembahasan masalah-masalah berikutnya baru bisa dilakukan,  seperti tauhid, keadilan Ilahi, dan seluruh sifat Tuhan. Adapun, bila  jawabannya negatif, yang sekaligus membuktikan kebenaran pandangan  dunia materialisme, maka seluruh persoalan yang berkaitan dengan  agama tak perlu lagi dibahas panjang lebar.</w:t>
      </w:r>
      <w:r>
        <w:rPr>
          <w:rStyle w:val="FootnoteAnchor"/>
        </w:rPr>
        <w:footnoteReference w:id="375"/>
      </w:r>
    </w:p>
    <w:p>
      <w:pPr>
        <w:pStyle w:val="Heading3"/>
        <w:numPr>
          <w:ilvl w:val="2"/>
          <w:numId w:val="1"/>
        </w:numPr>
        <w:bidi w:val="0"/>
        <w:jc w:val="left"/>
        <w:rPr/>
      </w:pPr>
      <w:bookmarkStart w:id="237" w:name="__RefHeading___Toc688687_653776707"/>
      <w:bookmarkStart w:id="238" w:name="_Toc83"/>
      <w:bookmarkEnd w:id="237"/>
      <w:r>
        <w:rPr/>
        <w:t>C. Kedudukan Ilmu Hudhûrî dan Hushûlî dalam Teologi</w:t>
      </w:r>
      <w:bookmarkEnd w:id="238"/>
    </w:p>
    <w:p>
      <w:pPr>
        <w:pStyle w:val="BookText"/>
        <w:bidi w:val="0"/>
        <w:jc w:val="both"/>
        <w:rPr/>
      </w:pPr>
      <w:r>
        <w:rPr>
          <w:rFonts w:eastAsia="Times New Roman" w:cs="Times New Roman" w:ascii="Times New Roman" w:hAnsi="Times New Roman"/>
          <w:color w:val="111111"/>
          <w:sz w:val="28"/>
          <w:szCs w:val="28"/>
          <w:lang w:val="en-US"/>
        </w:rPr>
        <w:t>Pengenalam terhadap Tuhan, menurut Muhammad Taqi Misbâh  Yazdî, dapat ditempuh melalui dua jenis pengetahuan; hudhûrî  (presentasional) dan hushûlî (representasional). Pengetahuan hudhûrî  memungkinkan seseorang mengetahui dan mengenal Tuhan dengan jalur  hati dan batin (syuhûdî, qalbi), tanpa mediasi pemahaman-pemahaman  berupa gambaran konseptual dalam benak. Jelas, orang yang memiliki  pengetahuan hudhûrî tentang Tuhan, sebagaimana diakui para ‘urafa',  tidak membutuhkan argumentasi rasional.</w:t>
      </w:r>
      <w:r>
        <w:rPr>
          <w:rStyle w:val="FootnoteAnchor"/>
        </w:rPr>
        <w:footnoteReference w:id="376"/>
      </w:r>
      <w:r>
        <w:rPr>
          <w:rFonts w:eastAsia="Times New Roman" w:cs="Times New Roman" w:ascii="Times New Roman" w:hAnsi="Times New Roman"/>
          <w:color w:val="111111"/>
          <w:sz w:val="28"/>
          <w:szCs w:val="28"/>
          <w:lang w:val="en-US"/>
        </w:rPr>
        <w:t xml:space="preserve"> Meskipun demikian, Muhammad Taqi Misbâh Yazdî menganggap  pengetahuan hudhûrî atau syuhûdî tidak dapat dikuasai manusia biasa  tanpa terlebih dahulu membina jiwanya melalui sair suluk Islami.</w:t>
      </w:r>
    </w:p>
    <w:p>
      <w:pPr>
        <w:pStyle w:val="BookText"/>
        <w:bidi w:val="0"/>
        <w:jc w:val="both"/>
        <w:rPr/>
      </w:pPr>
      <w:r>
        <w:rPr>
          <w:rFonts w:eastAsia="Times New Roman" w:cs="Times New Roman" w:ascii="Times New Roman" w:hAnsi="Times New Roman"/>
          <w:color w:val="111111"/>
          <w:sz w:val="28"/>
          <w:szCs w:val="28"/>
          <w:lang w:val="en-US"/>
        </w:rPr>
        <w:t xml:space="preserve">Adapun level-level rendah dari pengetahuan ini, kendati dapat dicapai  orang kebanyakan, tidak memadai bagi terbangunnya pandangan dunia  yang berbasis kesadaran. </w:t>
      </w:r>
      <w:r>
        <w:rPr>
          <w:rStyle w:val="FootnoteAnchor"/>
        </w:rPr>
        <w:footnoteReference w:id="377"/>
      </w:r>
      <w:r>
        <w:rPr>
          <w:rFonts w:eastAsia="Times New Roman" w:cs="Times New Roman" w:ascii="Times New Roman" w:hAnsi="Times New Roman"/>
          <w:color w:val="111111"/>
          <w:sz w:val="28"/>
          <w:szCs w:val="28"/>
          <w:lang w:val="en-US"/>
        </w:rPr>
        <w:t>Karena itu, ia tidak memasukkannya dalam  bidang bahasannya.</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jangkauan pengetahuan empirik terbatas pada fenom-  enafenomena alam materi, kita tidak mungkin dapat mengetahui dasar-dasar  pandangan dunia mengenai penciptaan alam semesta dan mengatasi  berbagai persoalan yang bersangkutan hanya dengan mengandalkan </w:t>
      </w:r>
    </w:p>
    <w:p>
      <w:pPr>
        <w:pStyle w:val="BookText"/>
        <w:bidi w:val="0"/>
        <w:rPr/>
      </w:pPr>
      <w:r>
        <w:rPr>
          <w:rFonts w:eastAsia="Times New Roman" w:cs="Times New Roman" w:ascii="Times New Roman" w:hAnsi="Times New Roman"/>
          <w:color w:val="111111"/>
          <w:sz w:val="28"/>
          <w:szCs w:val="28"/>
          <w:lang w:val="en-US"/>
        </w:rPr>
        <w:t>data-data pengetahuan tersebut. Sebab, persoalan-persoalan semacam  ini di luar jangkauan ilmu-ilmu empiris. Ilmu empiris mana pun tidak  berbicara seputar masalah-masalah tersebut, baik menafikan ataupun  menetapkannya. Dengan nada bergurau, Muhammad Taqi Misbâh Yazdî  bergumam, “tidaklah mungkin menafikan wujud Allah melalui penelitian  di laboratorium. Pengalaman indrawi tidak mampu menilai ada tiadanya  sesuatu di luar lingkaran materi."  Karenanya, pandangan dunia empiris tiada lain adalah fatamorgana  dan tidak dapat dikatakan sebagai pandangan dunia mengenai wujud dan  alam semesta dalam arti yang sebenarnya. Maksimalnya, ia dapat disebut  sebagai “pengetahuan tentang alam materi”. Pengetahuan semacam  ini tidak mampu menuntaskan persoalan-persoalan mendasar dalam  pandangan dunia.</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menampik pengetahuan indrawi untuk memahami wujud  Allah, Muhammad Taqi Misbâh Yazdî juga menolak dogma atau  pengetahuan yang diperoleh melalui jalur ta’abbudi (taklid) berlaku  dan bernilai secara sekunder, karena kita harus membuktikan terlebih  dahulu keberadaan pengetahuan sebelumnya sebagai sumber bagi  pengetahuan ini. Misalnya, sehubungan dengan masalah kenabian, kita  harus menetapkan terlebih dahulu kenabian seorang nabi supaya risalah  dan seluruh sabdanya itu dapat diakui. Sebelum itu, kita pun harus  membuktikan adanya Sang Pengutusnya, yaitu Allah SWT. Menurutnya,  kita tidak akan dapat menetapkan keberadaan Sang Pengutus dan  kenabian seorang rasul melalui lisan rasul itu sendiri. Misalnya, kita  tidak dapat mengatakan bahwa mengingat al-Qur'an telah menjelaskan  keberadaan Allah, maka masalah keberadaan Allah itu dianggap tuntas  (berdasarkan firman-Nya itu sendiri). Seharusnya, yang benar adalah  bahwa setelah kita dapat membuktikan keberadaan Allah dan kenabian  seorang nabi, dan kita telah mengenalnya secara pasti, juga kita telah  membuktikan bahwa al-Qur'an itu adalah kitab Allah yang hak, barulah  kita dapat menerima berbagai macam keyakinan far'iyyah (parsial)  lainnya dan ajaran-ajaran yang bersifat praktis dengan bersandar kepada </w:t>
      </w:r>
    </w:p>
    <w:p>
      <w:pPr>
        <w:pStyle w:val="BookText"/>
        <w:bidi w:val="0"/>
        <w:rPr/>
      </w:pPr>
      <w:r>
        <w:rPr>
          <w:rFonts w:eastAsia="Times New Roman" w:cs="Times New Roman" w:ascii="Times New Roman" w:hAnsi="Times New Roman"/>
          <w:color w:val="111111"/>
          <w:sz w:val="28"/>
          <w:szCs w:val="28"/>
          <w:lang w:val="en-US"/>
        </w:rPr>
        <w:t>informasi orang yang jujur dan sumber yang tepercaya. Pengetahuan  ta’abbudî ini tidak mempunyai peran langsung dalam menyelesaikan  berbagai persoalan prinsipal di dalam pandangan dunia seputar wujud  dan penciptaan alam semesta.</w:t>
      </w:r>
    </w:p>
    <w:p>
      <w:pPr>
        <w:pStyle w:val="BookText"/>
        <w:bidi w:val="0"/>
        <w:jc w:val="both"/>
        <w:rPr/>
      </w:pPr>
      <w:r>
        <w:rPr>
          <w:rFonts w:eastAsia="Times New Roman" w:cs="Times New Roman" w:ascii="Times New Roman" w:hAnsi="Times New Roman"/>
          <w:color w:val="111111"/>
          <w:sz w:val="28"/>
          <w:szCs w:val="28"/>
          <w:lang w:val="en-US"/>
        </w:rPr>
        <w:t>Muhammad Taqi Misbah Yazdî juga berkebartan untuk memasukkan  ilmu hudhûrî dan syuhûdî. Ia mengemukakan sejumlah alasan:</w:t>
      </w:r>
    </w:p>
    <w:p>
      <w:pPr>
        <w:pStyle w:val="BookText"/>
        <w:bidi w:val="0"/>
        <w:jc w:val="both"/>
        <w:rPr/>
      </w:pPr>
      <w:r>
        <w:rPr>
          <w:rFonts w:eastAsia="Times New Roman" w:cs="Times New Roman" w:ascii="Times New Roman" w:hAnsi="Times New Roman"/>
          <w:color w:val="111111"/>
          <w:sz w:val="28"/>
          <w:szCs w:val="28"/>
          <w:lang w:val="en-US"/>
        </w:rPr>
        <w:t>pertama, pandangan dunia seputar penciptaan alam semesta merupakan  pengetahuan yang terbentuk dari gambaran-gambaran konseptual di  dalam pikiran, sementara pada konteks hudhûrî tidak ada tempat lagi  bagi gambaran semacam itu. Dengan demikian, penisbahan gambaran  konseptual kepada konteks hudhûrî lebih merupakan toleransi dan  ditilik dari kapasitasnya sebagai basis kemunculan gambaran konseptual  tersebut.</w:t>
      </w:r>
    </w:p>
    <w:p>
      <w:pPr>
        <w:pStyle w:val="BookText"/>
        <w:bidi w:val="0"/>
        <w:jc w:val="both"/>
        <w:rPr/>
      </w:pPr>
      <w:r>
        <w:rPr>
          <w:rFonts w:eastAsia="Times New Roman" w:cs="Times New Roman" w:ascii="Times New Roman" w:hAnsi="Times New Roman"/>
          <w:color w:val="111111"/>
          <w:sz w:val="28"/>
          <w:szCs w:val="28"/>
          <w:lang w:val="en-US"/>
        </w:rPr>
        <w:t>Kedua, menjelaskan berbagai perkara yang hudhûrî dan syuhûdî  melalui kata-kata dan konsep membutuhkan kemampuan dan kekuatan  nalar tertentu yang tidak dapat dicapai kecuali dengan dasar-dasar dan  latar belakang yang cukup panjang, berupa kemampuan analisis rasional  dan filsufis. Seorang yang tidak mempunyai kekuatan semacam ini  terpaksa menggunakan kata-kata, ungkapan-ungkapan dan konsep-  konsep yang abu-abu (mutasyabih) sehingga sangat mungkin malah  menjadi faktor yang berdampak pada distorsi dan penyimpangan.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Melalui pengetahuan hushûlî, pengenalan tentang Tuhan diperoleh  melalui konsep-konsep universal, seperti Sang Pencipta, Mahakaya,  Mahatahu, Mahakuasa, dan meyakini keberadaan-Nya. Kemudian,  semua itu dikombinasikan dengan pengetahuan hushûlî lain sehingga  terbangunlah sebentuk pandangan dunia yang utuh dan kompak. Semua  pengetahuan yang dicecap manusia adalah melalui telaahan rasional dan  argumentasi filsufis, termasuk pengetahuan jenis ini (hushûlî). Bila  sudah memiliki ilmu semacam ini, manusia baru dapat mengenal Tuhan  melalui ilmu hudhûrî.</w:t>
      </w:r>
      <w:r>
        <w:rPr>
          <w:rStyle w:val="FootnoteAnchor"/>
        </w:rPr>
        <w:footnoteReference w:id="378"/>
      </w:r>
      <w:r>
        <w:rPr>
          <w:rFonts w:eastAsia="Times New Roman" w:cs="Times New Roman" w:ascii="Times New Roman" w:hAnsi="Times New Roman"/>
          <w:color w:val="111111"/>
          <w:sz w:val="28"/>
          <w:szCs w:val="28"/>
          <w:lang w:val="en-US"/>
        </w:rPr>
        <w:t xml:space="preserve"> Ketiga, seringkali terjadi kesamaran dan kekeliruan antara hakikat </w:t>
      </w:r>
    </w:p>
    <w:p>
      <w:pPr>
        <w:pStyle w:val="BookText"/>
        <w:bidi w:val="0"/>
        <w:rPr/>
      </w:pPr>
      <w:r>
        <w:rPr>
          <w:rFonts w:eastAsia="Times New Roman" w:cs="Times New Roman" w:ascii="Times New Roman" w:hAnsi="Times New Roman"/>
          <w:color w:val="111111"/>
          <w:sz w:val="28"/>
          <w:szCs w:val="28"/>
          <w:lang w:val="en-US"/>
        </w:rPr>
        <w:t>realitas yang disaksikan dalam konteks syuhûdî itu, yang hakiki, dengan  gambaran-gambaran khayalan serta penafsiran konseptual terhadap  hakikat tersebut. Bahkan, kekeliruan dan kekaburan itu bisa juga  menimpa sekalipun pada si pelaku syuhud (musyahid) itu sendiri.</w:t>
      </w:r>
    </w:p>
    <w:p>
      <w:pPr>
        <w:pStyle w:val="BookText"/>
        <w:bidi w:val="0"/>
        <w:jc w:val="both"/>
        <w:rPr/>
      </w:pPr>
      <w:r>
        <w:rPr>
          <w:rFonts w:eastAsia="Times New Roman" w:cs="Times New Roman" w:ascii="Times New Roman" w:hAnsi="Times New Roman"/>
          <w:color w:val="111111"/>
          <w:sz w:val="28"/>
          <w:szCs w:val="28"/>
          <w:lang w:val="en-US"/>
        </w:rPr>
        <w:t>Keempat, seseorang tidak mungkin mencapai berbagai hakikat batin  kecuali setelah melakukan sair-suluk‘irfani (pelatihan rohani) bertahun-  tahun lamanya. Akan tetapi, keimanan dan keyakinan seseorang terhadap  metode sair-suluk yang dianggap sebagai pengetahuan praktis-  bergantung kepada dasar-dasar teoretis dan persoalan-persoalan yang  mendasar dalam pandangan dunia.</w:t>
      </w:r>
    </w:p>
    <w:p>
      <w:pPr>
        <w:pStyle w:val="BookText"/>
        <w:bidi w:val="0"/>
        <w:jc w:val="both"/>
        <w:rPr/>
      </w:pPr>
      <w:r>
        <w:rPr>
          <w:rFonts w:eastAsia="Times New Roman" w:cs="Times New Roman" w:ascii="Times New Roman" w:hAnsi="Times New Roman"/>
          <w:color w:val="111111"/>
          <w:sz w:val="28"/>
          <w:szCs w:val="28"/>
          <w:lang w:val="en-US"/>
        </w:rPr>
        <w:t>Oleh karenanya, sebelum seseorang itu mulai mengamalkan sair-  suluk, ia harus mampu menuntaskan persoalan-persoalan itu dengan  baik. Sedangkan pengetahuan syuhûdî itu baru bisa diperoleh tatkala  ia berada di dalam atau di puncak perjalanan sair-suluk tersebut. Pada  hakikatnya, “irfan hakiki itu baru akan dapat dicapai oleh seseorang  tatkala ia berusaha dengan sungguh-sungguh dan penuh ikhlas beribadah  kepada Allah. Sementara usaha dan suluknya itu sendiri bergantung  kepada pengetahuan tentang Allah dan tentang cara ibadah kepada-Nya.</w:t>
      </w:r>
    </w:p>
    <w:p>
      <w:pPr>
        <w:pStyle w:val="BookText"/>
        <w:bidi w:val="0"/>
        <w:jc w:val="both"/>
        <w:rPr/>
      </w:pPr>
      <w:r>
        <w:rPr>
          <w:rFonts w:eastAsia="Times New Roman" w:cs="Times New Roman" w:ascii="Times New Roman" w:hAnsi="Times New Roman"/>
          <w:color w:val="111111"/>
          <w:sz w:val="28"/>
          <w:szCs w:val="28"/>
          <w:lang w:val="en-US"/>
        </w:rPr>
        <w:t>Dengan demikian, menurut Muhammad Taqi Misbâh Yazdî, satu-  satunya jalan bagi seseorang yang berusaha untuk mencari solusi dalam  menghadapi masalah-masalah pokok pandangan dunia adalah jalan  logika atau metode rasional. Oleh karena itu, pandangan dunia yang  sebenarnya adalah pandangan dunia falsafi.</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perlu diketahui bahwa membatasi upaya mencari solusi  atas masalah-masalah tersebut pada metode rasional dan premis-premis  filsufis tidak berarti bahwa untuk pencapaian pandangan dunia semacam  itu bergantung kepada pemecahan atas seluruh persoalan filsafat. Upaya  itu cukup dengan mengkaji sebagian masalah filsafat yang sederhana  dan tampak gamblang. Dengan cara inilah kita dapat membuktikan  wujud Allah. Hal ini merupakan masalah yang paling penting dalam  pandangan dunia, walaupun studi khusus mengenai masalah-masalah ini  dan cara menghadapi berbagai kritik serta keraguan dan pemecahannya </w:t>
      </w:r>
    </w:p>
    <w:p>
      <w:pPr>
        <w:pStyle w:val="BookText"/>
        <w:bidi w:val="0"/>
        <w:rPr/>
      </w:pPr>
      <w:r>
        <w:rPr>
          <w:rFonts w:eastAsia="Times New Roman" w:cs="Times New Roman" w:ascii="Times New Roman" w:hAnsi="Times New Roman"/>
          <w:color w:val="111111"/>
          <w:sz w:val="28"/>
          <w:szCs w:val="28"/>
          <w:lang w:val="en-US"/>
        </w:rPr>
        <w:t>membutuhkan kejelian filsufis secara luas.</w:t>
      </w:r>
    </w:p>
    <w:p>
      <w:pPr>
        <w:pStyle w:val="BookText"/>
        <w:bidi w:val="0"/>
        <w:jc w:val="both"/>
        <w:rPr/>
      </w:pPr>
      <w:r>
        <w:rPr>
          <w:rFonts w:eastAsia="Times New Roman" w:cs="Times New Roman" w:ascii="Times New Roman" w:hAnsi="Times New Roman"/>
          <w:color w:val="111111"/>
          <w:sz w:val="28"/>
          <w:szCs w:val="28"/>
          <w:lang w:val="en-US"/>
        </w:rPr>
        <w:t>Begitu pula ketika kita membatasi berbagai pengetahuan yang dapat  membuahkan dan menyelesaikan masalah-masalah yang mendasar  melalui pengetahuan rasional, bukan berarti kita membuang pengetahuan-  pengetahuan lainnya untuk memecahkan masalah-masalah tersebut.</w:t>
      </w:r>
    </w:p>
    <w:p>
      <w:pPr>
        <w:pStyle w:val="BookText"/>
        <w:bidi w:val="0"/>
        <w:jc w:val="both"/>
        <w:rPr/>
      </w:pPr>
      <w:r>
        <w:rPr>
          <w:rFonts w:eastAsia="Times New Roman" w:cs="Times New Roman" w:ascii="Times New Roman" w:hAnsi="Times New Roman"/>
          <w:color w:val="111111"/>
          <w:sz w:val="28"/>
          <w:szCs w:val="28"/>
          <w:lang w:val="en-US"/>
        </w:rPr>
        <w:t>Bahkan kita dapat menggunakan argumen-argumen rasional, yang  sebagian premisnya dihasilkan dari jalur ilmu hudhûrî atau indra dan  eksperimen. Sebagaimana juga kita dapat menggunakan pengetahuan  ta'abbudi untuk dapat menyelesaikan masalah-masalah rincian yang  biasanya dibuktikan dengan ayat al-Qur'an dan Hadis yang merupakan  sumber agama. Akhirnya, tatkala pandangan dunia dan ideologi yang  benar itu dapat dicapai, seseorang akan melangsungkan usahanya hingga  sampai ke mukasyafah dan musyahadah (penyaksian mata batin) melalui  usaha yang gigih dalam menempuh jenjang-jenjang sair-suluk sehingga  dapat menyaksikan—tanpa melalui konsep-konsep mental—berbagai  hakikat yang dibuktikan oleh argumen-argumen rasional.</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Setelah mengutamakan prinsip rasional, Muhammad Taqi Misbah  Yazdî menawarkan fitrah, yang bila ditelusuri bermuara kepada prinsip  badâhah. Kata ini berasal dari bahasa Arab yang berarti "bentuk  penciptaan”. Sesuatu bersifat fitriah (dinisbahkan kepada fitrah) tatkala  bentuk penciptaan suatu makhluk menuntut sesuatu itu.</w:t>
      </w:r>
      <w:r>
        <w:rPr>
          <w:rStyle w:val="FootnoteAnchor"/>
        </w:rPr>
        <w:footnoteReference w:id="379"/>
      </w:r>
      <w:r>
        <w:rPr>
          <w:rFonts w:eastAsia="Times New Roman" w:cs="Times New Roman" w:ascii="Times New Roman" w:hAnsi="Times New Roman"/>
          <w:color w:val="111111"/>
          <w:sz w:val="28"/>
          <w:szCs w:val="28"/>
          <w:lang w:val="en-US"/>
        </w:rPr>
        <w:t>Dari sinilah  dapat dipahami tiga karakteristik ihwal fithriyyah: pertama, adalah  perkara-perkara fitriah merupakan titik kesamaan dari makhluk-  makhluk berspesies sama, kendati keberadaannya berbeda dari segi  intensitas, lemah-kuatnya. Kedua, adalah perkara-perkara fitriyah  selalu eksis sepanjang sejarah manusia. Jelas, mustahil setiap makhluk  mempunyai fitrah yang mengalami perubahan dan perbedaan dari waktu  ke waktu.”</w:t>
      </w:r>
      <w:r>
        <w:rPr>
          <w:rStyle w:val="FootnoteAnchor"/>
        </w:rPr>
        <w:footnoteReference w:id="380"/>
      </w:r>
      <w:r>
        <w:rPr>
          <w:rFonts w:eastAsia="Times New Roman" w:cs="Times New Roman" w:ascii="Times New Roman" w:hAnsi="Times New Roman"/>
          <w:color w:val="111111"/>
          <w:sz w:val="28"/>
          <w:szCs w:val="28"/>
          <w:lang w:val="en-US"/>
        </w:rPr>
        <w:t xml:space="preserve">Ketiga, arena merupakan sebuah kemestian dari penciptaan  makhluk, maka perkara-perkara fitriah tidak dapat diraih melalui proses </w:t>
      </w:r>
    </w:p>
    <w:p>
      <w:pPr>
        <w:pStyle w:val="BookText"/>
        <w:bidi w:val="0"/>
        <w:rPr/>
      </w:pPr>
      <w:r>
        <w:rPr>
          <w:rFonts w:eastAsia="Times New Roman" w:cs="Times New Roman" w:ascii="Times New Roman" w:hAnsi="Times New Roman"/>
          <w:color w:val="111111"/>
          <w:sz w:val="28"/>
          <w:szCs w:val="28"/>
          <w:lang w:val="en-US"/>
        </w:rPr>
        <w:t>pembelajaran, kendati untuk memperkuat dan mengembangkannya  dibutuhkan bimbingan dan arahan.</w:t>
      </w:r>
      <w:r>
        <w:rPr>
          <w:rStyle w:val="FootnoteAnchor"/>
        </w:rPr>
        <w:footnoteReference w:id="381"/>
      </w:r>
      <w:r>
        <w:rPr>
          <w:rFonts w:eastAsia="Times New Roman" w:cs="Times New Roman" w:ascii="Times New Roman" w:hAnsi="Times New Roman"/>
          <w:color w:val="111111"/>
          <w:sz w:val="28"/>
          <w:szCs w:val="28"/>
          <w:lang w:val="en-US"/>
        </w:rPr>
        <w:t xml:space="preserve"> Muhammad Taqî Misbâh Yazdî menggolongkan ihwal fitrah dalam  dua jenis. Pertama, pengetahuan-pengetahuan inheren (fithriyyah)  yang dimiliki setiap orang tanpa memerlukan proses belajar. Kedua,  kecenderungan-kecenderungan fitriah. Dalam pada itu, jika dalam  diri seseorang terbukti terdapat semacam pengetahuan tentang Allah  (ma'rifatullâh) yang tidak perlu proses belajar, maka pengetahuan  semacam itu dapat disebut pengenalan fitriah terhadap Allah  (maʼrifatullâh ‘ala al-fithrah). Apabila kecenderungan kepada Allah dan  kecondongan menghamba kepada-Nya pada setiap manusia terbukti ada,  maka itu dapat dinamakan sebagai penghambaan fitriah kepada Allah.</w:t>
      </w:r>
      <w:r>
        <w:rPr>
          <w:rStyle w:val="FootnoteAnchor"/>
        </w:rPr>
        <w:footnoteReference w:id="382"/>
      </w:r>
      <w:r>
        <w:rPr>
          <w:rFonts w:eastAsia="Times New Roman" w:cs="Times New Roman" w:ascii="Times New Roman" w:hAnsi="Times New Roman"/>
          <w:color w:val="111111"/>
          <w:sz w:val="28"/>
          <w:szCs w:val="28"/>
          <w:lang w:val="en-US"/>
        </w:rPr>
        <w:t xml:space="preserve"> Kebanyakan pemikir memandang agama dan kecenderungan kepada  Allah sebagai keistimewaan setiap manusia, berupa perasaan atau  kesadaran beragama. Perlu ditambahkan pula bahwa mengenal Allah  dapat dikategorikan sebagai kelaziman fitrah setiap manusia. Namun,  menurut Muhammad Taqi Misbâh Yazdî, sebagaimana dorongan  fitrah dalam konteks penghambaan diri kepada Allah bukan termasuk  dorongan berbasis kesadaran (syu'ûri), begitu pula dengan dorongan  fitriah mengenal Tuhan. Keduanya bukanlah pengetahuan berbasis  kesadaran, atau tidak dilambari kesadaran yang dibangun dari telaah  rasional mengenai keberadaan Tuhan.</w:t>
      </w:r>
      <w:r>
        <w:rPr>
          <w:rStyle w:val="FootnoteAnchor"/>
        </w:rPr>
        <w:footnoteReference w:id="383"/>
      </w:r>
      <w:r>
        <w:rPr>
          <w:rFonts w:eastAsia="Times New Roman" w:cs="Times New Roman" w:ascii="Times New Roman" w:hAnsi="Times New Roman"/>
          <w:color w:val="111111"/>
          <w:sz w:val="28"/>
          <w:szCs w:val="28"/>
          <w:lang w:val="en-US"/>
        </w:rPr>
        <w:t xml:space="preserve"> Di samping itu, patut diperhatikan pula bahwa pada setiap individu  terdapat derajat pengenalan kepada Allah yang bersifat hudhûrî  (presentasional) atau fithriyyah, walaupun itu sangatlah rendah. Oleh  karena itu, terbuka kemungkinan bila setiap orang meyakini adanya  Tuhan hanya dengan merenung sejenak atau bernalar secara sederhana.</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ia akan berusaha secara bertahap untuk meningkatkan dan  memperkokoh pengenalannya kepada Tuhan hingga mata batinnya  terbuka, atau bahkan mencapai derajat syu'ûriyyah (pengetahuan- </w:t>
      </w:r>
      <w:bookmarkStart w:id="239" w:name="pg6424_45288"/>
    </w:p>
    <w:p>
      <w:pPr>
        <w:pStyle w:val="BookText"/>
        <w:bidi w:val="0"/>
        <w:rPr/>
      </w:pPr>
      <w:bookmarkEnd w:id="239"/>
      <w:r>
        <w:rPr>
          <w:rFonts w:eastAsia="Times New Roman" w:cs="Times New Roman" w:ascii="Times New Roman" w:hAnsi="Times New Roman"/>
          <w:color w:val="111111"/>
          <w:sz w:val="28"/>
          <w:szCs w:val="28"/>
          <w:lang w:val="en-US"/>
        </w:rPr>
        <w:t xml:space="preserve">sadar)  Dengan penjelasan di atas, Muhamamd Taqi Mishbâh Yazdî  berpendapat bahwa mengenal Tuhan secara fitriah bermakna bahwa hati  seseorang dapat mengenal-Nya, dan dalam jiwanya tersimpan potensi  pengenalan secara sadar, yang kemudian menguat secara berangsur-  angsur. Akan tetapi, pada diri orang biasa, potensi-potensi fitriah semacam  ini tidak begitu kuat disadari. Oleh karena itu, diperlukan argumentasi  rasional. Artinya, selain potensi fitrah, mengenal Allah secara sadar  membutuhkan kupasan rasional. </w:t>
      </w:r>
      <w:r>
        <w:rPr>
          <w:rStyle w:val="FootnoteAnchor"/>
        </w:rPr>
        <w:footnoteReference w:id="384"/>
      </w:r>
      <w:r>
        <w:rPr>
          <w:rFonts w:eastAsia="Times New Roman" w:cs="Times New Roman" w:ascii="Times New Roman" w:hAnsi="Times New Roman"/>
          <w:color w:val="111111"/>
          <w:sz w:val="28"/>
          <w:szCs w:val="28"/>
          <w:lang w:val="en-US"/>
        </w:rPr>
        <w:t>Menurut penulis, ini merupakan salah  satu bukti inkonsistensi Muhamamd Taqi Mishbâh Yazdî. Di satu sisi, ia  mengaku sangat rasionalis, namun di sisi lain masih saja menggunakan  hati sebagai dasar andalan.</w:t>
      </w:r>
    </w:p>
    <w:p>
      <w:pPr>
        <w:pStyle w:val="Heading3"/>
        <w:numPr>
          <w:ilvl w:val="2"/>
          <w:numId w:val="1"/>
        </w:numPr>
        <w:bidi w:val="0"/>
        <w:jc w:val="left"/>
        <w:rPr/>
      </w:pPr>
      <w:bookmarkStart w:id="240" w:name="__RefHeading___Toc688689_653776707"/>
      <w:bookmarkStart w:id="241" w:name="_Toc84"/>
      <w:bookmarkEnd w:id="240"/>
      <w:r>
        <w:rPr/>
        <w:t>D. Mabda'</w:t>
      </w:r>
      <w:bookmarkEnd w:id="241"/>
    </w:p>
    <w:p>
      <w:pPr>
        <w:pStyle w:val="Heading4"/>
        <w:numPr>
          <w:ilvl w:val="3"/>
          <w:numId w:val="1"/>
        </w:numPr>
        <w:bidi w:val="0"/>
        <w:jc w:val="left"/>
        <w:rPr/>
      </w:pPr>
      <w:bookmarkStart w:id="242" w:name="__RefHeading___Toc688691_653776707"/>
      <w:bookmarkStart w:id="243" w:name="_Toc85"/>
      <w:bookmarkEnd w:id="242"/>
      <w:r>
        <w:rPr/>
        <w:t>Point</w:t>
      </w:r>
      <w:bookmarkEnd w:id="243"/>
    </w:p>
    <w:p>
      <w:pPr>
        <w:pStyle w:val="BookText"/>
        <w:bidi w:val="0"/>
        <w:jc w:val="both"/>
        <w:rPr/>
      </w:pPr>
      <w:r>
        <w:rPr>
          <w:rFonts w:eastAsia="Times New Roman" w:cs="Times New Roman" w:ascii="Times New Roman" w:hAnsi="Times New Roman"/>
          <w:color w:val="111111"/>
          <w:sz w:val="28"/>
          <w:szCs w:val="28"/>
          <w:lang w:val="en-US"/>
        </w:rPr>
        <w:t>Dari metode pembahasan-pembahasan dalam karya-karyanya, dan  karena konsistensinya pada pendekatan rasional murni yang membuatnya  menghindari penggunaan kata kalam, Muhammad Taqi Misbah Yazdî  merampingkan teologi (ushul al-din) menjadi dua bagian utama, yaitu  mabda’(ketuhanan) dan ma'âd.</w:t>
      </w:r>
    </w:p>
    <w:p>
      <w:pPr>
        <w:pStyle w:val="BookText"/>
        <w:bidi w:val="0"/>
        <w:jc w:val="both"/>
        <w:rPr/>
      </w:pPr>
      <w:r>
        <w:rPr>
          <w:rFonts w:eastAsia="Times New Roman" w:cs="Times New Roman" w:ascii="Times New Roman" w:hAnsi="Times New Roman"/>
          <w:color w:val="111111"/>
          <w:sz w:val="28"/>
          <w:szCs w:val="28"/>
          <w:lang w:val="en-US"/>
        </w:rPr>
        <w:t>Dalam bagian mabda', Muhammad Taqi Misbâh Yazdî memulai  pembahasan dengan keberaadaan Tuhan sebagai wajib al-wujûd.</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Ia bahkan tidak mendasarkan pembahasan pada wahdat al-wujûd,  sebagaimana dalam ontologi. Tentu, teologi dalam struktur filsafat  yang dibangunnya, merupakan cabang dari ontologi (al-ilâhiyât bi al-  ma</w:t>
      </w:r>
      <w:r>
        <w:rPr>
          <w:rFonts w:eastAsia="Consolas" w:cs="Consolas" w:ascii="Consolas" w:hAnsi="Consolas"/>
          <w:color w:val="111111"/>
          <w:sz w:val="28"/>
          <w:szCs w:val="28"/>
          <w:lang w:val="en-US"/>
        </w:rPr>
        <w:t>nâ al-a</w:t>
      </w:r>
      <w:r>
        <w:rPr>
          <w:rFonts w:eastAsia="Times New Roman" w:cs="Times New Roman" w:ascii="Times New Roman" w:hAnsi="Times New Roman"/>
          <w:color w:val="111111"/>
          <w:sz w:val="28"/>
          <w:szCs w:val="28"/>
          <w:lang w:val="en-US"/>
        </w:rPr>
        <w:t xml:space="preserve">am). Meski pembahasan tentang keberadaan (wujûd) Tuhan  merupakan satu kesatuan yang meniscayakan keesaan, Muhammad Taqi  Misbah Yazdî tampak berusaha menjadikan pembahasan keesaan Tuhan  sebagai tema kedua yang perlu dibahasnya dengan argumentasi yang  agak mirip, karena bermuara kepada prinsip non kontradiksi dan hukum  kausalitas yang dipastikannya sebagai induk semua premis (badîhîyât </w:t>
      </w:r>
      <w:bookmarkStart w:id="244" w:name="pg6424_45289"/>
    </w:p>
    <w:p>
      <w:pPr>
        <w:pStyle w:val="BookText"/>
        <w:bidi w:val="0"/>
        <w:rPr/>
      </w:pPr>
      <w:bookmarkEnd w:id="244"/>
      <w:r>
        <w:rPr>
          <w:rFonts w:eastAsia="Times New Roman" w:cs="Times New Roman" w:ascii="Times New Roman" w:hAnsi="Times New Roman"/>
          <w:color w:val="111111"/>
          <w:sz w:val="28"/>
          <w:szCs w:val="28"/>
          <w:lang w:val="en-US"/>
        </w:rPr>
        <w:t>awwaliyyah).</w:t>
      </w:r>
    </w:p>
    <w:p>
      <w:pPr>
        <w:pStyle w:val="BookText"/>
        <w:bidi w:val="0"/>
        <w:jc w:val="both"/>
        <w:rPr/>
      </w:pPr>
      <w:r>
        <w:rPr>
          <w:rFonts w:eastAsia="Times New Roman" w:cs="Times New Roman" w:ascii="Times New Roman" w:hAnsi="Times New Roman"/>
          <w:color w:val="111111"/>
          <w:sz w:val="28"/>
          <w:szCs w:val="28"/>
          <w:lang w:val="en-US"/>
        </w:rPr>
        <w:t>Pada bagian pembahasan keesaan Tuhan, Muhammad Taqi Misbah  Yazdî membaginya dalam tiga dimensi, yaitu keesaan dalam zat, keesaan  dalam sifat-sifat, dan keesaan dalam perbuatan. Masing-masing tema  dibahas secara mendetail dengan pendekatan rasional. Dalam pembahasan  tentang sifat-sifat aktual Tuhan (shifat fi’liyyah), ia memasukan tema  “Kebijaksaan Tuhan”. Dari tema inilah, ia membahas rencana dan tujuan  di balik penciptaan mausia dan alam yang berujung pada kesimpulan  tentang keharusan rasional akan adanya aturan Tuhan.</w:t>
      </w:r>
      <w:r>
        <w:rPr>
          <w:rStyle w:val="FootnoteAnchor"/>
        </w:rPr>
        <w:footnoteReference w:id="385"/>
      </w:r>
      <w:r>
        <w:rPr>
          <w:rFonts w:eastAsia="Times New Roman" w:cs="Times New Roman" w:ascii="Times New Roman" w:hAnsi="Times New Roman"/>
          <w:color w:val="111111"/>
          <w:sz w:val="28"/>
          <w:szCs w:val="28"/>
          <w:lang w:val="en-US"/>
        </w:rPr>
        <w:t xml:space="preserve"> Selanjutnya, Muhammad Taqi Misbâh Yazdî membahas berbagai  asumsi, kemudian membuka pembahasan tentang keharusan rasional  tentang tentang lembaga mediasi ilahi yang menjadi pewarta atur-  anaturan Tuhan. Dengan demikian, ia memasukkan secara diam-diam  pembahasan prinsip Keadilan Tuhan dengan tema tema di dalamnya dan  nubuwwah, juga imamah yang merupakan suksesi dari nubuwwah.</w:t>
      </w:r>
    </w:p>
    <w:p>
      <w:pPr>
        <w:pStyle w:val="Heading4"/>
        <w:numPr>
          <w:ilvl w:val="3"/>
          <w:numId w:val="1"/>
        </w:numPr>
        <w:bidi w:val="0"/>
        <w:jc w:val="left"/>
        <w:rPr/>
      </w:pPr>
      <w:bookmarkStart w:id="245" w:name="__RefHeading___Toc688693_653776707"/>
      <w:bookmarkStart w:id="246" w:name="_Toc86"/>
      <w:bookmarkEnd w:id="245"/>
      <w:r>
        <w:rPr/>
        <w:t>1. Keberadaan dan Keesaan Tuhan</w:t>
      </w:r>
      <w:bookmarkEnd w:id="246"/>
    </w:p>
    <w:p>
      <w:pPr>
        <w:pStyle w:val="BookText"/>
        <w:bidi w:val="0"/>
        <w:jc w:val="both"/>
        <w:rPr/>
      </w:pPr>
      <w:r>
        <w:rPr>
          <w:rFonts w:eastAsia="Times New Roman" w:cs="Times New Roman" w:ascii="Times New Roman" w:hAnsi="Times New Roman"/>
          <w:color w:val="111111"/>
          <w:sz w:val="28"/>
          <w:szCs w:val="28"/>
          <w:lang w:val="en-US"/>
        </w:rPr>
        <w:t>Muhammad Taqi Misbâh Yazdî memberikan klarifikasi yang sangat  komprehensif tentang kata Tauhid. Ini dilakukannya dengan tujuan agar  tidak terjadi distorsi dan penyempitan dalam pemahaman. Klarifikasi  ini juga menegaskan bahwa keberadaan dan keesaan Tuhan bukanlah  dua tema yang terpisah. Menurut penulis, ia ingin menjelaskan bahwa  meyakini keberadaan Tuhan yang esa dalam arti kesederhaan dan  ketunggalan-berarti meyakini keesaannya, karena wujudnya adalah  ketunggalan (al-wujûd'ain al-wahdah).</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kali ia menguraikan arti tauhid secara leksikal. Kata tauhîd,  menurutnya, berarti “menganggap sesuatu itu satu”. Menurut istilah kaum  filsuf, teolog, ulama akhlak, dan ahli 'irfan, tauhid digunakan dalam  arti yang beragam. Masing-masing arti terfokus pada keesaan Allah dari  sisi tertentu. Terkadang keragaman itu dipandang sebagai ungkapan dari </w:t>
      </w:r>
    </w:p>
    <w:p>
      <w:pPr>
        <w:pStyle w:val="BookText"/>
        <w:bidi w:val="0"/>
        <w:rPr/>
      </w:pPr>
      <w:r>
        <w:rPr>
          <w:rFonts w:eastAsia="Times New Roman" w:cs="Times New Roman" w:ascii="Times New Roman" w:hAnsi="Times New Roman"/>
          <w:color w:val="111111"/>
          <w:sz w:val="28"/>
          <w:szCs w:val="28"/>
          <w:lang w:val="en-US"/>
        </w:rPr>
        <w:t>macam-macam tauhid atau tingkatan-tingkatannya.</w:t>
      </w:r>
      <w:r>
        <w:rPr>
          <w:rStyle w:val="FootnoteAnchor"/>
        </w:rPr>
        <w:footnoteReference w:id="386"/>
      </w:r>
      <w:r>
        <w:rPr>
          <w:rFonts w:eastAsia="Times New Roman" w:cs="Times New Roman" w:ascii="Times New Roman" w:hAnsi="Times New Roman"/>
          <w:color w:val="111111"/>
          <w:sz w:val="28"/>
          <w:szCs w:val="28"/>
          <w:lang w:val="en-US"/>
        </w:rPr>
        <w:t xml:space="preserve"> Pertama adalah negasi terhadap keberbilangan. Istilah pertama  yang umum dari tauhid adalah meyakini keesaan Allah, menafikan  keberbilangan dari zat-Nya. Arti ini merupakan lawan dari syirik yang  nyata, yaitu keyakinan pada dua tuhan atau lebih, dengan pengertian  bahwa masing-masing tuhan itu memiliki wujud mandiri dan terpisah  dari yang lain.</w:t>
      </w:r>
    </w:p>
    <w:p>
      <w:pPr>
        <w:pStyle w:val="BookText"/>
        <w:bidi w:val="0"/>
        <w:jc w:val="both"/>
        <w:rPr/>
      </w:pPr>
      <w:r>
        <w:rPr>
          <w:rFonts w:eastAsia="Times New Roman" w:cs="Times New Roman" w:ascii="Times New Roman" w:hAnsi="Times New Roman"/>
          <w:color w:val="111111"/>
          <w:sz w:val="28"/>
          <w:szCs w:val="28"/>
          <w:lang w:val="en-US"/>
        </w:rPr>
        <w:t>Kedua adalah negasi terhadap ketersusunan. Muhammad Taqi  Mishbâh Yazdî menyebutkan tauhîd fi al-basâthah, meyakini keesaan,  basathah (kesederhanaan) di dalam Zat Allah, dan ketiadaan rangkapan  pada zat-Nya dari bagian-bagian, baik secara aktual (bi al fi'l) maupun  potensial (bi al-quwwah). Arti ini pada umumnya diungkapkan dalam  bentuk shifât salbiyyah. Sebab, pikiran kita lebih akrab dengan konsep  rangkapan dan sekaligus lawannya, yakni menafikan rangkapan, dari  pada konsep basîth (sederhana).</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adalah negasi terhadap perbedaan sifat dari zat. Istilah ketiga  berarti keyakinan bahwa sifat-sifat dzâtiyyah itu identik dengan zat Allah  dan menafikan sifat-sifat yang berbeda dengan zat-Nya. Istilah ini dinamai  dengan tauhîd fi al-shifât. Dalam riwayat disebutkan dengan ungkapan  “menafikan sifat-sifat” sebagai lawan dari pandangan sebagian mazhab,  seperti Asy'ariyyah, yang meyakini bahwa sifat-sifat Allah itu adalah  berbeda dengan zat-Nya. Mereka meyakini al-qudama’ats-tsamâniyyah  (delapan sifat pre-eternal). </w:t>
      </w:r>
      <w:r>
        <w:rPr>
          <w:rStyle w:val="FootnoteAnchor"/>
        </w:rPr>
        <w:footnoteReference w:id="387"/>
      </w:r>
      <w:r>
        <w:rPr>
          <w:rFonts w:eastAsia="Times New Roman" w:cs="Times New Roman" w:ascii="Times New Roman" w:hAnsi="Times New Roman"/>
          <w:color w:val="111111"/>
          <w:sz w:val="28"/>
          <w:szCs w:val="28"/>
          <w:lang w:val="en-US"/>
        </w:rPr>
        <w:t xml:space="preserve"> Muhammad Taqi Misbâh Yazdî mengargumentasikan tauhid fi al-  shifât dengan beberapa asumsi. Pertama, seandainya masing-masing  sifat Allah adalah realitas yang mandiri, persoalannya tidak keluar dari  beberapa hal berikut ini: Pertama, kita mengasumsikan bahwa realitas  sifat-sifat itu berada di dalam zat Allah. Asumsi semacam ini melazimkan  tersusunnya zat Allah dari bagian-bagian. Padahal, sebelumnya telah  kami jelaskan kemustahilan hal ini. Kedua, kita mengasumsikan bahwa  realitas sifat Allah berada di luar zat-Nya. Di sini, kita bisa andaikan sifat </w:t>
      </w:r>
    </w:p>
    <w:p>
      <w:pPr>
        <w:pStyle w:val="BookText"/>
        <w:bidi w:val="0"/>
        <w:rPr/>
      </w:pPr>
      <w:r>
        <w:rPr>
          <w:rFonts w:eastAsia="Times New Roman" w:cs="Times New Roman" w:ascii="Times New Roman" w:hAnsi="Times New Roman"/>
          <w:color w:val="111111"/>
          <w:sz w:val="28"/>
          <w:szCs w:val="28"/>
          <w:lang w:val="en-US"/>
        </w:rPr>
        <w:t>ini ke dalam dua hal: ia sebagai wujud niscaya-ada (wajib al-wujûd) yang  tidak butuh kepada pencipta, atau sebagai wujud kontingen (mumkin al-  wujûd) yang diciptakan oleh Allah.</w:t>
      </w:r>
      <w:r>
        <w:rPr>
          <w:rStyle w:val="FootnoteAnchor"/>
        </w:rPr>
        <w:footnoteReference w:id="388"/>
      </w:r>
      <w:r>
        <w:rPr>
          <w:rFonts w:eastAsia="Times New Roman" w:cs="Times New Roman" w:ascii="Times New Roman" w:hAnsi="Times New Roman"/>
          <w:color w:val="111111"/>
          <w:sz w:val="28"/>
          <w:szCs w:val="28"/>
          <w:lang w:val="en-US"/>
        </w:rPr>
        <w:t xml:space="preserve"> Selanjutnya Muhammad Taqi Misbâh Yazdî menjelaskan konskuensi  dari dua asumsi di atas. Menurutnya, bila yang dipilih asumsi pertama,  bahwa realitas sifat-sifat Allah adalah wujud niscaya-ada (wâjib al-  wujûd), maka meniscayakan zat Allah berbilang; bila yang realitasnya  diasumsikan sebagai wujud bergantung (mumkin al-wujûd), ini justru  melazimkan bahwa zat Ilahi—dalam keadaan tidak memiliki sifat-sifat  ini-menciptakan sifat-sifat tersebut kemudian Dia menyandang sifat-  sifat yang dibuatnya itu.</w:t>
      </w:r>
    </w:p>
    <w:p>
      <w:pPr>
        <w:pStyle w:val="BookText"/>
        <w:bidi w:val="0"/>
        <w:jc w:val="both"/>
        <w:rPr/>
      </w:pPr>
      <w:r>
        <w:rPr>
          <w:rFonts w:eastAsia="Times New Roman" w:cs="Times New Roman" w:ascii="Times New Roman" w:hAnsi="Times New Roman"/>
          <w:color w:val="111111"/>
          <w:sz w:val="28"/>
          <w:szCs w:val="28"/>
          <w:lang w:val="en-US"/>
        </w:rPr>
        <w:t>Menurutnya, bila secara substansial zat Allah tidak memiliki  sifat hayât (hidup), kemudian Dia menciptakan sesuatu maujud yang  dinamakan hayât (hidup), setelah itu barulah Dia tersifati dengan sifat  hayât ini. Begitu juga dengan sifat ilmu, kuasa dan lainnya. Padahal,  mustahil apabila sebab pengada itu secara substansial tidak memiliki  kesempurnaan yang ada pada makhluk-Nya. Lebih ganjil lagi, jika  kita meyakini bahwa Pencipta itu memperoleh sifat hidup, ilmu, dan  kuasa dari makhluk-makhluk-Nya, lalu Dia disifati dengan seluruh  sifat kesempurnaan berkat makhluk-Nya tersebut. Selanjutnya, setelah  menggugurkan asumsi-asumsi di atas, ia memastikan bahwa masing-  masing sifat Ilahi itu bukanlah realitas yang mandiri dan terpisah dari  zat-Nya. Pada hakikatnya, semua sifat itu merupakan konsep-konsep  yang dicerap oleh akal dari satu realitas yang sederhana (basîth), yaitu  zat Allah Yang Suci.</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adalah tauhid dalam tindakan. Istilah keempat yang  berkembang di kalangan filsuf dan teolog ini menyatakan bahwa  Allah dalam segala tindakan-Nya tidak butuh kepada apa pun, dan tidak  mungkin ada satu maujud pun yang memberikan bantuan kepada-Nya  dalam segala tindakan-Nya. Tauhid ini dibuktikan melalui sifat khas,  sebab pengada, yaitu qayyumiyyah, ketika dikaitkan dengan seluruh </w:t>
      </w:r>
    </w:p>
    <w:p>
      <w:pPr>
        <w:pStyle w:val="BookText"/>
        <w:bidi w:val="0"/>
        <w:rPr/>
      </w:pPr>
      <w:r>
        <w:rPr>
          <w:rFonts w:eastAsia="Times New Roman" w:cs="Times New Roman" w:ascii="Times New Roman" w:hAnsi="Times New Roman"/>
          <w:color w:val="111111"/>
          <w:sz w:val="28"/>
          <w:szCs w:val="28"/>
          <w:lang w:val="en-US"/>
        </w:rPr>
        <w:t>akibat-Nya. Yakni, akibat yang terwujud dari sebab seperti ini bergantung  mutlak kepadanya. Dalam filsafat, akibat ini bermakna bahwa sejatinya  ia (bukan zat yang bergantung, tetapi) relasi ketergantungan itu sendiri  kepada sebabnya; ia tidak memiliki kemandirian sedikit pun.</w:t>
      </w:r>
      <w:r>
        <w:rPr>
          <w:rStyle w:val="FootnoteAnchor"/>
        </w:rPr>
        <w:footnoteReference w:id="389"/>
      </w:r>
      <w:r>
        <w:rPr>
          <w:rFonts w:eastAsia="Times New Roman" w:cs="Times New Roman" w:ascii="Times New Roman" w:hAnsi="Times New Roman"/>
          <w:color w:val="111111"/>
          <w:sz w:val="28"/>
          <w:szCs w:val="28"/>
          <w:lang w:val="en-US"/>
        </w:rPr>
        <w:t xml:space="preserve"> Dengan kata lain, segenap yang dimiliki oleh akibat hanyalah  anugerah dari Sebab Pengada (Allah), tunduk di bawah kekuasaan cipta  dan kepemilikan-Nya yang hakiki. Adapun kekuasaan dan kepemilikan  selain Allah adalah kepanjangan dari kekuasaan-Nya. Dua kekuasaan  vertikal ini tidaklah berbenturan, layaknya kepemilikan harta yang  bersifat konvensional yang diperoleh seorang budak melalui usaha.</w:t>
      </w:r>
    </w:p>
    <w:p>
      <w:pPr>
        <w:pStyle w:val="BookText"/>
        <w:bidi w:val="0"/>
        <w:jc w:val="both"/>
        <w:rPr/>
      </w:pPr>
      <w:r>
        <w:rPr>
          <w:rFonts w:eastAsia="Times New Roman" w:cs="Times New Roman" w:ascii="Times New Roman" w:hAnsi="Times New Roman"/>
          <w:color w:val="111111"/>
          <w:sz w:val="28"/>
          <w:szCs w:val="28"/>
          <w:lang w:val="en-US"/>
        </w:rPr>
        <w:t>Harta itu merupakan kepanjangan dari kepemilikan majikannya. Jika diri  budak dan apa yang dimilikinya adalah milik majikannya, bagaimana  mungkin Allah membutuhkan bantuan kepada selain-Nya yang seluruh  wujud dan urusannya bergantung kepada-Nya.</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Kelima adalah Sebab Mandiri. Istilah tauhid yang kelima ini berarti  kemandirian dalam memberi pengaruh, yakni bahwa seluruh makhluk  dalam segala tindakannya tidak mungkin tidak butuh kepada Allah,  bahwa segala bentuk interaksi pengaruh di antara makhluk berlangsung  hanya karena izin Allah dan di bawah kekuasaan yang dianugerahkan  kepada mereka. </w:t>
      </w:r>
      <w:r>
        <w:rPr>
          <w:rStyle w:val="FootnoteAnchor"/>
        </w:rPr>
        <w:footnoteReference w:id="390"/>
      </w:r>
      <w:r>
        <w:rPr>
          <w:rFonts w:eastAsia="Times New Roman" w:cs="Times New Roman" w:ascii="Times New Roman" w:hAnsi="Times New Roman"/>
          <w:color w:val="111111"/>
          <w:sz w:val="28"/>
          <w:szCs w:val="28"/>
          <w:lang w:val="en-US"/>
        </w:rPr>
        <w:t xml:space="preserve">Pada hakikatnya, zat yang kuasa—secara mandiri dan  tanpa butuh kepada selainnya—memberi pengaruh pada sesuatu dan  dalam setiap kondisi hanyalah Allah Yang Mahasuci. Adapun seluruh  tindakan dan pengaruh selain Allah adalah perpanjangan dari tindakan  dan pengaruh-Nya, berada di bawah kekuasaan-Nya. </w:t>
      </w:r>
      <w:r>
        <w:rPr>
          <w:rStyle w:val="FootnoteAnchor"/>
        </w:rPr>
        <w:footnoteReference w:id="391"/>
      </w:r>
      <w:bookmarkStart w:id="247" w:name="pg6424_45297"/>
    </w:p>
    <w:p>
      <w:pPr>
        <w:pStyle w:val="BookText"/>
        <w:bidi w:val="0"/>
        <w:rPr/>
      </w:pPr>
      <w:bookmarkEnd w:id="247"/>
      <w:r>
        <w:rPr>
          <w:rFonts w:eastAsia="Times New Roman" w:cs="Times New Roman" w:ascii="Times New Roman" w:hAnsi="Times New Roman"/>
          <w:color w:val="111111"/>
          <w:sz w:val="28"/>
          <w:szCs w:val="28"/>
          <w:lang w:val="en-US"/>
        </w:rPr>
        <w:t>Konsekuensi pertama dari tauhid tindakan ialah bahwa manusia  hendaknya tidak memandang siapa pun dan apa pun yang berhak  disembah selain Allah SWT. Seperti yang telah diisyaratkan sebelumnya  bahwa apa pun selain Pencipta dan Pengatur makhluk tidak berhak  disembah, yakni bahwa ulûhiyyah berkaitan erat dengan khâliqiyyah dan  rubûbiyyah  Konsekuensi kedua dari tauhid dengan makna terakhir ialah bahwa  manusia, dalam segala keadaannya, harus bersandar dan bertawakal  kepada Allah, serta memohon pertolongan kepada-Nya dalam segala  upaya. Hendaknya ia tidak meminta bantuan kecuali kepada-Nya, tidak  mengharap atau merasa cemas kecuali kepada-Nya dan dengan-Nya;  sehingga seandainya sebab-sebab yang biasa tidak memenuhi kebutuhan  dan keinginannya, maka ia tidak mengalami rasa putus asa dan kecewa,  karena Allah mampu memenuhi kebutuhannya melalui jalur-jalur dan  sebab-sebab yang tidak biasa.</w:t>
      </w:r>
    </w:p>
    <w:p>
      <w:pPr>
        <w:pStyle w:val="Heading4"/>
        <w:numPr>
          <w:ilvl w:val="3"/>
          <w:numId w:val="1"/>
        </w:numPr>
        <w:bidi w:val="0"/>
        <w:jc w:val="left"/>
        <w:rPr/>
      </w:pPr>
      <w:bookmarkStart w:id="248" w:name="__RefHeading___Toc688695_653776707"/>
      <w:bookmarkStart w:id="249" w:name="_Toc87"/>
      <w:bookmarkEnd w:id="248"/>
      <w:r>
        <w:rPr/>
        <w:t>2. Dua Pola Argumentasi Tauhid</w:t>
      </w:r>
      <w:bookmarkEnd w:id="249"/>
    </w:p>
    <w:p>
      <w:pPr>
        <w:pStyle w:val="BookText"/>
        <w:bidi w:val="0"/>
        <w:jc w:val="both"/>
        <w:rPr/>
      </w:pPr>
      <w:r>
        <w:rPr>
          <w:rFonts w:eastAsia="Times New Roman" w:cs="Times New Roman" w:ascii="Times New Roman" w:hAnsi="Times New Roman"/>
          <w:color w:val="111111"/>
          <w:sz w:val="28"/>
          <w:szCs w:val="28"/>
          <w:lang w:val="en-US"/>
        </w:rPr>
        <w:t>Muhammad Taqi Misbâh Yazdî mula-mula memperkenalkan dua  macam pola pembuktian dalam teologi, burhân limmî (argumen kausal),  pola pembuktian dari sebab ke akibat-akibatnya; dan burhân innî  (argumen efektual), pola pembuktian dari akibat ke sebabnya. Burhân innî  bermacam dua: Pertama, argumentasi efektual bermuatan terma medium  yang berperan sebagai akibat dari terma mayor, bukan sebab. Contoh: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Besi ini memuai”, “Setiap besi memuai pasti suhu panasnya naik”.</w:t>
      </w:r>
    </w:p>
    <w:p>
      <w:pPr>
        <w:pStyle w:val="BookText"/>
        <w:bidi w:val="0"/>
        <w:jc w:val="both"/>
        <w:rPr/>
      </w:pPr>
      <w:r>
        <w:rPr>
          <w:rFonts w:eastAsia="Times New Roman" w:cs="Times New Roman" w:ascii="Times New Roman" w:hAnsi="Times New Roman"/>
          <w:color w:val="111111"/>
          <w:sz w:val="28"/>
          <w:szCs w:val="28"/>
          <w:lang w:val="en-US"/>
        </w:rPr>
        <w:t>Penggunaan ‘memuai untuk pembuktian naiknya suhu panas adalah  argumentasi dengan efek atau akibat. Dengan kata lain, pengetahuan  akan adanya akibat menjadi sebab bagi pengetahuan akan adanya sebab.</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bagian ini, akibat (ma'lûl) berperan sebagai sebab dan media bagi </w:t>
      </w:r>
    </w:p>
    <w:p>
      <w:pPr>
        <w:pStyle w:val="BookText"/>
        <w:bidi w:val="0"/>
        <w:rPr/>
      </w:pPr>
      <w:r>
        <w:rPr>
          <w:rFonts w:eastAsia="Times New Roman" w:cs="Times New Roman" w:ascii="Times New Roman" w:hAnsi="Times New Roman"/>
          <w:color w:val="111111"/>
          <w:sz w:val="28"/>
          <w:szCs w:val="28"/>
          <w:lang w:val="en-US"/>
        </w:rPr>
        <w:t>pembuktian (wâsithah fi al-itsbât) atau sebagai sebab bagi pengetahuan  tentang adanya sebab.</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 argumentasi efektual, yaitu yang memuat terma medium dan  terma mayor yang berperan sekaligus sebagai akibat dari satu sebab,  sehingga keduanya saling memastikan ke-ada-an. Dengan kata lain,  dalam bagian kedua argumentasi efektual ini, terma medium (hadd  aw sath) dalam terma minor menjadi sebab dan media bagi pemastian  ke-ada-an terma mayor dalam terma minor, sehinga masing-masing  memastikan ke-ada-an lainnya.</w:t>
      </w:r>
      <w:r>
        <w:rPr>
          <w:rStyle w:val="FootnoteAnchor"/>
        </w:rPr>
        <w:footnoteReference w:id="392"/>
      </w:r>
      <w:r>
        <w:rPr>
          <w:rFonts w:eastAsia="Times New Roman" w:cs="Times New Roman" w:ascii="Times New Roman" w:hAnsi="Times New Roman"/>
          <w:color w:val="111111"/>
          <w:sz w:val="28"/>
          <w:szCs w:val="28"/>
          <w:lang w:val="en-US"/>
        </w:rPr>
        <w:t xml:space="preserve"> Burhân limmî, sebagai telah diketahui, adalah argumen yang memuat  terma medium sebagai sebab bagi berlakunya terma mayor atas terma  minor atau sebagai sebab bagi konklusi. Ia bermacam dua: Pertama,  argumen kausal yang terma mediumnya berperan sebagai sebab bagi  ke-ada-an terma mayor secara mutlak; baik berada dalam terma minor  maupun tidak berada di dalamnya. Karena itulah, terma medium menjadi  sebab bagi keberlakuan terma mayor dalam terma minor, dengan asumsi  bahwa predikat (mahmûl) dalam premis konklusi, yaitu terma mayor,  hanya ada dalam subjek (maudhû')-nya, yaitu terma minor, dan bahwa ia  tidak memiliki ke-ada-an yang mandiri terlepas dari ke-ada-an subjeknya,  seperti contoh naiknya panas sebagi sebab bagi memuainya besi. Inilah  yang disebut argumen kausal mutlak (burhân limmî muthlaq). Kedua,  argumen kausal yang terma mediumnya tidak berperan sebagai sebab  bagi ke-ada-an terma mayor secara mutlak. Ia hanya berperan sebagai  sebab bagi ke-ada-an terma mayor (ketida berada dalam terma minor,  dan tidak berperan sebagai sebab bagi ke-ada-an terma mayor itu secara  mutlak. Inilah yang disebut dengan argumen kausal terbatas (burhân </w:t>
      </w:r>
    </w:p>
    <w:p>
      <w:pPr>
        <w:pStyle w:val="BookText"/>
        <w:bidi w:val="0"/>
        <w:rPr/>
      </w:pPr>
      <w:r>
        <w:rPr>
          <w:rFonts w:eastAsia="Times New Roman" w:cs="Times New Roman" w:ascii="Times New Roman" w:hAnsi="Times New Roman"/>
          <w:color w:val="111111"/>
          <w:sz w:val="28"/>
          <w:szCs w:val="28"/>
          <w:lang w:val="en-US"/>
        </w:rPr>
        <w:t>limmî ghair muthlaq).</w:t>
      </w:r>
    </w:p>
    <w:p>
      <w:pPr>
        <w:pStyle w:val="BookText"/>
        <w:bidi w:val="0"/>
        <w:jc w:val="both"/>
        <w:rPr/>
      </w:pPr>
      <w:r>
        <w:rPr>
          <w:rFonts w:eastAsia="Times New Roman" w:cs="Times New Roman" w:ascii="Times New Roman" w:hAnsi="Times New Roman"/>
          <w:color w:val="111111"/>
          <w:sz w:val="28"/>
          <w:szCs w:val="28"/>
          <w:lang w:val="en-US"/>
        </w:rPr>
        <w:t>Dengan kata lain, terma medium dalam argumen kausal hanyalah  berperan sebagai sebab bagi ke-ada-an terma mayor dalam terma minor  dalam tiga kondisi sebagai berikut:</w:t>
      </w:r>
    </w:p>
    <w:p>
      <w:pPr>
        <w:pStyle w:val="BookText"/>
        <w:bidi w:val="0"/>
        <w:jc w:val="both"/>
        <w:rPr/>
      </w:pPr>
      <w:r>
        <w:rPr>
          <w:rFonts w:eastAsia="Times New Roman" w:cs="Times New Roman" w:ascii="Times New Roman" w:hAnsi="Times New Roman"/>
          <w:color w:val="111111"/>
          <w:sz w:val="28"/>
          <w:szCs w:val="28"/>
          <w:lang w:val="en-US"/>
        </w:rPr>
        <w:t>Pertama, ketika terma medium menjadi sebab bagi ke-ada-an terma  mayor itu sendiri, sebagaimana dalam argumen kausal mutlak, seperti  dalam kayu ini api bergerak”, “setiap kayu yang di dalamnya api sedang  bergerak pasti bersentuhan dengan api’. Ke-ada-an api adalah terma  mayor (hadd akbar), dan gerak api adalah terma medium, dan gerak  menjadi sebab bagi ke-ada-an api dalam kayu, namun ia bukanlah sebab  bagi ke-ada-an api itu secara mutlak, bahkan sebaliknya, gerak api adalah  akibat bagi natur dan kararkteristik api.</w:t>
      </w:r>
    </w:p>
    <w:p>
      <w:pPr>
        <w:pStyle w:val="BookText"/>
        <w:bidi w:val="0"/>
        <w:jc w:val="both"/>
        <w:rPr/>
      </w:pPr>
      <w:r>
        <w:rPr>
          <w:rFonts w:eastAsia="Times New Roman" w:cs="Times New Roman" w:ascii="Times New Roman" w:hAnsi="Times New Roman"/>
          <w:color w:val="111111"/>
          <w:sz w:val="28"/>
          <w:szCs w:val="28"/>
          <w:lang w:val="en-US"/>
        </w:rPr>
        <w:t>Kedua, ketika terma medium menjadi akibat bagi terma minor, seperti  “Siku-siku setiap segitiga sama dengan dua garis tegak”, “Setiap sesuatu  yang sama dengan dua garis tegak (adalah) sama dengan setengah siku  persegi. Terma medium (sama dengan dua garis tegak) adalah akibat dari  terma minor (siku-siku segitiga), yang sekaligus merupakan sebab bagi  ke-ada-an (keberlakuan) terma mayor (setengah siku-siku persegi) dalam  terma minor (siku-siku segitiga).</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ketika terma medium tidak menjadi akibat dari terma minor  dan terma mayor, seperti 'Hewan ini adalah gagak”, “setiap gagak  berwarna hitam’ ‘Gagak' yang merupakan terma medium bukan akibat  dari terma minor dan terma mayor, karena bukan semua hewan adalah  gagak, dan bukan semua berwarna hitam' adalah gagak. </w:t>
      </w:r>
      <w:r>
        <w:rPr>
          <w:rStyle w:val="FootnoteAnchor"/>
        </w:rPr>
        <w:footnoteReference w:id="393"/>
      </w:r>
      <w:r>
        <w:rPr>
          <w:rFonts w:eastAsia="Times New Roman" w:cs="Times New Roman" w:ascii="Times New Roman" w:hAnsi="Times New Roman"/>
          <w:color w:val="111111"/>
          <w:sz w:val="28"/>
          <w:szCs w:val="28"/>
          <w:lang w:val="en-US"/>
        </w:rPr>
        <w:t xml:space="preserve"> Para filsuf Sadraisme berselisih pendapat tentang manakah yang  meniscayakan keyakinan; burhan limmi ataukah burhan inni. Polemik  seputar dua metode pembuktian ini cukup panjang dan hangat hingga  sekarang. Muhammad Taqi Misbâh Yazdî dan Jawadi Âmulî, misalnya,  bersepakat bahwa argumentasi dalam fisafat bertumpu pada burhân  limmî (argumen afektual) dan burhân innî muthlaq (argumen kausal yang  umum). Sedangkan Thabâthabâ’i, guru mereka berdua, hanya menerima </w:t>
      </w:r>
    </w:p>
    <w:p>
      <w:pPr>
        <w:pStyle w:val="BookText"/>
        <w:bidi w:val="0"/>
        <w:rPr/>
      </w:pPr>
      <w:r>
        <w:rPr>
          <w:rFonts w:eastAsia="Times New Roman" w:cs="Times New Roman" w:ascii="Times New Roman" w:hAnsi="Times New Roman"/>
          <w:color w:val="111111"/>
          <w:sz w:val="28"/>
          <w:szCs w:val="28"/>
          <w:lang w:val="en-US"/>
        </w:rPr>
        <w:t>burhân limmî dalam pembuktian rasional.</w:t>
      </w:r>
      <w:r>
        <w:rPr>
          <w:rStyle w:val="FootnoteAnchor"/>
        </w:rPr>
        <w:footnoteReference w:id="394"/>
      </w:r>
      <w:r>
        <w:rPr>
          <w:rFonts w:eastAsia="Times New Roman" w:cs="Times New Roman" w:ascii="Times New Roman" w:hAnsi="Times New Roman"/>
          <w:color w:val="111111"/>
          <w:sz w:val="28"/>
          <w:szCs w:val="28"/>
          <w:lang w:val="en-US"/>
        </w:rPr>
        <w:t xml:space="preserve"> Para filsuf membagi argumen-argumen menjadi beberapa bagian.</w:t>
      </w:r>
    </w:p>
    <w:p>
      <w:pPr>
        <w:pStyle w:val="BookText"/>
        <w:bidi w:val="0"/>
        <w:jc w:val="both"/>
        <w:rPr/>
      </w:pPr>
      <w:r>
        <w:rPr>
          <w:rFonts w:eastAsia="Times New Roman" w:cs="Times New Roman" w:ascii="Times New Roman" w:hAnsi="Times New Roman"/>
          <w:color w:val="111111"/>
          <w:sz w:val="28"/>
          <w:szCs w:val="28"/>
          <w:lang w:val="en-US"/>
        </w:rPr>
        <w:t>Pertama adalah argumen-argumen yang terdiri atas rangkaian padu  elemen subjek pembukti, elemen cara pembuktian dan elemen tujuan  pembuktian menjadi satu. Kedua adalah pembuktian yang hanya terdiri  atas rangkaian padu dua elemen; pelaku pembuktian dan cara pembuktian,  sedangkan elemen tujuan pembuktian terpisah. Ketiga adalah pembuktian  yang terdiri atas rangkaian padu elemen cara pembuktian dan tujuan  pembuktian. Argumen ‘ketidakpastian' (burhân imkân), argumen  ‘kebermulaan' (burhân huduts), argumen ‘gerak’ (burhân harakah), dan  argumen ‘keteraturan' (burhân nadhm, burhân nizhâm) termasuk dalam  kategori pembuktian bagian pertama, karena di dalam empat argumen  tersebut, tiga elemen pembuktian bersatu. Argumenketidakpastian'  (burhân imkân), argumen kebermulaan (burhân hudûts), argumen  ‘gerak' (burhân harakah), dan argumen keteraturan' (burhân nazhm)  termasuk dalam kategori pembuktian bagian pertama, karena di dalam  empat argumen tersebut, tiga elemen pembuktian bersatu.</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Salah cara pembuktian atas keberadaan Tuhan adalah 'pengetahuan  akan jiwa’, yaitu bahwa manusia dengan pengembaran subjektif dan  perenungan dalam diri, melalui pengetahuan hushûlî, akan dapat  membuktikan keberadaan Tuhan. Dalam pembuktian demikian, cara  pembuktian dan pelaku pembuktian menjadi satu, sedangkan tujuan  pembuktian terpisah. Mullâ Sadrâ menganggap argumen “ash-shiqqin’  sebagai argumen bagian ketiga. Menurutnya, inilah argumen yang paling  mulia dan kokoh.</w:t>
      </w:r>
      <w:r>
        <w:rPr>
          <w:rStyle w:val="FootnoteAnchor"/>
        </w:rPr>
        <w:footnoteReference w:id="395"/>
      </w:r>
      <w:r>
        <w:rPr>
          <w:rFonts w:eastAsia="Times New Roman" w:cs="Times New Roman" w:ascii="Times New Roman" w:hAnsi="Times New Roman"/>
          <w:color w:val="111111"/>
          <w:sz w:val="28"/>
          <w:szCs w:val="28"/>
          <w:lang w:val="en-US"/>
        </w:rPr>
        <w:t xml:space="preserve"> Muhammad Taqi Misbâh Yazdî mengutip pendapat sejumlah filsuf,  seperti Ibn Sina dalam al-Ta lîqât, yang menolak pembuktian keberadaan  Tuhan. Menurutnya, ke-ada-an Tuhan hanya bisa dibuktikan dari diri-  Nya sendiri. Dengan kata lain, menurut Ibn Sina, keberadaan Tuhan </w:t>
      </w:r>
      <w:bookmarkStart w:id="250" w:name="pg6424_45305"/>
    </w:p>
    <w:p>
      <w:pPr>
        <w:pStyle w:val="BookText"/>
        <w:bidi w:val="0"/>
        <w:rPr/>
      </w:pPr>
      <w:bookmarkEnd w:id="250"/>
      <w:r>
        <w:rPr>
          <w:rFonts w:eastAsia="Times New Roman" w:cs="Times New Roman" w:ascii="Times New Roman" w:hAnsi="Times New Roman"/>
          <w:color w:val="111111"/>
          <w:sz w:val="28"/>
          <w:szCs w:val="28"/>
          <w:lang w:val="en-US"/>
        </w:rPr>
        <w:t>tidak dapat diketahui secara hushûlî).</w:t>
      </w:r>
      <w:r>
        <w:rPr>
          <w:rStyle w:val="FootnoteAnchor"/>
        </w:rPr>
        <w:footnoteReference w:id="396"/>
      </w:r>
      <w:r>
        <w:rPr>
          <w:rFonts w:eastAsia="Times New Roman" w:cs="Times New Roman" w:ascii="Times New Roman" w:hAnsi="Times New Roman"/>
          <w:color w:val="111111"/>
          <w:sz w:val="28"/>
          <w:szCs w:val="28"/>
          <w:lang w:val="en-US"/>
        </w:rPr>
        <w:t xml:space="preserve">Namun, pendapat ini dibantah  oleh banyak filsuf dengan sejumlah argumen dan justifikasi. Salah satu  justifikasi menyimpulkan bahwa, boleh jadi, yang dimaksud tidak dapat  membuktikan keberadaan Tuhan dengan data hushûlî adalah bahwa zat  Tuhan (wujûd ainî) Tuhan tidak dapat dibuktikan secara hushûlî. </w:t>
      </w:r>
      <w:r>
        <w:rPr>
          <w:rStyle w:val="FootnoteAnchor"/>
        </w:rPr>
        <w:footnoteReference w:id="397"/>
      </w:r>
    </w:p>
    <w:p>
      <w:pPr>
        <w:pStyle w:val="Heading4"/>
        <w:numPr>
          <w:ilvl w:val="3"/>
          <w:numId w:val="1"/>
        </w:numPr>
        <w:bidi w:val="0"/>
        <w:jc w:val="left"/>
        <w:rPr/>
      </w:pPr>
      <w:bookmarkStart w:id="251" w:name="__RefHeading___Toc688697_653776707"/>
      <w:bookmarkStart w:id="252" w:name="_Toc88"/>
      <w:bookmarkEnd w:id="251"/>
      <w:r>
        <w:rPr/>
        <w:t>3. Tiga Dimensi Tauhid</w:t>
      </w:r>
      <w:bookmarkEnd w:id="252"/>
    </w:p>
    <w:p>
      <w:pPr>
        <w:pStyle w:val="BookText"/>
        <w:bidi w:val="0"/>
        <w:jc w:val="both"/>
        <w:rPr/>
      </w:pPr>
      <w:r>
        <w:rPr>
          <w:rFonts w:eastAsia="Times New Roman" w:cs="Times New Roman" w:ascii="Times New Roman" w:hAnsi="Times New Roman"/>
          <w:color w:val="111111"/>
          <w:sz w:val="28"/>
          <w:szCs w:val="28"/>
          <w:lang w:val="en-US"/>
        </w:rPr>
        <w:t>Selanjutnya Muhammad Taqi Mishbâh Yazdî membagi Tauhid  dalam tiga dimensi. Dimensi pertama adalah tauhîd fi al-dzât. Ia terdiri  atas dua prinsip. Pertama, prinsip bahwa Dzat Tuhan adalah sederhana  (homogen), tidak terdiri atas bagian-bagian. Kedua, prinsip bahwa Tuhan  tidak berbilang. Artinya, keesaan Tuhan meliputi kesederhaan dzat-Nya  (wahdat al-basathah) dan ketunggalan atau ketakaterbilangan (wahdah  ‘adadiyyah). Ketidaktersusunan Tuhan telah diterangkan pada bagian  sebelumnya. Sedangkan bukti-bukti ketidak-berbilangan Tuhan adalah  sebagai berikut:</w:t>
      </w:r>
    </w:p>
    <w:p>
      <w:pPr>
        <w:pStyle w:val="BookText"/>
        <w:bidi w:val="0"/>
        <w:jc w:val="both"/>
        <w:rPr/>
      </w:pPr>
      <w:r>
        <w:rPr>
          <w:rFonts w:eastAsia="Times New Roman" w:cs="Times New Roman" w:ascii="Times New Roman" w:hAnsi="Times New Roman"/>
          <w:color w:val="111111"/>
          <w:sz w:val="28"/>
          <w:szCs w:val="28"/>
          <w:lang w:val="en-US"/>
        </w:rPr>
        <w:t>Pertama, keterbilangan meniscayakan ketersusunan. Seandainya  ada sesuatu yang wajib (pasti ada dengan sendirinya), maka niscaya  kedua entitas wajib tersebut berlainan. Seandainya masing-masing yang  sama-sama wajib itu memiliki ciri khas, maka berarti masing-masing  terdiri dari dua unsur; unsur persamaan (sama-sama wajib), dan unsur  perbedaan karena masing-masing berjumlah dua.</w:t>
      </w:r>
    </w:p>
    <w:p>
      <w:pPr>
        <w:pStyle w:val="BookText"/>
        <w:bidi w:val="0"/>
        <w:jc w:val="both"/>
        <w:rPr/>
      </w:pPr>
      <w:r>
        <w:rPr>
          <w:rFonts w:eastAsia="Times New Roman" w:cs="Times New Roman" w:ascii="Times New Roman" w:hAnsi="Times New Roman"/>
          <w:color w:val="111111"/>
          <w:sz w:val="28"/>
          <w:szCs w:val="28"/>
          <w:lang w:val="en-US"/>
        </w:rPr>
        <w:t>Kedua, eksistensi tak terhingga tidak berbilang. Sesuatu yang  pasti ada dengan sendirinya tentu tidak berhingga, karena keterbatasan  (keberhinggaan) wujud meniscayakan ketiadaan (kekosongan). Atas  dasar inilah, zat (substansi) Tuhan tidak dapat diasumsikan sebagai  wujud yang terbatas.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wujud yang murni tidak berbilang. Sesuatu yang wajib ada  dengan sendirinya tidak mempunyai esensi (quiditas, mâhiyyah), karena  setiap realitas yang bebas campuran (aksiden, genus, predikat, difrentia) </w:t>
      </w:r>
    </w:p>
    <w:p>
      <w:pPr>
        <w:pStyle w:val="BookText"/>
        <w:bidi w:val="0"/>
        <w:rPr/>
      </w:pPr>
      <w:r>
        <w:rPr>
          <w:rFonts w:eastAsia="Times New Roman" w:cs="Times New Roman" w:ascii="Times New Roman" w:hAnsi="Times New Roman"/>
          <w:color w:val="111111"/>
          <w:sz w:val="28"/>
          <w:szCs w:val="28"/>
          <w:lang w:val="en-US"/>
        </w:rPr>
        <w:t>bertentangan dengan dualitas dan pluralitas.</w:t>
      </w:r>
    </w:p>
    <w:p>
      <w:pPr>
        <w:pStyle w:val="BookText"/>
        <w:bidi w:val="0"/>
        <w:jc w:val="both"/>
        <w:rPr/>
      </w:pPr>
      <w:r>
        <w:rPr>
          <w:rFonts w:eastAsia="Times New Roman" w:cs="Times New Roman" w:ascii="Times New Roman" w:hAnsi="Times New Roman"/>
          <w:color w:val="111111"/>
          <w:sz w:val="28"/>
          <w:szCs w:val="28"/>
          <w:lang w:val="en-US"/>
        </w:rPr>
        <w:t>Adapun sifat-sifat Allah yang disebutkan dalam karya-karya filsafat  dan teologi Islam amatlah terbatas. Dalam pada itu, sifat-sifat tersebut  dapat diklasifikasi sebagai dzâtiyyah (sifat zat) dan fi’liyyah (sifat laku).</w:t>
      </w:r>
      <w:r>
        <w:rPr>
          <w:rStyle w:val="FootnoteAnchor"/>
        </w:rPr>
        <w:footnoteReference w:id="398"/>
      </w:r>
      <w:r>
        <w:rPr>
          <w:rFonts w:eastAsia="Times New Roman" w:cs="Times New Roman" w:ascii="Times New Roman" w:hAnsi="Times New Roman"/>
          <w:color w:val="111111"/>
          <w:sz w:val="28"/>
          <w:szCs w:val="28"/>
          <w:lang w:val="en-US"/>
        </w:rPr>
        <w:t xml:space="preserve"> Sifat-sifat yang dinisbatkan (disandangkan) pada Tuhan bermacam dua:</w:t>
      </w:r>
    </w:p>
    <w:p>
      <w:pPr>
        <w:pStyle w:val="BookText"/>
        <w:bidi w:val="0"/>
        <w:jc w:val="both"/>
        <w:rPr/>
      </w:pPr>
      <w:r>
        <w:rPr>
          <w:rFonts w:eastAsia="Times New Roman" w:cs="Times New Roman" w:ascii="Times New Roman" w:hAnsi="Times New Roman"/>
          <w:color w:val="111111"/>
          <w:sz w:val="28"/>
          <w:szCs w:val="28"/>
          <w:lang w:val="en-US"/>
        </w:rPr>
        <w:t>sifat-sifat substansial atau inhern(shifât dzâtiyyah), dan sifat-sifat aksional  (shifât fi liyyah). Sifat-siftat inheren (dzâtiyyah) adalah konsep-konsep  yang ditarik atau diserap dari zat Tuhan sebagai salah satu dari macam-  macam kesempurnaan, seperti hidup, mengetahui, dan berkuasa. Para  teolog dalam memperlakukan sifat-sifat substansial (shifât dzâtiyyah)  Tuhan terbagi menjadi dua kelompok. Kelompok pertama menganggap  sifat-sifat Tuhan inhern dengan DzatNya. Kelompok kedua meyakini  sifat-sifat Tuhan sebagai wujud lain yang disandangNya.</w:t>
      </w:r>
      <w:r>
        <w:rPr>
          <w:rStyle w:val="FootnoteAnchor"/>
        </w:rPr>
        <w:footnoteReference w:id="399"/>
      </w:r>
      <w:r>
        <w:rPr>
          <w:rFonts w:eastAsia="Times New Roman" w:cs="Times New Roman" w:ascii="Times New Roman" w:hAnsi="Times New Roman"/>
          <w:color w:val="111111"/>
          <w:sz w:val="28"/>
          <w:szCs w:val="28"/>
          <w:lang w:val="en-US"/>
        </w:rPr>
        <w:t xml:space="preserve"> Muhammad Taqî Misbâh Yazdî dalam berbagai kesempatan  mengatakan bahwa sebagian besar argumen filsufis tersebut digunakan  untuk mengafirmasi zat yang dikenal sebagai wujud niscaya-ada (wajib  al-wujûd). Jika argumen itu ditambahkan dengan argumen-argumen lain,  maka akan dapat ditentukan sifat-sifat salbiyyah (negatif) dan sifat-sifat  tsubûtiyyah (afirmatif) pada wujud niscaya-ada (wajib al-wujûd).</w:t>
      </w:r>
      <w:r>
        <w:rPr>
          <w:rStyle w:val="FootnoteAnchor"/>
        </w:rPr>
        <w:footnoteReference w:id="400"/>
      </w:r>
      <w:r>
        <w:rPr>
          <w:rFonts w:eastAsia="Times New Roman" w:cs="Times New Roman" w:ascii="Times New Roman" w:hAnsi="Times New Roman"/>
          <w:color w:val="111111"/>
          <w:sz w:val="28"/>
          <w:szCs w:val="28"/>
          <w:lang w:val="en-US"/>
        </w:rPr>
        <w:t xml:space="preserve"> Melalui semua argumen itu, menurut Muhammad Taqi Misbâh Yazdî,  manusia dapat mengenal Allah dengan segala sifat-Nya yang khas, yang  membedakan Zat-Nya dari segenap makhluk-Nya. Jika tidak demikian,  maka sekadar menetapkan bahwa Allah itu wujud niscaya-ada (wajib al-  wujûd), tidaklah memadai untuk mengenal Allah sebagaimana mestinya.</w:t>
      </w:r>
    </w:p>
    <w:p>
      <w:pPr>
        <w:pStyle w:val="BookText"/>
        <w:bidi w:val="0"/>
        <w:jc w:val="both"/>
        <w:rPr/>
      </w:pPr>
      <w:r>
        <w:rPr>
          <w:rFonts w:eastAsia="Times New Roman" w:cs="Times New Roman" w:ascii="Times New Roman" w:hAnsi="Times New Roman"/>
          <w:color w:val="111111"/>
          <w:sz w:val="28"/>
          <w:szCs w:val="28"/>
          <w:lang w:val="en-US"/>
        </w:rPr>
        <w:t>Karena, sangat mungkin sebagian orang mempunyai keyakinan bahwa  materi atau energi, misalnya, merupakan mishdâq dari konsep wujud  niscaya-ada (wâjib al-wujûd).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sinilah pentingnya menetapkan sifat-sifat salbiyyah kepada  Allah, supaya dapat diketahui bahwa wujud niscaya-ada itu suci dari  sifat-sifat yang khas pada makhluk-makhluk-Nya, yang tidak mungkin </w:t>
      </w:r>
    </w:p>
    <w:p>
      <w:pPr>
        <w:pStyle w:val="BookText"/>
        <w:bidi w:val="0"/>
        <w:rPr/>
      </w:pPr>
      <w:r>
        <w:rPr>
          <w:rFonts w:eastAsia="Times New Roman" w:cs="Times New Roman" w:ascii="Times New Roman" w:hAnsi="Times New Roman"/>
          <w:color w:val="111111"/>
          <w:sz w:val="28"/>
          <w:szCs w:val="28"/>
          <w:lang w:val="en-US"/>
        </w:rPr>
        <w:t>diterapkan pada Zat-Nya.</w:t>
      </w:r>
      <w:r>
        <w:rPr>
          <w:rStyle w:val="FootnoteAnchor"/>
        </w:rPr>
        <w:footnoteReference w:id="401"/>
      </w:r>
      <w:r>
        <w:rPr>
          <w:rFonts w:eastAsia="Times New Roman" w:cs="Times New Roman" w:ascii="Times New Roman" w:hAnsi="Times New Roman"/>
          <w:color w:val="111111"/>
          <w:sz w:val="28"/>
          <w:szCs w:val="28"/>
          <w:lang w:val="en-US"/>
        </w:rPr>
        <w:t>Di sisi lain, harus pula ditetapkan sifat-sifat  tsubûtiyyah pada Zat Allah, agar menjadi jelas bahwa Dialah yang layak  disembah, sekaligus agar terbuka peluang untuk menetapkan semua  keyakinan lainnya, seperti kenabian dan hari kebangkitan, berikut  segenap detailnya.</w:t>
      </w:r>
    </w:p>
    <w:p>
      <w:pPr>
        <w:pStyle w:val="BookText"/>
        <w:bidi w:val="0"/>
        <w:jc w:val="both"/>
        <w:rPr/>
      </w:pPr>
      <w:r>
        <w:rPr>
          <w:rFonts w:eastAsia="Times New Roman" w:cs="Times New Roman" w:ascii="Times New Roman" w:hAnsi="Times New Roman"/>
          <w:color w:val="111111"/>
          <w:sz w:val="28"/>
          <w:szCs w:val="28"/>
          <w:lang w:val="en-US"/>
        </w:rPr>
        <w:t>Seperti telah diungkapkan pada argumen di atas, Muhammad  Taqi Misbah Yazdî berpendapat bahwa wujud niscaya-ada (wâjib al-  wujûd) tidak membutuhkan penyebab (untuk ada). Lebih dari itu, justru  Dialah penyebab semua keberadaan yang mungkin meng-ada. Dengan  demikian, hal ini telah menetapkan dua sifat bagi wujud niscaya-ada  (wâjib al-wujûd). Pertama, wujud niscaya-ada (wajib al-wujûd) tidak  membutuhkan selain-Nya. Sebab, jika ia butuh pada yang lain, sekecil  apa pun, niscaya sesuatu yang lain akan menjadi penyebab bagi-Nya.</w:t>
      </w:r>
    </w:p>
    <w:p>
      <w:pPr>
        <w:pStyle w:val="BookText"/>
        <w:bidi w:val="0"/>
        <w:jc w:val="both"/>
        <w:rPr/>
      </w:pPr>
      <w:r>
        <w:rPr>
          <w:rFonts w:eastAsia="Times New Roman" w:cs="Times New Roman" w:ascii="Times New Roman" w:hAnsi="Times New Roman"/>
          <w:color w:val="111111"/>
          <w:sz w:val="28"/>
          <w:szCs w:val="28"/>
          <w:lang w:val="en-US"/>
        </w:rPr>
        <w:t>Kedua, semua wujud yang mungkin (mumkin al-wujûd) merupakan  akibat dan membutuhkan penyebab. Jadi, wujud niscaya-ada (wajib al-  wujûd) merupakan penyebab utama bagi kemunculan dan keberadaan  segala yang mungkin meng-ada itu.</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Berdasarkan dua kesimpulan ini, menurut Muhammad Taqi Misbâh  Yazdî, terdapat konsekuensi yang masing-masing berhubungan dengan  kedua sifat tersebut. Ini akan membuktikan adanya sifat-sifat negatif dan  sifat-sifat afirmatif bagi wujud niscaya-ada (wâjib al-wujûd).</w:t>
      </w:r>
      <w:r>
        <w:rPr>
          <w:rStyle w:val="FootnoteAnchor"/>
        </w:rPr>
        <w:footnoteReference w:id="402"/>
      </w:r>
      <w:r>
        <w:rPr>
          <w:rFonts w:eastAsia="Times New Roman" w:cs="Times New Roman" w:ascii="Times New Roman" w:hAnsi="Times New Roman"/>
          <w:color w:val="111111"/>
          <w:sz w:val="28"/>
          <w:szCs w:val="28"/>
          <w:lang w:val="en-US"/>
        </w:rPr>
        <w:t xml:space="preserve"> Sifat lainnya yang merupakan kemestian wujud niscaya-ada (wajib al-  wujûd) adalah basatah (sederhana dan tidak berkomposisi). Setiap yang  berkomposisi niscaya membutuhkan elemen-elemen atau bagian-bagian,  sedangkan wujud niscaya-ada (wâjib al-wujûd) terbebas dari segala  kebutuhan. Muhammad Taqi Misbâh Yazdî mengatakan bahwa apabila  diasumsikan wujud niscaya-ada (wâjib al-wujûd) itu tersusun, tetapi  bagian-bagiannya tidak ada secara fi'li (aktual) dan akan muncul secara  bi al-quwwah (potensial)layaknya sebuah garis yang diasumsikan  terbelah dua-maka asumsi ini jelas-jelas keliru dan absurd. Karena,  sesuatu yang mempunyai bagian-bagian secara bi al-quwwah dapat </w:t>
      </w:r>
    </w:p>
    <w:p>
      <w:pPr>
        <w:pStyle w:val="BookText"/>
        <w:bidi w:val="0"/>
        <w:rPr/>
      </w:pPr>
      <w:r>
        <w:rPr>
          <w:rFonts w:eastAsia="Times New Roman" w:cs="Times New Roman" w:ascii="Times New Roman" w:hAnsi="Times New Roman"/>
          <w:color w:val="111111"/>
          <w:sz w:val="28"/>
          <w:szCs w:val="28"/>
          <w:lang w:val="en-US"/>
        </w:rPr>
        <w:t>dibagi secara rasional, walaupun secara fi'li(aktual) belum menjadi wujud  eksternal. Asumsi bahwa ia dapat dibagi ialah bahwa secara keseluruhan,  ia bisa sirna, seperti garis yang panjangnya satu meter. Apabila garis itu  dibagi dua, garis yang panjangnya satu meter tersebut tidak akan ada  lagi. Seperti telah diketahui sebelumnya, wujud niscaya-ada (wâjib al-  wujûd) tidak mungkin mengalami kefanaan dan kesirnaan.</w:t>
      </w:r>
    </w:p>
    <w:p>
      <w:pPr>
        <w:pStyle w:val="BookText"/>
        <w:bidi w:val="0"/>
        <w:jc w:val="both"/>
        <w:rPr/>
      </w:pPr>
      <w:r>
        <w:rPr>
          <w:rFonts w:eastAsia="Times New Roman" w:cs="Times New Roman" w:ascii="Times New Roman" w:hAnsi="Times New Roman"/>
          <w:color w:val="111111"/>
          <w:sz w:val="28"/>
          <w:szCs w:val="28"/>
          <w:lang w:val="en-US"/>
        </w:rPr>
        <w:t>Mengingat komposisi dari bagian-bagian bi al-fi'li (aktual) dan bi al-  quwwah(potensial) termasuk karakterjism(benda), maka dapat ditetapkan  bahwa setiap benda tidak mungkin merupakan wujud niscaya-ada (wâjib  al-wujûd). Dengan demikian, dapat sekaligus ditetapkan tajarrud (non-  materialitas) Tuhan. Menjadi jelas pula bahwa Tuhan tidak mungkin  dicandra oleh mata kepala fisik, bahkan mustahil dijangkau alat indra  apa pun. Sebab, setiap hal yang dapat dijangkau alat indra merupakan  sifat khas benda dan materi.</w:t>
      </w:r>
    </w:p>
    <w:p>
      <w:pPr>
        <w:pStyle w:val="BookText"/>
        <w:bidi w:val="0"/>
        <w:jc w:val="both"/>
        <w:rPr/>
      </w:pPr>
      <w:r>
        <w:rPr>
          <w:rFonts w:eastAsia="Times New Roman" w:cs="Times New Roman" w:ascii="Times New Roman" w:hAnsi="Times New Roman"/>
          <w:color w:val="111111"/>
          <w:sz w:val="28"/>
          <w:szCs w:val="28"/>
          <w:lang w:val="en-US"/>
        </w:rPr>
        <w:t>Demikian pula dengan penegasian ihwal kebendaan dari Zat Allah  yang akan menegasi semua sifat khusus bendawi dari wujud niscaya-ada  (wajib al-wujûd), seperti kebutuhan pada ruang dan waktu. Ini mengingat  "ruang” sebagai kategori realitas memiliki bentuk dan meliputi dimensi  lebar, tinggi, dan panjang. Begitu pula dengan segala sesuatu yang  “mewaktu”, yang dapat dikategorikan sebagai ekstensi (perpanjangan  atau perluasan) dan durasi (detik, menit, jam, dan seterusnya). Kedua  hal ini merupakan elemen-elemen potensial (bi al-quwwah) pada semua  benda.</w:t>
      </w:r>
    </w:p>
    <w:p>
      <w:pPr>
        <w:pStyle w:val="BookText"/>
        <w:bidi w:val="0"/>
        <w:jc w:val="both"/>
        <w:rPr/>
      </w:pPr>
      <w:r>
        <w:rPr>
          <w:rFonts w:eastAsia="Times New Roman" w:cs="Times New Roman" w:ascii="Times New Roman" w:hAnsi="Times New Roman"/>
          <w:color w:val="111111"/>
          <w:sz w:val="28"/>
          <w:szCs w:val="28"/>
          <w:lang w:val="en-US"/>
        </w:rPr>
        <w:t>Dengan demikian, menurut Muhammad Taqi Misbâh Yazdî, sama  sekali mustahil menggambarkan Allah sebagai Zat yang “meruang” dan  “mewaktu”. Begitu pula, segala sesuatu yang meruang dan mewaktu  bukanlah wujud niscaya-ada (wâjib al-wujûd). Kemudian, dengan  dinegasinya waktu dari wujud niscaya-ada (wâjib al-wujûd), ternegasi  pula gerak, perubahan, dan penyempurnaan zat. Karena, setiap gerak  atau perubahan apa pun tidak mungkin terwujud tanpa adanya ruang dan  waktu.</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setiap orang yang meyakini bahwa Allah berada </w:t>
      </w:r>
    </w:p>
    <w:p>
      <w:pPr>
        <w:pStyle w:val="BookText"/>
        <w:bidi w:val="0"/>
        <w:rPr/>
      </w:pPr>
      <w:r>
        <w:rPr>
          <w:rFonts w:eastAsia="Times New Roman" w:cs="Times New Roman" w:ascii="Times New Roman" w:hAnsi="Times New Roman"/>
          <w:color w:val="111111"/>
          <w:sz w:val="28"/>
          <w:szCs w:val="28"/>
          <w:lang w:val="en-US"/>
        </w:rPr>
        <w:t>di satu tempat seperti 'arasy atau menisbatkan-Nya gerak dan turun  dari langit, atau meyakini-Nya dapat dicandra dengan mata fisik, atau  mengalami perubahan dan peningkatan, bisa dipastikan tidak mengenal  Allah sebagaimana ada-Nya. Secara umum, setiap makna dan konsep  yang menunjukkan kekurangan, keterbatasan, dan kebutuhan, dengan  sendirinya tidak mungkin diatributkan pada zat Allah. Inilah makna sifat  salbiyyah ilâhiyyah (sifat negatif bagi Allah).</w:t>
      </w:r>
      <w:r>
        <w:rPr>
          <w:rStyle w:val="FootnoteAnchor"/>
        </w:rPr>
        <w:footnoteReference w:id="403"/>
      </w:r>
      <w:r>
        <w:rPr>
          <w:rFonts w:eastAsia="Times New Roman" w:cs="Times New Roman" w:ascii="Times New Roman" w:hAnsi="Times New Roman"/>
          <w:color w:val="111111"/>
          <w:sz w:val="28"/>
          <w:szCs w:val="28"/>
          <w:lang w:val="en-US"/>
        </w:rPr>
        <w:t xml:space="preserve"> Muhammad Taqi Misbâh Yazdî berpendapat bahwa sifat-sifat yang  dinisbatkan kepada Allah adakalanya berupa konsep-konsep (gambaran  mental) yang dicerap rasio berdasarkan telaahannya terhadap zat Allah;  seraya menekankan bahwa sifat-sifat tersebut mencakupi berbagai  kesempurnaan, seperti sifat hidup (al-hayah), ilmu (`ilm), kuasa (qudrah),  dan lainnya. Atau, adakalanya sifat-sifat itu berupa konsep-konsep yang  dicerap akal dari hasil cermatannya atas bentuk-bentuk hubungan antara  Allah dengan makhluk-makhluk-Nya, seperti penciptaan (al-khâliqiyyah)  dan pemberian rezeki (râziqiyyah). Kelompok pertama disebut sifat-  sifat zat (dzâtiyyah), dan kelompok kedua sebagai sifat-sifat perbuatan  (fi’liyyah).</w:t>
      </w:r>
      <w:r>
        <w:rPr>
          <w:rStyle w:val="FootnoteAnchor"/>
        </w:rPr>
        <w:footnoteReference w:id="404"/>
      </w:r>
      <w:r>
        <w:rPr>
          <w:rFonts w:eastAsia="Times New Roman" w:cs="Times New Roman" w:ascii="Times New Roman" w:hAnsi="Times New Roman"/>
          <w:color w:val="111111"/>
          <w:sz w:val="28"/>
          <w:szCs w:val="28"/>
          <w:lang w:val="en-US"/>
        </w:rPr>
        <w:t xml:space="preserve"> Perbedaan mendasar antara kedua sifat tersebut adalah bahwa sifat-  sifat dalam kelompok pertama merupakan realitas objektif yang nyata  bagi zat Ilahi. Adapun sifat-sifat dalam kelompok kedua merupakan relasi  (nisbah) antara Allah dan makhluk-Nya. Dalam hal ini, zat Allah dan  zat makhluk-Nya memiliki pertautan, misalnya, dari segi khâliqiyyah.</w:t>
      </w:r>
    </w:p>
    <w:p>
      <w:pPr>
        <w:pStyle w:val="BookText"/>
        <w:bidi w:val="0"/>
        <w:jc w:val="both"/>
        <w:rPr/>
      </w:pPr>
      <w:r>
        <w:rPr>
          <w:rFonts w:eastAsia="Times New Roman" w:cs="Times New Roman" w:ascii="Times New Roman" w:hAnsi="Times New Roman"/>
          <w:color w:val="111111"/>
          <w:sz w:val="28"/>
          <w:szCs w:val="28"/>
          <w:lang w:val="en-US"/>
        </w:rPr>
        <w:t>Sifat ini merupakan konstruksi intelektual yang menghasilkan konsep  hubungan antara makhluk-makhluk-Nya dengan zat Allah. Dalam hal ini,  seolah-olah Allah dan seluruh makhluk memiliki posisi masing-masing  pada sisi relasi tersebut. Akan tetapi, kenyataannya, tidak terdapat apapun  selain zat Allah yang suci dan zat-zat makhluk-Nya. Artinya, khâliqiyyah  bukanlah keberadaan yang nyata.</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pada level zat, Allah memiliki sifat qudrah (kekuasaan) untuk  mencipta. Akan tetapi, sifat ini merupakan sifat dzâtiyyah. Adapun </w:t>
      </w:r>
    </w:p>
    <w:p>
      <w:pPr>
        <w:pStyle w:val="BookText"/>
        <w:bidi w:val="0"/>
        <w:rPr/>
      </w:pPr>
      <w:r>
        <w:rPr>
          <w:rFonts w:eastAsia="Times New Roman" w:cs="Times New Roman" w:ascii="Times New Roman" w:hAnsi="Times New Roman"/>
          <w:color w:val="111111"/>
          <w:sz w:val="28"/>
          <w:szCs w:val="28"/>
          <w:lang w:val="en-US"/>
        </w:rPr>
        <w:t>khalq (penciptaan) merupakan mafhûm idhâfi (konsep relasional) yang  diperoleh pada level tindakan Allah. Oleh karena itu, khâliq (pencipta)  termasuk sifat perbuatan (fi liyyah). Lain hal jika kita menafsirkan khâliq  dengan al-qâdir ‘alâ al-khalq (kuasa untuk mencipta); dalam padanya,  itu kembali pada sifat dzâtiyyah, yakni qudrah.</w:t>
      </w:r>
    </w:p>
    <w:p>
      <w:pPr>
        <w:pStyle w:val="BookText"/>
        <w:bidi w:val="0"/>
        <w:jc w:val="both"/>
        <w:rPr/>
      </w:pPr>
      <w:r>
        <w:rPr>
          <w:rFonts w:eastAsia="Times New Roman" w:cs="Times New Roman" w:ascii="Times New Roman" w:hAnsi="Times New Roman"/>
          <w:color w:val="111111"/>
          <w:sz w:val="28"/>
          <w:szCs w:val="28"/>
          <w:lang w:val="en-US"/>
        </w:rPr>
        <w:t>Sifat-sifat dzâtiyyah Allah yang penting ialah hầyah (hidup), al-  ‘ilm (tahu), dan qudrah (kuasa). Adapun bila sifat mendengar (samî')  dan melihat (bashîr) ditafsirkan bahwa Allah mengetahui apa saja yang  didengar dan dilihat, atau kuasa mendengar dan melihat, maka keduanya  menginduk pada al-'alim dan al-qadir (Mahatahu dan Mahakuasa).</w:t>
      </w:r>
    </w:p>
    <w:p>
      <w:pPr>
        <w:pStyle w:val="BookText"/>
        <w:bidi w:val="0"/>
        <w:jc w:val="both"/>
        <w:rPr/>
      </w:pPr>
      <w:r>
        <w:rPr>
          <w:rFonts w:eastAsia="Times New Roman" w:cs="Times New Roman" w:ascii="Times New Roman" w:hAnsi="Times New Roman"/>
          <w:color w:val="111111"/>
          <w:sz w:val="28"/>
          <w:szCs w:val="28"/>
          <w:lang w:val="en-US"/>
        </w:rPr>
        <w:t>Namun, jika maksud kedua sifat itu adalah mendengar dan melihat secara  tindakan (fi'li) yang dicerap akal dari hubungan Zat yang Mahadengar  dan Mahalihat dengan segala sesuatu yang mungkin untuk didengar  dan dilihat, maka keduanya harus dikategorikan sebagai sifat perbuatan  (fi liyyah). Inilah yang diistilahkan sebagai 'ilm fi lî.</w:t>
      </w:r>
      <w:r>
        <w:rPr>
          <w:rStyle w:val="FootnoteAnchor"/>
        </w:rPr>
        <w:footnoteReference w:id="405"/>
      </w:r>
      <w:r>
        <w:rPr>
          <w:rFonts w:eastAsia="Times New Roman" w:cs="Times New Roman" w:ascii="Times New Roman" w:hAnsi="Times New Roman"/>
          <w:color w:val="111111"/>
          <w:sz w:val="28"/>
          <w:szCs w:val="28"/>
          <w:lang w:val="en-US"/>
        </w:rPr>
        <w:t>Sebagian teolog  menggolongkan sifat “berkata-kata” (al-kalâm) dan “berkehendak”  (irâdah) ke dalam sifat dzâtiyyah.</w:t>
      </w:r>
    </w:p>
    <w:p>
      <w:pPr>
        <w:pStyle w:val="BookText"/>
        <w:bidi w:val="0"/>
        <w:jc w:val="both"/>
        <w:rPr/>
      </w:pPr>
      <w:r>
        <w:rPr>
          <w:rFonts w:eastAsia="Times New Roman" w:cs="Times New Roman" w:ascii="Times New Roman" w:hAnsi="Times New Roman"/>
          <w:color w:val="111111"/>
          <w:sz w:val="28"/>
          <w:szCs w:val="28"/>
          <w:lang w:val="en-US"/>
        </w:rPr>
        <w:t>Menurut Muhammad Taqi Misbâh Yazdî, cara paling mudah untuk  menetapkan sifat hayâh, qudrah, dan ‘ilm pada Allah adalah bahwa  tatkala konsep (dari sifat-sifat) tersebut berlaku pada makhluk-makhluk,  maka itu merupakan kesempurnaan bagi mereka. Konsekuensinya, sifat-  sifat itu pun terdapat pada Sebab-Pengada dalam bentuk yang lebih  mulia dan lebih sempurna.</w:t>
      </w:r>
      <w:r>
        <w:rPr>
          <w:rStyle w:val="FootnoteAnchor"/>
        </w:rPr>
        <w:footnoteReference w:id="406"/>
      </w:r>
      <w:r>
        <w:rPr>
          <w:rFonts w:eastAsia="Times New Roman" w:cs="Times New Roman" w:ascii="Times New Roman" w:hAnsi="Times New Roman"/>
          <w:color w:val="111111"/>
          <w:sz w:val="28"/>
          <w:szCs w:val="28"/>
          <w:lang w:val="en-US"/>
        </w:rPr>
        <w:t>Hal itu karena setiap kesempurnaan yang  eksis pada makhluk manapun bersumber dari Sebab-Pengada, yaitu  Allah. Dengan demikian, Dia pasti memiliki sifat-sifat tersebut sehingga  mampu menganugerahkannya kepada makhluk-makhluk-Nya. Sebab,  mustahil suatu zat menjadi Pencipta kehidupan, sementara Dia Sendiri  tidak memilikinya; atau menganugerahkan pengetahuan dan kekuasaan  kepada makhluk-makhluk-Nya, sementara Dia sendiri jahil dan lemah.</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setiap hal yang tidak memiliki sesuatu tidak akan mampu </w:t>
      </w:r>
    </w:p>
    <w:p>
      <w:pPr>
        <w:pStyle w:val="BookText"/>
        <w:bidi w:val="0"/>
        <w:rPr/>
      </w:pPr>
      <w:r>
        <w:rPr>
          <w:rFonts w:eastAsia="Times New Roman" w:cs="Times New Roman" w:ascii="Times New Roman" w:hAnsi="Times New Roman"/>
          <w:color w:val="111111"/>
          <w:sz w:val="28"/>
          <w:szCs w:val="28"/>
          <w:lang w:val="en-US"/>
        </w:rPr>
        <w:t xml:space="preserve">memberikan sesuatu kepada selainnya (fâqidu al-syai’lâ yu’thihî). </w:t>
      </w:r>
      <w:r>
        <w:rPr>
          <w:rStyle w:val="FootnoteAnchor"/>
        </w:rPr>
        <w:footnoteReference w:id="407"/>
      </w:r>
      <w:r>
        <w:rPr>
          <w:rFonts w:eastAsia="Times New Roman" w:cs="Times New Roman" w:ascii="Times New Roman" w:hAnsi="Times New Roman"/>
          <w:color w:val="111111"/>
          <w:sz w:val="28"/>
          <w:szCs w:val="28"/>
          <w:lang w:val="en-US"/>
        </w:rPr>
        <w:t xml:space="preserve"> Oleh karena itu, menurutnya, adanya sifat-sifat kesempurnaan pada  sebagian makhluk-Nya merupakan dalil atas adanya sifat-sifat tersebut  pada khâliq (pencipta), tanpa diiringi kekurangan atau keterbatasan.</w:t>
      </w:r>
    </w:p>
    <w:p>
      <w:pPr>
        <w:pStyle w:val="BookText"/>
        <w:bidi w:val="0"/>
        <w:jc w:val="both"/>
        <w:rPr/>
      </w:pPr>
      <w:r>
        <w:rPr>
          <w:rFonts w:eastAsia="Times New Roman" w:cs="Times New Roman" w:ascii="Times New Roman" w:hAnsi="Times New Roman"/>
          <w:color w:val="111111"/>
          <w:sz w:val="28"/>
          <w:szCs w:val="28"/>
          <w:lang w:val="en-US"/>
        </w:rPr>
        <w:t>Artinya, Allah memiliki sifat hidup, ilmu, dan kuasa secara absolut  dan tidak terbatas. Berdasarkan itulah, Muhammad Taqi Misbâh Yazdî  membahas masing-masing dari ketiga sifat tersebut secara lebih luas.</w:t>
      </w:r>
      <w:r>
        <w:rPr>
          <w:rStyle w:val="FootnoteAnchor"/>
        </w:rPr>
        <w:footnoteReference w:id="408"/>
      </w:r>
      <w:r>
        <w:rPr>
          <w:rFonts w:eastAsia="Times New Roman" w:cs="Times New Roman" w:ascii="Times New Roman" w:hAnsi="Times New Roman"/>
          <w:color w:val="111111"/>
          <w:sz w:val="28"/>
          <w:szCs w:val="28"/>
          <w:lang w:val="en-US"/>
        </w:rPr>
        <w:t xml:space="preserve"> Sifat dzâtiyyah pertama adalah hidup (hayât) yang pertama umumnya  digunakan untuk dua kelompok makhluk. Kelompok pertama terdiri dari  tumbuhan yang punya potensi untuk tumbuh dan berkembang. Kelompok  kedua terdiri dari hewan dan manusia yang punya perasaan dan kehendak.</w:t>
      </w:r>
    </w:p>
    <w:p>
      <w:pPr>
        <w:pStyle w:val="BookText"/>
        <w:bidi w:val="0"/>
        <w:jc w:val="both"/>
        <w:rPr/>
      </w:pPr>
      <w:r>
        <w:rPr>
          <w:rFonts w:eastAsia="Times New Roman" w:cs="Times New Roman" w:ascii="Times New Roman" w:hAnsi="Times New Roman"/>
          <w:color w:val="111111"/>
          <w:sz w:val="28"/>
          <w:szCs w:val="28"/>
          <w:lang w:val="en-US"/>
        </w:rPr>
        <w:t>Akan tetapi, makna pertama dari pengertian hidup meniscayakan  kekurangan dan kebutuhan. Karena kodrat tumbuh dan berkembang pada  tumbuhan melazimkan sesuatu yang tumbuh, yang pada awalnya tidak  memiliki kesempurnaan. Akan tetapi, terdapat sebagian faktor dan efek  eksternal yang menyebabkan terjadinya perubahan dan perkembangan  sehingga tercapailah kesempurnaan paripurna secara berangsur-angsur.</w:t>
      </w:r>
    </w:p>
    <w:p>
      <w:pPr>
        <w:pStyle w:val="BookText"/>
        <w:bidi w:val="0"/>
        <w:jc w:val="both"/>
        <w:rPr/>
      </w:pPr>
      <w:r>
        <w:rPr>
          <w:rFonts w:eastAsia="Times New Roman" w:cs="Times New Roman" w:ascii="Times New Roman" w:hAnsi="Times New Roman"/>
          <w:color w:val="111111"/>
          <w:sz w:val="28"/>
          <w:szCs w:val="28"/>
          <w:lang w:val="en-US"/>
        </w:rPr>
        <w:t>Kelaziman ini mustahil dinisbatkan kepada Allah-sebagaimana telah  dibahas pada tema sifat-sifat salbiyyah (negatif).</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Adapun makna kedua dari hidup adalah pengertiannya yang sempurna  (tidak melazimkan kekurangan dan kebutuhan), walaupun pada sebagian  keberadaan yang mungkin meng-ada (mumkin al-wûjud), [makna ini]  diliputi sejumlah kekurangan dan keterbatasan. Meski begitu, menurut  Muhammad Taqi Misbâh Yazdî, kita dapat memahami makna hidup ini  secara tak terbatas dan tak berkekurangan, murni dari batasan ataupun  kebutuhan, sebagaimana makna w ujûd dan kamâl.</w:t>
      </w:r>
      <w:r>
        <w:rPr>
          <w:rStyle w:val="FootnoteAnchor"/>
        </w:rPr>
        <w:footnoteReference w:id="409"/>
      </w:r>
      <w:r>
        <w:rPr>
          <w:rFonts w:eastAsia="Times New Roman" w:cs="Times New Roman" w:ascii="Times New Roman" w:hAnsi="Times New Roman"/>
          <w:color w:val="111111"/>
          <w:sz w:val="28"/>
          <w:szCs w:val="28"/>
          <w:lang w:val="en-US"/>
        </w:rPr>
        <w:t xml:space="preserve"> Sifat hidup yang meniscayakan pengetahuan dan pelaku yang  berkehendak termasuk kelaziman wujud non-materi. Meskipun  dinisbatkan kepada makhluk-makhluk hidup fisik, sebenarnya sifat hidup </w:t>
      </w:r>
    </w:p>
    <w:p>
      <w:pPr>
        <w:pStyle w:val="BookText"/>
        <w:bidi w:val="0"/>
        <w:rPr/>
      </w:pPr>
      <w:r>
        <w:rPr>
          <w:rFonts w:eastAsia="Times New Roman" w:cs="Times New Roman" w:ascii="Times New Roman" w:hAnsi="Times New Roman"/>
          <w:color w:val="111111"/>
          <w:sz w:val="28"/>
          <w:szCs w:val="28"/>
          <w:lang w:val="en-US"/>
        </w:rPr>
        <w:t xml:space="preserve">ini merupakan sifat bagi ruhnya, bukan tubuh fisiknya. Tubuh disifati  hidup karena mempunyai hubungan yang erat dengan ruh. Dengan  kata lain, sebagaimana imtidâd (ekstensi) merupakan keniscayaan  wujud material—yang diistilahkan Rene Descartes sebagai res-extensa,  demikian pula hidup yang merupakan keniscayaan wujud mujarrad  (abstrak). </w:t>
      </w:r>
      <w:r>
        <w:rPr>
          <w:rStyle w:val="FootnoteAnchor"/>
        </w:rPr>
        <w:footnoteReference w:id="410"/>
      </w:r>
      <w:r>
        <w:rPr>
          <w:rFonts w:eastAsia="Times New Roman" w:cs="Times New Roman" w:ascii="Times New Roman" w:hAnsi="Times New Roman"/>
          <w:color w:val="111111"/>
          <w:sz w:val="28"/>
          <w:szCs w:val="28"/>
          <w:lang w:val="en-US"/>
        </w:rPr>
        <w:t xml:space="preserve"> Dari sini, menurut Muhammad Taqi Misbâh Yazdî, terbetik argumen  lain seputar sifat hidup Allah, yaitu bahwa Allah yang Suci bersifat non  materi dan tak berbentuk. Juga, bahwa setiap yang non material memiliki  sifat hidup (hayat) secara substansial (dzâtî). Dengan demikian, Allah  memiliki sifat hidup secara substansial. </w:t>
      </w:r>
      <w:r>
        <w:rPr>
          <w:rStyle w:val="FootnoteAnchor"/>
        </w:rPr>
        <w:footnoteReference w:id="411"/>
      </w:r>
      <w:r>
        <w:rPr>
          <w:rFonts w:eastAsia="Times New Roman" w:cs="Times New Roman" w:ascii="Times New Roman" w:hAnsi="Times New Roman"/>
          <w:color w:val="111111"/>
          <w:sz w:val="28"/>
          <w:szCs w:val="28"/>
          <w:lang w:val="en-US"/>
        </w:rPr>
        <w:t xml:space="preserve"> Sifat dzâtiyyah kedua adalah “tahu” ('ilm) merupakan konsep  yang paling jelas dan gamblang. Akan tetapi, bila diterapkan pada  makhluk-makhluk-Nya, objek (eksternal maupun mental) yang koheren  (mishdâq) dengan konsep tersebut sangatlah kurang dan terbatas. Sifat  tahu seperti itu, yang merupakan atribut makhluk, mustahil berlaku bagi  Allah. Namun, rasio mampu menggambarkan objek (eksternal maupun  mental) yang koheren dengan konsep tersebut secara murni dan terbebas  dari kekurangan dan keterbatasan. Maksudnya, “tahu” identik belaka  dengan zat yang mengetahui itu sendiri. Inilah ‘ilm dzâtî (pengetahuan  substansial) Allah.</w:t>
      </w:r>
      <w:r>
        <w:rPr>
          <w:rStyle w:val="FootnoteAnchor"/>
        </w:rPr>
        <w:footnoteReference w:id="412"/>
      </w:r>
      <w:r>
        <w:rPr>
          <w:rFonts w:eastAsia="Times New Roman" w:cs="Times New Roman" w:ascii="Times New Roman" w:hAnsi="Times New Roman"/>
          <w:color w:val="111111"/>
          <w:sz w:val="28"/>
          <w:szCs w:val="28"/>
          <w:lang w:val="en-US"/>
        </w:rPr>
        <w:t xml:space="preserve"> Untuk membuktikan sifat tahu Allah, menurut Muhammad Taqi  Misbâh Yazdî, kita dapat menggunakan beberapa cara. Pertama, cara  yang digunakan untuk menetapkan seluruh sifat-sifat dzâtiyyah bagi-  Nya. Artinya, mengingat “tahu” terdapat pada makhluk-makhluk Allah,  sudah pasti sifat itu juga ada pada-Nya dalam intensitas yang lebih mulia  dan sempurna.</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menggunakan dalil keteraturan (argument of design). Dalil  ini mengatakan bahwa setiap fenomena atau makhluk yang memiliki  keteraturan atau keutuhan lebih banyak, dengan sendirinya memantulkan </w:t>
      </w:r>
    </w:p>
    <w:p>
      <w:pPr>
        <w:pStyle w:val="BookText"/>
        <w:bidi w:val="0"/>
        <w:rPr/>
      </w:pPr>
      <w:r>
        <w:rPr>
          <w:rFonts w:eastAsia="Times New Roman" w:cs="Times New Roman" w:ascii="Times New Roman" w:hAnsi="Times New Roman"/>
          <w:color w:val="111111"/>
          <w:sz w:val="28"/>
          <w:szCs w:val="28"/>
          <w:lang w:val="en-US"/>
        </w:rPr>
        <w:t>pengetahuan penciptanya. Ini sebagaimana karya ilmiah atau larik puisi  yang indah, atau detail sebuah karya seni, yang menunjukkan sejauhmana  penciptanya memiliki pengetahuan, cita-rasa, dan pengalaman. Mustahil  orang yang berakal sehat akan menganggap sebuah buku ilmiah atau  karya filsafat ditulis orang bodoh dan tidak berpendidikan. Oleh karena  itu, bagaimana mungkin alam semesta beserta isinya yang sarat misteri  dan keunikan ini diciptakan Zat yang tidak tahu apa-apa.</w:t>
      </w:r>
    </w:p>
    <w:p>
      <w:pPr>
        <w:pStyle w:val="BookText"/>
        <w:bidi w:val="0"/>
        <w:jc w:val="both"/>
        <w:rPr/>
      </w:pPr>
      <w:r>
        <w:rPr>
          <w:rFonts w:eastAsia="Times New Roman" w:cs="Times New Roman" w:ascii="Times New Roman" w:hAnsi="Times New Roman"/>
          <w:color w:val="111111"/>
          <w:sz w:val="28"/>
          <w:szCs w:val="28"/>
          <w:lang w:val="en-US"/>
        </w:rPr>
        <w:t>Ketiga, menggunakan premis-premis filsafat teoritis yang ghairu  badîhîyyah (memerlukan pembuktian). Misalnya, kaidah filsafat yang  berbunyi “setiap maujud non materi yang mandiri itu tahu”—sebagaimana  dibuktikan dalam buku-buku yang khusus mengupas masalah ini.</w:t>
      </w:r>
      <w:r>
        <w:rPr>
          <w:rStyle w:val="FootnoteAnchor"/>
        </w:rPr>
        <w:footnoteReference w:id="413"/>
      </w:r>
      <w:r>
        <w:rPr>
          <w:rFonts w:eastAsia="Times New Roman" w:cs="Times New Roman" w:ascii="Times New Roman" w:hAnsi="Times New Roman"/>
          <w:color w:val="111111"/>
          <w:sz w:val="28"/>
          <w:szCs w:val="28"/>
          <w:lang w:val="en-US"/>
        </w:rPr>
        <w:t xml:space="preserve"> Alhasil, perhatian seseorang terhadap pengetahuan Tuhan mempunyai  peranan yang sangat besar dalam membangun kepribadiannya. Oleh  karena itu, al-Qur'an seringkali menekankan hal ini. Di antara ayat-  ayat suci yang menyinggung masalah itu adalah: Dia itu mengetahui  (pandangan) mata yang khianat dan apa yang disembunyikan oleh hati.</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(QS al-Mu'minun: 19).</w:t>
      </w:r>
      <w:r>
        <w:rPr>
          <w:rStyle w:val="FootnoteAnchor"/>
        </w:rPr>
        <w:footnoteReference w:id="414"/>
      </w:r>
      <w:r>
        <w:rPr>
          <w:rFonts w:eastAsia="Times New Roman" w:cs="Times New Roman" w:ascii="Times New Roman" w:hAnsi="Times New Roman"/>
          <w:color w:val="111111"/>
          <w:sz w:val="28"/>
          <w:szCs w:val="28"/>
          <w:lang w:val="en-US"/>
        </w:rPr>
        <w:t xml:space="preserve"> Sifat dzâtiyyah ketiga adalah “kuasa” (al-qudrah). Muhammad  Taqi Misbah Yazdî mengatakan bahwa setiap individu yang bertindak  sesuai kehendak dan pilihannya diandaikan memiliki kemampuan atas  tindakan tersebut. Dengan demikian, kuasa adalah kekuatan dan modal  bagi individu yang memiliki pilihan untuk melakukan tindakan yang  mungkin. Semakin intensif kesempurnaan individu dari segi derajat  wujudnya, semakin banyak pula dirinya mempunyai kekuasaan dan  kemampuan.</w:t>
      </w:r>
      <w:r>
        <w:rPr>
          <w:rStyle w:val="FootnoteAnchor"/>
        </w:rPr>
        <w:footnoteReference w:id="415"/>
      </w:r>
      <w:r>
        <w:rPr>
          <w:rFonts w:eastAsia="Times New Roman" w:cs="Times New Roman" w:ascii="Times New Roman" w:hAnsi="Times New Roman"/>
          <w:color w:val="111111"/>
          <w:sz w:val="28"/>
          <w:szCs w:val="28"/>
          <w:lang w:val="en-US"/>
        </w:rPr>
        <w:t xml:space="preserve">Maka dari itu, sudah pasti substansi yang mempunyai  kesempurnaan tak terbatas akan memiliki kekuasaan dan kemampuan  tak terbatas pula. Allah berfirman: Sesungguhnya Allah Mahakuasa atas  segala sesuatu.(QS al-Baqarah: 20). </w:t>
      </w:r>
    </w:p>
    <w:p>
      <w:pPr>
        <w:pStyle w:val="BookText"/>
        <w:bidi w:val="0"/>
        <w:rPr/>
      </w:pPr>
      <w:r>
        <w:rPr>
          <w:rFonts w:eastAsia="Times New Roman" w:cs="Times New Roman" w:ascii="Times New Roman" w:hAnsi="Times New Roman"/>
          <w:color w:val="111111"/>
          <w:sz w:val="28"/>
          <w:szCs w:val="28"/>
          <w:lang w:val="en-US"/>
        </w:rPr>
        <w:t>Sehubungan dengannya, perlu ditekankan beberapa poin berikut.</w:t>
      </w:r>
    </w:p>
    <w:p>
      <w:pPr>
        <w:pStyle w:val="BookText"/>
        <w:bidi w:val="0"/>
        <w:jc w:val="both"/>
        <w:rPr/>
      </w:pPr>
      <w:r>
        <w:rPr>
          <w:rFonts w:eastAsia="Times New Roman" w:cs="Times New Roman" w:ascii="Times New Roman" w:hAnsi="Times New Roman"/>
          <w:color w:val="111111"/>
          <w:sz w:val="28"/>
          <w:szCs w:val="28"/>
          <w:lang w:val="en-US"/>
        </w:rPr>
        <w:t xml:space="preserve">Pertama, setiap tindakan yang terkait dengan kuasa harus bersifat  mumkin tahaqquq (mungkin terealisasi). Karenanya, sesuatu yang secara  substansial tidak mungkin (mumtani”) terwujud, atau meniscayakan  kemustahilan, tidak memiliki relasi apa pun dengan kuasa. </w:t>
      </w:r>
      <w:r>
        <w:rPr>
          <w:rStyle w:val="FootnoteAnchor"/>
        </w:rPr>
        <w:footnoteReference w:id="416"/>
      </w:r>
      <w:r>
        <w:rPr>
          <w:rFonts w:eastAsia="Times New Roman" w:cs="Times New Roman" w:ascii="Times New Roman" w:hAnsi="Times New Roman"/>
          <w:color w:val="111111"/>
          <w:sz w:val="28"/>
          <w:szCs w:val="28"/>
          <w:lang w:val="en-US"/>
        </w:rPr>
        <w:t xml:space="preserve">Ungkapan  bahwa Tuhan Mahakuasa atas segala tindakan, bukan berarti Dia mampu  menciptakan Tuhan selain-Nya, karena Dia adalah Tuhan yang bermakna  zat yang tidak diciptakan, juga bukan berarti Dia mampu menjadikan  angka 2 (dua) sebagai angka 2 (dua) lebih besar dari angka 3 (tiga); atau  Dia menciptakan anak sebagai anak sebelum menciptakan bapaknya. </w:t>
      </w:r>
      <w:r>
        <w:rPr>
          <w:rStyle w:val="FootnoteAnchor"/>
        </w:rPr>
        <w:footnoteReference w:id="417"/>
      </w:r>
      <w:r>
        <w:rPr>
          <w:rFonts w:eastAsia="Times New Roman" w:cs="Times New Roman" w:ascii="Times New Roman" w:hAnsi="Times New Roman"/>
          <w:color w:val="111111"/>
          <w:sz w:val="28"/>
          <w:szCs w:val="28"/>
          <w:lang w:val="en-US"/>
        </w:rPr>
        <w:t xml:space="preserve"> Kedua, kuasa atas segala tindakan tidak otomatis mengharuskan zat  yang berkuasa melakukan segala tindakan yang sanggup dilakukan.</w:t>
      </w:r>
      <w:r>
        <w:rPr>
          <w:rStyle w:val="FootnoteAnchor"/>
        </w:rPr>
        <w:footnoteReference w:id="418"/>
      </w:r>
      <w:r>
        <w:rPr>
          <w:rFonts w:eastAsia="Times New Roman" w:cs="Times New Roman" w:ascii="Times New Roman" w:hAnsi="Times New Roman"/>
          <w:color w:val="111111"/>
          <w:sz w:val="28"/>
          <w:szCs w:val="28"/>
          <w:lang w:val="en-US"/>
        </w:rPr>
        <w:t xml:space="preserve"> Akan tetapi, ia hanya melakukan tindakan yang selaras dengan kehendak-  Nya. Allah yang Mahabijak tidak menghendaki kecuali tindakan-tindakan  yang bajik dan bijak. Dia tidak akan pernah merealisasikan tindakan-  tindakan yang tidak bajik dan tidak bijak, meskipun Dia Mahakuasa dan  mampu melakukan tindakan yang buruk dan mungkar. Persoalan ini  biasanya diulas lebih jauh dalam pelajaran hikmah ilâhiyyah (teosofi).</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Ketiga, kuasa juga mengandung ikhtiyâr (kebebasan). Di samping  memiliki derajat kekuasaan dan kemampuan paling tinggi, Tuhan juga  punya ikhtiyâr paling puncak dan paripurna. Mustahil terdapat faktor  apa pun yang memaksa-Nya melakukan suatu tindakan atau mencabut  ikhtiyâr dari-Nya. Justru wujud dan kemampuan segala sesuatu bersumber  dari-Nya. Oleh karena itu, mustahil Dia dipaksa dan dikalahkan berbagai  kekuatan dan kekuasaan yang justru Dia berikan kepada makhluk-  makhluk-Nya.</w:t>
      </w:r>
      <w:r>
        <w:rPr>
          <w:rStyle w:val="FootnoteAnchor"/>
        </w:rPr>
        <w:footnoteReference w:id="419"/>
      </w:r>
      <w:r>
        <w:rPr>
          <w:rFonts w:eastAsia="Times New Roman" w:cs="Times New Roman" w:ascii="Times New Roman" w:hAnsi="Times New Roman"/>
          <w:color w:val="111111"/>
          <w:sz w:val="28"/>
          <w:szCs w:val="28"/>
          <w:lang w:val="en-US"/>
        </w:rPr>
        <w:t xml:space="preserve"> Adapun sifat-sifat fi liyyah dalam konsepsi Muhammad Taqi Misbah  Yazdî merupakan konsep-konsep mental yang dikonstruksi nalar dari  hasil perbandingan antara zat Allah dan makhluk-makhluk-Nya, dengan </w:t>
      </w:r>
    </w:p>
    <w:p>
      <w:pPr>
        <w:pStyle w:val="BookText"/>
        <w:bidi w:val="0"/>
        <w:rPr/>
      </w:pPr>
      <w:r>
        <w:rPr>
          <w:rFonts w:eastAsia="Times New Roman" w:cs="Times New Roman" w:ascii="Times New Roman" w:hAnsi="Times New Roman"/>
          <w:color w:val="111111"/>
          <w:sz w:val="28"/>
          <w:szCs w:val="28"/>
          <w:lang w:val="en-US"/>
        </w:rPr>
        <w:t>cara mengamati relasi tertentu di antara keduanya. Dalam pada itu, khâliq  dan makhluk-Nya merupakan dua posisi yang terhubung satu sama lain:</w:t>
      </w:r>
    </w:p>
    <w:p>
      <w:pPr>
        <w:pStyle w:val="BookText"/>
        <w:bidi w:val="0"/>
        <w:jc w:val="both"/>
        <w:rPr/>
      </w:pPr>
      <w:r>
        <w:rPr>
          <w:rFonts w:eastAsia="Times New Roman" w:cs="Times New Roman" w:ascii="Times New Roman" w:hAnsi="Times New Roman"/>
          <w:color w:val="111111"/>
          <w:sz w:val="28"/>
          <w:szCs w:val="28"/>
          <w:lang w:val="en-US"/>
        </w:rPr>
        <w:t xml:space="preserve">seperti konsep al-khaliqiyyah yang dikonstruksi nalar setelah mengamati  relasi wujud makhluk dengan Tuhan. </w:t>
      </w:r>
      <w:r>
        <w:rPr>
          <w:rStyle w:val="FootnoteAnchor"/>
        </w:rPr>
        <w:footnoteReference w:id="420"/>
      </w:r>
      <w:r>
        <w:rPr>
          <w:rFonts w:eastAsia="Times New Roman" w:cs="Times New Roman" w:ascii="Times New Roman" w:hAnsi="Times New Roman"/>
          <w:color w:val="111111"/>
          <w:sz w:val="28"/>
          <w:szCs w:val="28"/>
          <w:lang w:val="en-US"/>
        </w:rPr>
        <w:t>Apabila hubungan keduanya tidak  diamati, konsep semacam itu mustahil dibayangkan.</w:t>
      </w:r>
    </w:p>
    <w:p>
      <w:pPr>
        <w:pStyle w:val="BookText"/>
        <w:bidi w:val="0"/>
        <w:jc w:val="both"/>
        <w:rPr/>
      </w:pPr>
      <w:r>
        <w:rPr>
          <w:rFonts w:eastAsia="Times New Roman" w:cs="Times New Roman" w:ascii="Times New Roman" w:hAnsi="Times New Roman"/>
          <w:color w:val="111111"/>
          <w:sz w:val="28"/>
          <w:szCs w:val="28"/>
          <w:lang w:val="en-US"/>
        </w:rPr>
        <w:t>Relasi-relasi yang mungkin antara Allah dan makhluk-Nya itu  tidak terbatas. Akan tetapi, secara umum dan dari satu sisi, relasi-relasi  dimaksud dapat diklasifikasi dalam dua kategori. Pertama, relasi khâliq  dan makhluk-Nya dapat dipahami melalui pengamatan secara langsung,  seperti îjâd (mewujudkan), khalq (menciptakan), ibdâ' (mengadakan),  dan sejenisnya.</w:t>
      </w:r>
    </w:p>
    <w:p>
      <w:pPr>
        <w:pStyle w:val="BookText"/>
        <w:bidi w:val="0"/>
        <w:jc w:val="both"/>
        <w:rPr/>
      </w:pPr>
      <w:r>
        <w:rPr>
          <w:rFonts w:eastAsia="Times New Roman" w:cs="Times New Roman" w:ascii="Times New Roman" w:hAnsi="Times New Roman"/>
          <w:color w:val="111111"/>
          <w:sz w:val="28"/>
          <w:szCs w:val="28"/>
          <w:lang w:val="en-US"/>
        </w:rPr>
        <w:t>Kedua, relasi-relasi yang dipahami setelah lebih dulu mempersepsi  relasi-relasi lain, seperti rezeki. Karena, sejak awal sudah harus  diasumsikan adanya relasi antara pemberi rezeki dan penerimanya.</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Setelah itu, baru dapat dipahami ihwal limpahan rahmat Allah kepada  ciptaan-Nya, sehingga dengan begitu terajutlah konsep râziq (pemberi  rezeki) dan razzâq (maha pemberi rezeki).</w:t>
      </w:r>
      <w:r>
        <w:rPr>
          <w:rStyle w:val="FootnoteAnchor"/>
        </w:rPr>
        <w:footnoteReference w:id="421"/>
      </w:r>
      <w:r>
        <w:rPr>
          <w:rFonts w:eastAsia="Times New Roman" w:cs="Times New Roman" w:ascii="Times New Roman" w:hAnsi="Times New Roman"/>
          <w:color w:val="111111"/>
          <w:sz w:val="28"/>
          <w:szCs w:val="28"/>
          <w:lang w:val="en-US"/>
        </w:rPr>
        <w:t>Bahkan, menurutnya,  adakalanya berbagai relasi antara satu makhluk dengan makhluk lainnya  dapat dikonsepsikan lebih dulu, sebelum sifat fi'liyyah Tuhan dipahami,  dan pada gilirannya, semua itu dikorelasikan dengan Tuhan.</w:t>
      </w:r>
      <w:r>
        <w:rPr>
          <w:rStyle w:val="FootnoteAnchor"/>
        </w:rPr>
        <w:footnoteReference w:id="422"/>
      </w:r>
      <w:r>
        <w:rPr>
          <w:rFonts w:eastAsia="Times New Roman" w:cs="Times New Roman" w:ascii="Times New Roman" w:hAnsi="Times New Roman"/>
          <w:color w:val="111111"/>
          <w:sz w:val="28"/>
          <w:szCs w:val="28"/>
          <w:lang w:val="en-US"/>
        </w:rPr>
        <w:t xml:space="preserve"> Di samping itu, terdapat pula konsepsi yang muncul dari sejumlah  relasi sebelumnya antara Tuhan dan makhluk, seperti konsep maghfirah  yang bersumber dari doktrin rubûbiyyah tasyrî'iyyah ilâhiyyah  (pengaturan syariat ilahi), penentuan Allah terhadap hukum-hukum  syariat, dan penyimpangan hamba darinya. Dengan demikian, untuk  memahami sifat-sifat fi'liyyah, harus dilakukan upaya perbandingan  antara Tuhan dan makhluk-makhluk-Nya, yang darinya akan dipahami  adanya relasi antara zat pencipta dan yang dicipta. Dengan cara ini,  konsep idhâfi (relasional) dari relasi tersebut akan muncul dengan  sendirinya. Oleh karena itu, zat Tuhan yang suci tidak dapat dijadikan </w:t>
      </w:r>
    </w:p>
    <w:p>
      <w:pPr>
        <w:pStyle w:val="BookText"/>
        <w:bidi w:val="0"/>
        <w:rPr/>
      </w:pPr>
      <w:r>
        <w:rPr>
          <w:rFonts w:eastAsia="Times New Roman" w:cs="Times New Roman" w:ascii="Times New Roman" w:hAnsi="Times New Roman"/>
          <w:color w:val="111111"/>
          <w:sz w:val="28"/>
          <w:szCs w:val="28"/>
          <w:lang w:val="en-US"/>
        </w:rPr>
        <w:t>objek (eksternal maupun mental) yang koheren (mishdâq) dengan sifat-  sifat fi’liyyah secara mandiri, tanpa mengamati relasi tersebut. Inilah  perbedaan utama antara sifat-sifat dzatiyyah dan sifat-sifat fi’liyyah.</w:t>
      </w:r>
    </w:p>
    <w:p>
      <w:pPr>
        <w:pStyle w:val="BookText"/>
        <w:bidi w:val="0"/>
        <w:jc w:val="both"/>
        <w:rPr/>
      </w:pPr>
      <w:r>
        <w:rPr>
          <w:rFonts w:eastAsia="Times New Roman" w:cs="Times New Roman" w:ascii="Times New Roman" w:hAnsi="Times New Roman"/>
          <w:color w:val="111111"/>
          <w:sz w:val="28"/>
          <w:szCs w:val="28"/>
          <w:lang w:val="en-US"/>
        </w:rPr>
        <w:t>Selain itu, sifat-sifat fi’liyyah juga dapat dicermati dari konteks asal-  usulnya. Dalam hal ini, sifat-sifat fi’liyyah akan bermuara pada sifat-sifat  dzâtiyyah, sebagaimana khâliq (pencipta) dan khallâq (Mahapencipta).</w:t>
      </w:r>
    </w:p>
    <w:p>
      <w:pPr>
        <w:pStyle w:val="BookText"/>
        <w:bidi w:val="0"/>
        <w:jc w:val="both"/>
        <w:rPr/>
      </w:pPr>
      <w:r>
        <w:rPr>
          <w:rFonts w:eastAsia="Times New Roman" w:cs="Times New Roman" w:ascii="Times New Roman" w:hAnsi="Times New Roman"/>
          <w:color w:val="111111"/>
          <w:sz w:val="28"/>
          <w:szCs w:val="28"/>
          <w:lang w:val="en-US"/>
        </w:rPr>
        <w:t>Apabila sifat ini ditafsirkan dengan qadîr (Mahakuasa) atas makhluknya,  maka itu berasal dari sifat qâdir (Mahakuasa). Atau, sifat samî  (Mahamendengar) dan sifat bashîr (Mahamelihat), yang bila ditafsirkan  dengan mengetahui (al-'âlim) atas hal-hal yang mungkin didengar dan  dilihat, maka itu sesungguhnya berasal dari sifat al-'âlim (Mahatahu).</w:t>
      </w:r>
    </w:p>
    <w:p>
      <w:pPr>
        <w:pStyle w:val="BookText"/>
        <w:bidi w:val="0"/>
        <w:jc w:val="both"/>
        <w:rPr/>
      </w:pPr>
      <w:r>
        <w:rPr>
          <w:rFonts w:eastAsia="Times New Roman" w:cs="Times New Roman" w:ascii="Times New Roman" w:hAnsi="Times New Roman"/>
          <w:color w:val="111111"/>
          <w:sz w:val="28"/>
          <w:szCs w:val="28"/>
          <w:lang w:val="en-US"/>
        </w:rPr>
        <w:t xml:space="preserve">Terdapat pula sejumlah konsep yang dapat dikategorikan oleh  Muhammad Taqi Misbâh Yazdî sebagai sifat-sifat dzâtiyyah, namun  pada saat bersamaan, dijumpai pada dirinya makna idhâfi (relasional)  dan makna fi'li (aksional). Oleh karenanya, menurutnya, semua sifat itu  dapat diperlakukan sebagai sifat-sifat fi liyyah, seperti konsep `ilm (tahu)  yang digunakan al-Qur'an dalam sejumlah ayatnya, dengan makna  relasional. </w:t>
      </w:r>
      <w:r>
        <w:rPr>
          <w:rStyle w:val="FootnoteAnchor"/>
        </w:rPr>
        <w:footnoteReference w:id="423"/>
      </w:r>
      <w:r>
        <w:rPr>
          <w:rFonts w:eastAsia="Times New Roman" w:cs="Times New Roman" w:ascii="Times New Roman" w:hAnsi="Times New Roman"/>
          <w:color w:val="111111"/>
          <w:sz w:val="28"/>
          <w:szCs w:val="28"/>
          <w:lang w:val="en-US"/>
        </w:rPr>
        <w:t xml:space="preserve"> Satu hal yang perlu dicatat bahwa bila penjelasan Muhammad Taqi  Misbâh Yazdî di atas diperhatikan secara seksama, ditemukan relasi yang  seolah-olah bersifat langsung antara Tuhan dan hal-hal material, sehingga  darinya muncullah pemahaman tentang sifat fi'liyyah tertentu pada zat  Tuhan. Tentu, sifat ini bersifat spasio-temporal (dibatasi ruang-waktu),  berdasarkan aspek keterpautannya dengan maujud-maujud material  (yang tunduk pada aturan-aturan ruang-waktu) yang menempati salah  satu posisi dari bentangan relasi tersebut. Kendati demikian, bila ditinjau  dari aspek keterkaitannya dengan Tuhan yang “menempati posisi yang  lain” dari bentangan relasi tersebut, sifat ini terbebas dari batasan apa pun.</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Misalnya, Tuhan hanya mungkin memberi rezeki kepada seseorang pada  ruang dan waktu tertentu. Pada hakikatnya, batasan ruang dan waktu ini  berkaitan dengan si penerima rezeki, bukan Tuhan, Sang Pemberi rezeki, </w:t>
      </w:r>
    </w:p>
    <w:p>
      <w:pPr>
        <w:pStyle w:val="BookText"/>
        <w:bidi w:val="0"/>
        <w:rPr/>
      </w:pPr>
      <w:r>
        <w:rPr>
          <w:rFonts w:eastAsia="Times New Roman" w:cs="Times New Roman" w:ascii="Times New Roman" w:hAnsi="Times New Roman"/>
          <w:color w:val="111111"/>
          <w:sz w:val="28"/>
          <w:szCs w:val="28"/>
          <w:lang w:val="en-US"/>
        </w:rPr>
        <w:t>karena Dia Mahasuci dari atribut ruang dan waktu.</w:t>
      </w:r>
    </w:p>
    <w:p>
      <w:pPr>
        <w:pStyle w:val="BookText"/>
        <w:bidi w:val="0"/>
        <w:jc w:val="both"/>
        <w:rPr/>
      </w:pPr>
      <w:r>
        <w:rPr>
          <w:rFonts w:eastAsia="Times New Roman" w:cs="Times New Roman" w:ascii="Times New Roman" w:hAnsi="Times New Roman"/>
          <w:color w:val="111111"/>
          <w:sz w:val="28"/>
          <w:szCs w:val="28"/>
          <w:lang w:val="en-US"/>
        </w:rPr>
        <w:t>Catatan ini menjadi kunci penyelesaian terhadap berbagai kekaburan  yang berkaitan dengan upaya mengenal sifat-sifat dan tindakan Tuhan,  yang pada masa sebelumnya telah menyulut kontroversi dan polemik  berkepanjangan di kalangan ulama dan cendekiawan.</w:t>
      </w:r>
    </w:p>
    <w:p>
      <w:pPr>
        <w:pStyle w:val="BookText"/>
        <w:bidi w:val="0"/>
        <w:jc w:val="both"/>
        <w:rPr/>
      </w:pPr>
      <w:r>
        <w:rPr>
          <w:rFonts w:eastAsia="Times New Roman" w:cs="Times New Roman" w:ascii="Times New Roman" w:hAnsi="Times New Roman"/>
          <w:color w:val="111111"/>
          <w:sz w:val="28"/>
          <w:szCs w:val="28"/>
          <w:lang w:val="en-US"/>
        </w:rPr>
        <w:t>Muhammad Taqi Misbâh Yazdî selanjutnya menjelaskan bahwa  wujud niscaya-ada (wajib al-wujûd) merupakan penyebab keberadaan  makhluk-Nya. Setiap penyebab, berdasarkan makna generiknya, dapat  diterapkan pada setiap eksistensi yang menjadi locus bergantungnya  eksistensi lain. Menurut pengertian ini, penyebab mencakup syarat-syarat  dan sebab-penyiap ('illah mu`iddah). Penyebab semacam ini jelas tidak  berlaku bagi Allah. Tidak adanya penyebab bagi Allah bermakna bahwa  Dia tidak memiliki ketergantungan apa pun pada keberadaan yang lain.</w:t>
      </w:r>
    </w:p>
    <w:p>
      <w:pPr>
        <w:pStyle w:val="BookText"/>
        <w:bidi w:val="0"/>
        <w:jc w:val="both"/>
        <w:rPr/>
      </w:pPr>
      <w:r>
        <w:rPr>
          <w:rFonts w:eastAsia="Times New Roman" w:cs="Times New Roman" w:ascii="Times New Roman" w:hAnsi="Times New Roman"/>
          <w:color w:val="111111"/>
          <w:sz w:val="28"/>
          <w:szCs w:val="28"/>
          <w:lang w:val="en-US"/>
        </w:rPr>
        <w:t>Dengan demikian, mustahil dikatakan bahwa Allah mempunyai syarat  dan pengada (bagi wujud-Nya).</w:t>
      </w:r>
      <w:r>
        <w:rPr>
          <w:rStyle w:val="FootnoteAnchor"/>
        </w:rPr>
        <w:footnoteReference w:id="424"/>
      </w:r>
      <w:r>
        <w:rPr>
          <w:rFonts w:eastAsia="Times New Roman" w:cs="Times New Roman" w:ascii="Times New Roman" w:hAnsi="Times New Roman"/>
          <w:color w:val="111111"/>
          <w:sz w:val="28"/>
          <w:szCs w:val="28"/>
          <w:lang w:val="en-US"/>
        </w:rPr>
        <w:t xml:space="preserve"> Adapun makna “Allah sebagai penyebab seluruh keberadaan” adalah  bahwa sebagai pencipta dan pengada, Dia merupakan makna khusus  dari ‘illah fa iliyyah (sebab-pelaku, efficient cause). Untuk menjelaskan  poin ini, menurut Muhammad Taqi Misbâh Yazdî, terlebih dahulu harus  diketahui secara global beragam penyebab. </w:t>
      </w:r>
      <w:r>
        <w:rPr>
          <w:rStyle w:val="FootnoteAnchor"/>
        </w:rPr>
        <w:footnoteReference w:id="425"/>
      </w:r>
      <w:r>
        <w:rPr>
          <w:rFonts w:eastAsia="Times New Roman" w:cs="Times New Roman" w:ascii="Times New Roman" w:hAnsi="Times New Roman"/>
          <w:color w:val="111111"/>
          <w:sz w:val="28"/>
          <w:szCs w:val="28"/>
          <w:lang w:val="en-US"/>
        </w:rPr>
        <w:t xml:space="preserve"> Telah diketahui bahwa secara pasti tumbuhnya tanaman di permukaan  tanah disebabkan adanya bibit, tanah yang subur, air, dan udara. Namun,  di samping itu, harus terdapat pula faktor-faktor lain, baik yang bersifat  alamiah maupun insaniah, yang menebarkan bibit-bibit tersebut di atas  tanah dan menyiramkan air kepadanya. Berdasarkan itu, semua faktor  yang disebutkan di atas merupakan penyebab tumbuhnya tanaman tersebut.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kategori-kategori tertentu, seluruh penyebab itu dapat  diklasifikasi sebagai berikut. Pertama, rangkaian penyebab yang  keberadaannya selalu dharûri (mesti) bagi terwujudnya suatu akibat, </w:t>
      </w:r>
    </w:p>
    <w:p>
      <w:pPr>
        <w:pStyle w:val="BookText"/>
        <w:bidi w:val="0"/>
        <w:rPr/>
      </w:pPr>
      <w:r>
        <w:rPr>
          <w:rFonts w:eastAsia="Times New Roman" w:cs="Times New Roman" w:ascii="Times New Roman" w:hAnsi="Times New Roman"/>
          <w:color w:val="111111"/>
          <w:sz w:val="28"/>
          <w:szCs w:val="28"/>
          <w:lang w:val="en-US"/>
        </w:rPr>
        <w:t>dinamakan sebagai sebab-hakiki. Kedua, rangkaian penyebab yang  tidak diperlukan bagi kesinambungan perwujudan akibat (misalnya,  petani, dalam kaitannya dengan tanaman), dinamakan sebab-penyiap.</w:t>
      </w:r>
    </w:p>
    <w:p>
      <w:pPr>
        <w:pStyle w:val="BookText"/>
        <w:bidi w:val="0"/>
        <w:jc w:val="both"/>
        <w:rPr/>
      </w:pPr>
      <w:r>
        <w:rPr>
          <w:rFonts w:eastAsia="Times New Roman" w:cs="Times New Roman" w:ascii="Times New Roman" w:hAnsi="Times New Roman"/>
          <w:color w:val="111111"/>
          <w:sz w:val="28"/>
          <w:szCs w:val="28"/>
          <w:lang w:val="en-US"/>
        </w:rPr>
        <w:t>Ketiga, kumpulan penyebab yang posisinya dapat digantikan penyebab  lainnya dinamakan sebab-alternatif (“illah badîlah). Dan keempat,  himpunan penyebab yang posisi dan pengaruhnya tidak mungkin  digantikan selainnya, yang diistilahkan dengan sebab-definitif (ʻillah  munhasirah).</w:t>
      </w:r>
      <w:r>
        <w:rPr>
          <w:rStyle w:val="FootnoteAnchor"/>
        </w:rPr>
        <w:footnoteReference w:id="426"/>
      </w:r>
      <w:r>
        <w:rPr>
          <w:rFonts w:eastAsia="Times New Roman" w:cs="Times New Roman" w:ascii="Times New Roman" w:hAnsi="Times New Roman"/>
          <w:color w:val="111111"/>
          <w:sz w:val="28"/>
          <w:szCs w:val="28"/>
          <w:lang w:val="en-US"/>
        </w:rPr>
        <w:t xml:space="preserve"> Terdapat satu jenis penyebab yang berbeda dengan yang telah  disebutkan pada kasus maujud tanaman di atas. Sehubungan dengan  penyebab ini, Muhammad Taqi Misbâh Yazdî mengatakan bahwa itu  dapat dijumpai mishdâq (wujud eksternal)-nya pada jiwa manusia,  khususnya pada sebagian keadaan dan kondisi kejiwaannya. Ketika  seseorang menciptakan suatu bayangan dalam benaknya atau bertekad  mengerjakan suatu tindakan, dalam dirinya akan terjadi fenomena  nafsiyyah (kejiwaan) yang disebut dengan gambaran mental (shûrah  dzihniyyah), atau kehendak yang keberadaannya merupakan akibat dan  bergantung pada keberadaan jiwa (nafs). Jelas, akibat semacam ini tidak  memiliki kemandirian sedikit pun dari penyebabnya, dan tidak mungkin  berpisah atau mandiri dari wujud penyebabnya.</w:t>
      </w:r>
      <w:r>
        <w:rPr>
          <w:rStyle w:val="FootnoteAnchor"/>
        </w:rPr>
        <w:footnoteReference w:id="427"/>
      </w:r>
      <w:r>
        <w:rPr>
          <w:rFonts w:eastAsia="Times New Roman" w:cs="Times New Roman" w:ascii="Times New Roman" w:hAnsi="Times New Roman"/>
          <w:color w:val="111111"/>
          <w:sz w:val="28"/>
          <w:szCs w:val="28"/>
          <w:lang w:val="en-US"/>
        </w:rPr>
        <w:t xml:space="preserve"> Akan tetapi, pada saat yang sama, penciptaan jiwa (fâ iliyyah nafs)  atas gambaran mental atau kehendak, memerlukan syarat-syarat tertentu  yang muncul lantaran kekurangan, keterbatasan, dan kemungkinan  (imkan) wujud yang merupakan sifat-sifat substansial jiwa.</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tindak penciptaan (fâ iliyyah) wujud niscaya-  ada (wâjib al-wujûd) terhadap alam semesta jauh lebih hebat dan  lebih sempurna dibandingkan tindak penciptaan jiwa atas keadaan  dan pengalaman-pengalaman dirinya. Menurut Muhammad Taqî  Misbah Yazdî, kita tidak akan mendapatkan padanan tindak penciptaan  (fâ iliyyah) Tuhan dibanding seluruh tindak penciptaan, karena tindak  penciptaan Tuhan sama sekali tidak membutuhkan apa pun untuk </w:t>
      </w:r>
    </w:p>
    <w:p>
      <w:pPr>
        <w:pStyle w:val="BookText"/>
        <w:bidi w:val="0"/>
        <w:rPr/>
      </w:pPr>
      <w:r>
        <w:rPr>
          <w:rFonts w:eastAsia="Times New Roman" w:cs="Times New Roman" w:ascii="Times New Roman" w:hAnsi="Times New Roman"/>
          <w:color w:val="111111"/>
          <w:sz w:val="28"/>
          <w:szCs w:val="28"/>
          <w:lang w:val="en-US"/>
        </w:rPr>
        <w:t>mengadakan akibat-Nya, yaitu akibat yang sekujur wujudnya hanyalah  kebergantungan mutlak kepada-Nya.</w:t>
      </w:r>
      <w:r>
        <w:rPr>
          <w:rStyle w:val="FootnoteAnchor"/>
        </w:rPr>
        <w:footnoteReference w:id="428"/>
      </w:r>
      <w:r>
        <w:rPr>
          <w:rFonts w:eastAsia="Times New Roman" w:cs="Times New Roman" w:ascii="Times New Roman" w:hAnsi="Times New Roman"/>
          <w:color w:val="111111"/>
          <w:sz w:val="28"/>
          <w:szCs w:val="28"/>
          <w:lang w:val="en-US"/>
        </w:rPr>
        <w:t xml:space="preserve"> Selanjutnya, Muhammad Taqi Misbah Yazdî menyebutkan sifat-sifat  khas penting yang dimiliki Sebab-Pengada:</w:t>
      </w:r>
    </w:p>
    <w:p>
      <w:pPr>
        <w:pStyle w:val="BookText"/>
        <w:bidi w:val="0"/>
        <w:jc w:val="both"/>
        <w:rPr/>
      </w:pPr>
      <w:r>
        <w:rPr>
          <w:rFonts w:eastAsia="Times New Roman" w:cs="Times New Roman" w:ascii="Times New Roman" w:hAnsi="Times New Roman"/>
          <w:color w:val="111111"/>
          <w:sz w:val="28"/>
          <w:szCs w:val="28"/>
          <w:lang w:val="en-US"/>
        </w:rPr>
        <w:t>Pertama, Sebab-Pengada memiliki seluruh kesempurnaan (yang  dimiliki maujûd) akibat secara lebih sempurna, sehingga dapat  memberikan kesempurnaan kepada setiap (maujûd) akibat sesuai dengan  kapasitas wujudnya masing-masing. Berbeda dengan sebab-penyiap dan  sebab-materi yang berlaku sebagai pengadaan lahan yang sesuai untuk  perubahan pada (maujud) akibat, bukan untuk wujudnya itu sendiri.</w:t>
      </w:r>
    </w:p>
    <w:p>
      <w:pPr>
        <w:pStyle w:val="BookText"/>
        <w:bidi w:val="0"/>
        <w:jc w:val="both"/>
        <w:rPr/>
      </w:pPr>
      <w:r>
        <w:rPr>
          <w:rFonts w:eastAsia="Times New Roman" w:cs="Times New Roman" w:ascii="Times New Roman" w:hAnsi="Times New Roman"/>
          <w:color w:val="111111"/>
          <w:sz w:val="28"/>
          <w:szCs w:val="28"/>
          <w:lang w:val="en-US"/>
        </w:rPr>
        <w:t>Oleh karena itu, sebab-penyiap dan sebab-materi tidak mesti mencakupi  kesempurnaan akibatnya.</w:t>
      </w:r>
    </w:p>
    <w:p>
      <w:pPr>
        <w:pStyle w:val="BookText"/>
        <w:bidi w:val="0"/>
        <w:jc w:val="both"/>
        <w:rPr/>
      </w:pPr>
      <w:r>
        <w:rPr>
          <w:rFonts w:eastAsia="Times New Roman" w:cs="Times New Roman" w:ascii="Times New Roman" w:hAnsi="Times New Roman"/>
          <w:color w:val="111111"/>
          <w:sz w:val="28"/>
          <w:szCs w:val="28"/>
          <w:lang w:val="en-US"/>
        </w:rPr>
        <w:t>Misalnya, ketersediaan tanah tidak memerlukan kesempurnaan  yang dimiliki tumbuh-tumbuhan, atau keberadaan kedua orang tua tidak  membutuhkan kesempurnaan anak-anaknya. Adapun Allah sebagai  Sebab-Pengada (illah mûjidah), mesti memiliki seluruh kesempurnaan  wujud segala sesuatu, di samping sifat basâthah (ketidak-tersusunan)-  Nya.</w:t>
      </w:r>
      <w:r>
        <w:rPr>
          <w:rStyle w:val="FootnoteAnchor"/>
        </w:rPr>
        <w:footnoteReference w:id="429"/>
      </w:r>
      <w:r>
        <w:rPr>
          <w:rFonts w:eastAsia="Times New Roman" w:cs="Times New Roman" w:ascii="Times New Roman" w:hAnsi="Times New Roman"/>
          <w:color w:val="111111"/>
          <w:sz w:val="28"/>
          <w:szCs w:val="28"/>
          <w:lang w:val="en-US"/>
        </w:rPr>
        <w:t xml:space="preserve"> Kedua, Sebab-Pengada mewujudkan akibatnya dari ketiadaan, yakni  Dia menciptakan (khalq) akibatnya. Akan tetapi, penciptaannya ini tidak  mengurangi wujudnya sedikit pun. Berbeda dengan penyebab alamiah  (fâ'il taba'î) yang bersifat aktif dan mengubah akibat yang ada dengan  mengerahkan seluruh potensinya. Apabila diasumsikan adanya sesuatu  yang terpisah dari wujud niscaya-ada (wajib al-wujûd), maka ini berarti  bahwa zat Allah dapat dibagi-bagi dan berubah-ubah. Padahal, anggapan  ini jelas-jelas mustahil.</w:t>
      </w:r>
    </w:p>
    <w:p>
      <w:pPr>
        <w:pStyle w:val="BookText"/>
        <w:bidi w:val="0"/>
        <w:jc w:val="both"/>
        <w:rPr/>
      </w:pPr>
      <w:r>
        <w:rPr>
          <w:rFonts w:eastAsia="Times New Roman" w:cs="Times New Roman" w:ascii="Times New Roman" w:hAnsi="Times New Roman"/>
          <w:color w:val="111111"/>
          <w:sz w:val="28"/>
          <w:szCs w:val="28"/>
          <w:lang w:val="en-US"/>
        </w:rPr>
        <w:t>Ketiga, Sebab-Pengada merupakan sebab-sejati (“illat haqiqiyyah).</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Oleh sebab itu, keberadaannya merupakan niscaya untuk kesinambungan  wujud yang diakibatkannya. Berbeda dengan sebab-penyiap,  kesinambungan akibatnya tidak lagi butuh kepadanya.</w:t>
      </w:r>
      <w:r>
        <w:rPr>
          <w:rStyle w:val="FootnoteAnchor"/>
        </w:rPr>
        <w:footnoteReference w:id="430"/>
      </w:r>
    </w:p>
    <w:p>
      <w:pPr>
        <w:pStyle w:val="BookText"/>
        <w:bidi w:val="0"/>
        <w:rPr/>
      </w:pPr>
      <w:r>
        <w:rPr>
          <w:rFonts w:eastAsia="Times New Roman" w:cs="Times New Roman" w:ascii="Times New Roman" w:hAnsi="Times New Roman"/>
          <w:color w:val="111111"/>
          <w:sz w:val="28"/>
          <w:szCs w:val="28"/>
          <w:lang w:val="en-US"/>
        </w:rPr>
        <w:t>Searah dengan penjelasan ini, menurut Muhammad Taqi Misbah  Yazdî, maka pandangan sebagian teolog (mutakalimin) Sunni bahwa  kekekalan alam semesta tidak membutuhkan Allah, begitu pula dengan  yang dikatakan sebagian filsuf Barat bahwa alam materi ini laksana  jam yang telah diatur dan diukur putaran waktunya, kemudian secara  otomatis bergerak sendiri, sehingga alam semesta tidak lagi memerlukan  Tuhan dalam melanjutkan aktivitasnya, jelas-jelas jauh dari kebenaran.</w:t>
      </w:r>
    </w:p>
    <w:p>
      <w:pPr>
        <w:pStyle w:val="BookText"/>
        <w:bidi w:val="0"/>
        <w:jc w:val="both"/>
        <w:rPr/>
      </w:pPr>
      <w:r>
        <w:rPr>
          <w:rFonts w:eastAsia="Times New Roman" w:cs="Times New Roman" w:ascii="Times New Roman" w:hAnsi="Times New Roman"/>
          <w:color w:val="111111"/>
          <w:sz w:val="28"/>
          <w:szCs w:val="28"/>
          <w:lang w:val="en-US"/>
        </w:rPr>
        <w:t xml:space="preserve">Karena, alam wujud ini selalu butuh dan bergantung kepada Allah dalam  segala keadaannya. Apabila Allah menghentikan anugerah-Nya, meski  dalam sekejap, niscaya tidak akan ada lagi yang tersisa dalam kehidupan  ini. </w:t>
      </w:r>
      <w:r>
        <w:rPr>
          <w:rStyle w:val="FootnoteAnchor"/>
        </w:rPr>
        <w:footnoteReference w:id="431"/>
      </w:r>
      <w:r>
        <w:rPr>
          <w:rFonts w:eastAsia="Times New Roman" w:cs="Times New Roman" w:ascii="Times New Roman" w:hAnsi="Times New Roman"/>
          <w:color w:val="111111"/>
          <w:sz w:val="28"/>
          <w:szCs w:val="28"/>
          <w:lang w:val="en-US"/>
        </w:rPr>
        <w:t xml:space="preserve"> Lebih jauh, Muhammad Taqî Misbah Yazdî menandaskan bahwa  Allah merupakan Sebab-Pengada alam semesta ini, yang seluruh  kesempurnaan wujud terdapat pada Zat-Nya dan berbagai kesempurnaan  yang dimiliki segenap maujud bersumber dari-Nya, tanpa mengurangi  kesempurnaan Zat-Nya sedikit pun manakala Dia menganugerahkannya  (kesempurnaan tersebut) kepada seluruh makhluk-Nya. Noktah ini dapat  dihampiri lewat contoh berikut. Tatkala seorang guru mengajarkan  berbagai ilmu kepada murid-muridnya, niscaya ilmu yang dimilikinya  tidak akan berkurang sedikit pun. Sudah tentu, dalam hal ini, anugerah  wujud dan segenap kesempurnaan wujud Allah jauh lebih unggul dan  mulia daripada contoh yang dikemukakan.</w:t>
      </w:r>
      <w:r>
        <w:rPr>
          <w:rStyle w:val="FootnoteAnchor"/>
        </w:rPr>
        <w:footnoteReference w:id="432"/>
      </w:r>
      <w:r>
        <w:rPr>
          <w:rFonts w:eastAsia="Times New Roman" w:cs="Times New Roman" w:ascii="Times New Roman" w:hAnsi="Times New Roman"/>
          <w:color w:val="111111"/>
          <w:sz w:val="28"/>
          <w:szCs w:val="28"/>
          <w:lang w:val="en-US"/>
        </w:rPr>
        <w:t>Barangkali ungkapan yang  lebih mendekati hal ini adalah bahwa alam wujud merupakan cahaya  dan tajalli (manifestasi) zat Ilahi yang Mahasuci. Ungkapan semacam ini  dapat ditemukan dalam ayat: Allah adalah cahaya (nûr) bagi langit dan  bumi. (QS an-Nûr: 35).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kesempurnaan Ilahi tidak terbatas, maka setiap konsep  (mafhûm) yang mengungkapkan kesempurnaan, yang tidak melazimkan  kekurangan dan batasan apa pun, dapat diterapkan kepada Allah,  sebagaimana konsep-konsep kesempurnaan yang diungkapkan ayat-ayat </w:t>
      </w:r>
    </w:p>
    <w:p>
      <w:pPr>
        <w:pStyle w:val="BookText"/>
        <w:bidi w:val="0"/>
        <w:rPr/>
      </w:pPr>
      <w:r>
        <w:rPr>
          <w:rFonts w:eastAsia="Times New Roman" w:cs="Times New Roman" w:ascii="Times New Roman" w:hAnsi="Times New Roman"/>
          <w:color w:val="111111"/>
          <w:sz w:val="28"/>
          <w:szCs w:val="28"/>
          <w:lang w:val="en-US"/>
        </w:rPr>
        <w:t>al-Qur'an, hadis-hadis, doa-doa, serta munajat para imam; seperti cahaya  (nûr), sempurna (kamâl), indah (jamâl), cinta (mahabbah), dan ungkapan  lainnya (yang menjelaskan kesempurnaan Allah yang absolut).</w:t>
      </w:r>
    </w:p>
    <w:p>
      <w:pPr>
        <w:pStyle w:val="BookText"/>
        <w:bidi w:val="0"/>
        <w:jc w:val="both"/>
        <w:rPr/>
      </w:pPr>
      <w:r>
        <w:rPr>
          <w:rFonts w:eastAsia="Times New Roman" w:cs="Times New Roman" w:ascii="Times New Roman" w:hAnsi="Times New Roman"/>
          <w:color w:val="111111"/>
          <w:sz w:val="28"/>
          <w:szCs w:val="28"/>
          <w:lang w:val="en-US"/>
        </w:rPr>
        <w:t>Selanjutnya, ungkap Muhammad Taqî Misbâh Yazdî, salah satu  relasi yang dapat diamati antara Tuhan dan makhluk-Nya adalah bahwa  makhluk-makhluk tersebut bukan hanya butuh kepada Allah sebagai  asal-muasal wujudnya. Lebih dari sekadar itu, segala hal yang berkaitan  dengan wujud dan kesinambungannya bergantung secara absolut  kepada-Nya. Secara ontologis, makhluk sama sekali tidak mandiri. Oleh  karena itu, Tuhan memiliki hak tasharruf (pengelolaan) atas mereka dan  mengatur berbagai urusannya sesuai kehendak-Nya.</w:t>
      </w:r>
    </w:p>
    <w:p>
      <w:pPr>
        <w:pStyle w:val="BookText"/>
        <w:bidi w:val="0"/>
        <w:jc w:val="both"/>
        <w:rPr/>
      </w:pPr>
      <w:r>
        <w:rPr>
          <w:rFonts w:eastAsia="Times New Roman" w:cs="Times New Roman" w:ascii="Times New Roman" w:hAnsi="Times New Roman"/>
          <w:color w:val="111111"/>
          <w:sz w:val="28"/>
          <w:szCs w:val="28"/>
          <w:lang w:val="en-US"/>
        </w:rPr>
        <w:t>Dengan mengamati relasi tersebut secara umum, akan dicerap  konsep rubûbiyyah (pengaturan) yang kelazimannya adalah mengatur  segala urusan. Konsep ini memiliki berbagai mishdâq atau objek  (eksternal maupun mental) yang koheren, seperti hâfizh (penjaga),  muhyî (menghidupkan), mumît (mematikan), râziq (pemberi rezeki),  hâdi (pemberi hidayah), amîr (pemerintah), an-nâhi (pelarang), dan  sebagainya.</w:t>
      </w:r>
    </w:p>
    <w:p>
      <w:pPr>
        <w:pStyle w:val="BookText"/>
        <w:bidi w:val="0"/>
        <w:jc w:val="both"/>
        <w:rPr/>
      </w:pPr>
      <w:r>
        <w:rPr>
          <w:rFonts w:eastAsia="Times New Roman" w:cs="Times New Roman" w:ascii="Times New Roman" w:hAnsi="Times New Roman"/>
          <w:color w:val="111111"/>
          <w:sz w:val="28"/>
          <w:szCs w:val="28"/>
          <w:lang w:val="en-US"/>
        </w:rPr>
        <w:t>Dalam hal ini, hal-hal yang berhubungan dengan rubûbiyyah dapat  dikategorikan dalam dua jenis: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Rubûbiyyah takwîniyyah (pengaturan cipta) yang meliputi  pengaturan berbagai urusan setiap maujud dan pemenuhan berbagai  kebutuhannya. Ringkasnya, ia meliputi pengaturan alam semesta.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Rubûbiyyah tasyri îyyah (pengaturan titah) yang hanya berlaku atas  makhluk yang dapat merasa dan memilih. Rubûbiyyah ini meliputi  beberapa masalah seperti pengutusan para nabi, penurunan kitab-  kitab samawi, penetapan tugas dan kewajiban, serta perumusan  hukum dan undang-undang </w:t>
      </w:r>
      <w:r>
        <w:rPr>
          <w:rStyle w:val="FootnoteAnchor"/>
        </w:rPr>
        <w:footnoteReference w:id="433"/>
      </w:r>
      <w:r>
        <w:rPr>
          <w:rFonts w:eastAsia="Times New Roman" w:cs="Times New Roman" w:ascii="Times New Roman" w:hAnsi="Times New Roman"/>
          <w:color w:val="111111"/>
          <w:sz w:val="28"/>
          <w:szCs w:val="28"/>
          <w:lang w:val="en-US"/>
        </w:rPr>
        <w:t xml:space="preserve"> Dengan demikian, rubûbiyyah absolut Ilahi bermakna bahwa seluruh  makhluk dalam segala urusan hidup dan wujudnya bergantung kepada </w:t>
      </w:r>
    </w:p>
    <w:p>
      <w:pPr>
        <w:pStyle w:val="BookText"/>
        <w:bidi w:val="0"/>
        <w:rPr/>
      </w:pPr>
      <w:r>
        <w:rPr>
          <w:rFonts w:eastAsia="Times New Roman" w:cs="Times New Roman" w:ascii="Times New Roman" w:hAnsi="Times New Roman"/>
          <w:color w:val="111111"/>
          <w:sz w:val="28"/>
          <w:szCs w:val="28"/>
          <w:lang w:val="en-US"/>
        </w:rPr>
        <w:t>Tuhan. Dalam pada itu, berbagai hubungan yang terjalin di antara sesama  mereka pada akhirnya berujung kepada-Nya. Dialah yang mengatur dan  mengurus sebagian makhluk-Nya dengan perantara makhluk-makhluk-  Nya yang lain. Dialah yang melimpahkan rezeki kepada segenap makhluk  melalui sumber-sumbernya yang telah dihamparkan-Nya. Dialah yang  memberi hidayah kepada seluruh makhluk yang berperasaan, baik  melalui sarana-sarana internal (seperti akal dan seluruh alat indra)  maupun sarana-sarana eksternal (seperti para nabi dan kitab samawi). Dia  pulalah yang menetapkan hukum-hukum, aturan-aturan, serta berbagai  tugas dan kewajiban kepada para mukallaf (orang yang terbebani tugas-  tugas syariat).</w:t>
      </w:r>
    </w:p>
    <w:p>
      <w:pPr>
        <w:pStyle w:val="BookText"/>
        <w:bidi w:val="0"/>
        <w:jc w:val="both"/>
        <w:rPr/>
      </w:pPr>
      <w:r>
        <w:rPr>
          <w:rFonts w:eastAsia="Times New Roman" w:cs="Times New Roman" w:ascii="Times New Roman" w:hAnsi="Times New Roman"/>
          <w:color w:val="111111"/>
          <w:sz w:val="28"/>
          <w:szCs w:val="28"/>
          <w:lang w:val="en-US"/>
        </w:rPr>
        <w:t>Sebagaimana khâliqiyyah, rubûbiyyah juga merupakan konsep  relasional (idhafi). Bedanya, aspek-aspek yang diamati pada konsep  tersebut adalah hubungan hubungan khusus antara berbagai makhluk  itu sendiri (sebagaimana telah dijelaskan dalam pembahasan yang  berkenaan dengan konsep râziqiyyah). Apabila cermat merenungkan  konsep khâliqiyyah dan rubûbiyyah sebagai sifat idhâfiyyah, akan tampak  jelas bahwa di antara kedua sifat tersebut terdapat talazum (hubungan  niscaya); bahwa pengatur alam semesta ini mustahil bukan penciptanya.</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zat yang menciptakan seluruh makhluk dengan ciri-ciri  tertentu dan menciptakan hubungan antara sesamanya itu pulalah yang  memelihara dan mengaturnya. Pada hakikatnya, konsep rubûbiyyah dan  tadbîr dikonstruksi nalar dari proses penciptaan berbagai makhluk, dan  adanya relasi antara satu makhluk dengan makhluk lainnya. </w:t>
      </w:r>
      <w:r>
        <w:rPr>
          <w:rStyle w:val="FootnoteAnchor"/>
        </w:rPr>
        <w:footnoteReference w:id="434"/>
      </w:r>
      <w:r>
        <w:rPr>
          <w:rFonts w:eastAsia="Times New Roman" w:cs="Times New Roman" w:ascii="Times New Roman" w:hAnsi="Times New Roman"/>
          <w:color w:val="111111"/>
          <w:sz w:val="28"/>
          <w:szCs w:val="28"/>
          <w:lang w:val="en-US"/>
        </w:rPr>
        <w:t xml:space="preserve"> Menurut Muhammad Taqi Mishbâh Yazdî, syarat terakhir yang  mesti dipenuhi adalah keyakinan bahwa hanya Tuhan-lah yang wajib  ditaati dan disembah. Artinya, bahwa setelah kita meyakini bahwa  Tuhan itu Esa, Esa dalam Zat-Nya, sifat dan tindakan-Nya. </w:t>
      </w:r>
      <w:r>
        <w:rPr>
          <w:rStyle w:val="FootnoteAnchor"/>
        </w:rPr>
        <w:footnoteReference w:id="435"/>
      </w:r>
      <w:r>
        <w:rPr>
          <w:rFonts w:eastAsia="Times New Roman" w:cs="Times New Roman" w:ascii="Times New Roman" w:hAnsi="Times New Roman"/>
          <w:color w:val="111111"/>
          <w:sz w:val="28"/>
          <w:szCs w:val="28"/>
          <w:lang w:val="en-US"/>
        </w:rPr>
        <w:t xml:space="preserve">Dalam  Maâref-e Qor'ân, Muhammad Taqi Mishbâh Yazdî secara panjang lebar  membuktikan bahwa kaum Quraisy dianggap musyrik bukan karena </w:t>
      </w:r>
    </w:p>
    <w:p>
      <w:pPr>
        <w:pStyle w:val="BookText"/>
        <w:bidi w:val="0"/>
        <w:rPr/>
      </w:pPr>
      <w:r>
        <w:rPr>
          <w:rFonts w:eastAsia="Times New Roman" w:cs="Times New Roman" w:ascii="Times New Roman" w:hAnsi="Times New Roman"/>
          <w:color w:val="111111"/>
          <w:sz w:val="28"/>
          <w:szCs w:val="28"/>
          <w:lang w:val="en-US"/>
        </w:rPr>
        <w:t>meyakini adanya pencipta selain Allah, namun semata-mata karena tidak  mengesakan Allah sebagai al-ma`mud. Allah berfirman, “Dan apabila  kamu (Muhammad) tanya pada mereka siapa yang mencipatakan langit  dan bumi, niscaya mereka (orang-orang musyrik) menjawab: Allah”.</w:t>
      </w:r>
    </w:p>
    <w:p>
      <w:pPr>
        <w:pStyle w:val="BookText"/>
        <w:bidi w:val="0"/>
        <w:jc w:val="both"/>
        <w:rPr/>
      </w:pPr>
      <w:r>
        <w:rPr>
          <w:rFonts w:eastAsia="Times New Roman" w:cs="Times New Roman" w:ascii="Times New Roman" w:hAnsi="Times New Roman"/>
          <w:color w:val="111111"/>
          <w:sz w:val="28"/>
          <w:szCs w:val="28"/>
          <w:lang w:val="en-US"/>
        </w:rPr>
        <w:t>Selanjutnya, Muhammad Taqi Mishbâh Yazdî menggiring pada sebuah  pertanyaan besar, bagaimana seorang muwahhid dapat menyembah  Tuhan dan bagaimana ia bisa memastikan bahwa Tuhan melarang  dan memerintahkannya melakukan perbuatan yang dikehendakiNya?  Dari pertanyaan ini, Muhammad Taqi Mishbâh Yazdî mengajak kita  untuk memasuki sebuah premis teologis baru, yaitu agama. Agar dapat  melaksanakan undang-undangnya, maka kita tentu harus lebih dulu  mengetahui undang-undang-Nya. Karena itulah, kita harus memilih:</w:t>
      </w:r>
    </w:p>
    <w:p>
      <w:pPr>
        <w:pStyle w:val="BookText"/>
        <w:bidi w:val="0"/>
        <w:jc w:val="both"/>
        <w:rPr/>
      </w:pPr>
      <w:r>
        <w:rPr>
          <w:rFonts w:eastAsia="Times New Roman" w:cs="Times New Roman" w:ascii="Times New Roman" w:hAnsi="Times New Roman"/>
          <w:color w:val="111111"/>
          <w:sz w:val="28"/>
          <w:szCs w:val="28"/>
          <w:lang w:val="en-US"/>
        </w:rPr>
        <w:t xml:space="preserve">menerima secara utuh dan “pasrah” agama sebagai aturan dan undang-  undang Tuhan, atau meyakini bahwa Tuhan yang tidak mengatur  kehidupan ciptaanNya. </w:t>
      </w:r>
      <w:r>
        <w:rPr>
          <w:rStyle w:val="FootnoteAnchor"/>
        </w:rPr>
        <w:footnoteReference w:id="436"/>
      </w:r>
      <w:r>
        <w:rPr>
          <w:rFonts w:eastAsia="Times New Roman" w:cs="Times New Roman" w:ascii="Times New Roman" w:hAnsi="Times New Roman"/>
          <w:color w:val="111111"/>
          <w:sz w:val="28"/>
          <w:szCs w:val="28"/>
          <w:lang w:val="en-US"/>
        </w:rPr>
        <w:t xml:space="preserve"> Kalangan ulama Islam, menurut Muhammad Taqi Misbâh Yazdî,  sudah banyak mendedah konsep al-ilah dan ulûhiyyah dalam kitab-kitab  tafsir. Dalam hal ini, ilah bermakna al-ma'bûd (sembahan) atau yang  berhak disembah dan ditaati. Ini sama halnya dengan kata al-kitab yang  berarti al-maktub (yang ditulis), sesuatu yang layak ditulis. Berdasarkan  pengertian ini, ulûhiyyah merupakan sifat yang dapat dipahami dengan  lebih dulu mengasumsikan adanya relasi antara ibadah seorang hamba  dan ketaatannya. Seseorang akan diklaim sesat, meskipun menjadikan  sesuatu sebagai sesembahannya. Pasalnya, yang berhak untuk disembah  dan ditaati hanyalah Tuhan semata, al-khâliq dan al-rabb.</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Keyakinan seperti itu merupakan kadar yang mesti dipenuhi setiap  orang dalam konteks ketuhanan. Artinya, di samping mengimani Tuhan  itu wujud niscaya-ada (wajib al-wujûd), pencipta, pengatur, dan bahwa  alam ini tunduk di bawah kehendak-Nya, ia juga harus mengimani Dia  sebagai yang berhak ditaati dan disembah. Dari sinilah diderivasikan </w:t>
      </w:r>
    </w:p>
    <w:p>
      <w:pPr>
        <w:pStyle w:val="BookText"/>
        <w:bidi w:val="0"/>
        <w:rPr/>
      </w:pPr>
      <w:r>
        <w:rPr>
          <w:rFonts w:eastAsia="Times New Roman" w:cs="Times New Roman" w:ascii="Times New Roman" w:hAnsi="Times New Roman"/>
          <w:color w:val="111111"/>
          <w:sz w:val="28"/>
          <w:szCs w:val="28"/>
          <w:lang w:val="en-US"/>
        </w:rPr>
        <w:t>konsep ulûhiyyah sebagai salah satu prinsip Islam, yaitu lâ ilâha  illallâh.</w:t>
      </w:r>
      <w:r>
        <w:rPr>
          <w:rStyle w:val="FootnoteAnchor"/>
        </w:rPr>
        <w:footnoteReference w:id="437"/>
      </w:r>
      <w:r>
        <w:rPr>
          <w:rFonts w:eastAsia="Times New Roman" w:cs="Times New Roman" w:ascii="Times New Roman" w:hAnsi="Times New Roman"/>
          <w:color w:val="111111"/>
          <w:sz w:val="28"/>
          <w:szCs w:val="28"/>
          <w:lang w:val="en-US"/>
        </w:rPr>
        <w:t xml:space="preserve"> Setelah memberikan pandangannya tentang tauhid fi al-dzât dan  tauhid fi al-shifat, Muhammad Taqi Misbâh Yazdî memnjelaskan tauhîd  fi al-af"âl. Ia membagi tauhid dalam perbuatan ke dalam tiga tahap:</w:t>
      </w:r>
    </w:p>
    <w:p>
      <w:pPr>
        <w:pStyle w:val="BookText"/>
        <w:bidi w:val="0"/>
        <w:jc w:val="both"/>
        <w:rPr/>
      </w:pPr>
      <w:r>
        <w:rPr>
          <w:rFonts w:eastAsia="Times New Roman" w:cs="Times New Roman" w:ascii="Times New Roman" w:hAnsi="Times New Roman"/>
          <w:color w:val="111111"/>
          <w:sz w:val="28"/>
          <w:szCs w:val="28"/>
          <w:lang w:val="en-US"/>
        </w:rPr>
        <w:t>Pertama adalah tauhîd fi al-khâliqiyyah. Setelah memastikan bahwa  hanya Tuhan-lah yang pasti ada dengan sendirinya, maka niscaya kita  memastikan bahwa hanya Yang Ada dengan sendirinya-lah yang bisa  memberikan keberadaan kepada selain diri-Nya. Karena hanya Tuhan  yang mempunyai keberadaan secara wajib, maka niscaya hanya Tuhan  yang bisa memberikan keberadaan (mengadakan). Artinya, pengadaan  (pengentasan dari ketiadaan) dan penciptaan hanyalah dilakukan oleh  Tuhan. Dialah Pencipta Yang esa.</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 orang meyakini Tuhan sebagai satu-satunya dzat yang wajib  ada. Meyakini keesaan Tuhan sebagai Pencipta tidaklah cukup untuk  dianggap sebagai bertauhid atau menyandang predikat “monoteis”  (muwahhid). Iblis, misalnya, meskipun meyakini keesaan Tuhan sebagai  Dzat yang wajib dan sebagai Pencipta, sebagaimana dikisahkan dalam  al-Qur’an, namun dianggap sebagai makhluk yang tidak bertauhid. Jadi,  jika selama ini kita menganggap bertauhid itu hanya meyakini Tuhan  sebagai Dzat Yang Ada satu-satunya dan sebagai Pencipta satu-satunya,  maka hal itu tidaklah cukup. Orang-orang kafir Quraisy, sebagaimana  diceritakan dalam al-Qur'an, bila ditanya “siapa Tuhan kalian”, mereka  menjawab “Allah”. </w:t>
      </w:r>
      <w:r>
        <w:rPr>
          <w:rStyle w:val="FootnoteAnchor"/>
        </w:rPr>
        <w:footnoteReference w:id="438"/>
      </w:r>
      <w:r>
        <w:rPr>
          <w:rFonts w:eastAsia="Times New Roman" w:cs="Times New Roman" w:ascii="Times New Roman" w:hAnsi="Times New Roman"/>
          <w:color w:val="111111"/>
          <w:sz w:val="28"/>
          <w:szCs w:val="28"/>
          <w:lang w:val="en-US"/>
        </w:rPr>
        <w:t xml:space="preserve">Para politeis meyakini bahwa pencipta mereka  bukalah arca atau batu yang mereka buat sendiri. Mereka, sebagaimana  disebutkan dalam al-Qur'an, berdalih bahwa menyembah berhala yang  terbuat dari batu atau bahkan buah korma hanyalah ekspresi cinta  ekspresi kepada Tuhan sejati Yang Esa dan tidak berbentuk batu. Mereka </w:t>
      </w:r>
    </w:p>
    <w:p>
      <w:pPr>
        <w:pStyle w:val="BookText"/>
        <w:bidi w:val="0"/>
        <w:rPr/>
      </w:pPr>
      <w:r>
        <w:rPr>
          <w:rFonts w:eastAsia="Times New Roman" w:cs="Times New Roman" w:ascii="Times New Roman" w:hAnsi="Times New Roman"/>
          <w:color w:val="111111"/>
          <w:sz w:val="28"/>
          <w:szCs w:val="28"/>
          <w:lang w:val="en-US"/>
        </w:rPr>
        <w:t xml:space="preserve">meyakini keesaan Tuhan sebagai Pencipta, tetapi mereka tetap dianggap  dalam a-Qur'an sebagai penganut politeisme (syirk). </w:t>
      </w:r>
      <w:r>
        <w:rPr>
          <w:rStyle w:val="FootnoteAnchor"/>
        </w:rPr>
        <w:footnoteReference w:id="439"/>
      </w:r>
      <w:r>
        <w:rPr>
          <w:rFonts w:eastAsia="Times New Roman" w:cs="Times New Roman" w:ascii="Times New Roman" w:hAnsi="Times New Roman"/>
          <w:color w:val="111111"/>
          <w:sz w:val="28"/>
          <w:szCs w:val="28"/>
          <w:lang w:val="en-US"/>
        </w:rPr>
        <w:t xml:space="preserve"> Setelah membuktikan prinsip wujud niscaya-ada (wajib al-wujûd)  yang merupakan penyebab utama bagi keberadaan mumkin al-wujûd,  seraya memperhatikan fakta bahwa segala keberadaan secara ontologis  (pada wujudnya sendiri) bergantung mutlak kepada Allah, maka  pemahaman mengenai sifat pencipta (khâliqiyyah) pada wâjib al-  wujûd dan sifat yang dicipta (makhlûqiyyah) pada makhluk-Nya dapat  dikonstruksi. Dalam hal ini, sifat pencipta identik dengan Sebab-Pengada.</w:t>
      </w:r>
    </w:p>
    <w:p>
      <w:pPr>
        <w:pStyle w:val="BookText"/>
        <w:bidi w:val="0"/>
        <w:jc w:val="both"/>
        <w:rPr/>
      </w:pPr>
      <w:r>
        <w:rPr>
          <w:rFonts w:eastAsia="Times New Roman" w:cs="Times New Roman" w:ascii="Times New Roman" w:hAnsi="Times New Roman"/>
          <w:color w:val="111111"/>
          <w:sz w:val="28"/>
          <w:szCs w:val="28"/>
          <w:lang w:val="en-US"/>
        </w:rPr>
        <w:t>Sementara seluruh (ihwal) yang mungkin meng-ada (mumkin al-wujûd)  membutuhkan pencipta serta menempati salah satu posisi dalam konteks  relasi penciptaan, yang kemudian diberi atribut makhlûqiyyah (ciptaan,  yang dicipta).</w:t>
      </w:r>
    </w:p>
    <w:p>
      <w:pPr>
        <w:pStyle w:val="BookText"/>
        <w:bidi w:val="0"/>
        <w:jc w:val="both"/>
        <w:rPr/>
      </w:pPr>
      <w:r>
        <w:rPr>
          <w:rFonts w:eastAsia="Times New Roman" w:cs="Times New Roman" w:ascii="Times New Roman" w:hAnsi="Times New Roman"/>
          <w:color w:val="111111"/>
          <w:sz w:val="28"/>
          <w:szCs w:val="28"/>
          <w:lang w:val="en-US"/>
        </w:rPr>
        <w:t>Muhammad Taqi Misbah Yazdî menekankan pula bahwa kadangkala  kata al-khalq (penciptaan) mengandung makna mahdudiyyah  (keterbatasan) yang lebih banyak. Dalam pada itu, objek penciptaan ini  merupakan maujud yang hanya dicipta dari materi sebelumnya. Adapun  makna yang berlawanan dengannya adalah ibda (pewujudan). Makna ini  digunakan untuk realitas yang wujudnya tidak didahului materi.</w:t>
      </w:r>
      <w:r>
        <w:rPr>
          <w:rStyle w:val="FootnoteAnchor"/>
        </w:rPr>
        <w:footnoteReference w:id="440"/>
      </w:r>
      <w:r>
        <w:rPr>
          <w:rFonts w:eastAsia="Times New Roman" w:cs="Times New Roman" w:ascii="Times New Roman" w:hAnsi="Times New Roman"/>
          <w:color w:val="111111"/>
          <w:sz w:val="28"/>
          <w:szCs w:val="28"/>
          <w:lang w:val="en-US"/>
        </w:rPr>
        <w:t>Dengan  demikian, tindak mencipta yang dilakukan Tuhan tidak sama dengan  tindak mencipta yang dilakukan manusia manakala dirinya menciptakan  sesuatu (manusia membutuhkan gerak dan anggota tubuh untuk bertindak  dan ihwal yang terjadi atau tercipta merupakan hasilnya).</w:t>
      </w:r>
    </w:p>
    <w:p>
      <w:pPr>
        <w:pStyle w:val="BookText"/>
        <w:bidi w:val="0"/>
        <w:jc w:val="both"/>
        <w:rPr/>
      </w:pPr>
      <w:r>
        <w:rPr>
          <w:rFonts w:eastAsia="Times New Roman" w:cs="Times New Roman" w:ascii="Times New Roman" w:hAnsi="Times New Roman"/>
          <w:color w:val="111111"/>
          <w:sz w:val="28"/>
          <w:szCs w:val="28"/>
          <w:lang w:val="en-US"/>
        </w:rPr>
        <w:t>Adapun penciptaan (yang dilakukan) Tuhan tidaklah seperti itu.</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penciptaan bukan sesuatu, dan yang dicipta juga bukan sesuatu  yang lain. Karena, selain Tuhan Mahasuci dari gerak dan ciri-ciri khas  yang disandang segala maujud material, jika tindak mencipta-Nya  berupa realitas eksternal yang bersifat objektif dan mandiri, maka itu  berarti tindak mencipta tersebut merupakan wujud mungkin meng-  ada yang, pada dasarnya, merupakan makhluk dan ciptaan Tuhan. </w:t>
      </w:r>
      <w:bookmarkStart w:id="253" w:name="pg6424_45344"/>
    </w:p>
    <w:p>
      <w:pPr>
        <w:pStyle w:val="BookText"/>
        <w:bidi w:val="0"/>
        <w:rPr/>
      </w:pPr>
      <w:bookmarkEnd w:id="253"/>
      <w:r>
        <w:rPr>
          <w:rFonts w:eastAsia="Times New Roman" w:cs="Times New Roman" w:ascii="Times New Roman" w:hAnsi="Times New Roman"/>
          <w:color w:val="111111"/>
          <w:sz w:val="28"/>
          <w:szCs w:val="28"/>
          <w:lang w:val="en-US"/>
        </w:rPr>
        <w:t xml:space="preserve">Jika demikian, ulasan akan kembali lagi ke seputar penciptaan (yang  dilakukan) Allah atas tindakan mencipta-Nya, dan ini justru melazimkan  lingkaran setan (daur) yang nihil. Namun, sebagaimana telah disinggung  dalam pembicaraan mengenai sifat-sifat filiyyah, sifat-sifat tersebut  merupakan konsep-konsep (mafhûm) yang dipahami dari berbagai relasi  antara Tuhan dan makhluk-Nya. Sedangkan instrumen untuk menilai  relasi-relasi tersebut adalah akal. </w:t>
      </w:r>
      <w:r>
        <w:rPr>
          <w:rStyle w:val="FootnoteAnchor"/>
        </w:rPr>
        <w:footnoteReference w:id="441"/>
      </w:r>
      <w:r>
        <w:rPr>
          <w:rFonts w:eastAsia="Times New Roman" w:cs="Times New Roman" w:ascii="Times New Roman" w:hAnsi="Times New Roman"/>
          <w:color w:val="111111"/>
          <w:sz w:val="28"/>
          <w:szCs w:val="28"/>
          <w:lang w:val="en-US"/>
        </w:rPr>
        <w:t xml:space="preserve"> Kedua adalah al-tauhîd fi al-rubûbiyyah. Muhammad Taqi Misbâh  Yazdî beranggapan bahwa guna mencapai kuota minimal dalam  tauhid, setelah meyakini keesan Tuhan sebagai Pencipta Tunggal,  seorang monoteis haruslah meyakini Tuhan sebagai Pengatur yang  esa. Menurutnya, bila manusia memberikan kepada orang hak untuk  memerintah dan melarang, maka itu berarti ia memperlakukannya  sebagai rab.</w:t>
      </w:r>
      <w:r>
        <w:rPr>
          <w:rStyle w:val="FootnoteAnchor"/>
        </w:rPr>
        <w:footnoteReference w:id="442"/>
      </w:r>
      <w:r>
        <w:rPr>
          <w:rFonts w:eastAsia="Times New Roman" w:cs="Times New Roman" w:ascii="Times New Roman" w:hAnsi="Times New Roman"/>
          <w:color w:val="111111"/>
          <w:sz w:val="28"/>
          <w:szCs w:val="28"/>
          <w:lang w:val="en-US"/>
        </w:rPr>
        <w:t>Selanjutnya, Muhammad Taqi Mishbâh Yazdî membagi  Tauhîd fi al- rubûbiyyah dalam dua dimensi: rubûbiyyah takwîniyyah  dan rubûbiyyah tasyri`iyyah.</w:t>
      </w:r>
      <w:r>
        <w:rPr>
          <w:rStyle w:val="FootnoteAnchor"/>
        </w:rPr>
        <w:footnoteReference w:id="443"/>
      </w:r>
    </w:p>
    <w:p>
      <w:pPr>
        <w:pStyle w:val="Heading4"/>
        <w:numPr>
          <w:ilvl w:val="3"/>
          <w:numId w:val="1"/>
        </w:numPr>
        <w:bidi w:val="0"/>
        <w:jc w:val="left"/>
        <w:rPr/>
      </w:pPr>
      <w:bookmarkStart w:id="254" w:name="__RefHeading___Toc688699_653776707"/>
      <w:bookmarkStart w:id="255" w:name="_Toc89"/>
      <w:bookmarkEnd w:id="254"/>
      <w:r>
        <w:rPr/>
        <w:t>4. Keadilan Tuhan</w:t>
      </w:r>
      <w:bookmarkEnd w:id="255"/>
    </w:p>
    <w:p>
      <w:pPr>
        <w:pStyle w:val="Heading5"/>
        <w:numPr>
          <w:ilvl w:val="4"/>
          <w:numId w:val="1"/>
        </w:numPr>
        <w:bidi w:val="0"/>
        <w:jc w:val="left"/>
        <w:rPr/>
      </w:pPr>
      <w:bookmarkStart w:id="256" w:name="__RefHeading___Toc688701_653776707"/>
      <w:bookmarkStart w:id="257" w:name="_Toc90"/>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Berbeda dengan para pendahulunya, Muhammad Taqi Mishbâh  Yazdî tidak menjadikan prinsip Keadilan Tuhan sebagai bab tersendiri  dalam teologi, namun menjadikannya sebagai salah produk prinisp  rubûbiyyah, yang merupakan salah satu shifât filiyyah Tuhan.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Kemahaadilan” seakan dipisahkan dari tema ketuhanan dan tauhid  semata-mata karena sangat luas dan menjadi dasar bagi prinsip ken-  abian. Hal itu, bisa disimpulkan dari pembagiannya atas teologi dalam  dua bagian, almabda' (teologi) dan al-ma'ad (eskatologi). Dalam teo-  logi Muhammad Taqi Misbâh Yazdî, prinsip Keadilan Tuhan</w:t>
      </w:r>
      <w:r>
        <w:rPr>
          <w:rStyle w:val="FootnoteAnchor"/>
        </w:rPr>
        <w:footnoteReference w:id="444"/>
      </w:r>
      <w:r>
        <w:rPr>
          <w:rFonts w:eastAsia="Times New Roman" w:cs="Times New Roman" w:ascii="Times New Roman" w:hAnsi="Times New Roman"/>
          <w:color w:val="111111"/>
          <w:sz w:val="28"/>
          <w:szCs w:val="28"/>
          <w:lang w:val="en-US"/>
        </w:rPr>
        <w:t xml:space="preserve">mencak-  up tiga tema utama, </w:t>
      </w:r>
      <w:bookmarkStart w:id="258" w:name="pg6424_45346"/>
    </w:p>
    <w:p>
      <w:pPr>
        <w:pStyle w:val="BookText"/>
        <w:bidi w:val="0"/>
        <w:rPr/>
      </w:pPr>
      <w:bookmarkEnd w:id="258"/>
      <w:r>
        <w:rPr>
          <w:rFonts w:eastAsia="Times New Roman" w:cs="Times New Roman" w:ascii="Times New Roman" w:hAnsi="Times New Roman"/>
          <w:color w:val="111111"/>
          <w:sz w:val="28"/>
          <w:szCs w:val="28"/>
          <w:lang w:val="en-US"/>
        </w:rPr>
        <w:t>yaitu al-husn wa al-qubh, al-qhadâ' wa al-qadar dan al-jabr wa al-  ikhtiyâr.</w:t>
      </w:r>
    </w:p>
    <w:p>
      <w:pPr>
        <w:pStyle w:val="Heading5"/>
        <w:numPr>
          <w:ilvl w:val="4"/>
          <w:numId w:val="1"/>
        </w:numPr>
        <w:bidi w:val="0"/>
        <w:jc w:val="left"/>
        <w:rPr/>
      </w:pPr>
      <w:bookmarkStart w:id="259" w:name="__RefHeading___Toc688703_653776707"/>
      <w:bookmarkStart w:id="260" w:name="_Toc91"/>
      <w:bookmarkEnd w:id="259"/>
      <w:r>
        <w:rPr/>
        <w:t>a. Rasionalitas Baik dan Buruk</w:t>
      </w:r>
      <w:bookmarkEnd w:id="260"/>
    </w:p>
    <w:p>
      <w:pPr>
        <w:pStyle w:val="BookText"/>
        <w:bidi w:val="0"/>
        <w:jc w:val="both"/>
        <w:rPr/>
      </w:pPr>
      <w:r>
        <w:rPr>
          <w:rFonts w:eastAsia="Times New Roman" w:cs="Times New Roman" w:ascii="Times New Roman" w:hAnsi="Times New Roman"/>
          <w:color w:val="111111"/>
          <w:sz w:val="28"/>
          <w:szCs w:val="28"/>
          <w:lang w:val="en-US"/>
        </w:rPr>
        <w:t>Salah satu gebrakan teologis Muhammad Taqi Misbah Yazdî adalah:</w:t>
      </w:r>
    </w:p>
    <w:p>
      <w:pPr>
        <w:pStyle w:val="BookText"/>
        <w:bidi w:val="0"/>
        <w:jc w:val="both"/>
        <w:rPr/>
      </w:pPr>
      <w:r>
        <w:rPr>
          <w:rFonts w:eastAsia="Times New Roman" w:cs="Times New Roman" w:ascii="Times New Roman" w:hAnsi="Times New Roman"/>
          <w:color w:val="111111"/>
          <w:sz w:val="28"/>
          <w:szCs w:val="28"/>
          <w:lang w:val="en-US"/>
        </w:rPr>
        <w:t>pertama, memasukkan aksiologi dalam teologi; kedua, memasukkan  prinsip kenabian dalam pembahasan Keadilan ilahi melalui prinsip  aksiologi (ál-husn wa al-qubh al-aqliyain)</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Sedangkan kezaliman, karena meruntuhkan keteraturan dan bertentangan dengan kepentingan  umum, adalah buruk. Ketiga, kebaikan dan keburukan sebagai kesempurnaan dan kekurangan ji-  wa. Pengetahuan, misalnya, adalah pesona atau hiasan, sedangkan kebodohan adalah noda atau  aib. Keempat, kebaikan dan keburukan sebagai keterpujian dan ketercelaan sesuatu secara ra-  sional. Sering kali akal sehat kita memastikan suatu perbuatan sebagai baik, karena sesuai dengan  kesempurnaan eksistensial bagi manusia, selaku entitas berakal dan berkehendak, dan memastikan  suatu perbuatan sebagai buruk karena meniscayakan kekurangan eksistensial bagi manusia, tanpa  mengikutsertakan faktor manfaat personal atau sosial, seperti membalas kebaikan dengan kebaik-  an sebagai sesuatu yang diharuskan oleh akal sehat, dan membalas kebaikan dengan keburukan  sebagai sesuatu yang dilarang oleh akal sehat.</w:t>
      </w:r>
    </w:p>
    <w:p>
      <w:pPr>
        <w:pStyle w:val="BookText"/>
        <w:bidi w:val="0"/>
        <w:jc w:val="both"/>
        <w:rPr/>
      </w:pPr>
      <w:r>
        <w:rPr>
          <w:rFonts w:eastAsia="Times New Roman" w:cs="Times New Roman" w:ascii="Times New Roman" w:hAnsi="Times New Roman"/>
          <w:color w:val="111111"/>
          <w:sz w:val="28"/>
          <w:szCs w:val="28"/>
          <w:lang w:val="en-US"/>
        </w:rPr>
        <w:t>yang pada gilirannya  akan melahirkan prinsip al-hikmah al-ilahiyyah (kemaha-bijaksanaan  Allah).</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rPr/>
      </w:pPr>
      <w:r>
        <w:rPr>
          <w:rFonts w:eastAsia="Times New Roman" w:cs="Times New Roman" w:ascii="Times New Roman" w:hAnsi="Times New Roman"/>
          <w:color w:val="111111"/>
          <w:sz w:val="28"/>
          <w:szCs w:val="28"/>
          <w:lang w:val="en-US"/>
        </w:rPr>
        <w:t xml:space="preserve">Salah satu makna dari “kebijaksanaan” adalah lawan dari  ketidakpatutan. Seorang yang bijaksana adalah seseorang yang tidak  melakukan sesuatu perbuatan yang buruk. Untuk membuktikan  dan memastikan kemaha-bijaksanaan Allah, kita mesti lebih dulu  membuktikan bahwa kebaikan dan keburukan adalah dua pengertian  rasional. Artinya, Allah bisa dipastikan sebagai Mahabijaksana apabila  manusia dengan akal sehatnya dapat menentukan sesuatu sebagai baik  atau buruk. </w:t>
      </w:r>
      <w:r>
        <w:rPr>
          <w:rStyle w:val="FootnoteAnchor"/>
        </w:rPr>
        <w:footnoteReference w:id="446"/>
      </w:r>
      <w:r>
        <w:rPr>
          <w:rFonts w:eastAsia="Times New Roman" w:cs="Times New Roman" w:ascii="Times New Roman" w:hAnsi="Times New Roman"/>
          <w:color w:val="111111"/>
          <w:sz w:val="28"/>
          <w:szCs w:val="28"/>
          <w:lang w:val="en-US"/>
        </w:rPr>
        <w:t xml:space="preserve"> Menurut Muhammad Taqi Mishbâh Yazdî, kebaikan dan keburukan  dengan standar pertama dan ketiga berada di luar area kontroversi.</w:t>
      </w:r>
    </w:p>
    <w:p>
      <w:pPr>
        <w:pStyle w:val="BookText"/>
        <w:bidi w:val="0"/>
        <w:jc w:val="both"/>
        <w:rPr/>
      </w:pPr>
      <w:r>
        <w:rPr>
          <w:rFonts w:eastAsia="Times New Roman" w:cs="Times New Roman" w:ascii="Times New Roman" w:hAnsi="Times New Roman"/>
          <w:color w:val="111111"/>
          <w:sz w:val="28"/>
          <w:szCs w:val="28"/>
          <w:lang w:val="en-US"/>
        </w:rPr>
        <w:t>Kebaikan dan keburukan dengan standar kepentingan umum, bahkan  standar kepentingan personal dikeluarkan dari area kontroversi oleh  sebagian teolog. Salah satu proposisi ekstemporal (al-badîhîyyah) dalam  akal praktis adalah tema “kebaikan dan keburukan rasional” yang sangat  menentukan validitas sejumlah premis, seperti “keadilan adalah baik”,  “kezaliman adalah buruk”, dan sebagainya.</w:t>
      </w:r>
    </w:p>
    <w:p>
      <w:pPr>
        <w:pStyle w:val="BookText"/>
        <w:bidi w:val="0"/>
        <w:jc w:val="both"/>
        <w:rPr/>
      </w:pPr>
      <w:r>
        <w:rPr>
          <w:rFonts w:eastAsia="Times New Roman" w:cs="Times New Roman" w:ascii="Times New Roman" w:hAnsi="Times New Roman"/>
          <w:color w:val="111111"/>
          <w:sz w:val="28"/>
          <w:szCs w:val="28"/>
          <w:lang w:val="en-US"/>
        </w:rPr>
        <w:t>Muhammad Taqi Mishbâh Yazdî menjelaskan dalil-dalil rasionalitas  baik dan buruk sebagai berikut: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apabila akal secara mandiri menilai kejujuran sebagai  kebaikan dan kebohongan sebagai keburukan, maka “penilaian Pembuat  syariah (syari') tentang kejujuran sebagai kebaikan dan kebohongan  sebagai keburukan” bisa dianggap sebagai kebaikan. Namun, seandainya  akal secara mandiri tidak bisa menilai (menetapkan hukum) “penilaian  Pembuat syari'at tentang baiknya kejujuran dan buruknya kebohongan”  sebagai sesuatu yang baik, maka kita tidak akan pernah bisa memastikan  penilaian Pembuat syariat (tentang baiknya kejujuran dan buruknya  kebohongan) tersebut sebagai penilaian yang jujur, sebelum meyakini </w:t>
      </w:r>
    </w:p>
    <w:p>
      <w:pPr>
        <w:pStyle w:val="BookText"/>
        <w:bidi w:val="0"/>
        <w:rPr/>
      </w:pPr>
      <w:r>
        <w:rPr>
          <w:rFonts w:eastAsia="Times New Roman" w:cs="Times New Roman" w:ascii="Times New Roman" w:hAnsi="Times New Roman"/>
          <w:color w:val="111111"/>
          <w:sz w:val="28"/>
          <w:szCs w:val="28"/>
          <w:lang w:val="en-US"/>
        </w:rPr>
        <w:t>kebenaran isinya (bahwa kejujuran adalah baik dan bahwa kebohongan  adalah buruk), karena kemungkinan tentang ketidakjujuran syâri masih  terbuka lebar. Kemungkinan tentang ketidakjujuran dalam menilai  “kejujuran sebagai baik dan kebohongan sebagai baik” itu masih ada,  selama (apabila) berdasarkan asumsi pertama, kita akan mengetahui  tentang baiknya kejujuran dan buruknya kebohongan setelah ada  penilaian dari syâri.</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seandainya kebaikan dan keburukan tidak rasional namun  bersifat tekstual, maka niscaya tidak ada sesuatu apa pun dari Allah  yang bisa dianggap sebagai buruk, karena sebagaimana dijelaskan  dalam bukti pertama—tidak ada suatu perbuatan apa pun yang baik atau  buruk secara mutlak. Bila demikian, niscaya Allah tidak akan menilai  “mukjizat yang ditampilkan oleh para Nabi palsu sebagai sesuatu yang  buruk. Seandainya mukjizat para Nabi palsu tidak bisa dinilai sebagai  buruk, maka pintu untuk mengenal nubuwwah tertutup. Menurutnya,  seandainya peluang untuk mengenal nubuwwah tertutup, setiap Nabi  yang menampilkan mukjizat setelah mengaku sebagai nabi, tidak  bisa dibenarkan, selama kita tidak menolak (memungkinkan) seorang  pembohong (Nabi palsu) bisa menampilkan mukjizat dalam rangka  mengukuhkan klaim (pengakuan)-nya. </w:t>
      </w:r>
      <w:r>
        <w:rPr>
          <w:rStyle w:val="FootnoteAnchor"/>
        </w:rPr>
        <w:footnoteReference w:id="447"/>
      </w:r>
      <w:r>
        <w:rPr>
          <w:rFonts w:eastAsia="Times New Roman" w:cs="Times New Roman" w:ascii="Times New Roman" w:hAnsi="Times New Roman"/>
          <w:color w:val="111111"/>
          <w:sz w:val="28"/>
          <w:szCs w:val="28"/>
          <w:lang w:val="en-US"/>
        </w:rPr>
        <w:t xml:space="preserve"> Prinsip rasionalitas kebaikan dan keburukan meniscayakan prinsip  teologis yang memastikan kesucian Tuhan dari perbuatan sia-sia. Inilah  isu kontoversial antara kelompok rasionalis (Syi'ah dan Mu'tazilah) dan  kelompok tekstualis atau normatif. Kelompok rasionalis di kalangan para  teolog (adliyyah) berargumen bahwa perbuatan yang tidak bertujuan dan  tidak bersasaran adalah kesia-siaan, yang tentu merupakan salah satu dari  keburukan-keburukan irasional. Kelompok normatif, seperti Asy'ariyyah  berargumentasi bahwa seandainya perbuatan Tuhan bertujuan, maka  niscaya Tuhan tidak sempurna karena mengharapkan sesuatu yang  menjadi tujuan  Pendapat dan argumenasi ini ditolak oleh Muhammad Taqi Mishbâh </w:t>
      </w:r>
    </w:p>
    <w:p>
      <w:pPr>
        <w:pStyle w:val="BookText"/>
        <w:bidi w:val="0"/>
        <w:rPr/>
      </w:pPr>
      <w:r>
        <w:rPr>
          <w:rFonts w:eastAsia="Times New Roman" w:cs="Times New Roman" w:ascii="Times New Roman" w:hAnsi="Times New Roman"/>
          <w:color w:val="111111"/>
          <w:sz w:val="28"/>
          <w:szCs w:val="28"/>
          <w:lang w:val="en-US"/>
        </w:rPr>
        <w:t>Yazdî, Menurutnya, tujuan bermacam dua: pertama adalah tujuan yang  bermuara kepada pelaku, yang meniscayakan ketidaksempurnaan; kedua  adalah tujuan yang bermuara kepada perbuatan itu sendiri yang tidak  meniscayakan ketidaksempurnaan. Tuhan menciptakan makhluk dengan  tujuan, namun tujuan penciptaan tersebut tidak bermuara kepada Tuhan.</w:t>
      </w:r>
    </w:p>
    <w:p>
      <w:pPr>
        <w:pStyle w:val="BookText"/>
        <w:bidi w:val="0"/>
        <w:jc w:val="both"/>
        <w:rPr/>
      </w:pPr>
      <w:r>
        <w:rPr>
          <w:rFonts w:eastAsia="Times New Roman" w:cs="Times New Roman" w:ascii="Times New Roman" w:hAnsi="Times New Roman"/>
          <w:color w:val="111111"/>
          <w:sz w:val="28"/>
          <w:szCs w:val="28"/>
          <w:lang w:val="en-US"/>
        </w:rPr>
        <w:t xml:space="preserve">Halyang menarik adalah bahwa Muhammad Taqi Mishbâh Yazdîtidak  menggunakan dalil al-luthf yang biasa digunakan oleh para mutakkallim  Syi'ah untuk membutikan keniscayaan kenabian. </w:t>
      </w:r>
      <w:r>
        <w:rPr>
          <w:rStyle w:val="FootnoteAnchor"/>
        </w:rPr>
        <w:footnoteReference w:id="448"/>
      </w:r>
      <w:r>
        <w:rPr>
          <w:rFonts w:eastAsia="Times New Roman" w:cs="Times New Roman" w:ascii="Times New Roman" w:hAnsi="Times New Roman"/>
          <w:color w:val="111111"/>
          <w:sz w:val="28"/>
          <w:szCs w:val="28"/>
          <w:lang w:val="en-US"/>
        </w:rPr>
        <w:t>Ia malah menawarkan  argumen teologis yang didasarkan pada prinsip al-hikmah al-ilâhiyyah,  sebagai konsekuensi dari rasionalitas baik dan buruk. Menurutnya,  keniscayaan prinsip kemahabijaksaan Tuhan merupakan masalah yang  paling penting dalam prinsip kenabian. Untuk membuktikan klaimnya,  Muhammad Taqi Misbâh Yazdî menyusunnya dalam tiga premis sebagai  berikut: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bahwa tujuan penciptaan manusia ialah mencapai  kesempurnaannya, dengan cara mengamalkan perbuatan-perbuatan  sengaja (ikhtiyârî) demi mencapai puncak kesempurnaan tersebut yang  tidak mungkin dapat dicapai kecuali dengan usaha, kehendak, dan  pilihannya. Dengan ungkapan lain, manusia itu diciptakan oleh Allah  SWT agar—dengan amal ibadah dan ketaatannya kepada Allah—berhak  memperoleh rahmat ilahi yang hanya dikhususkan bagi orang-orang  yang sempurna. Hanya kehendak Ilahi yang bijaksanalah yang berkaitan  secara langsung (bil-asalah) dengan kesempurnaan dan kebahagiaan  manusia. Akan tetapi, karena kesempurnaan ini tidak akan dapat dicapai </w:t>
      </w:r>
    </w:p>
    <w:p>
      <w:pPr>
        <w:pStyle w:val="BookText"/>
        <w:bidi w:val="0"/>
        <w:rPr/>
      </w:pPr>
      <w:r>
        <w:rPr>
          <w:rFonts w:eastAsia="Times New Roman" w:cs="Times New Roman" w:ascii="Times New Roman" w:hAnsi="Times New Roman"/>
          <w:color w:val="111111"/>
          <w:sz w:val="28"/>
          <w:szCs w:val="28"/>
          <w:lang w:val="en-US"/>
        </w:rPr>
        <w:t>kecuali dengan cara pengamalan dan ibadah yang sifatnya ikhtiyârî  (disengaja), maka kehidupan umat manusia ini terpecah menjadi dua  jalan, yaitu jalan kanan (yamîn) dan jalan kiri (yâsir). Tujuan adanya dua  jalan ini ialah supaya manusia bisa memilih jalan yang dikehendakinya.</w:t>
      </w:r>
    </w:p>
    <w:p>
      <w:pPr>
        <w:pStyle w:val="BookText"/>
        <w:bidi w:val="0"/>
        <w:jc w:val="both"/>
        <w:rPr/>
      </w:pPr>
      <w:r>
        <w:rPr>
          <w:rFonts w:eastAsia="Times New Roman" w:cs="Times New Roman" w:ascii="Times New Roman" w:hAnsi="Times New Roman"/>
          <w:color w:val="111111"/>
          <w:sz w:val="28"/>
          <w:szCs w:val="28"/>
          <w:lang w:val="en-US"/>
        </w:rPr>
        <w:t>Jelas bahwa jalan kiri itu menuju kesengsaraan dan bencana. Di sini,  kehendak Allah pun berkaitan dengan jalan kiri tersebut, namun secara  tidak langsung (bi al-taba').</w:t>
      </w:r>
    </w:p>
    <w:p>
      <w:pPr>
        <w:pStyle w:val="BookText"/>
        <w:bidi w:val="0"/>
        <w:jc w:val="both"/>
        <w:rPr/>
      </w:pPr>
      <w:r>
        <w:rPr>
          <w:rFonts w:eastAsia="Times New Roman" w:cs="Times New Roman" w:ascii="Times New Roman" w:hAnsi="Times New Roman"/>
          <w:color w:val="111111"/>
          <w:sz w:val="28"/>
          <w:szCs w:val="28"/>
          <w:lang w:val="en-US"/>
        </w:rPr>
        <w:t>Kedua, usaha sengaja manusia itu, di samping membutuhkan  kemampuan dan faktor-faktor eksternal serta adanya kecondongan  dan motivasi untuk melakukan suatu perbuatan, ia juga membutuhkan  pengetahuan yang benar tentang perbuatan baik dan buruk, tentang  jalan-jalan yang benar dan jalan-jalan yang salah. Seseorang bisa  memilih kesempurnaannya dengan penuh kesadaran dan kebebasan  bilamana ia mengetahui tujuan dan jalannya serta segala kendala yang  akan menghambatnya.</w:t>
      </w:r>
    </w:p>
    <w:p>
      <w:pPr>
        <w:pStyle w:val="BookText"/>
        <w:bidi w:val="0"/>
        <w:jc w:val="both"/>
        <w:rPr/>
      </w:pPr>
      <w:r>
        <w:rPr>
          <w:rFonts w:eastAsia="Times New Roman" w:cs="Times New Roman" w:ascii="Times New Roman" w:hAnsi="Times New Roman"/>
          <w:color w:val="111111"/>
          <w:sz w:val="28"/>
          <w:szCs w:val="28"/>
          <w:lang w:val="en-US"/>
        </w:rPr>
        <w:t>Dengan demikian, kebijaksanaan (hikmah) Tuhan menuntut  tersedianya sarana bagi manusia agar memperoleh pengetahuan tentang  hal-hal di atas. Karena, jika tidak demikian, Allah tidak ubahnya dengan  orang yang mengundang teman untuk bertamu ke rumahnya, tetapi dia  tidak mau memberikan alamat rumah, tidak pula memberitahu jalan  yang semestinya ditempuh. Jelas bahwa perbuatan semacam ini tidak  sesuai dengan sifat kemahabijaksanaan Allah, juga tidak sesuai dengan  tujuan-Nya (dalam mencipta). Premis kedua ini begitu jelas sehingga  tidak memerlukan penjelasan lebih banyak lagi.</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pengetahuan manusia biasa yang pada umumnya diperoleh  melalui kerjasama indra dan akal-meskipun mempunyai peran begitu  efektif dalam memenuhi sebagian kebutuhan hidupnya, namun itu  tidak cukup untuk mengenal jalan kesempurnaan dan kebahagiannya  yang hakiki dalam semua bidang, baik yang bersifat individu maupun  kelompok, bendawi maupun maknawi, duniawi maupun ukhrawi. Oleh  karena itu, jika tidak ada jalan lain untuk menutupi berbagai kekurangan  dan kekosongan tersebut, tujuan Allah dari penciptaan manusia ini </w:t>
      </w:r>
      <w:bookmarkStart w:id="261" w:name="pg6424_45355"/>
    </w:p>
    <w:p>
      <w:pPr>
        <w:pStyle w:val="BookText"/>
        <w:bidi w:val="0"/>
        <w:rPr/>
      </w:pPr>
      <w:bookmarkEnd w:id="261"/>
      <w:r>
        <w:rPr>
          <w:rFonts w:eastAsia="Times New Roman" w:cs="Times New Roman" w:ascii="Times New Roman" w:hAnsi="Times New Roman"/>
          <w:color w:val="111111"/>
          <w:sz w:val="28"/>
          <w:szCs w:val="28"/>
          <w:lang w:val="en-US"/>
        </w:rPr>
        <w:t>menjadi sia-sia.</w:t>
      </w:r>
    </w:p>
    <w:p>
      <w:pPr>
        <w:pStyle w:val="BookText"/>
        <w:bidi w:val="0"/>
        <w:jc w:val="both"/>
        <w:rPr/>
      </w:pPr>
      <w:r>
        <w:rPr>
          <w:rFonts w:eastAsia="Times New Roman" w:cs="Times New Roman" w:ascii="Times New Roman" w:hAnsi="Times New Roman"/>
          <w:color w:val="111111"/>
          <w:sz w:val="28"/>
          <w:szCs w:val="28"/>
          <w:lang w:val="en-US"/>
        </w:rPr>
        <w:t xml:space="preserve">Dengan dasar tiga premis di atas ini, Muhammad Taqi Mishbâh  Yazdî menyimpulkan bahwa hikmah Ilahiah melazimkan adanya  sebuah perangkat, selain indra dan akal, bagi umat manusia untuk dapat  mengenal jalan kesempurnaan di berbagai bidang, sehingga mereka  dapat menggunakan jalan tersebut, baik secara langsung maupun melalui  individu atau kelompok. Perangkat ini adalah wahyu yang Allah berikan  kepada para Nabi sehingga dapat memanfaatkan wahyu secara langsung,  dan melalui merekalah umat manusia dapat memanfaatkannya dan  mempelajari segala apa yang mereka perlukan darinya demi mencapai  puncak kesempurnaan dan kebahagiaan yang abadi. </w:t>
      </w:r>
      <w:r>
        <w:rPr>
          <w:rStyle w:val="FootnoteAnchor"/>
        </w:rPr>
        <w:footnoteReference w:id="449"/>
      </w:r>
    </w:p>
    <w:p>
      <w:pPr>
        <w:pStyle w:val="Heading5"/>
        <w:numPr>
          <w:ilvl w:val="4"/>
          <w:numId w:val="1"/>
        </w:numPr>
        <w:bidi w:val="0"/>
        <w:jc w:val="left"/>
        <w:rPr/>
      </w:pPr>
      <w:bookmarkStart w:id="262" w:name="__RefHeading___Toc688705_653776707"/>
      <w:bookmarkStart w:id="263" w:name="_Toc92"/>
      <w:bookmarkEnd w:id="262"/>
      <w:r>
        <w:rPr/>
        <w:t>b. Qadha' dan Qadar</w:t>
      </w:r>
      <w:bookmarkEnd w:id="263"/>
    </w:p>
    <w:p>
      <w:pPr>
        <w:pStyle w:val="BookText"/>
        <w:bidi w:val="0"/>
        <w:jc w:val="both"/>
        <w:rPr/>
      </w:pPr>
      <w:r>
        <w:rPr>
          <w:rFonts w:eastAsia="Times New Roman" w:cs="Times New Roman" w:ascii="Times New Roman" w:hAnsi="Times New Roman"/>
          <w:color w:val="111111"/>
          <w:sz w:val="28"/>
          <w:szCs w:val="28"/>
          <w:lang w:val="en-US"/>
        </w:rPr>
        <w:t>Setelah menyelesaikan problema “baik dan buruk”, Muhammad Taqî  Misbâh Yazdî menjelaskan isu utama kedua dalam “Keadilan Tuhan”,  yaitu qadhâ' dan qadar:</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Pertama-tama Muhammad Taqi Misbah Yazdî menguraikan  pengertian di balik dua frase yang sering dipahami secara beragam  ini. Para ahli bahasa mengartikan (mendefinisikan) qadar atau qadr  atau taqdîr sebagai penjelasan tentang kuantitas sesuatu.</w:t>
      </w:r>
      <w:r>
        <w:rPr>
          <w:rStyle w:val="FootnoteAnchor"/>
        </w:rPr>
        <w:footnoteReference w:id="450"/>
      </w:r>
      <w:r>
        <w:rPr>
          <w:rFonts w:eastAsia="Times New Roman" w:cs="Times New Roman" w:ascii="Times New Roman" w:hAnsi="Times New Roman"/>
          <w:color w:val="111111"/>
          <w:sz w:val="28"/>
          <w:szCs w:val="28"/>
          <w:lang w:val="en-US"/>
        </w:rPr>
        <w:t xml:space="preserve">Sedangkan  qadha' didefinisikan sebagai “prinsip legal yang menujukkan tertata  dan terlaksananya sebuah perintah (urusan). </w:t>
      </w:r>
      <w:r>
        <w:rPr>
          <w:rStyle w:val="FootnoteAnchor"/>
        </w:rPr>
        <w:footnoteReference w:id="451"/>
      </w:r>
      <w:r>
        <w:rPr>
          <w:rFonts w:eastAsia="Times New Roman" w:cs="Times New Roman" w:ascii="Times New Roman" w:hAnsi="Times New Roman"/>
          <w:color w:val="111111"/>
          <w:sz w:val="28"/>
          <w:szCs w:val="28"/>
          <w:lang w:val="en-US"/>
        </w:rPr>
        <w:t>Ia juga didefinisikan  sebagai “penetapan sebuah masalah baik berupa tindakan (fisik)  maupun (tindakan) verbal (ucapan). Secara etimologis teologis, qadhâ’  didefinisikan sebagai “pelaksanaan sebuah hukum”</w:t>
      </w:r>
      <w:r>
        <w:rPr>
          <w:rStyle w:val="FootnoteAnchor"/>
        </w:rPr>
        <w:footnoteReference w:id="452"/>
      </w:r>
      <w:r>
        <w:rPr>
          <w:rFonts w:eastAsia="Times New Roman" w:cs="Times New Roman" w:ascii="Times New Roman" w:hAnsi="Times New Roman"/>
          <w:color w:val="111111"/>
          <w:sz w:val="28"/>
          <w:szCs w:val="28"/>
          <w:lang w:val="en-US"/>
        </w:rPr>
        <w:t xml:space="preserve">Qadhâ' dan qadar  masing-masing terbagi tersusun menjadi dua; Pertama adalah qadhâ’  tasyrî’i dan qadar tasyrî'i, yaitu perintah-perintah dan larangan Tuhan  yang tertera dalam al-Qur'an dan hadis. Kedua adalah qadhâ’takwînî </w:t>
      </w:r>
    </w:p>
    <w:p>
      <w:pPr>
        <w:pStyle w:val="BookText"/>
        <w:bidi w:val="0"/>
        <w:rPr/>
      </w:pPr>
      <w:r>
        <w:rPr>
          <w:rFonts w:eastAsia="Times New Roman" w:cs="Times New Roman" w:ascii="Times New Roman" w:hAnsi="Times New Roman"/>
          <w:color w:val="111111"/>
          <w:sz w:val="28"/>
          <w:szCs w:val="28"/>
          <w:lang w:val="en-US"/>
        </w:rPr>
        <w:t>dan qadar takwînî, yaitu yang berkeaan dengan realitas-realitas alam.</w:t>
      </w:r>
      <w:r>
        <w:rPr>
          <w:rStyle w:val="FootnoteAnchor"/>
        </w:rPr>
        <w:footnoteReference w:id="453"/>
      </w:r>
      <w:r>
        <w:rPr>
          <w:rFonts w:eastAsia="Times New Roman" w:cs="Times New Roman" w:ascii="Times New Roman" w:hAnsi="Times New Roman"/>
          <w:color w:val="111111"/>
          <w:sz w:val="28"/>
          <w:szCs w:val="28"/>
          <w:lang w:val="en-US"/>
        </w:rPr>
        <w:t xml:space="preserve"> Muhammad Taqi Misbâh Yazdî membagi masing-masing qadha'  takw ini dan qadar takwînî menjadi tiga: pertama, qadhâ’takwînî ilmi dan  qadar takwînî ilmî (subjektif), yaitu penentuan segala sesuatu dengan  rinciannya dalam Ilmu azali Allah sebelum diciptakan. Ia mengetahui  batasan, ukuran dan ciri-ciri khas material dan immatrialnya. Qadha'  ‘ilmî adalah pengetahuan Allah tentang keharusan (keniscayaan) adanya  segala sesuatu dan pengadaannya (pelaksanaan pengadaannya, ibram)  ketika seluruh syarat dan sebab keberadaannya telah terkumpul dan  kendala-kendalanya lenyap. </w:t>
      </w:r>
      <w:r>
        <w:rPr>
          <w:rStyle w:val="FootnoteAnchor"/>
        </w:rPr>
        <w:footnoteReference w:id="454"/>
      </w:r>
      <w:r>
        <w:rPr>
          <w:rFonts w:eastAsia="Times New Roman" w:cs="Times New Roman" w:ascii="Times New Roman" w:hAnsi="Times New Roman"/>
          <w:color w:val="111111"/>
          <w:sz w:val="28"/>
          <w:szCs w:val="28"/>
          <w:lang w:val="en-US"/>
        </w:rPr>
        <w:t xml:space="preserve"> Kedua, qadhâ’ takwînî aini dan qadar takwînî ainî (objektif). Ia  adalah ciri-ciri khas yang diperoleh oleh sesuatu dari sebab-sebabnya  ketika ia menjadi ada secara objektif dan riil. Qadhâ' ainî adalah  kemestian objektif riil akan adanya atau berlakunya sesuatu ketika sebab  sempurnanya ( illah tâmmah) ada. Kedua macam qadhâ' dan qadar aini  ini senantiasa mengikuti bahkan berintegritas dengan keberadaan sesuatu,  sedangkan qadhâ' dan qadar ilmi mendahului keberadaan sesuatu.</w:t>
      </w:r>
    </w:p>
    <w:p>
      <w:pPr>
        <w:pStyle w:val="BookText"/>
        <w:bidi w:val="0"/>
        <w:jc w:val="both"/>
        <w:rPr/>
      </w:pPr>
      <w:r>
        <w:rPr>
          <w:rFonts w:eastAsia="Times New Roman" w:cs="Times New Roman" w:ascii="Times New Roman" w:hAnsi="Times New Roman"/>
          <w:color w:val="111111"/>
          <w:sz w:val="28"/>
          <w:szCs w:val="28"/>
          <w:lang w:val="en-US"/>
        </w:rPr>
        <w:t>Setelah menguraikan dua jenis perbedaan-perbedaan qadhâ' dan  qadar di atas, Muhammad Taqi Mishbah Yazdî mencoba melakukan  aplikasi terhadap alam. Menurutnya, alam material tidak bebas dari  qadha' dan qadar. Takdirnya ialah berupa penentuan segala sesuatu  berkenaan dengan keberadaannya, efek-efek keberadaannya serta ciri-  ciri keberadaannya sebagai yang bergantung dalam keberadaan dan efek-  efek keberadaannya kepada entitas-entitas (maujud-maujud) lainnya,  yaitu sebab-sebab dan syarat-syarat bagi keberadaan sesuatu tersebut.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Sedangkan taqdîr menuntun entitas-entitas ini menuju seseuatu yang telah  ditaqdirkan untuknya dalam perjalanan (nasib) wujudnya, sebagaimana </w:t>
      </w:r>
      <w:bookmarkStart w:id="264" w:name="pg6424_45359"/>
    </w:p>
    <w:p>
      <w:pPr>
        <w:pStyle w:val="BookText"/>
        <w:bidi w:val="0"/>
        <w:rPr/>
      </w:pPr>
      <w:bookmarkEnd w:id="264"/>
      <w:r>
        <w:rPr>
          <w:rFonts w:eastAsia="Times New Roman" w:cs="Times New Roman" w:ascii="Times New Roman" w:hAnsi="Times New Roman"/>
          <w:color w:val="111111"/>
          <w:sz w:val="28"/>
          <w:szCs w:val="28"/>
          <w:lang w:val="en-US"/>
        </w:rPr>
        <w:t>ditegaskan dalam surah al-A’la: 3—4.</w:t>
      </w:r>
    </w:p>
    <w:p>
      <w:pPr>
        <w:pStyle w:val="BookText"/>
        <w:bidi w:val="0"/>
        <w:jc w:val="both"/>
        <w:rPr/>
      </w:pPr>
      <w:r>
        <w:rPr>
          <w:rFonts w:eastAsia="Times New Roman" w:cs="Times New Roman" w:ascii="Times New Roman" w:hAnsi="Times New Roman"/>
          <w:color w:val="111111"/>
          <w:sz w:val="28"/>
          <w:szCs w:val="28"/>
          <w:lang w:val="en-US"/>
        </w:rPr>
        <w:t xml:space="preserve">Sedangkan gadhâ’-Nya, karena keberadaan dan keterwujudan segala  peristiwa pasti bermuara kepada Allah, maka selama sebab-sebab dan  syarat-syarat mutlak bagi keberadaan belum sempurna dan terkumpul, ia  akan berada dalam area interval antara menjadi realitas dan tidak. Bila  sebab-sebab dan syarat-syarat keberadaan telah lengkap, maka tentu ia  mengada (menjadi ada). Itulah qadhâ’Allah yang telah diputuskan dan  dilaksnakan. Karena itulah, kita sering menemukan ayat al-Qur'an yang  berisi penegasan Allah bahwa menisbahkan qadhâ' dan qadar kepada  diri-Nya. </w:t>
      </w:r>
      <w:r>
        <w:rPr>
          <w:rStyle w:val="FootnoteAnchor"/>
        </w:rPr>
        <w:footnoteReference w:id="455"/>
      </w:r>
      <w:r>
        <w:rPr>
          <w:rFonts w:eastAsia="Times New Roman" w:cs="Times New Roman" w:ascii="Times New Roman" w:hAnsi="Times New Roman"/>
          <w:color w:val="111111"/>
          <w:sz w:val="28"/>
          <w:szCs w:val="28"/>
          <w:lang w:val="en-US"/>
        </w:rPr>
        <w:t xml:space="preserve"> Ketiga, qadhâ’ takwînî kulli dan qadar takwînî kullî (general), yaitu  hukum dan undang-undang Tuhan yang berlaku atas alam semesta,  masyarakat manusia dan individu-individunya, seperti hukum  sebabakibat, dan kematian yang pasti dialami oleh setiap entitas.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Setiap sesuatu yang ada di atasnya (bumi, duni) akan lenyap”. </w:t>
      </w:r>
      <w:r>
        <w:rPr>
          <w:rStyle w:val="FootnoteAnchor"/>
        </w:rPr>
        <w:footnoteReference w:id="456"/>
      </w:r>
    </w:p>
    <w:p>
      <w:pPr>
        <w:pStyle w:val="Heading5"/>
        <w:numPr>
          <w:ilvl w:val="4"/>
          <w:numId w:val="1"/>
        </w:numPr>
        <w:bidi w:val="0"/>
        <w:jc w:val="left"/>
        <w:rPr/>
      </w:pPr>
      <w:bookmarkStart w:id="265" w:name="__RefHeading___Toc688707_653776707"/>
      <w:bookmarkStart w:id="266" w:name="_Toc93"/>
      <w:bookmarkEnd w:id="265"/>
      <w:r>
        <w:rPr/>
        <w:t>c. Kebebasan dan Pemaksaan (Penentuan)</w:t>
      </w:r>
      <w:bookmarkEnd w:id="266"/>
    </w:p>
    <w:p>
      <w:pPr>
        <w:pStyle w:val="BookText"/>
        <w:bidi w:val="0"/>
        <w:jc w:val="both"/>
        <w:rPr/>
      </w:pPr>
      <w:r>
        <w:rPr>
          <w:rFonts w:eastAsia="Times New Roman" w:cs="Times New Roman" w:ascii="Times New Roman" w:hAnsi="Times New Roman"/>
          <w:color w:val="111111"/>
          <w:sz w:val="28"/>
          <w:szCs w:val="28"/>
          <w:lang w:val="en-US"/>
        </w:rPr>
        <w:t xml:space="preserve">Isu teologis lain yang dianggap oleh Muhammad Taqi Misbah  Yazdî sebagai bagian dari prinsip Keadilan Tuhan adalah “Kebebasan  (ikhtiyâr) dan determinasi (jabr)”. Ini merupakan dua tema kontroversial  yang menarik perhatian para pemikir dan teolog di sepanjang sejarah. </w:t>
      </w:r>
      <w:r>
        <w:rPr>
          <w:rStyle w:val="FootnoteAnchor"/>
        </w:rPr>
        <w:footnoteReference w:id="457"/>
      </w:r>
      <w:r>
        <w:rPr>
          <w:rFonts w:eastAsia="Times New Roman" w:cs="Times New Roman" w:ascii="Times New Roman" w:hAnsi="Times New Roman"/>
          <w:color w:val="111111"/>
          <w:sz w:val="28"/>
          <w:szCs w:val="28"/>
          <w:lang w:val="en-US"/>
        </w:rPr>
        <w:t xml:space="preserve"> Muhammad Taqi Mishbâh Yazdî, dengan berpijak pada prinsip gerak  substansi dan berusaha mengkaitkannya dengan dua macam sebab  panjang (al-'illat al-ba'idah) dan sebab dekat (al-'illat al-qaribah).</w:t>
      </w:r>
    </w:p>
    <w:p>
      <w:pPr>
        <w:pStyle w:val="BookText"/>
        <w:bidi w:val="0"/>
        <w:jc w:val="both"/>
        <w:rPr/>
      </w:pPr>
      <w:r>
        <w:rPr>
          <w:rFonts w:eastAsia="Times New Roman" w:cs="Times New Roman" w:ascii="Times New Roman" w:hAnsi="Times New Roman"/>
          <w:color w:val="111111"/>
          <w:sz w:val="28"/>
          <w:szCs w:val="28"/>
          <w:lang w:val="en-US"/>
        </w:rPr>
        <w:t>Berikut penjelasannya:</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adalah entitas yang terus menanjak hingga tahap </w:t>
      </w:r>
    </w:p>
    <w:p>
      <w:pPr>
        <w:pStyle w:val="BookText"/>
        <w:bidi w:val="0"/>
        <w:rPr/>
      </w:pPr>
      <w:r>
        <w:rPr>
          <w:rFonts w:eastAsia="Times New Roman" w:cs="Times New Roman" w:ascii="Times New Roman" w:hAnsi="Times New Roman"/>
          <w:color w:val="111111"/>
          <w:sz w:val="28"/>
          <w:szCs w:val="28"/>
          <w:lang w:val="en-US"/>
        </w:rPr>
        <w:t>kesempurnaan kemakhlukan tertinggi. Dialah maujud unik (satu-satunya)  yang menikmati kehendak yang mandiri seara relatif dan menikmati  pengetahuan sempurna seara relatif. Meski demikian, dalam naluri  (gharizah) ia lemah. Ia merdeka dalam berkehendak bila dibandingkan  dengan entitas di bawahnya, binatang dan tumbuh-tumbuhan. Dibanding  makhluk lainnya, manusia telah menikmati kebebasan berkehendak seara  lebih sempurna, meski sarananya lemah. Allah berfirman, “Dan manusia  diiptakan dalam keadaan lemah' (QS al-Nisa': 27).</w:t>
      </w:r>
    </w:p>
    <w:p>
      <w:pPr>
        <w:pStyle w:val="BookText"/>
        <w:bidi w:val="0"/>
        <w:jc w:val="both"/>
        <w:rPr/>
      </w:pPr>
      <w:r>
        <w:rPr>
          <w:rFonts w:eastAsia="Times New Roman" w:cs="Times New Roman" w:ascii="Times New Roman" w:hAnsi="Times New Roman"/>
          <w:color w:val="111111"/>
          <w:sz w:val="28"/>
          <w:szCs w:val="28"/>
          <w:lang w:val="en-US"/>
        </w:rPr>
        <w:t>Manusia bebas bertindak dalam urusan-urusan yang berada dalam  area ikhtiarnya, namun ia juga harus tunduk terhadap undang-undang  dan hukum alam yang berada di luar area kehendak dan kebebasannya.</w:t>
      </w:r>
    </w:p>
    <w:p>
      <w:pPr>
        <w:pStyle w:val="BookText"/>
        <w:bidi w:val="0"/>
        <w:jc w:val="both"/>
        <w:rPr/>
      </w:pPr>
      <w:r>
        <w:rPr>
          <w:rFonts w:eastAsia="Times New Roman" w:cs="Times New Roman" w:ascii="Times New Roman" w:hAnsi="Times New Roman"/>
          <w:color w:val="111111"/>
          <w:sz w:val="28"/>
          <w:szCs w:val="28"/>
          <w:lang w:val="en-US"/>
        </w:rPr>
        <w:t>Ia dilahirkan tanpa kehendak dan mati betapapun ia menolaknya.</w:t>
      </w:r>
    </w:p>
    <w:p>
      <w:pPr>
        <w:pStyle w:val="BookText"/>
        <w:bidi w:val="0"/>
        <w:jc w:val="both"/>
        <w:rPr/>
      </w:pPr>
      <w:r>
        <w:rPr>
          <w:rFonts w:eastAsia="Times New Roman" w:cs="Times New Roman" w:ascii="Times New Roman" w:hAnsi="Times New Roman"/>
          <w:color w:val="111111"/>
          <w:sz w:val="28"/>
          <w:szCs w:val="28"/>
          <w:lang w:val="en-US"/>
        </w:rPr>
        <w:t>Manusia mempunyai kebebasan memilih, namun tidak seratus persen.</w:t>
      </w:r>
    </w:p>
    <w:p>
      <w:pPr>
        <w:pStyle w:val="BookText"/>
        <w:bidi w:val="0"/>
        <w:jc w:val="both"/>
        <w:rPr/>
      </w:pPr>
      <w:r>
        <w:rPr>
          <w:rFonts w:eastAsia="Times New Roman" w:cs="Times New Roman" w:ascii="Times New Roman" w:hAnsi="Times New Roman"/>
          <w:color w:val="111111"/>
          <w:sz w:val="28"/>
          <w:szCs w:val="28"/>
          <w:lang w:val="en-US"/>
        </w:rPr>
        <w:t xml:space="preserve">Ia tidak bisa melanggar batas dan kehendak Allah yang tertuang dalam  hukum alam yang permanen. Namun, pada saat yang sama, ia bukanlah  tawanan yang terkungkung oleh nalurinya sebagaimana binatang  Allah berfirman; “Kami menyediakan jalan syukur dan jalan kufur'  (QS al-Dahr: 3). Dengan kata lain, ia dipaksa untuk bebas dalam ruang  ikhtiyarnya memilih jalan. </w:t>
      </w:r>
      <w:r>
        <w:rPr>
          <w:rStyle w:val="FootnoteAnchor"/>
        </w:rPr>
        <w:footnoteReference w:id="458"/>
      </w:r>
      <w:r>
        <w:rPr>
          <w:rFonts w:eastAsia="Times New Roman" w:cs="Times New Roman" w:ascii="Times New Roman" w:hAnsi="Times New Roman"/>
          <w:color w:val="111111"/>
          <w:sz w:val="28"/>
          <w:szCs w:val="28"/>
          <w:lang w:val="en-US"/>
        </w:rPr>
        <w:t xml:space="preserve"> Karena itulah, perbuatan-perbuatan manusia dapat dikaitkan  dalam rangkaian kausal yang panjang dengan Tuhan selaku pemberi  keberadaan dan kehidupan, namun dapat juga dikaitkan dengan manusia  sebagai pelaku yang berkehendak dan merdeka. “Tiadalah melempar  saat melempar, namun Allah-lah yang melempar” (QS al-Anfal: 17).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Perangilah mereka, nisaya Allah akan menyiksa mereka dengan tangan  kalian. ’</w:t>
      </w:r>
      <w:r>
        <w:rPr>
          <w:rStyle w:val="FootnoteAnchor"/>
        </w:rPr>
        <w:footnoteReference w:id="459"/>
      </w:r>
      <w:r>
        <w:rPr>
          <w:rFonts w:eastAsia="Times New Roman" w:cs="Times New Roman" w:ascii="Times New Roman" w:hAnsi="Times New Roman"/>
          <w:color w:val="111111"/>
          <w:sz w:val="28"/>
          <w:szCs w:val="28"/>
          <w:lang w:val="en-US"/>
        </w:rPr>
        <w:t xml:space="preserve"> Menurut penulis, dengan penjelasan kausal ini, tampak bahwa  Muhammad Taqi Mishbâh Yazdî berusaha untuk menggabungkan teologi  dengan aksiologi, kosmologi, dan antropologi. Kemudian menjadikan  keduanya sebagai gerbang untuk memasuki eskatologi. Tidak dapat </w:t>
      </w:r>
      <w:bookmarkStart w:id="267" w:name="pg6424_45363"/>
    </w:p>
    <w:p>
      <w:pPr>
        <w:pStyle w:val="BookText"/>
        <w:bidi w:val="0"/>
        <w:rPr/>
      </w:pPr>
      <w:bookmarkEnd w:id="267"/>
      <w:r>
        <w:rPr>
          <w:rFonts w:eastAsia="Times New Roman" w:cs="Times New Roman" w:ascii="Times New Roman" w:hAnsi="Times New Roman"/>
          <w:color w:val="111111"/>
          <w:sz w:val="28"/>
          <w:szCs w:val="28"/>
          <w:lang w:val="en-US"/>
        </w:rPr>
        <w:t>dipungkiri, semua pandangan Muhammad Taqi Mishbâh Yazdî dapat  ditebak rangkainnya dan tujuan akhirnya, meski cenderung bersikap  rasional, yaitu mempertemukan dua prinsip utama dalam pandangan  teologinya, mabda’(teologi) dengan semua subtema di dalamnya dengan  ma'âd (kebangkitan). Dengan demikian, secara implisit ia menawarkan  sistematika teologi yang lebih ramping, meski substansinya sama dengan  struktur ushuluddin dalam kalam Syi'ah.</w:t>
      </w:r>
    </w:p>
    <w:p>
      <w:pPr>
        <w:pStyle w:val="Heading3"/>
        <w:numPr>
          <w:ilvl w:val="2"/>
          <w:numId w:val="1"/>
        </w:numPr>
        <w:bidi w:val="0"/>
        <w:jc w:val="left"/>
        <w:rPr/>
      </w:pPr>
      <w:bookmarkStart w:id="268" w:name="__RefHeading___Toc688709_653776707"/>
      <w:bookmarkStart w:id="269" w:name="_Toc94"/>
      <w:bookmarkEnd w:id="268"/>
      <w:r>
        <w:rPr/>
        <w:t>E. Ma'âd</w:t>
      </w:r>
      <w:bookmarkEnd w:id="269"/>
    </w:p>
    <w:p>
      <w:pPr>
        <w:pStyle w:val="Heading4"/>
        <w:numPr>
          <w:ilvl w:val="3"/>
          <w:numId w:val="1"/>
        </w:numPr>
        <w:bidi w:val="0"/>
        <w:jc w:val="left"/>
        <w:rPr/>
      </w:pPr>
      <w:bookmarkStart w:id="270" w:name="__RefHeading___Toc688711_653776707"/>
      <w:bookmarkStart w:id="271" w:name="_Toc95"/>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Bagian utama kedua atau terakhir dalam struktur teologi Muhammad  Taqi Misbâh Yazdî adalah eskatologi (ma`âd). Berbeda dengan  pembahasan-pembahasannya dalam teologi yang lebih mengutamakan  atau bahkan hanya mengggunakan pendekatan dan argumentasi rasional,  Muhammad Taqi Misbâh Yazdî dalam bagian eskatologi lebih longgar  melalui penggabungan argumentasi rasional dengan argumentasi tekstual  yang didasarkan pada ayat suci, riwayat Nabi dan ucapan para imam  Syi'ah, terutama Nahj al-Balaghah.</w:t>
      </w:r>
    </w:p>
    <w:p>
      <w:pPr>
        <w:pStyle w:val="BookText"/>
        <w:bidi w:val="0"/>
        <w:jc w:val="both"/>
        <w:rPr/>
      </w:pPr>
      <w:r>
        <w:rPr>
          <w:rFonts w:eastAsia="Times New Roman" w:cs="Times New Roman" w:ascii="Times New Roman" w:hAnsi="Times New Roman"/>
          <w:color w:val="111111"/>
          <w:sz w:val="28"/>
          <w:szCs w:val="28"/>
          <w:lang w:val="en-US"/>
        </w:rPr>
        <w:t>Konstruksi teologi atau ushuluddin Muhammad Taqi Misbâh  Yazdî tampak lebih sistematis, ramping dan mudah dijabarkan. Hal itu  karena, salah satu faktor utamanya, konsistensinya dalam menggunakan  pola argumentasi. Muhammad Taqi Mishbâh Yazdî mencoba memulai  argumentasi keniscayaan eskatologi dengan argumentasi rasional, lalu  mengukuhnya dengan argumentasi tekstual. Karena itu, ia mulai dengan  menjelaskan kedudukan ruh dalam esakatologi sebagai berikut: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Seseorang yang dihidupkan setelah kematian adalah pribadinya itu  sendiri yang hidup sebelumnya. Ini menjadi mungkin bila ruhnya tetap  ada, meskipun tubuhnya telah hancur. Dengan kata lain, setiap manusia  itu memiliki substansi (jawhar) yang nonmateri dan mandiri dari  tubuhnya, dimana hakikat kemanusiaannya terkait erat dengannya. Jika  tidak demikian, asumsi kehidupan yang baru bagi seseorang tidaklah </w:t>
      </w:r>
    </w:p>
    <w:p>
      <w:pPr>
        <w:pStyle w:val="BookText"/>
        <w:bidi w:val="0"/>
        <w:rPr/>
      </w:pPr>
      <w:r>
        <w:rPr>
          <w:rFonts w:eastAsia="Times New Roman" w:cs="Times New Roman" w:ascii="Times New Roman" w:hAnsi="Times New Roman"/>
          <w:color w:val="111111"/>
          <w:sz w:val="28"/>
          <w:szCs w:val="28"/>
          <w:lang w:val="en-US"/>
        </w:rPr>
        <w:t xml:space="preserve">logis. Karenanya, sebelum membahas ma'âd, Muhammad Taqi Mishbâh  Yazdî mengajak kita mengkaji masalah ruh. </w:t>
      </w:r>
      <w:r>
        <w:rPr>
          <w:rStyle w:val="FootnoteAnchor"/>
        </w:rPr>
        <w:footnoteReference w:id="460"/>
      </w:r>
      <w:r>
        <w:rPr>
          <w:rFonts w:eastAsia="Times New Roman" w:cs="Times New Roman" w:ascii="Times New Roman" w:hAnsi="Times New Roman"/>
          <w:color w:val="111111"/>
          <w:sz w:val="28"/>
          <w:szCs w:val="28"/>
          <w:lang w:val="en-US"/>
        </w:rPr>
        <w:t xml:space="preserve"> Sejak dahulu, para ulama telah banyak membahas masalah ruh.</w:t>
      </w:r>
    </w:p>
    <w:p>
      <w:pPr>
        <w:pStyle w:val="BookText"/>
        <w:bidi w:val="0"/>
        <w:jc w:val="both"/>
        <w:rPr/>
      </w:pPr>
      <w:r>
        <w:rPr>
          <w:rFonts w:eastAsia="Times New Roman" w:cs="Times New Roman" w:ascii="Times New Roman" w:hAnsi="Times New Roman"/>
          <w:color w:val="111111"/>
          <w:sz w:val="28"/>
          <w:szCs w:val="28"/>
          <w:lang w:val="en-US"/>
        </w:rPr>
        <w:t>Dalam filsafat Islam, ruh yang disebut dengan istilah nafs, menjadi fokus  penting, sehingga para filsuf menulis secara khusus bagian-bagian  yang berkaitan dengan masalah ini. Mereka bahkan menulis kitab-kitab  dan risalah-risalah tersendiri, lalu mengkritisi— dengan sekian banyak  dalil—pandangan yang menyatakan bahwa ruh itu merupakan aksiden  (‘aradh) bagi tubuh atau forma material (shûrah mâddiyyah) yang ada  pada tubuh material. Tentunya, pembahasan luas mengenai masalah ini  tidak sesuai dengan buku ini. Untuk itu, kami berusaha membahasnya  secara ringkas, jelas, dan padu.</w:t>
      </w:r>
    </w:p>
    <w:p>
      <w:pPr>
        <w:pStyle w:val="BookText"/>
        <w:bidi w:val="0"/>
        <w:jc w:val="both"/>
        <w:rPr/>
      </w:pPr>
      <w:r>
        <w:rPr>
          <w:rFonts w:eastAsia="Times New Roman" w:cs="Times New Roman" w:ascii="Times New Roman" w:hAnsi="Times New Roman"/>
          <w:color w:val="111111"/>
          <w:sz w:val="28"/>
          <w:szCs w:val="28"/>
          <w:lang w:val="en-US"/>
        </w:rPr>
        <w:t>Kita menyaksikan warna kulit dan bentuk tubuh kita dengan mata  kepala kita sendiri. Kita pun dapat merasakan kasar-lembutnya bagian-  bagian tubuh kita dengan indra sentuhan, dan kita tidak dapat mengetahui  bagian dalam tubuh kita kecuali secara tidak langsung. Namun begitu,  kita dapat mengetahui rasa khawatir, cinta, benci, kehendak, dan pikiran  kita tanpa melalui indra. Begitu pula, kita dapat mengenal “aku” kita  yang memiliki perasaan-perasaan dan berbagai keadaan tersebut tanpa  menggunakan indra. Jadi, manusia itu memiliki dua macam pengetahuan:</w:t>
      </w:r>
    </w:p>
    <w:p>
      <w:pPr>
        <w:pStyle w:val="BookText"/>
        <w:bidi w:val="0"/>
        <w:jc w:val="both"/>
        <w:rPr/>
      </w:pPr>
      <w:r>
        <w:rPr>
          <w:rFonts w:eastAsia="Times New Roman" w:cs="Times New Roman" w:ascii="Times New Roman" w:hAnsi="Times New Roman"/>
          <w:color w:val="111111"/>
          <w:sz w:val="28"/>
          <w:szCs w:val="28"/>
          <w:lang w:val="en-US"/>
        </w:rPr>
        <w:t>pengetahuan melalui indra dan pengetahuan tidak melalui indra.</w:t>
      </w:r>
    </w:p>
    <w:p>
      <w:pPr>
        <w:pStyle w:val="BookText"/>
        <w:bidi w:val="0"/>
        <w:jc w:val="both"/>
        <w:rPr/>
      </w:pPr>
      <w:r>
        <w:rPr>
          <w:rFonts w:eastAsia="Times New Roman" w:cs="Times New Roman" w:ascii="Times New Roman" w:hAnsi="Times New Roman"/>
          <w:color w:val="111111"/>
          <w:sz w:val="28"/>
          <w:szCs w:val="28"/>
          <w:lang w:val="en-US"/>
        </w:rPr>
        <w:t>Premis lainnya ialah terjadinya kekeliruan-kekeliruan pada  pengetahuan melalui indra. Oleh karena itu, juga sangat mungkin  terjadi kekeliruan pada pengetahuan macam pertama. Berbeda dengan  pengetahuan macam kedua, yang tidak mengalami kekeliruan keraguan.</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Seseorang bisa ragu terhadap warna kulitnya; apakah senyatanya memang  demikian apa yang ia lihat. Akan tetapi, ia tidak akan ragu; apakah ia itu  berpikir atau tidak, menghendaki sesuatu atau tidak, dan merasa ragu  atau tidak  Premis ini dinyatakan sebagai berikut: bahwa pengetahuan hudhûrî  itu bersentuhan langsung dengan hakikat wujud objeknya. Oleh karena </w:t>
      </w:r>
      <w:bookmarkStart w:id="272" w:name="pg6424_45367"/>
    </w:p>
    <w:p>
      <w:pPr>
        <w:pStyle w:val="BookText"/>
        <w:bidi w:val="0"/>
        <w:rPr/>
      </w:pPr>
      <w:bookmarkEnd w:id="272"/>
      <w:r>
        <w:rPr>
          <w:rFonts w:eastAsia="Times New Roman" w:cs="Times New Roman" w:ascii="Times New Roman" w:hAnsi="Times New Roman"/>
          <w:color w:val="111111"/>
          <w:sz w:val="28"/>
          <w:szCs w:val="28"/>
          <w:lang w:val="en-US"/>
        </w:rPr>
        <w:t xml:space="preserve">itu, ia tidak mengalami kesalahan. Adapun ilmu hushûlî, lantaran  diperoleh melalui gambaran perseptual di benak, ia pada dasarnya bisa  mengalami keraguan dan kesalahan. </w:t>
      </w:r>
      <w:r>
        <w:rPr>
          <w:rStyle w:val="FootnoteAnchor"/>
        </w:rPr>
        <w:footnoteReference w:id="461"/>
      </w:r>
      <w:r>
        <w:rPr>
          <w:rFonts w:eastAsia="Times New Roman" w:cs="Times New Roman" w:ascii="Times New Roman" w:hAnsi="Times New Roman"/>
          <w:color w:val="111111"/>
          <w:sz w:val="28"/>
          <w:szCs w:val="28"/>
          <w:lang w:val="en-US"/>
        </w:rPr>
        <w:t xml:space="preserve"> Berdasarkan premis di atas Muhammad Taqi Mishbâh Yazdî  menyimpulkan sebagai berikut: pertama, kita mengetahui “aku” masing-  masing secara hudhûrî. Adapun tubuh kita ini diketahui melalui bantuan  indra. Dengan demikian, “aku” (nafs atau ruh) bukanlah tubuh.</w:t>
      </w:r>
    </w:p>
    <w:p>
      <w:pPr>
        <w:pStyle w:val="BookText"/>
        <w:bidi w:val="0"/>
        <w:jc w:val="both"/>
        <w:rPr/>
      </w:pPr>
      <w:r>
        <w:rPr>
          <w:rFonts w:eastAsia="Times New Roman" w:cs="Times New Roman" w:ascii="Times New Roman" w:hAnsi="Times New Roman"/>
          <w:color w:val="111111"/>
          <w:sz w:val="28"/>
          <w:szCs w:val="28"/>
          <w:lang w:val="en-US"/>
        </w:rPr>
        <w:t>Kedua, “aku” adalah hakikat yang tetap dan utuh selama puluhan  tahun dengan sifat kesatuan dan identitas dirinya sendiri. Kesatuan dan  identitasnya dapat diketahui melalui pengetahuan hudhûrî yang tidak  akan bisa keliru. Adapun bagian-bagian tubuh mengalami perubahan dan  pergantian berulang kali, sehingga ia tidak mempunyai standar kesatuan  hakikatnya di antara bagian-bagiannya yang terdahulu dan yang baru.</w:t>
      </w:r>
    </w:p>
    <w:p>
      <w:pPr>
        <w:pStyle w:val="BookText"/>
        <w:bidi w:val="0"/>
        <w:jc w:val="both"/>
        <w:rPr/>
      </w:pPr>
      <w:r>
        <w:rPr>
          <w:rFonts w:eastAsia="Times New Roman" w:cs="Times New Roman" w:ascii="Times New Roman" w:hAnsi="Times New Roman"/>
          <w:color w:val="111111"/>
          <w:sz w:val="28"/>
          <w:szCs w:val="28"/>
          <w:lang w:val="en-US"/>
        </w:rPr>
        <w:t>Ketiga, sesungguhnya “aku” ini bersifat sederhana (tak tersusun)  yang tidak mungkin dapat dipecah. Misalnya, kita tidak dapat memecah  “aku” menjadi dua bagian. Ini berbeda dengan anggota tubuh yang  berbilang dan dapat dipecah.</w:t>
      </w:r>
    </w:p>
    <w:p>
      <w:pPr>
        <w:pStyle w:val="BookText"/>
        <w:bidi w:val="0"/>
        <w:jc w:val="both"/>
        <w:rPr/>
      </w:pPr>
      <w:r>
        <w:rPr>
          <w:rFonts w:eastAsia="Times New Roman" w:cs="Times New Roman" w:ascii="Times New Roman" w:hAnsi="Times New Roman"/>
          <w:color w:val="111111"/>
          <w:sz w:val="28"/>
          <w:szCs w:val="28"/>
          <w:lang w:val="en-US"/>
        </w:rPr>
        <w:t xml:space="preserve">Keempat, mengingat bahwa seluruh keadaan jiwa seperti perasaan,  kehendak dan selainnya itu tidak memiliki ciri-ciri dasar materi, yakni  ekstensi dan keterpecahan, maka kita tidak dapat menganggap hal-hal  yang nonmateri itu sebagai aksiden ( aradh) bagi materi (mâddah). Oleh  karena itu, subjek hal-hal nonmateri itu adalah substansi (jawhar) yang  nonmateri (mujarrad). </w:t>
      </w:r>
      <w:r>
        <w:rPr>
          <w:rStyle w:val="FootnoteAnchor"/>
        </w:rPr>
        <w:footnoteReference w:id="462"/>
      </w:r>
    </w:p>
    <w:p>
      <w:pPr>
        <w:pStyle w:val="Heading4"/>
        <w:numPr>
          <w:ilvl w:val="3"/>
          <w:numId w:val="1"/>
        </w:numPr>
        <w:bidi w:val="0"/>
        <w:jc w:val="left"/>
        <w:rPr/>
      </w:pPr>
      <w:bookmarkStart w:id="273" w:name="__RefHeading___Toc688713_653776707"/>
      <w:bookmarkStart w:id="274" w:name="_Toc96"/>
      <w:bookmarkEnd w:id="273"/>
      <w:r>
        <w:rPr/>
        <w:t>1. Dalil Hikmah</w:t>
      </w:r>
      <w:bookmarkEnd w:id="27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menggunakan dalîl al-hikmah dalam pembuktian  kenabian, Muhammad Taqi Mishbâh Yazdî menggunakannya lagi </w:t>
      </w:r>
    </w:p>
    <w:p>
      <w:pPr>
        <w:pStyle w:val="BookText"/>
        <w:bidi w:val="0"/>
        <w:rPr/>
      </w:pPr>
      <w:r>
        <w:rPr>
          <w:rFonts w:eastAsia="Times New Roman" w:cs="Times New Roman" w:ascii="Times New Roman" w:hAnsi="Times New Roman"/>
          <w:color w:val="111111"/>
          <w:sz w:val="28"/>
          <w:szCs w:val="28"/>
          <w:lang w:val="en-US"/>
        </w:rPr>
        <w:t>untuk membuktikan keniscayaan kebangkitan (eskatologi). Berikut  penjelasannya:</w:t>
      </w:r>
    </w:p>
    <w:p>
      <w:pPr>
        <w:pStyle w:val="BookText"/>
        <w:bidi w:val="0"/>
        <w:jc w:val="both"/>
        <w:rPr/>
      </w:pPr>
      <w:r>
        <w:rPr>
          <w:rFonts w:eastAsia="Times New Roman" w:cs="Times New Roman" w:ascii="Times New Roman" w:hAnsi="Times New Roman"/>
          <w:color w:val="111111"/>
          <w:sz w:val="28"/>
          <w:szCs w:val="28"/>
          <w:lang w:val="en-US"/>
        </w:rPr>
        <w:t>Penciptaanmanusia tidaklah sia-sia, bahwamanusia diciptakan dengan  tujuan tertentu. Sebab, cinta Allah akan kebaikan dan kesempurnaan,  sebagai sifat dzâtiyyah-Nya, secara dasar dan langsung berkaitan dengan  zat-Nya sendiri, dan secara tidak langsung berkaitan dengan kesan-  kesannya yang memiliki tingkat-tingkat kebaikan dan kesempurnaan.</w:t>
      </w:r>
    </w:p>
    <w:p>
      <w:pPr>
        <w:pStyle w:val="BookText"/>
        <w:bidi w:val="0"/>
        <w:jc w:val="both"/>
        <w:rPr/>
      </w:pPr>
      <w:r>
        <w:rPr>
          <w:rFonts w:eastAsia="Times New Roman" w:cs="Times New Roman" w:ascii="Times New Roman" w:hAnsi="Times New Roman"/>
          <w:color w:val="111111"/>
          <w:sz w:val="28"/>
          <w:szCs w:val="28"/>
          <w:lang w:val="en-US"/>
        </w:rPr>
        <w:t>Karena itu, diciptakanlah alam semesta ini yang melazimkan kebaikan  dan kesempurnaan sebanyak mungkin.</w:t>
      </w:r>
    </w:p>
    <w:p>
      <w:pPr>
        <w:pStyle w:val="BookText"/>
        <w:bidi w:val="0"/>
        <w:jc w:val="both"/>
        <w:rPr/>
      </w:pPr>
      <w:r>
        <w:rPr>
          <w:rFonts w:eastAsia="Times New Roman" w:cs="Times New Roman" w:ascii="Times New Roman" w:hAnsi="Times New Roman"/>
          <w:color w:val="111111"/>
          <w:sz w:val="28"/>
          <w:szCs w:val="28"/>
          <w:lang w:val="en-US"/>
        </w:rPr>
        <w:t>Atas dasar ini, kita membuktikan adanya sifat hikmah pada Allah,  yang meniscayakan agar setiap makhluk dapat mencapai tujuan dan  kesempurnaan yang semestinya. Akan tetapi, mengingat begitu banyak  dan luasnya benturan di alam materi ini, tempat di mana kebaikan dan  kesempurnaan setiap makhluk saling berbenturan, maka pengaturan Ilahi  Yang Mahabijak melazimkan tertatanya semua makhluk sedemikian rupa  sehingga muncullah kebaikan dan kesempurnaan sebanyak mungkin dari  mereka.</w:t>
      </w:r>
    </w:p>
    <w:p>
      <w:pPr>
        <w:pStyle w:val="BookText"/>
        <w:bidi w:val="0"/>
        <w:jc w:val="both"/>
        <w:rPr/>
      </w:pPr>
      <w:r>
        <w:rPr>
          <w:rFonts w:eastAsia="Times New Roman" w:cs="Times New Roman" w:ascii="Times New Roman" w:hAnsi="Times New Roman"/>
          <w:color w:val="111111"/>
          <w:sz w:val="28"/>
          <w:szCs w:val="28"/>
          <w:lang w:val="en-US"/>
        </w:rPr>
        <w:t>Dengan ungkapan lain, alam materi ini memiliki tatanan yang baik  dan sempurna. Karena itu, tertatalah berbagai unsur, kuantitas, kualitas,  interaksi dan gerakan-gerakannya sebegitu rupa sehingga lahan dan  kondisi yang memadai untuk penciptaan tetumbuhan dan hewan-hewan.</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Selanjutnya, akan tersedia pula lahan yang sesuai untuk penciptaan  manusia, yang merupakan makhluk yang paling sempurna di alam materi  ini. Namun, jika penciptaan alam materi ini terjadi dalam bentuk yang  tidak memungkinkan terciptanya makhluk-makhluk hidup, atau tidak  memungkinkan pertumbuhan dan perkembangan mereka, tentu hal itu  bertentangan dengan hikmah ilahiah (kemaha-bijaksaan Allah).</w:t>
      </w:r>
      <w:r>
        <w:rPr>
          <w:rStyle w:val="FootnoteAnchor"/>
        </w:rPr>
        <w:footnoteReference w:id="463"/>
      </w:r>
      <w:r>
        <w:rPr>
          <w:rFonts w:eastAsia="Times New Roman" w:cs="Times New Roman" w:ascii="Times New Roman" w:hAnsi="Times New Roman"/>
          <w:color w:val="111111"/>
          <w:sz w:val="28"/>
          <w:szCs w:val="28"/>
          <w:lang w:val="en-US"/>
        </w:rPr>
        <w:t xml:space="preserve"> Maksudnya, bila diasumsikan bahwa kehidupan manusia itu hanya  terbatas pada kehidupan dunia ini saja, ini sama sekali tidak sesuai  dengan hikmah Ilahiah. Dengan menggabungkan dua premis tersebut,  yaitu hikmah ilahiyyah dan kemungkinan adanya kehidupan abadi  " </w:t>
      </w:r>
      <w:bookmarkStart w:id="275" w:name="pg6424_45371"/>
    </w:p>
    <w:p>
      <w:pPr>
        <w:pStyle w:val="BookText"/>
        <w:bidi w:val="0"/>
        <w:rPr/>
      </w:pPr>
      <w:bookmarkEnd w:id="275"/>
      <w:r>
        <w:rPr>
          <w:rFonts w:eastAsia="Times New Roman" w:cs="Times New Roman" w:ascii="Times New Roman" w:hAnsi="Times New Roman"/>
          <w:color w:val="111111"/>
          <w:sz w:val="28"/>
          <w:szCs w:val="28"/>
          <w:lang w:val="en-US"/>
        </w:rPr>
        <w:t xml:space="preserve">bagi manusia, Muhammad Taqi Mishbâh Yazdî mengharapkan adanya  kesimpulan bahwa mestinya ada kehidupan yang lain bagi manusia di  balik kehidupan dunia yang singkat dan terbatas ini, sehingga tidak  terdapat kehidupannya tidak menyimpang dari hikmah Ilahiah. Karena,  jika tidak demikian, berlangsungnya kehidupan dunia dengan berbagai  kelelahan dan kesusahannya-meskipun bersifat kekal dan abadi —  tidaklah sesuai dengan hikmah Ilahiah. </w:t>
      </w:r>
      <w:r>
        <w:rPr>
          <w:rStyle w:val="FootnoteAnchor"/>
        </w:rPr>
        <w:footnoteReference w:id="464"/>
      </w:r>
    </w:p>
    <w:p>
      <w:pPr>
        <w:pStyle w:val="Heading4"/>
        <w:numPr>
          <w:ilvl w:val="3"/>
          <w:numId w:val="1"/>
        </w:numPr>
        <w:bidi w:val="0"/>
        <w:jc w:val="left"/>
        <w:rPr/>
      </w:pPr>
      <w:bookmarkStart w:id="276" w:name="__RefHeading___Toc688715_653776707"/>
      <w:bookmarkStart w:id="277" w:name="_Toc97"/>
      <w:bookmarkEnd w:id="276"/>
      <w:r>
        <w:rPr/>
        <w:t>2. Dalil Keadilan</w:t>
      </w:r>
      <w:bookmarkEnd w:id="277"/>
    </w:p>
    <w:p>
      <w:pPr>
        <w:pStyle w:val="BookText"/>
        <w:bidi w:val="0"/>
        <w:jc w:val="both"/>
        <w:rPr/>
      </w:pPr>
      <w:r>
        <w:rPr>
          <w:rFonts w:eastAsia="Times New Roman" w:cs="Times New Roman" w:ascii="Times New Roman" w:hAnsi="Times New Roman"/>
          <w:color w:val="111111"/>
          <w:sz w:val="28"/>
          <w:szCs w:val="28"/>
          <w:lang w:val="en-US"/>
        </w:rPr>
        <w:t>Dengan menggunakan pendekatan psikologis, Muhammad Taqi  Mishbâh Yazdî menjelaskannya sebagai berikut:</w:t>
      </w:r>
    </w:p>
    <w:p>
      <w:pPr>
        <w:pStyle w:val="BookText"/>
        <w:bidi w:val="0"/>
        <w:jc w:val="both"/>
        <w:rPr/>
      </w:pPr>
      <w:r>
        <w:rPr>
          <w:rFonts w:eastAsia="Times New Roman" w:cs="Times New Roman" w:ascii="Times New Roman" w:hAnsi="Times New Roman"/>
          <w:color w:val="111111"/>
          <w:sz w:val="28"/>
          <w:szCs w:val="28"/>
          <w:lang w:val="en-US"/>
        </w:rPr>
        <w:t>Disadari atau tidak, manusia mempunyai ikhtiar dan kebebasan di  alam dunia ini dalam melakukan perbuatan yang baik atau buruk. Dari satu  sisi, kita temukan bagaimana sebagian manusia menghabiskan seluruh  usianya dalam ibadah kepada Allah dan berbakti kepada sesamanya.</w:t>
      </w:r>
    </w:p>
    <w:p>
      <w:pPr>
        <w:pStyle w:val="BookText"/>
        <w:bidi w:val="0"/>
        <w:jc w:val="both"/>
        <w:rPr/>
      </w:pPr>
      <w:r>
        <w:rPr>
          <w:rFonts w:eastAsia="Times New Roman" w:cs="Times New Roman" w:ascii="Times New Roman" w:hAnsi="Times New Roman"/>
          <w:color w:val="111111"/>
          <w:sz w:val="28"/>
          <w:szCs w:val="28"/>
          <w:lang w:val="en-US"/>
        </w:rPr>
        <w:t>Dari sisi lain, kita melihat pula bagaimana sebagian orang yang jahat dan  durhaka berani melakukan berbagai kezaliman dan dosa demi mencapai  ambisi dan kepentingan busuknya.</w:t>
      </w:r>
    </w:p>
    <w:p>
      <w:pPr>
        <w:pStyle w:val="BookText"/>
        <w:bidi w:val="0"/>
        <w:jc w:val="both"/>
        <w:rPr/>
      </w:pPr>
      <w:r>
        <w:rPr>
          <w:rFonts w:eastAsia="Times New Roman" w:cs="Times New Roman" w:ascii="Times New Roman" w:hAnsi="Times New Roman"/>
          <w:color w:val="111111"/>
          <w:sz w:val="28"/>
          <w:szCs w:val="28"/>
          <w:lang w:val="en-US"/>
        </w:rPr>
        <w:t>Selain itu, tujuan dari diciptakannya manusia di muka bumi ini,  dilengkapinya dengan berbagai kecenderungan yang saling berlawanan,  dengan kekuatan memilih, kehendak, dan dengan berbagai macam  pengetahuan rasional maupun data-data literal, serta dipenuhinya kondisi  untuk melakukan berbagai perbuatan dan berada di hadapan dua jalan:</w:t>
      </w:r>
    </w:p>
    <w:p>
      <w:pPr>
        <w:pStyle w:val="BookText"/>
        <w:bidi w:val="0"/>
        <w:jc w:val="both"/>
        <w:rPr/>
      </w:pPr>
      <w:r>
        <w:rPr>
          <w:rFonts w:eastAsia="Times New Roman" w:cs="Times New Roman" w:ascii="Times New Roman" w:hAnsi="Times New Roman"/>
          <w:color w:val="111111"/>
          <w:sz w:val="28"/>
          <w:szCs w:val="28"/>
          <w:lang w:val="en-US"/>
        </w:rPr>
        <w:t>kebenaran dan kebatilan, kebaikan dan keburukan. Tujuan diadakannya  semua itu ialah sebagai lahan untuk berusaha secara bebas dan menerima  berbagai cobaan agar mereka dapat memilih jalan kesempurnaannya  berdasarkan kehendak dan usaha masing-masing, sehingga mereka akan  memperoleh hasil dari usaha bebas tersebut, baik berupa pahala atau  siksa.</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dasarnya, kehidupan dunia ini diciptakan untuk manusia  sebagai tempat ujian dan lahan pembinaan kepribadian insaninya. </w:t>
      </w:r>
    </w:p>
    <w:p>
      <w:pPr>
        <w:pStyle w:val="BookText"/>
        <w:bidi w:val="0"/>
        <w:rPr/>
      </w:pPr>
      <w:r>
        <w:rPr>
          <w:rFonts w:eastAsia="Times New Roman" w:cs="Times New Roman" w:ascii="Times New Roman" w:hAnsi="Times New Roman"/>
          <w:color w:val="111111"/>
          <w:sz w:val="28"/>
          <w:szCs w:val="28"/>
          <w:lang w:val="en-US"/>
        </w:rPr>
        <w:t>Hingga detik-detik akhir hidup di dunia, ia tidak lepas dari ujian, cobaan,  tanggung jawab, dan berbagai kewajiban. Akan tetapi, kita melihat  bagaimana orang-orang yang baik dan orang-orang yang jahat tidak  memperoleh pahala dan siksa yang sesuai dengan perbuatan mereka di  dunia ini. Bahkan kita temukan kebanyakan orang jahat itu lebih banyak  mendapatkan kesenangan daripada orang-orang baik. Kita sadari pula  bahwa kehidupan dunia ini tidak dapat memenuhi ganjaran ataupun siksa  atas orang-orang yang berbuat baik ataupun buruk. Misalnya, seorang  penjahat yang telah membunuh ribuan orang yang tidak berdosa, tidak  mungkin akan dihukum mati di dunia ini kecuali sekali saja. Dengan  begitu, betapa banyak kejahatannya berlangsung tanpa terkena hukuman.</w:t>
      </w:r>
    </w:p>
    <w:p>
      <w:pPr>
        <w:pStyle w:val="BookText"/>
        <w:bidi w:val="0"/>
        <w:jc w:val="both"/>
        <w:rPr/>
      </w:pPr>
      <w:r>
        <w:rPr>
          <w:rFonts w:eastAsia="Times New Roman" w:cs="Times New Roman" w:ascii="Times New Roman" w:hAnsi="Times New Roman"/>
          <w:color w:val="111111"/>
          <w:sz w:val="28"/>
          <w:szCs w:val="28"/>
          <w:lang w:val="en-US"/>
        </w:rPr>
        <w:t xml:space="preserve">Padahal, sesuai dengan keadilan Ilahi, ia seharusnya mendapat balasan  yang setimpal atas berbagai perbuatannya. </w:t>
      </w:r>
      <w:r>
        <w:rPr>
          <w:rStyle w:val="FootnoteAnchor"/>
        </w:rPr>
        <w:footnoteReference w:id="465"/>
      </w:r>
      <w:r>
        <w:rPr>
          <w:rFonts w:eastAsia="Times New Roman" w:cs="Times New Roman" w:ascii="Times New Roman" w:hAnsi="Times New Roman"/>
          <w:color w:val="111111"/>
          <w:sz w:val="28"/>
          <w:szCs w:val="28"/>
          <w:lang w:val="en-US"/>
        </w:rPr>
        <w:t xml:space="preserve"> Dengan demikian, sebagaimana dunia ini adalah tempat ujian dan  tugas, semestinya ada alam lain yang merupakan tempat pembalasan dan  penampakkan hasil-hasil segenap perbuatan, agar setiap orang menerima  balasan yang sesuai dengan perbuatannya, dan agar keadilan Ilahi  terealisasi secara nyata. Untuk mengukuhkan argumentasi psikologis  ini, Muhammad Taqî Mishbâh Yazdî mengutip sebuah ayat yang  menegaskan bahwa ruh manusia itu ada, karena ruh adalah hakikat yang  dinisbatkan kepada Allah SWT.” Dan ia meniupkan ke dalamnya dari  ruh-Nya. (QS as-Sajdah: 9). Hal ini, menurutnya, tidaklah berarti bahwa  ada sesuatu yang terpisah dari Zat Allah kemudian berpindah ke dalam  tubuh manusia.</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Taqi Mishbah Yazdî memastikan bahwa ruh bukanlah  tubuh, bukan pula sebagai sifat-sifat dasar dan ciri-ciri khasnya, dan  bahwa ruh—tanpa raga—memiliki potensi untuk tetap kekal. Dengan  demikian, menurutnya, standar hakikat manusia itu adalah ruhnya yang  dicabut oleh malaikat maut dan senantiasa kekal, bukan bagian-bagian  tubuh yang mengalami kehancuran dan melebur di dalam tanah. </w:t>
      </w:r>
      <w:r>
        <w:rPr>
          <w:rStyle w:val="FootnoteAnchor"/>
        </w:rPr>
        <w:footnoteReference w:id="466"/>
      </w:r>
      <w:bookmarkStart w:id="278" w:name="pg6424_45375"/>
    </w:p>
    <w:p>
      <w:pPr>
        <w:pStyle w:val="BookText"/>
        <w:bidi w:val="0"/>
        <w:rPr/>
      </w:pPr>
      <w:bookmarkEnd w:id="278"/>
      <w:r>
        <w:rPr>
          <w:rFonts w:eastAsia="Times New Roman" w:cs="Times New Roman" w:ascii="Times New Roman" w:hAnsi="Times New Roman"/>
          <w:color w:val="111111"/>
          <w:sz w:val="28"/>
          <w:szCs w:val="28"/>
          <w:lang w:val="en-US"/>
        </w:rPr>
        <w:t>Kesimpulan Muhammad Taqi Mishbâh Yazdî dari ayat-ayat tersebut  adalah pertama, di dalam diri manusia terdapat suatu hakikat yang  dinamakan ruh. Kedua, sesungguhnya ruh manusia itu dapat kekal dan  mandiri dari tubuhnya. Ruh bukan layaknya aksiden dan forma dari  materi, yang akan sirna ketika subjek yang menampungnya itu hancur.</w:t>
      </w:r>
    </w:p>
    <w:p>
      <w:pPr>
        <w:pStyle w:val="BookText"/>
        <w:bidi w:val="0"/>
        <w:jc w:val="both"/>
        <w:rPr/>
      </w:pPr>
      <w:r>
        <w:rPr>
          <w:rFonts w:eastAsia="Times New Roman" w:cs="Times New Roman" w:ascii="Times New Roman" w:hAnsi="Times New Roman"/>
          <w:color w:val="111111"/>
          <w:sz w:val="28"/>
          <w:szCs w:val="28"/>
          <w:lang w:val="en-US"/>
        </w:rPr>
        <w:t>Ketiga, sesungguhnya hakikat setiap orang itu terletak pada ruhnya.</w:t>
      </w:r>
    </w:p>
    <w:p>
      <w:pPr>
        <w:pStyle w:val="BookText"/>
        <w:bidi w:val="0"/>
        <w:jc w:val="both"/>
        <w:rPr/>
      </w:pPr>
      <w:r>
        <w:rPr>
          <w:rFonts w:eastAsia="Times New Roman" w:cs="Times New Roman" w:ascii="Times New Roman" w:hAnsi="Times New Roman"/>
          <w:color w:val="111111"/>
          <w:sz w:val="28"/>
          <w:szCs w:val="28"/>
          <w:lang w:val="en-US"/>
        </w:rPr>
        <w:t>Dengan ungkapan yang lain, hakikat setiap manusia itu adalah ruhnya.</w:t>
      </w:r>
    </w:p>
    <w:p>
      <w:pPr>
        <w:pStyle w:val="BookText"/>
        <w:bidi w:val="0"/>
        <w:jc w:val="both"/>
        <w:rPr/>
      </w:pPr>
      <w:r>
        <w:rPr>
          <w:rFonts w:eastAsia="Times New Roman" w:cs="Times New Roman" w:ascii="Times New Roman" w:hAnsi="Times New Roman"/>
          <w:color w:val="111111"/>
          <w:sz w:val="28"/>
          <w:szCs w:val="28"/>
          <w:lang w:val="en-US"/>
        </w:rPr>
        <w:t>Adapun tubuh manusia hanya berperan sebagai alat bagi ruh.</w:t>
      </w:r>
    </w:p>
    <w:p>
      <w:pPr>
        <w:pStyle w:val="Heading4"/>
        <w:numPr>
          <w:ilvl w:val="3"/>
          <w:numId w:val="1"/>
        </w:numPr>
        <w:bidi w:val="0"/>
        <w:jc w:val="left"/>
        <w:rPr/>
      </w:pPr>
      <w:bookmarkStart w:id="279" w:name="__RefHeading___Toc688717_653776707"/>
      <w:bookmarkStart w:id="280" w:name="_Toc98"/>
      <w:bookmarkEnd w:id="279"/>
      <w:r>
        <w:rPr/>
        <w:t>3. Kebangkitan Jasmani dan Rohani</w:t>
      </w:r>
      <w:bookmarkEnd w:id="28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mengargumentasikan keniscayaan adanya kebangkitan,  Muhammad Taqi Mishbâh Yazdî memasuki tema eskatologi paling  rumit, yaitu ‘kebangkitan jasmani dan rohani”. Sekelompok para ahl  al-hadîts dan para fuqaha' di kalangan muslimin meyakini kebangkitan  fisik semata, karena roh atau spirit, menurut mereka, adalah materi yang  ada dalam tubuh, sebagaimana api dalam batu bara atau arang. </w:t>
      </w:r>
      <w:r>
        <w:rPr>
          <w:rStyle w:val="FootnoteAnchor"/>
        </w:rPr>
        <w:footnoteReference w:id="467"/>
      </w:r>
      <w:r>
        <w:rPr>
          <w:rFonts w:eastAsia="Times New Roman" w:cs="Times New Roman" w:ascii="Times New Roman" w:hAnsi="Times New Roman"/>
          <w:color w:val="111111"/>
          <w:sz w:val="28"/>
          <w:szCs w:val="28"/>
          <w:lang w:val="en-US"/>
        </w:rPr>
        <w:t xml:space="preserve"> Sebagian besar filsuf, terutama kaum Paripatetis, antara lain Ibn  Sina, menganggapnya sebagai kebangkitan spiritual (rohani) semata,  karena fisik telah musnah ketika terpisah dari jiwa, dan karena sesuatu  yang telah tiada tidak akan kembali menjadi ada. Namun, para tokoh  ‘irfan dan para filsuf serta teolog terkemuka, seperti Ghazali, dan  sebagian besar teolog Syi'ah, seperti Mufid, Thûsî, Sayyid Murtadhâ,  dan Hilli, meyakini kebangkitan sebagai peristiwa fisikal dan spirtitual  sekaligus, sebagaimana dikutip oleh Mullâ Sadrâ. </w:t>
      </w:r>
      <w:r>
        <w:rPr>
          <w:rStyle w:val="FootnoteAnchor"/>
        </w:rPr>
        <w:footnoteReference w:id="468"/>
      </w:r>
      <w:r>
        <w:rPr>
          <w:rFonts w:eastAsia="Times New Roman" w:cs="Times New Roman" w:ascii="Times New Roman" w:hAnsi="Times New Roman"/>
          <w:color w:val="111111"/>
          <w:sz w:val="28"/>
          <w:szCs w:val="28"/>
          <w:lang w:val="en-US"/>
        </w:rPr>
        <w:t xml:space="preserve"> Mullâ Sadrâ mengemukakan sebuah gagasan baru yang berusaha  menghimpun rasionalitas kebangkitan rohani sekaligus jasmani dengan  prinisp Jasmâniyyah al-hudüts wa ruhâniyyâh al-baqa'. (kebangkitan </w:t>
      </w:r>
    </w:p>
    <w:p>
      <w:pPr>
        <w:pStyle w:val="BookText"/>
        <w:bidi w:val="0"/>
        <w:rPr/>
      </w:pPr>
      <w:r>
        <w:rPr>
          <w:rFonts w:eastAsia="Times New Roman" w:cs="Times New Roman" w:ascii="Times New Roman" w:hAnsi="Times New Roman"/>
          <w:color w:val="111111"/>
          <w:sz w:val="28"/>
          <w:szCs w:val="28"/>
          <w:lang w:val="en-US"/>
        </w:rPr>
        <w:t>munculnya bersifat jasmani, namun keabadiannya bersifat rohani).</w:t>
      </w:r>
    </w:p>
    <w:p>
      <w:pPr>
        <w:pStyle w:val="BookText"/>
        <w:bidi w:val="0"/>
        <w:jc w:val="both"/>
        <w:rPr/>
      </w:pPr>
      <w:r>
        <w:rPr>
          <w:rFonts w:eastAsia="Times New Roman" w:cs="Times New Roman" w:ascii="Times New Roman" w:hAnsi="Times New Roman"/>
          <w:color w:val="111111"/>
          <w:sz w:val="28"/>
          <w:szCs w:val="28"/>
          <w:lang w:val="en-US"/>
        </w:rPr>
        <w:t xml:space="preserve">Maksudnya adalah proses terjadinya jiwa yang bersifat baharu dan berasal  dari jasmani atau materi dan selanjutnya mengalami proses kesempurnaan  melalui gerakan transsubstansial dan kemudian menyempurna menjadi  rohani dan tetap abadi pada kondisi tersebut. </w:t>
      </w:r>
      <w:r>
        <w:rPr>
          <w:rStyle w:val="FootnoteAnchor"/>
        </w:rPr>
        <w:footnoteReference w:id="469"/>
      </w:r>
      <w:r>
        <w:rPr>
          <w:rFonts w:eastAsia="Times New Roman" w:cs="Times New Roman" w:ascii="Times New Roman" w:hAnsi="Times New Roman"/>
          <w:color w:val="111111"/>
          <w:sz w:val="28"/>
          <w:szCs w:val="28"/>
          <w:lang w:val="en-US"/>
        </w:rPr>
        <w:t xml:space="preserve"> Pandangan ini sangat bertentangan pada umumnya dengan para  filsuf pendahulu Mullâ Sadrâ, yang meyakini bahwa jiwa telah tercipta  terlebih dahulu sebelum tubuh diciptakan, baru kemudian bergabung  dengan fisik yang baru diciptakan tersebut. Bagi Mullâ Sadrâ, jiwa  terjadi bersamaan dengan terjadinya fisik dan sama-sama berasal dari  materi, ketika materi pertama terbentuk ada dua unsur utama yang  membentuk materi tersebut, yaitu forma dan dasar materi (hayâlâ).</w:t>
      </w:r>
    </w:p>
    <w:p>
      <w:pPr>
        <w:pStyle w:val="BookText"/>
        <w:bidi w:val="0"/>
        <w:jc w:val="both"/>
        <w:rPr/>
      </w:pPr>
      <w:r>
        <w:rPr>
          <w:rFonts w:eastAsia="Times New Roman" w:cs="Times New Roman" w:ascii="Times New Roman" w:hAnsi="Times New Roman"/>
          <w:color w:val="111111"/>
          <w:sz w:val="28"/>
          <w:szCs w:val="28"/>
          <w:lang w:val="en-US"/>
        </w:rPr>
        <w:t xml:space="preserve">Perkembangan forma inilah yang kemudian teraktualisasi menjadi jiwa,  sedangkan materi dasar teraktualisasi menjadi raga. </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Pertama, Setiap yang terlepas dari materi tidak akan bersatu dengannya dan menjadi aksiden dekat  ('âridh qarib) dengan dasar bahwa sesungguhnya dimensi potensial dan kesiapan kembali kepada  persoalan bahwa dirinya secara substansial merupakan potensi semata yang terhasilkan dari forma  yang membentuknya (muqawwimah) dan tidaklah dirinya melainkan hanyalah bagian dari materi  dasar utama (hayyüla jurmâniyyah), maka pastilah barangsiapa yang beranggapan bahwa jiwa ter-  lepas dari materi kemudian bergabung bersamanya, pandangan ini akan menyebabkan terjadinya  reinkarnasi dan nanti akan anda ketahui kekeliruan pandangan reinkarnasi. (Mulla Sadrâ, al-Syawahid  al-Rububiyyah, hlm 221). Sekiranya jiwa ada sebelum fisik diciptakan, maka jiwa tidak mungkin  plural atapun satu. Tidak mungkin yang pertama (plural) karena perbedaan hanya terjadi pada  sesuatu yang memiliki batasan spesies (nau') baik melalui materi-materinya, aksiden-aksidennya,  aktivitas-aktivitasnya atau tujuan-tujuannya atau sebab-sebab yang berpengaruh pada jiwa ini.</w:t>
      </w:r>
    </w:p>
    <w:p>
      <w:pPr>
        <w:pStyle w:val="BookText"/>
        <w:bidi w:val="0"/>
        <w:jc w:val="both"/>
        <w:rPr/>
      </w:pPr>
      <w:r>
        <w:rPr>
          <w:rFonts w:eastAsia="Times New Roman" w:cs="Times New Roman" w:ascii="Times New Roman" w:hAnsi="Times New Roman"/>
          <w:color w:val="111111"/>
          <w:sz w:val="28"/>
          <w:szCs w:val="28"/>
          <w:lang w:val="en-US"/>
        </w:rPr>
        <w:t>Sedangkan forma jiwa sekaligus merupakan substansinya karena kesatuannya dalam spesiesnya  dan aktivitasnya merupakan hal yang satu. Karena ia bermuara kepadanya dan menyerupainya,  maka pluralitasnya hanya akan terjadi, baik melalui materi atau sebagaimana dia dalam  ketetapannya (identitasnya), seperti tubuh padahal realitasnya jiwa terpisah dari tubuh. Ini bisa  dipahami sebagai inkonsistensi. Sedangkan yang kedua (Satu) karena diterimanya pluralitas  setelah kesatuan dari spesifikasi ukuran-ukuran dan aksidenaksidennya, padahal jiwa tidaklah  demikian. ( Mullâ Sadrâ, , al-Syawahid al-Rububiyyah, hlm 221). Kedua: Jika jiwa diciptakan  sebelum tubuh, maka jiwa pastilah merupakan akal murni, yang tidak mungkin keadaannya  berubah ketika dirinya terpisah dari lingkupan alam kesucian ('klam al-Quds) dan kemudian  dilingkupi berbagai keburukan tubuh. Atau jiwa tersebut merupakan jiwa substansial, maka jiwa  tersebut hanya vakum sejak azali karena kemustahilannya untuk berpindah dan tidak ada kevak-  uman dalam wujud (Mulla Sadra, al-Syawahid, 223).</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 luar dugaan, Muhammad Taqi Mishbâh Yazdî yang rasionalistik</w:t>
      </w:r>
    </w:p>
    <w:p>
      <w:pPr>
        <w:pStyle w:val="BookText"/>
        <w:bidi w:val="0"/>
        <w:rPr/>
      </w:pPr>
      <w:r>
        <w:rPr>
          <w:rFonts w:eastAsia="Times New Roman" w:cs="Times New Roman" w:ascii="Times New Roman" w:hAnsi="Times New Roman"/>
          <w:color w:val="111111"/>
          <w:sz w:val="28"/>
          <w:szCs w:val="28"/>
          <w:lang w:val="en-US"/>
        </w:rPr>
        <w:t xml:space="preserve">meyakini kebangkitan rohani dan jasmani. Ia seakan mengabaikan  sikapnya yang rasionalitik karena tidak kuasa mencari interpretasi  rasional terhadap banyak ayat suci al-Qur'an yang menurutnya secara  jelas menegaskannya. </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25, QS Yasin: 51, QS al-Qamar: 7, QS al-Ma'arij: 43, QS al-Haj: 7, QS al-Nur: 24, QS Yasin:</w:t>
      </w:r>
    </w:p>
    <w:p>
      <w:pPr>
        <w:pStyle w:val="BookText"/>
        <w:bidi w:val="0"/>
        <w:jc w:val="both"/>
        <w:rPr/>
      </w:pPr>
      <w:r>
        <w:rPr>
          <w:rFonts w:eastAsia="Times New Roman" w:cs="Times New Roman" w:ascii="Times New Roman" w:hAnsi="Times New Roman"/>
          <w:color w:val="111111"/>
          <w:sz w:val="28"/>
          <w:szCs w:val="28"/>
          <w:lang w:val="en-US"/>
        </w:rPr>
        <w:t>65, QS Fushshilat: 41, QS al-Nisa': 56, QS Muhammad: 15, QS al-Taubah: 72, 68, QS al-  Baqarah: 167, QS Maryam: 39.</w:t>
      </w:r>
    </w:p>
    <w:p>
      <w:pPr>
        <w:pStyle w:val="BookText"/>
        <w:bidi w:val="0"/>
        <w:jc w:val="both"/>
        <w:rPr/>
      </w:pPr>
      <w:r>
        <w:rPr>
          <w:rFonts w:eastAsia="Times New Roman" w:cs="Times New Roman" w:ascii="Times New Roman" w:hAnsi="Times New Roman"/>
          <w:color w:val="111111"/>
          <w:sz w:val="28"/>
          <w:szCs w:val="28"/>
          <w:lang w:val="en-US"/>
        </w:rPr>
        <w:t>Saat dikonfirmasi tentang hal ini, ia mengatakan bahwa pembuktian  eskatologi dengan teks ayat dan riwayat adalah konsekuensi logis, karena  alasan-alasan sebagai berikut:</w:t>
      </w:r>
    </w:p>
    <w:p>
      <w:pPr>
        <w:pStyle w:val="BookText"/>
        <w:bidi w:val="0"/>
        <w:jc w:val="both"/>
        <w:rPr/>
      </w:pPr>
      <w:r>
        <w:rPr>
          <w:rFonts w:eastAsia="Times New Roman" w:cs="Times New Roman" w:ascii="Times New Roman" w:hAnsi="Times New Roman"/>
          <w:color w:val="111111"/>
          <w:sz w:val="28"/>
          <w:szCs w:val="28"/>
          <w:lang w:val="en-US"/>
        </w:rPr>
        <w:t>Pertama, argumentasi-argumentasi Mullâ Sadrâ tentang kebangkitan  sebagai rohani sekaligus jasmani, dengan didasarkan pada prinsip  ruhâniyat al-baqâ' jasmâniyat al-hudûts, mampu menggabungkan  metode rasional, mistik, dan tekstual.</w:t>
      </w:r>
    </w:p>
    <w:p>
      <w:pPr>
        <w:pStyle w:val="BookText"/>
        <w:bidi w:val="0"/>
        <w:jc w:val="both"/>
        <w:rPr/>
      </w:pPr>
      <w:r>
        <w:rPr>
          <w:rFonts w:eastAsia="Times New Roman" w:cs="Times New Roman" w:ascii="Times New Roman" w:hAnsi="Times New Roman"/>
          <w:color w:val="111111"/>
          <w:sz w:val="28"/>
          <w:szCs w:val="28"/>
          <w:lang w:val="en-US"/>
        </w:rPr>
        <w:t>Kedua, meyakini kebangkitan rohani dan jasmani tidak menegasikan  inferensi rasional. Hal itu, karena setelah melewati pembuktian rasional  atas keberadaan dan keesaan Tuhan (teologi), maka pembuktian prinsip  kebangkitan (eskatologi) secara tekstual merupakan konsekuensi yang  runut dan koheren dengan kenabian yang telah dibuktikan di dalamnya,  yaitu kesahihan wahyu. Karena itu, keyakinan tentang eskatologi  spiritual dan material, dengan pendekatan Mullâ Sadrâ, sama sekali  tidak membuktikan inkosistensi dalam pendekatan rasional.</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meyakini kebangkitan secara rohani akan melahirkan  paradoks yang lebih menyulitkan, karena hal itu bisa memberikan  konsekuensi bahwa kesenangan di sorga dan siksa di neraka hanyalah  persitiwa psikis. </w:t>
      </w:r>
      <w:r>
        <w:rPr>
          <w:rStyle w:val="FootnoteAnchor"/>
        </w:rPr>
        <w:footnoteReference w:id="472"/>
      </w:r>
      <w:bookmarkStart w:id="281" w:name="pg6424_45380"/>
    </w:p>
    <w:p>
      <w:pPr>
        <w:pStyle w:val="Heading2"/>
        <w:numPr>
          <w:ilvl w:val="1"/>
          <w:numId w:val="1"/>
        </w:numPr>
        <w:bidi w:val="0"/>
        <w:jc w:val="left"/>
        <w:rPr/>
      </w:pPr>
      <w:bookmarkStart w:id="282" w:name="__RefHeading___Toc688719_653776707"/>
      <w:bookmarkStart w:id="283" w:name="_Toc99"/>
      <w:bookmarkEnd w:id="281"/>
      <w:bookmarkEnd w:id="282"/>
      <w:r>
        <w:rPr/>
        <w:t>BAB VIII :PENUTUP</w:t>
      </w:r>
      <w:bookmarkEnd w:id="283"/>
    </w:p>
    <w:p>
      <w:pPr>
        <w:pStyle w:val="Heading3"/>
        <w:numPr>
          <w:ilvl w:val="2"/>
          <w:numId w:val="1"/>
        </w:numPr>
        <w:bidi w:val="0"/>
        <w:jc w:val="left"/>
        <w:rPr/>
      </w:pPr>
      <w:bookmarkStart w:id="284" w:name="__RefHeading___Toc688721_653776707"/>
      <w:bookmarkStart w:id="285" w:name="_Toc100"/>
      <w:bookmarkEnd w:id="284"/>
      <w:r>
        <w:rPr/>
        <w:t>A. Kesimpulan</w:t>
      </w:r>
      <w:bookmarkEnd w:id="285"/>
    </w:p>
    <w:p>
      <w:pPr>
        <w:pStyle w:val="Heading4"/>
        <w:numPr>
          <w:ilvl w:val="3"/>
          <w:numId w:val="1"/>
        </w:numPr>
        <w:bidi w:val="0"/>
        <w:jc w:val="left"/>
        <w:rPr/>
      </w:pPr>
      <w:bookmarkStart w:id="286" w:name="__RefHeading___Toc688723_653776707"/>
      <w:bookmarkStart w:id="287" w:name="_Toc101"/>
      <w:bookmarkEnd w:id="286"/>
      <w:r>
        <w:rPr/>
        <w:t>Point</w:t>
      </w:r>
      <w:bookmarkEnd w:id="287"/>
    </w:p>
    <w:p>
      <w:pPr>
        <w:pStyle w:val="BookText"/>
        <w:bidi w:val="0"/>
        <w:jc w:val="both"/>
        <w:rPr/>
      </w:pPr>
      <w:r>
        <w:rPr>
          <w:rFonts w:eastAsia="Times New Roman" w:cs="Times New Roman" w:ascii="Times New Roman" w:hAnsi="Times New Roman"/>
          <w:color w:val="111111"/>
          <w:sz w:val="28"/>
          <w:szCs w:val="28"/>
          <w:lang w:val="en-US"/>
        </w:rPr>
        <w:t>Dari serangkaian pembahasan analitis yang telah dikemukakan  pada bab-bab sebelumnya, penulis dapat mengambil sebuah kesimpulan  umum, yaitu bahwa pandangan-pandangan kritis Muhammad Taqî  Mishbâh Yazdî dalam filsafat tidak ditujukan untuk mendekonstruksi  Filsafat Transendental Mullâ Sadrâ maupun Filsafat Peripatetis Ibn  Sînâ juga Thabâthabâ'i, dan karena itulah ia tidak membangun sebuah  mazhab baru, namun didasarkan pada sejumlah keberatan substansial,  formal dan material, dalam ontologi, epistemologi dan teologi. Kritik  dan gagasan alternatif yang disodorkan Muhammad Taqi Mishbâh Yazdî  dalam tiga bidang utama tersebut menurunkan konsekuensi-konsekuensi  fundamental dalam bidang-bidang lainnya, seperti etika, filsafat politik,  dan sebagainya.</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umum, pandangan-pandangan Muhammad Taqi Mishbâh  Yazdî mencerminkan sosok rasionalis yang sangat berani mendobrak  tradisi pemikiran filsafat yang menurutnya telah menjadi semacam  postulat dan disakralkan. Sebagai bukti, ia membuat kavling-kavling  pemikiran sesuai dengan cakupan pembahasan masing-masing. Karena  itulah, dalam bidang ontologi, ia cenderung transendentalis; dalam bidang  epistemologi, cenderung peripatetis, dalam bidang tafsir cenderung  teologis (kalam), dan dalam bidang akhlak cenderung mistis. Sekalipun  terkesan eklektik, ia mendalami semua bidang itu dengan penuh disiplin  seraya menetapkan garis demarkasi masing-masing yang tidak dapat </w:t>
      </w:r>
    </w:p>
    <w:p>
      <w:pPr>
        <w:pStyle w:val="BookText"/>
        <w:bidi w:val="0"/>
        <w:rPr/>
      </w:pPr>
      <w:r>
        <w:rPr>
          <w:rFonts w:eastAsia="Times New Roman" w:cs="Times New Roman" w:ascii="Times New Roman" w:hAnsi="Times New Roman"/>
          <w:color w:val="111111"/>
          <w:sz w:val="28"/>
          <w:szCs w:val="28"/>
          <w:lang w:val="en-US"/>
        </w:rPr>
        <w:t>dilampaui (un-overlapped) satu sama lain. Setiap bidang tersebut  digarapnya secara hati-hati dengan menggunakan metode yang khas,  sistematis, dan tidak tumpang tindih dengan metode yang diperuntukan  bagi bidang yang lain.</w:t>
      </w:r>
    </w:p>
    <w:p>
      <w:pPr>
        <w:pStyle w:val="BookText"/>
        <w:bidi w:val="0"/>
        <w:jc w:val="both"/>
        <w:rPr/>
      </w:pPr>
      <w:r>
        <w:rPr>
          <w:rFonts w:eastAsia="Times New Roman" w:cs="Times New Roman" w:ascii="Times New Roman" w:hAnsi="Times New Roman"/>
          <w:color w:val="111111"/>
          <w:sz w:val="28"/>
          <w:szCs w:val="28"/>
          <w:lang w:val="en-US"/>
        </w:rPr>
        <w:t>Muhammad Taqi Mishbâh Yazdî mampu mereformasi sejumlah  pemikiran filsofis yang diwariskan Ibnu Sina, Suhrawardi, Mullâ Sadrâ,  dan Thabâthabâ’î. Karena itulah, Muhammad Taqi Mishbâh Yazdî dapat  dianggap sebagai pelopor filsafat Neo-Peripatetik atau Transendentalisme  non-mistis. Tidak hanya itu, kritisisme Muhammad Taqi Mishbâh Yazdî  seakan memberikan angin segar kepada para pelajar muda di hawzah  'Ilmiyah Qom untuk melakukan enovasi dan pengembangan wacana-  wacana filsafat yang sebelumnya dianggap tabu, sensitif atau bahkan  terlarang  Langkah revolusioner Muhammad Taqi Mishbâh Yazdî yang  mendobrak hegemoni pemikiran Sadrian dinilai terlalu cepat. Akibatnya,  gagasan-gagasannya dan usaha untuk melakukan reformasi paradigma  filsafat di hawzah 'Ilmiyah Qom tidak mendapatkan sambutan yang  diharapkan. Guna menampung arus besar kalangan muda yang progresif  inilah, ia membangun sebuah lembaga pendidikan yang diharapkan  mampu menambal kekurangan metodis hawzah sekaligus menjawab  tantangan pemikiran kontekstual.</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Penulis, meskipun Muhammad Taqi Mishbâh Yazdî dikenal  sebagai pengritik Transendentalisme Mullâ Sadrâ dan Thabâthabâ’i  serta para filsuf hawzah 'Ilmiyah Qom segenerasinya, namun  sebetulnya ia belum sepenuhnya berhasil membangun sistem filsafat  yang utuh, skematis, dan komprehensif. Muhammad Taqi Mishbâh Yazdî  terlihat gamang dan ragu-ragu dalam melakukan konfrontasi filsufis  secara terang-terangan dan sistematis di hawzah 'Ilmiyah yang sampai  sekarang masih sangat dipengaruhi pandangan filsafat Mullâ Sadrâ,  yang diproteksi murid-murid Thabâthabâ'i, yang juga rekan-rekan  Muhammad Taqi Mishbâh Yazdî sendiri, seperti Jawadi Amolî, Hasan  Hasan Zâdeh Âmulî, dan Murtadha Mutahhari. Kendati demikian, harus </w:t>
      </w:r>
    </w:p>
    <w:p>
      <w:pPr>
        <w:pStyle w:val="BookText"/>
        <w:bidi w:val="0"/>
        <w:rPr/>
      </w:pPr>
      <w:r>
        <w:rPr>
          <w:rFonts w:eastAsia="Times New Roman" w:cs="Times New Roman" w:ascii="Times New Roman" w:hAnsi="Times New Roman"/>
          <w:color w:val="111111"/>
          <w:sz w:val="28"/>
          <w:szCs w:val="28"/>
          <w:lang w:val="en-US"/>
        </w:rPr>
        <w:t>diakui betapa kuat pengaruh Muhammad Taqi Mishbâh Yazdî di sebagian  filsuf muda dan guru-guru filsafat. Bagi mereka, berguru padanya  adalah kebanggaan yang seringkali melengkapi kata pengantar karya-  karya metafisika, filsafat agama dan teologi baru mereka.</w:t>
      </w:r>
      <w:r>
        <w:rPr>
          <w:rStyle w:val="FootnoteAnchor"/>
        </w:rPr>
        <w:footnoteReference w:id="473"/>
      </w:r>
      <w:r>
        <w:rPr>
          <w:rFonts w:eastAsia="Times New Roman" w:cs="Times New Roman" w:ascii="Times New Roman" w:hAnsi="Times New Roman"/>
          <w:color w:val="111111"/>
          <w:sz w:val="28"/>
          <w:szCs w:val="28"/>
          <w:lang w:val="en-US"/>
        </w:rPr>
        <w:t xml:space="preserve"> Penulis juga menyimpulkan bahwa pemikiran filsafat Muhammad  Taqi Mishbâh Yazdî pada mulanya belum pernah dipresentasikan  secara akademis serta dibahas dan didiskusikan kalangan pemikir kritis  yang berbeda aliran dengannya. Karena itulah, sebagian muridnya  beranggapan bahwa figur Muhammad Taqi Mishbâh Yazdî menjadi  besar bukan karena kekuatan dan ketajaman pandangannya, melainkan  lebih disebabkan keberaniannya melawan arus utama pemikiran filsafat  di hawzah ilmiah.</w:t>
      </w:r>
    </w:p>
    <w:p>
      <w:pPr>
        <w:pStyle w:val="BookText"/>
        <w:bidi w:val="0"/>
        <w:jc w:val="both"/>
        <w:rPr/>
      </w:pPr>
      <w:r>
        <w:rPr>
          <w:rFonts w:eastAsia="Times New Roman" w:cs="Times New Roman" w:ascii="Times New Roman" w:hAnsi="Times New Roman"/>
          <w:color w:val="111111"/>
          <w:sz w:val="28"/>
          <w:szCs w:val="28"/>
          <w:lang w:val="en-US"/>
        </w:rPr>
        <w:t>Namun demikian, dalam banyak kuliah filsafat Mullâ Sadrâ,  catatan-catatan kritis dan teori-teori baru Muhammad Taqi Mishbâh  Yazdî acapkali diketengahkan sebagai suatu indikasi atas kekuatan  argumen-argumennya yang layak dipertimbangkan. Hingga terbitnya  buku 10 jilid Rahîq Makhtûm karya Javâdî Amoli yang merupakan syarh  terrnci atas dua jilid pertama Asfar Arbaah, dan diangkatnya semangat  nasional “Kursi Nazariyeh-e Pardazi” (forum penggagasan teori baru)  oleh Ali Khamenei, pandangan-pandangan dan kritik-kritik Muhammad  Taqi Mishbâh Yazdî mulai menarik perhatian dan didiskusikan kalangan  pemikir kritis yang berbeda aliran dengannya. Hanya, sayang, bahasan  dan diskusi ini tidak memancing tanggapan lisan dan tulisan dari  Muhammad Taqi Mishbâh Yazdî, sehingga proses diskusi dialogis di  antara mereka sampai sekarang pun tidak terjadi.</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Berikut beberapa kesimpulan penulis yang disertai dengan catatan  kritis: </w:t>
      </w:r>
      <w:bookmarkStart w:id="288" w:name="pg6424_45386"/>
    </w:p>
    <w:p>
      <w:pPr>
        <w:pStyle w:val="Heading4"/>
        <w:numPr>
          <w:ilvl w:val="3"/>
          <w:numId w:val="1"/>
        </w:numPr>
        <w:bidi w:val="0"/>
        <w:jc w:val="left"/>
        <w:rPr/>
      </w:pPr>
      <w:bookmarkStart w:id="289" w:name="__RefHeading___Toc688725_653776707"/>
      <w:bookmarkStart w:id="290" w:name="_Toc102"/>
      <w:bookmarkEnd w:id="288"/>
      <w:bookmarkEnd w:id="289"/>
      <w:r>
        <w:rPr/>
        <w:t>1. Epistemologi</w:t>
      </w:r>
      <w:bookmarkEnd w:id="290"/>
    </w:p>
    <w:p>
      <w:pPr>
        <w:pStyle w:val="BookText"/>
        <w:bidi w:val="0"/>
        <w:jc w:val="both"/>
        <w:rPr/>
      </w:pPr>
      <w:r>
        <w:rPr>
          <w:rFonts w:eastAsia="Times New Roman" w:cs="Times New Roman" w:ascii="Times New Roman" w:hAnsi="Times New Roman"/>
          <w:color w:val="111111"/>
          <w:sz w:val="28"/>
          <w:szCs w:val="28"/>
          <w:lang w:val="en-US"/>
        </w:rPr>
        <w:t>Dalam epistemologi, pandangan Muhammad Taqi Mishbâh Yazdî  dapat disimpulkan sebagai berikut:</w:t>
      </w:r>
    </w:p>
    <w:p>
      <w:pPr>
        <w:pStyle w:val="BookText"/>
        <w:bidi w:val="0"/>
        <w:jc w:val="both"/>
        <w:rPr/>
      </w:pPr>
      <w:r>
        <w:rPr>
          <w:rFonts w:eastAsia="Times New Roman" w:cs="Times New Roman" w:ascii="Times New Roman" w:hAnsi="Times New Roman"/>
          <w:color w:val="111111"/>
          <w:sz w:val="28"/>
          <w:szCs w:val="28"/>
          <w:lang w:val="en-US"/>
        </w:rPr>
        <w:t>Pertama, Muhammad Taqi Mishbâh Yazdî yang menganggap seluruh  konsep harus tunduk pada formulasi logika peripatetik. Dalam hal ini,  Muhammad Taqi Mishbâh Yazdî bersikukuh bahwa meskipun ilmu  dengan kehadiran (film hudhûrî atau knowledge by presence) diakuinya  sebagai induk segala pengetahuan, namun ilmu hushûlî tetap merupakan  sarana yang secara koheren menjembatani antara subjek dan objek.</w:t>
      </w:r>
    </w:p>
    <w:p>
      <w:pPr>
        <w:pStyle w:val="BookText"/>
        <w:bidi w:val="0"/>
        <w:jc w:val="both"/>
        <w:rPr/>
      </w:pPr>
      <w:r>
        <w:rPr>
          <w:rFonts w:eastAsia="Times New Roman" w:cs="Times New Roman" w:ascii="Times New Roman" w:hAnsi="Times New Roman"/>
          <w:color w:val="111111"/>
          <w:sz w:val="28"/>
          <w:szCs w:val="28"/>
          <w:lang w:val="en-US"/>
        </w:rPr>
        <w:t>Penulis menemukan inkonsistensi Muhammad Taqi Mishbâh  Yazdî di balik pandangan-pandangan kritisnya dalam epistemologi.</w:t>
      </w:r>
    </w:p>
    <w:p>
      <w:pPr>
        <w:pStyle w:val="BookText"/>
        <w:bidi w:val="0"/>
        <w:jc w:val="both"/>
        <w:rPr/>
      </w:pPr>
      <w:r>
        <w:rPr>
          <w:rFonts w:eastAsia="Times New Roman" w:cs="Times New Roman" w:ascii="Times New Roman" w:hAnsi="Times New Roman"/>
          <w:color w:val="111111"/>
          <w:sz w:val="28"/>
          <w:szCs w:val="28"/>
          <w:lang w:val="en-US"/>
        </w:rPr>
        <w:t>Dengan tetap mengaku sebagai penganut Sadraisme—karena meyakini  ashâat al-wujûd—ia menolak memasukkan ilmu hudhûrî sebagai  bagian dari metodologi dan justifikasi filsafat ontologi. Padahal dalam  pandangan filsafat Mullâ Sadrâ dan Thabâthabâ’î, karena pengetahuan  diperlakukan sebagai maujud, epistemologi menjadi bagian integral dari  ontologi, berdasarkan kaidah ‘ittihâd al-âqil wa al-ma'qûl’. Rupanya,  karena menghindari keterlibatan dzauq dalam filsafat, Muhammad Taqî  Mishbâh Yazdî melakukan sebuah aksi eklektik dengan tetap memulai  pembahasan filsafat dari pengetahuan. Secara singkat, Muhammad Taqî  Mishbâh Yazdî mendahulukan pengetahuan atas keberadaan (wujud).</w:t>
      </w:r>
    </w:p>
    <w:p>
      <w:pPr>
        <w:pStyle w:val="BookText"/>
        <w:bidi w:val="0"/>
        <w:jc w:val="both"/>
        <w:rPr/>
      </w:pPr>
      <w:r>
        <w:rPr>
          <w:rFonts w:eastAsia="Times New Roman" w:cs="Times New Roman" w:ascii="Times New Roman" w:hAnsi="Times New Roman"/>
          <w:color w:val="111111"/>
          <w:sz w:val="28"/>
          <w:szCs w:val="28"/>
          <w:lang w:val="en-US"/>
        </w:rPr>
        <w:t>Dengan kata lain, ia ingin mensitesakan filsafat Mullâ Sadrâ yang  teosofis dan filsafat Ibn Sina yang skolastik.</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dengan merujuk karya utamanya, Âmûzesy-e Falsafeh dan  Ta'lîgah bar Nihâyat al-Hikmah, dapat dipastikan bahwa penolakan  Muhammad Taqi Mishbâh Yazdî atas keterlibatan ilmu hudhûrî dalam  filsafat ontologi hanya sebatas motode pembuktian atas proposisi-  proposisi spekulatif (nazharî). Ia menegaskan bahwa jangkauan ilmu  hudhûrî dalam memecahkan persoalan-persoalan ontologis dan teologis  sangatlah terbatas, sehingga jenis ilmu ini, meski tetap dipandang penting  dan krusial, mendapatkan ruang yang sempit sekaligus tinggi. Ketinggian  tempat ilmu hudhûrî dalam ontologi, menurut Muhammad Taqi Mishbâh </w:t>
      </w:r>
    </w:p>
    <w:p>
      <w:pPr>
        <w:pStyle w:val="BookText"/>
        <w:bidi w:val="0"/>
        <w:rPr/>
      </w:pPr>
      <w:r>
        <w:rPr>
          <w:rFonts w:eastAsia="Times New Roman" w:cs="Times New Roman" w:ascii="Times New Roman" w:hAnsi="Times New Roman"/>
          <w:color w:val="111111"/>
          <w:sz w:val="28"/>
          <w:szCs w:val="28"/>
          <w:lang w:val="en-US"/>
        </w:rPr>
        <w:t>Yazdî, dikuatkan oleh kepercayaannya pada foundasionalisme dan oleh  padanngannya bahwa ilmu hudhûrî adalah salah satu basis pengetahuan-  pengetahuan badîhî.</w:t>
      </w:r>
      <w:r>
        <w:rPr>
          <w:rStyle w:val="FootnoteAnchor"/>
        </w:rPr>
        <w:footnoteReference w:id="474"/>
      </w:r>
      <w:r>
        <w:rPr>
          <w:rFonts w:eastAsia="Times New Roman" w:cs="Times New Roman" w:ascii="Times New Roman" w:hAnsi="Times New Roman"/>
          <w:color w:val="111111"/>
          <w:sz w:val="28"/>
          <w:szCs w:val="28"/>
          <w:lang w:val="en-US"/>
        </w:rPr>
        <w:t xml:space="preserve"> Kedua, ilmu hudhûrî telah dikenal sebagai salah satu ciri khas  filsafat Islam, sejak awal diketengahkan oleh al-Farabi dan Ibnu Sina dan  Surhawardî. Tokoh yang berperan penting dalam pengembangan jenis  ilmu ini adalah Mullâ Sadrâ. Pada masa Muhammad Taqi Mishbâh Yazdî,  ilmu hudhûrî yang terus dikaji akhirnya didefiniskan secara beragam.</w:t>
      </w:r>
    </w:p>
    <w:p>
      <w:pPr>
        <w:pStyle w:val="BookText"/>
        <w:bidi w:val="0"/>
        <w:jc w:val="both"/>
        <w:rPr/>
      </w:pPr>
      <w:r>
        <w:rPr>
          <w:rFonts w:eastAsia="Times New Roman" w:cs="Times New Roman" w:ascii="Times New Roman" w:hAnsi="Times New Roman"/>
          <w:color w:val="111111"/>
          <w:sz w:val="28"/>
          <w:szCs w:val="28"/>
          <w:lang w:val="en-US"/>
        </w:rPr>
        <w:t>Paling tidak, ada enam definisi untuk ilmu hudhûrî,</w:t>
      </w:r>
      <w:r>
        <w:rPr>
          <w:rStyle w:val="FootnoteAnchor"/>
        </w:rPr>
        <w:footnoteReference w:id="475"/>
      </w:r>
      <w:r>
        <w:rPr>
          <w:rFonts w:eastAsia="Times New Roman" w:cs="Times New Roman" w:ascii="Times New Roman" w:hAnsi="Times New Roman"/>
          <w:color w:val="111111"/>
          <w:sz w:val="28"/>
          <w:szCs w:val="28"/>
          <w:lang w:val="en-US"/>
        </w:rPr>
        <w:t xml:space="preserve">di samping tentunya  definisi yang ia ajukan sendiri. Hingga kini, definisi Muhammad Taqî  Mishbâh Yazdî lebih diterima dan menjadi postulat kajian-kajian seputar  ilmu hudhurî. </w:t>
      </w:r>
      <w:r>
        <w:rPr>
          <w:rStyle w:val="FootnoteAnchor"/>
        </w:rPr>
        <w:footnoteReference w:id="476"/>
      </w:r>
      <w:r>
        <w:rPr>
          <w:rFonts w:eastAsia="Times New Roman" w:cs="Times New Roman" w:ascii="Times New Roman" w:hAnsi="Times New Roman"/>
          <w:color w:val="111111"/>
          <w:sz w:val="28"/>
          <w:szCs w:val="28"/>
          <w:lang w:val="en-US"/>
        </w:rPr>
        <w:t xml:space="preserve"> Namun, menurut penulis, satu hal yang diabaikan oleh Muhammad  Taqî Mishbâh Yazdî dalam pembahasan ilmu hudhûrî ialah kriteria suatu  pengetahuan itu dipastikan sebagai ilmu hudhûrî. Pembelaan terkecil  yang bias dibawakan di sini ialah bahwa meski hingga kini, masalah  kriteria ilmu hudhûrî telah menuai tiga teori yang dikemukakan oleh  Ibn Sina, Thabâthabâ’î dan Mutahhari, namun ketiga-tiganya merujukan  penjelasan mereka pada kajian-kajian ontologis, </w:t>
      </w:r>
      <w:r>
        <w:rPr>
          <w:rStyle w:val="FootnoteAnchor"/>
        </w:rPr>
        <w:footnoteReference w:id="477"/>
      </w:r>
      <w:r>
        <w:rPr>
          <w:rFonts w:eastAsia="Times New Roman" w:cs="Times New Roman" w:ascii="Times New Roman" w:hAnsi="Times New Roman"/>
          <w:color w:val="111111"/>
          <w:sz w:val="28"/>
          <w:szCs w:val="28"/>
          <w:lang w:val="en-US"/>
        </w:rPr>
        <w:t>suatu hal yang boleh  jadi tidak terkait langsung dengan kajian epistemologis.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Pembelaan ini kecil mengingat penjelasan ontologis atau apa pun  sifatnya selama ia intelektual dan reasonable, dapat dijadikan sebagai  interpretasi atas sebuah persoalan suatu ilmu, dan penjelasan ontologis  yang diajukan oleh tiga filsuf tadi tidak serta merta merusak identitas  masalah yang djelaskan dari sifatnya sebagai epistemologi, sebagaimana  wahdat al-wujûd dalam tasawuf tidak akan berubah dari cirinya sebagai  prinsip tasawuf kendati telah dibuktikan oleh Mulla Sadrã dengan  sistem filsafatnmya. </w:t>
      </w:r>
    </w:p>
    <w:p>
      <w:pPr>
        <w:pStyle w:val="BookText"/>
        <w:bidi w:val="0"/>
        <w:rPr/>
      </w:pPr>
      <w:r>
        <w:rPr>
          <w:rFonts w:eastAsia="Times New Roman" w:cs="Times New Roman" w:ascii="Times New Roman" w:hAnsi="Times New Roman"/>
          <w:color w:val="111111"/>
          <w:sz w:val="28"/>
          <w:szCs w:val="28"/>
          <w:lang w:val="en-US"/>
        </w:rPr>
        <w:t>Ketiga, pada umumnya, para filsuf Muslim menganut  fondasionalisme. Mereka percaya bahwa korespondensi semua  pengetahuan manusia dengan fakta mereka harus dijastufikasi  berdasarkan satu atau sejumlah basis pengetahuan yang tidak perlu  lagi justifikasi. Mereka menyebut basis-basis pengetahuan itu sebagai  badîîhiyyât awaliyyah (propisisi-proposisi aprior primer). Persoalannya,  mengapa premis-premis aprior (badîhî) ini tidak perlu lagi justifikasi  untuk memastikan korespondensinya dengan faktanya?  Biasanya pertanyaan ini dijawab dengan menyatakan bahwa dalam  pengetahuan-pengetahuan basis, sebab kepastian itu ada di dalam  proposisi itu sendiri, yaitu sekadar memahami subjek dan predikatnya  secara baik maka kepastian/jugement pun diperoleh. Namun, bagi  Muhammad Taqi Mishbâh Yazdî, pengetahuan-pengetahuan badihi itu  sebenarnya berasal dari ilmu hudhûrî melalui proposisi-proposisi analitik  (gadhâyâ tahliliyyah), dan pengetahuan itu pasti benar dan sesuai dengan  faktanya karena sumbernya, yakni ilmu hudhûrî tidak akan pernah keliru  sebagaimana telah dijelaskan.</w:t>
      </w:r>
      <w:r>
        <w:rPr>
          <w:rStyle w:val="FootnoteAnchor"/>
        </w:rPr>
        <w:footnoteReference w:id="478"/>
      </w:r>
      <w:r>
        <w:rPr>
          <w:rFonts w:eastAsia="Times New Roman" w:cs="Times New Roman" w:ascii="Times New Roman" w:hAnsi="Times New Roman"/>
          <w:color w:val="111111"/>
          <w:sz w:val="28"/>
          <w:szCs w:val="28"/>
          <w:lang w:val="en-US"/>
        </w:rPr>
        <w:t xml:space="preserve"> Menurut penulis, teori Muhammad Taqi Mishbâh Yazdî ini benar-  benar baru sehingga menuai banyak gugatan dan tanggapan. Sejauh ini,  hanya satu catatan kritis yang mengganggu konsistensi teori tersebut,  yaitu bahwa tidak semua pengetahuan (hushûlî) dapat diurai kepada  proposisi analitik sehingga dirujukkan kepada ilmu hudhûrî.</w:t>
      </w:r>
    </w:p>
    <w:p>
      <w:pPr>
        <w:pStyle w:val="BookText"/>
        <w:bidi w:val="0"/>
        <w:jc w:val="both"/>
        <w:rPr/>
      </w:pPr>
      <w:r>
        <w:rPr>
          <w:rFonts w:eastAsia="Times New Roman" w:cs="Times New Roman" w:ascii="Times New Roman" w:hAnsi="Times New Roman"/>
          <w:color w:val="111111"/>
          <w:sz w:val="28"/>
          <w:szCs w:val="28"/>
          <w:lang w:val="en-US"/>
        </w:rPr>
        <w:t>Keempat, sebagaimana diketahui, epistemologi dalam kajian-kajian  filsafat Islam terbilang baru. Tema ini tidak akan ditemukan dalam  karya-karya para filsuf muslim terdahulu kecuali secara sporadis.</w:t>
      </w:r>
    </w:p>
    <w:p>
      <w:pPr>
        <w:pStyle w:val="BookText"/>
        <w:bidi w:val="0"/>
        <w:jc w:val="both"/>
        <w:rPr/>
      </w:pPr>
      <w:r>
        <w:rPr>
          <w:rFonts w:eastAsia="Times New Roman" w:cs="Times New Roman" w:ascii="Times New Roman" w:hAnsi="Times New Roman"/>
          <w:color w:val="111111"/>
          <w:sz w:val="28"/>
          <w:szCs w:val="28"/>
          <w:lang w:val="en-US"/>
        </w:rPr>
        <w:t>Tokoh yang pertama kali mendiskripsikannya atas dasar filsafat Islam  adalah Thabâthabâ’i dalam Ushûl-e Falsafeh va Rawesy-e Realism.</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Upaya ini dilanjutkan oleh Muthahhari dengan memberikan komentar-  komentar terinci atas karya ini. Faktor dominan yang mendesak mereka  mengambil langkah ini adalah masuknya karya-karya filsafat Barat dan  interaksi mereka deengan pemikir-pemikir Barat, serta merebaknya </w:t>
      </w:r>
    </w:p>
    <w:p>
      <w:pPr>
        <w:pStyle w:val="BookText"/>
        <w:bidi w:val="0"/>
        <w:rPr/>
      </w:pPr>
      <w:r>
        <w:rPr>
          <w:rFonts w:eastAsia="Times New Roman" w:cs="Times New Roman" w:ascii="Times New Roman" w:hAnsi="Times New Roman"/>
          <w:color w:val="111111"/>
          <w:sz w:val="28"/>
          <w:szCs w:val="28"/>
          <w:lang w:val="en-US"/>
        </w:rPr>
        <w:t>filsafat Marxisme pada masa itu. Selanjutnya, Muhammad Taqi Mishbâh  Yazdî turut menyusun epistemologi yang berbasis di atas tradisi filsafat  Islam, seperti yang tampak dalam karyannya, Jahân-bînî wa ideology  dan Âmûzesy-e Falsafeh.</w:t>
      </w:r>
    </w:p>
    <w:p>
      <w:pPr>
        <w:pStyle w:val="BookText"/>
        <w:bidi w:val="0"/>
        <w:jc w:val="both"/>
        <w:rPr/>
      </w:pPr>
      <w:r>
        <w:rPr>
          <w:rFonts w:eastAsia="Times New Roman" w:cs="Times New Roman" w:ascii="Times New Roman" w:hAnsi="Times New Roman"/>
          <w:color w:val="111111"/>
          <w:sz w:val="28"/>
          <w:szCs w:val="28"/>
          <w:lang w:val="en-US"/>
        </w:rPr>
        <w:t>Jelas, dinamika sejarah dan zaman telah memberikan peluang  yang lebih luas untuk Muhammad Taqi Mishbâh Yazdî sehingga ia  dapat merangkum berbagai banyak pandangan dari dalam dan luar  negerinya dan membantunya untuk mendiskripsikan epsitemologi Islam  secara lebih rapi, utuh dan kaya dari yang telah dilakukan sebelumnya.</w:t>
      </w:r>
    </w:p>
    <w:p>
      <w:pPr>
        <w:pStyle w:val="BookText"/>
        <w:bidi w:val="0"/>
        <w:jc w:val="both"/>
        <w:rPr/>
      </w:pPr>
      <w:r>
        <w:rPr>
          <w:rFonts w:eastAsia="Times New Roman" w:cs="Times New Roman" w:ascii="Times New Roman" w:hAnsi="Times New Roman"/>
          <w:color w:val="111111"/>
          <w:sz w:val="28"/>
          <w:szCs w:val="28"/>
          <w:lang w:val="en-US"/>
        </w:rPr>
        <w:t>Kendati sekian kelebihan ini, sejauh pengamatan penulis, epistemologi  Muhammad Taqi Mishbâh Yazdî masih menyisakan persoalan-persoalan  baru yang belum terjamah dalam karya-karyanya, seperti topik-topik  yang berkaiatan dengan pengetahuan indrawi.</w:t>
      </w:r>
    </w:p>
    <w:p>
      <w:pPr>
        <w:pStyle w:val="BookText"/>
        <w:bidi w:val="0"/>
        <w:jc w:val="both"/>
        <w:rPr/>
      </w:pPr>
      <w:r>
        <w:rPr>
          <w:rFonts w:eastAsia="Times New Roman" w:cs="Times New Roman" w:ascii="Times New Roman" w:hAnsi="Times New Roman"/>
          <w:color w:val="111111"/>
          <w:sz w:val="28"/>
          <w:szCs w:val="28"/>
          <w:lang w:val="en-US"/>
        </w:rPr>
        <w:t>Kelima, proposisi analitik semirip ketat dengan apa yang dikenal  dalam filsafat Mullâ Sadrâ dengan istilah haml awwali dzâtî (predikasi  konsep atas konsep) dengan penjelasan yang telah dibawakan. Padangan  Muhammad Taqi Mishbâh Yazdî dapat disimpulkan bahwa dalam  proposisi analitik mesti ada kopula (râbith), tetapi rabith ini tidak mesti  wujud; yakni wujud râbith.</w:t>
      </w:r>
      <w:r>
        <w:rPr>
          <w:rStyle w:val="FootnoteAnchor"/>
        </w:rPr>
        <w:footnoteReference w:id="479"/>
      </w:r>
      <w:r>
        <w:rPr>
          <w:rFonts w:eastAsia="Times New Roman" w:cs="Times New Roman" w:ascii="Times New Roman" w:hAnsi="Times New Roman"/>
          <w:color w:val="111111"/>
          <w:sz w:val="28"/>
          <w:szCs w:val="28"/>
          <w:lang w:val="en-US"/>
        </w:rPr>
        <w:t>Ia hanyalah hubungan logis yang mesti  dalam analisis mental, dan ini tidak mesti ia sebagai wujud, karena ada  banyak hal yang berkembang dalam konstruksi mental (i'tibâriyyât aql/  mafhûm intizâ'i, maʼqûl tsânî manthiqî) yang sama sekali tidak punya  acuan di luar mental, seperti proposisi, universal, partikular, dan konsep-  konsep sekunder logis lainnya.</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Pandangan ini sebenarnya melawan pandangan gurunya yang  menegaskan bahwa dalam proposisi primer, termasuk proposisi  analitik, tidak ada râbith. Perselisihan ini akan menjadi krusial tatkala  dihubungkan dengan ashâlat al-wujûd. Menurut Thabâthabâ’î, setiap  hukum yang dinisbahkan kepada mâhiyyât, pada dasarnya adalah hukum  wujud, lalu dengan wujud, hukum itu berlaku pada mâhiyât, baik itu itu  sifat-sifat aksidental mâhiyât ataupun sifat-sifat substansialnya</w:t>
      </w:r>
      <w:r>
        <w:rPr>
          <w:rStyle w:val="FootnoteAnchor"/>
        </w:rPr>
        <w:footnoteReference w:id="480"/>
      </w:r>
      <w:bookmarkStart w:id="291" w:name="pg6424_45394"/>
    </w:p>
    <w:p>
      <w:pPr>
        <w:pStyle w:val="BookText"/>
        <w:bidi w:val="0"/>
        <w:rPr/>
      </w:pPr>
      <w:bookmarkEnd w:id="291"/>
      <w:r>
        <w:rPr>
          <w:rFonts w:eastAsia="Times New Roman" w:cs="Times New Roman" w:ascii="Times New Roman" w:hAnsi="Times New Roman"/>
          <w:color w:val="111111"/>
          <w:sz w:val="28"/>
          <w:szCs w:val="28"/>
          <w:lang w:val="en-US"/>
        </w:rPr>
        <w:t>Namun bagi Muhammad Taqi Mishbâh Yazdî, meski ia tepat pada  hukum-hukum aksidentalmâhiyyat(dimana keberlakuannya pada mahiyat  berlangsung dengan wujud), akan tetapi tidak demikian pada hukum-  hukum substansial mâhiyyat, sperti hewan untuk mâhiyyat manusia,  sebab predikasi hewan pada manusia menjadi benar hanya dengan  kesatuan konseptual saja, oleh karena itu tidak perlu mengasumsikan  kesatuan itu adalah wujûd ashîl itu”.</w:t>
      </w:r>
      <w:r>
        <w:rPr>
          <w:rStyle w:val="FootnoteAnchor"/>
        </w:rPr>
        <w:footnoteReference w:id="481"/>
      </w:r>
      <w:r>
        <w:rPr>
          <w:rFonts w:eastAsia="Times New Roman" w:cs="Times New Roman" w:ascii="Times New Roman" w:hAnsi="Times New Roman"/>
          <w:color w:val="111111"/>
          <w:sz w:val="28"/>
          <w:szCs w:val="28"/>
          <w:lang w:val="en-US"/>
        </w:rPr>
        <w:t xml:space="preserve"> Tampaknya, apapun predikasi dalam setiap proposisi, baik analitik  ataupun sintetik, baik awwali ataupun syayi' shinâ'i, pasti melazimkan  adanya semacam kesatuan. Dalam kaidah dasar filsafat, kesatuan itu  musâwiq (identik seketat-ketatnya) dengan wujûd. Karena itu, sekalipun  kesatuan itu dalam poros konsep, tetap saja wujud terselubung di sana,  yakni kesatuan subjek dan predikat atau kesatuan dua konsep dalam satu  proposisiyaitu keterbuhungan dua sesuatu, dan jelas sekali keterhubungan  ini adalah bagian dari corak wujûd. Bagaimanapun juga, w ujûd tidak bisa  diasumsikan lepas dari suatu gejala.</w:t>
      </w:r>
    </w:p>
    <w:p>
      <w:pPr>
        <w:pStyle w:val="Heading4"/>
        <w:numPr>
          <w:ilvl w:val="3"/>
          <w:numId w:val="1"/>
        </w:numPr>
        <w:bidi w:val="0"/>
        <w:jc w:val="left"/>
        <w:rPr/>
      </w:pPr>
      <w:bookmarkStart w:id="292" w:name="__RefHeading___Toc688727_653776707"/>
      <w:bookmarkStart w:id="293" w:name="_Toc103"/>
      <w:bookmarkEnd w:id="292"/>
      <w:r>
        <w:rPr/>
        <w:t>2. Ontologi</w:t>
      </w:r>
      <w:bookmarkEnd w:id="293"/>
    </w:p>
    <w:p>
      <w:pPr>
        <w:pStyle w:val="BookText"/>
        <w:bidi w:val="0"/>
        <w:jc w:val="both"/>
        <w:rPr/>
      </w:pPr>
      <w:r>
        <w:rPr>
          <w:rFonts w:eastAsia="Times New Roman" w:cs="Times New Roman" w:ascii="Times New Roman" w:hAnsi="Times New Roman"/>
          <w:color w:val="111111"/>
          <w:sz w:val="28"/>
          <w:szCs w:val="28"/>
          <w:lang w:val="en-US"/>
        </w:rPr>
        <w:t>Pandangan-pandangan Muhammad Taqi Mishbâh Yazdî  dapat disimpulkan sebagai berikut:</w:t>
      </w:r>
    </w:p>
    <w:p>
      <w:pPr>
        <w:pStyle w:val="BookText"/>
        <w:bidi w:val="0"/>
        <w:jc w:val="both"/>
        <w:rPr/>
      </w:pPr>
      <w:r>
        <w:rPr>
          <w:rFonts w:eastAsia="Times New Roman" w:cs="Times New Roman" w:ascii="Times New Roman" w:hAnsi="Times New Roman"/>
          <w:color w:val="111111"/>
          <w:sz w:val="28"/>
          <w:szCs w:val="28"/>
          <w:lang w:val="en-US"/>
        </w:rPr>
        <w:t>Pertama, Muhammad Taqi Mishbâh Yazdî menentukan pilihannya  pada Esksistensialisme (ashâlat al-wujûd) yang karena itu ia masih  dianggap sebagai filsuf Sadrian. Berkenaan dengan masalah ini, penulis  menemukan, paling tidak dua hal, yang perlu dikritisi.</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Para pendukung ashâlat al-wujûd, termasuk Mullâ Sadrâ,  Thabâthabâ’î dan Muhammad Taqi Mishbâh Yazdî terlihat tidak konsisten  saat mendefiniskan mahiyyah. Kadang, mendefinisikannya sebagai  sesuatu yang bersufat mental, kadang juga di eksternal. Sebagai contoh,  dalam argumentasi pengafirmasian ashâlat al-wujûd dan penegasian  ashâlat al-mâhiyyah, digunakan mahiyyah dengan “al-mâhiyyah fi haddi  nafsihâ, laysat maujûdah wala ma’dûmah” atupun dengan istilah “al-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mâhiyyah lâ bi al-syarth”. Sedangkan dalam al-Masyâ ir, Mullâ Sadrâ  mengatakan “al-mâhiyyah ‘ain al-wujûď”, (mâhiyyah adalah wujud itu  sendiri) dan dalam bagian lain, ia mengatakan, “al-mâhiyyah hiya hadd  al-wujud” (mâhiyyah adalah sparator wujûd);  (2) Sejak Mullâ Sadrâ hingga Thabâthabâ’î, tidak terjadi perubahan  pendefinisian ma</w:t>
      </w:r>
      <w:r>
        <w:rPr>
          <w:rFonts w:eastAsia="Consolas" w:cs="Consolas" w:ascii="Consolas" w:hAnsi="Consolas"/>
          <w:color w:val="111111"/>
          <w:sz w:val="28"/>
          <w:szCs w:val="28"/>
          <w:lang w:val="en-US"/>
        </w:rPr>
        <w:t>qûl awwalî dan ma</w:t>
      </w:r>
      <w:r>
        <w:rPr>
          <w:rFonts w:eastAsia="Times New Roman" w:cs="Times New Roman" w:ascii="Times New Roman" w:hAnsi="Times New Roman"/>
          <w:color w:val="111111"/>
          <w:sz w:val="28"/>
          <w:szCs w:val="28"/>
          <w:lang w:val="en-US"/>
        </w:rPr>
        <w:t>qûl tsanawi. Ketika membagi  pengetahuan universal menjadi dua bagian; ma</w:t>
      </w:r>
      <w:r>
        <w:rPr>
          <w:rFonts w:eastAsia="Consolas" w:cs="Consolas" w:ascii="Consolas" w:hAnsi="Consolas"/>
          <w:color w:val="111111"/>
          <w:sz w:val="28"/>
          <w:szCs w:val="28"/>
          <w:lang w:val="en-US"/>
        </w:rPr>
        <w:t>qûl awwalî mahawi (first  esential intelligible) dan ma'qûl tsanawî falsafi (philosophical second  intelligible), Mullâ Sadrâ hingga Muhammad Taqi Mishbâh Yazdî, tidak  memberikan perubahan makna yang sesuai dengan paradigma ashâlat  al-wujud. Para filsuf mengartikan ma'qûl awwalî mâhawî sebagai  “wujuduha wa ‘urudhuha khârijiyyan (eksistensi dan predikasinya  bersifat eksternal). Sedangkan untuk maʼqul tsanawi falsafî sebagai  “wujuduha dzihni wa ‘urudhuha khâriji (eksistensinya bersifat mental  dan predikasinya bersifat eksternal. &lt;a href="#ref-footnote1-page315" id="footnote1-page315" style="display:inline-block"&gt;&lt;sup&gt;(1)&lt;/sup&gt;&lt;/a&gt;&lt;p class="footnote"&gt;&lt;a href="#footnote1-page315" style="color:#3b82f6;" id="ref-footnote1-page315"&gt; 1) &lt;/a&gt;Muhammad Taqi Mishbah Yazdi, Amûzesye Falsafeh, hlm 18-20.&lt;/p&gt; Definisi di atas terhadap kedua bagian dari pengetahuan universal  tidak sesuai dengan paradigma ashâlat al-wujûd, karena mâhiyyah  (ma</w:t>
      </w:r>
      <w:r>
        <w:rPr>
          <w:rFonts w:eastAsia="Times New Roman" w:cs="Times New Roman" w:ascii="Times New Roman" w:hAnsi="Times New Roman"/>
          <w:color w:val="111111"/>
          <w:sz w:val="28"/>
          <w:szCs w:val="28"/>
          <w:lang w:val="en-US"/>
        </w:rPr>
        <w:t>qûl awwalî mâhawî) tidak memiliki nilai eksistensi eksternal, sesuai  pandangan ashâlat al-wujûd, dan yang memiliki nilai eksistensi eksternal  hanyalah wujud. Sedangkan wujud masuk dalam bagian definisi ma</w:t>
      </w:r>
      <w:r>
        <w:rPr>
          <w:rFonts w:eastAsia="Consolas" w:cs="Consolas" w:ascii="Consolas" w:hAnsi="Consolas"/>
          <w:color w:val="111111"/>
          <w:sz w:val="28"/>
          <w:szCs w:val="28"/>
          <w:lang w:val="en-US"/>
        </w:rPr>
        <w:t>qûl  tsânawi falsafi, dan ini sama sekali tidak sejalan dengan pandangan dan  paradigma ashâlat al-wujûd. Selain itu, dalam pembahasan quiditas  (mâhiyyah) dan pembagiannya menjadi dua; jawhar dan 'aradh, mazhab  Hikmah Mutâ’âliyah mendefinisikan jawhar dengan “in wujidat wujidat  lâf maudhũ” (yang ada sebagai penyandang, subjek), dan 'aradh dengan  “in wujidat wijidat fi maudhu” (hanya ada sebagai sandangan, predikat)  . Dari definisi yang mereka paparkan, jelas ada nilai wujûdiyyah bagi  jawhar dan 'aradh di eksternal, dan ini lebih sesuai dengan definisi  ma</w:t>
      </w:r>
      <w:r>
        <w:rPr>
          <w:rFonts w:eastAsia="Times New Roman" w:cs="Times New Roman" w:ascii="Times New Roman" w:hAnsi="Times New Roman"/>
          <w:color w:val="111111"/>
          <w:sz w:val="28"/>
          <w:szCs w:val="28"/>
          <w:lang w:val="en-US"/>
        </w:rPr>
        <w:t xml:space="preserve">qûl awwalî mâhawî yang belum diubah pendefinisiannya. Menurut  penulis, inilah salah satu bukti inkonsistensi penggunaan kata dan definisi  mâhiyyah. </w:t>
      </w:r>
    </w:p>
    <w:p>
      <w:pPr>
        <w:pStyle w:val="BookText"/>
        <w:bidi w:val="0"/>
        <w:rPr/>
      </w:pPr>
      <w:r>
        <w:rPr>
          <w:rFonts w:eastAsia="Times New Roman" w:cs="Times New Roman" w:ascii="Times New Roman" w:hAnsi="Times New Roman"/>
          <w:color w:val="111111"/>
          <w:sz w:val="28"/>
          <w:szCs w:val="28"/>
          <w:lang w:val="en-US"/>
        </w:rPr>
        <w:t>Kedua, pandangan Muhammad Taqi Mishbâh Yazdî tentang wujûd  râbith (wujud kopulatif) jelas berbeda dengan tradisi filsafat Islam. Para  penganut ashâlat al-wujûd percaya bahwa wujud yang dibawa dalam  topik ashalat al-wujud bukan semata-mata konsep wujud, akan tetapi  mishdâq (hakikat real)-nya di luar. Hakikat riil wujud ini mencakup wujud  predikatif (mahmûlî) dan wujud kopulatif (râbith). Bagi Muhammad  Taqi Mishbâh Yazdî, wujud kopulatif tidak termasuk dalam pembahasan  ashâlat al-wujûd, karena ia semestinya dibahas dalam ilmu mantiq.</w:t>
      </w:r>
    </w:p>
    <w:p>
      <w:pPr>
        <w:pStyle w:val="BookText"/>
        <w:bidi w:val="0"/>
        <w:jc w:val="both"/>
        <w:rPr/>
      </w:pPr>
      <w:r>
        <w:rPr>
          <w:rFonts w:eastAsia="Times New Roman" w:cs="Times New Roman" w:ascii="Times New Roman" w:hAnsi="Times New Roman"/>
          <w:color w:val="111111"/>
          <w:sz w:val="28"/>
          <w:szCs w:val="28"/>
          <w:lang w:val="en-US"/>
        </w:rPr>
        <w:t xml:space="preserve">Alasan ini diperkuat dengan sanggahan Muhammad Taqi Mishbâh Yazdî  atas penjelasan wujud kopulatif (râbith) yang diuraikan gururnya dalam  Nihâyat al- Hikmah. Atas dasar inilah ia percaya bahwa pembahasan  ashâlat al-wujûd menjadi tepat setelah dibahas pembuktian atas validitas  satu macam wujud; yaitu wujud predikatif (mahmûlî). </w:t>
      </w:r>
      <w:r>
        <w:rPr>
          <w:rStyle w:val="FootnoteAnchor"/>
        </w:rPr>
        <w:footnoteReference w:id="482"/>
      </w:r>
      <w:r>
        <w:rPr>
          <w:rFonts w:eastAsia="Times New Roman" w:cs="Times New Roman" w:ascii="Times New Roman" w:hAnsi="Times New Roman"/>
          <w:color w:val="111111"/>
          <w:sz w:val="28"/>
          <w:szCs w:val="28"/>
          <w:lang w:val="en-US"/>
        </w:rPr>
        <w:t xml:space="preserve"> Dalam pandangan penulis, wujud atau kakikat riil wujud mencakup  wujud redikatif (mahmuli) dan wujud kopulatif (râbith), dan pandangan  Muhammad Taqi Mishbâh Yazdî tidaklah benar, karena pembahasan  tentang asas wujud kopulatif itu sendiri adalah pembahasan filsufis,  sementara mantiq membahasnya dalam batas-batas sifat dan hukum-  hukumnya. Ini persis ketika filsafat membahas wujud-nya keniscayaan  (dharûrat) dan kemungkinan (imkân) secara prinsipal, kemudian logika  membahas pembagian proposisi-proposal formal atas dasar keniscayaan  dan kemungkinan itu.</w:t>
      </w:r>
    </w:p>
    <w:p>
      <w:pPr>
        <w:pStyle w:val="BookText"/>
        <w:bidi w:val="0"/>
        <w:jc w:val="both"/>
        <w:rPr/>
      </w:pPr>
      <w:r>
        <w:rPr>
          <w:rFonts w:eastAsia="Times New Roman" w:cs="Times New Roman" w:ascii="Times New Roman" w:hAnsi="Times New Roman"/>
          <w:color w:val="111111"/>
          <w:sz w:val="28"/>
          <w:szCs w:val="28"/>
          <w:lang w:val="en-US"/>
        </w:rPr>
        <w:t>Selain itu, filsafat tidak hanya membahas prinsip wujud kopulatif,  bahkan wujud ini juga menadi aksis untuk banyak argumentasi-  argumentasi filsufis; termasuk salah satu bukti atas ashâlat al-wujûd.</w:t>
      </w:r>
    </w:p>
    <w:p>
      <w:pPr>
        <w:pStyle w:val="BookText"/>
        <w:bidi w:val="0"/>
        <w:jc w:val="both"/>
        <w:rPr/>
      </w:pPr>
      <w:r>
        <w:rPr>
          <w:rFonts w:eastAsia="Times New Roman" w:cs="Times New Roman" w:ascii="Times New Roman" w:hAnsi="Times New Roman"/>
          <w:color w:val="111111"/>
          <w:sz w:val="28"/>
          <w:szCs w:val="28"/>
          <w:lang w:val="en-US"/>
        </w:rPr>
        <w:t>Oleh karena itu, Mullâ Hâdi Sabzawârî menuturkan dalam syairnya:</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Andai saja wujud itu bukan ashil tak kan ada kesatuan  Sebab selain wujud hanyalah sumber keragaman</w:t>
      </w:r>
      <w:r>
        <w:rPr>
          <w:rStyle w:val="FootnoteAnchor"/>
        </w:rPr>
        <w:footnoteReference w:id="483"/>
      </w:r>
    </w:p>
    <w:p>
      <w:pPr>
        <w:pStyle w:val="BookText"/>
        <w:bidi w:val="0"/>
        <w:rPr/>
      </w:pPr>
      <w:r>
        <w:rPr>
          <w:rFonts w:eastAsia="Times New Roman" w:cs="Times New Roman" w:ascii="Times New Roman" w:hAnsi="Times New Roman"/>
          <w:color w:val="111111"/>
          <w:sz w:val="28"/>
          <w:szCs w:val="28"/>
          <w:lang w:val="en-US"/>
        </w:rPr>
        <w:t>Artinya, bila wujud tidak orisinal, maka wujûd râbith yang merupakan  bagian dari wujûd muthlaq adalah i’tibârî, dan dengan demikian maka  predikasi dalam setiap propopsisi yang berbeda subjek dan predikatnya  tidak akan pernah terjadi, karena predikasi (haml) selain adanya  perbedaan, mesti ada kesatuan, tentunya dari sisi yang berbeda. Oleh  karena itu, ashâlat al-wujûd dan wujud râbith sangat menentukan prinsip  predikasi dan proposisi dalam pembahasan-pembahasan logika.</w:t>
      </w:r>
    </w:p>
    <w:p>
      <w:pPr>
        <w:pStyle w:val="BookText"/>
        <w:bidi w:val="0"/>
        <w:jc w:val="both"/>
        <w:rPr/>
      </w:pPr>
      <w:r>
        <w:rPr>
          <w:rFonts w:eastAsia="Times New Roman" w:cs="Times New Roman" w:ascii="Times New Roman" w:hAnsi="Times New Roman"/>
          <w:color w:val="111111"/>
          <w:sz w:val="28"/>
          <w:szCs w:val="28"/>
          <w:lang w:val="en-US"/>
        </w:rPr>
        <w:t>Ketiga, Muhammad Taqi Mishbâh Yazdî menerima harakah  jawhariyyah yang digagas oleh Mullâ Sadrâ. Menurut pengamatan  penulis, Mullâ Sadrâ, Thabâthabâ’i dan Muhammad Taqi Mishbâh Yazdî  lalai untuk membatasi gerak pada subtansi material. Bila ditelisik lebih  jauh, yang dimaksud dengan gerak substansi adalah gerak pada subtansi  material semata, tidak meliputi subtansi abstrak (aql) dan semi abstrak  (nafs). Hal ini bisa menimbulkan kesimpulan yang membigungkan.</w:t>
      </w:r>
    </w:p>
    <w:p>
      <w:pPr>
        <w:pStyle w:val="BookText"/>
        <w:bidi w:val="0"/>
        <w:jc w:val="both"/>
        <w:rPr/>
      </w:pPr>
      <w:r>
        <w:rPr>
          <w:rFonts w:eastAsia="Times New Roman" w:cs="Times New Roman" w:ascii="Times New Roman" w:hAnsi="Times New Roman"/>
          <w:color w:val="111111"/>
          <w:sz w:val="28"/>
          <w:szCs w:val="28"/>
          <w:lang w:val="en-US"/>
        </w:rPr>
        <w:t xml:space="preserve">Keempat, Muhammad Taqi Mishbâh Yazdî menolak konsep  harakah ardhiyyah, yang menurutnya tidak berhubungan dengan hukum  kausalitas. Menurut penulis, pandangan Muhammad Taqi Mishbâh Yazdî  yang menolak harakah ardhiyyah lebih karena pembatasannya pengertian  kausalitas pada arti utama kausalitas. Padahal dalam Ma’âref-e Qor'ân,  dalam pembahasan peristiwa-peristiwa kosmik (hawâdits kauniyyah)  dan relasinya dengan mukjizat, ia secara implisit menerima kausalitas  menyamping. </w:t>
      </w:r>
      <w:r>
        <w:rPr>
          <w:rStyle w:val="FootnoteAnchor"/>
        </w:rPr>
        <w:footnoteReference w:id="484"/>
      </w:r>
      <w:r>
        <w:rPr>
          <w:rFonts w:eastAsia="Times New Roman" w:cs="Times New Roman" w:ascii="Times New Roman" w:hAnsi="Times New Roman"/>
          <w:color w:val="111111"/>
          <w:sz w:val="28"/>
          <w:szCs w:val="28"/>
          <w:lang w:val="en-US"/>
        </w:rPr>
        <w:t>Dengan kata lain, penolakan Muhammad Taqî Mishbâh  Yazdî terhadap ‘gerak menyamping' ini lebih didasarkan pada faktor  pemahaman yang tidak komprehensif terhadap kausalitas.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Kelima, Muhammad Taqi Mishbâh Yazdî tidak hanya menerima rute  menanjak dalam gerak substansi, harakah jawhariyyah shu'ûdiyyah,  sebagaimana Mullâ Sadrâ. Namun juga meyakini adanya rute menurun  dalam gerak substansi, yaitu harakah jawhariyyah nuzûliyyah. Menurut  penulis, pandangan Muhammad Taqi Mishbâh Yazdî yang menambahkan  rute ‘menurun' dalam harakah jawrahiyyah seakan mengabaikan prinsip  bahwa segala sesuatu mesti kembali kepada titik kesempurnaan. Apa </w:t>
      </w:r>
      <w:bookmarkStart w:id="294" w:name="pg6424_45402"/>
    </w:p>
    <w:p>
      <w:pPr>
        <w:pStyle w:val="BookText"/>
        <w:bidi w:val="0"/>
        <w:rPr/>
      </w:pPr>
      <w:bookmarkEnd w:id="294"/>
      <w:r>
        <w:rPr>
          <w:rFonts w:eastAsia="Times New Roman" w:cs="Times New Roman" w:ascii="Times New Roman" w:hAnsi="Times New Roman"/>
          <w:color w:val="111111"/>
          <w:sz w:val="28"/>
          <w:szCs w:val="28"/>
          <w:lang w:val="en-US"/>
        </w:rPr>
        <w:t>yang dilukiskan oleh Muhammad Taqi Mishbâh Yazdî sebagai “gerak  menurun' sebenarnya bisa dianalisis sebagai proses “menanjak' sesuai  dengan karakteristik setiap entitas material.</w:t>
      </w:r>
    </w:p>
    <w:p>
      <w:pPr>
        <w:pStyle w:val="BookText"/>
        <w:bidi w:val="0"/>
        <w:jc w:val="both"/>
        <w:rPr/>
      </w:pPr>
      <w:r>
        <w:rPr>
          <w:rFonts w:eastAsia="Times New Roman" w:cs="Times New Roman" w:ascii="Times New Roman" w:hAnsi="Times New Roman"/>
          <w:color w:val="111111"/>
          <w:sz w:val="28"/>
          <w:szCs w:val="28"/>
          <w:lang w:val="en-US"/>
        </w:rPr>
        <w:t>Keenam, Muhammad Taqi Mishbâh Yazdî menolak wujud  hayâlâ (hyle atau materi murni)—yang diyakini Mullâ Sadrâ dan  para filsuf Muslim lainnya, termasuk Thabâthabâ’î, gurunya-  sebagai potensia kosong. Menurut penulis, gagasan Muhammad  Taqi Mishbâh Yazdî tentang substansi ini sangat kuat secara ar-  gumentatif. Hanya saja, penulis menyayangkan pembagian substansi  ini tidak tercermin dalam Amuzesy-e Falsafeh. Ia tetap membagi  substansi menjadi lima; ‘aql, nafs, jism, mâddah dan shûrah.</w:t>
      </w:r>
    </w:p>
    <w:p>
      <w:pPr>
        <w:pStyle w:val="Heading4"/>
        <w:numPr>
          <w:ilvl w:val="3"/>
          <w:numId w:val="1"/>
        </w:numPr>
        <w:bidi w:val="0"/>
        <w:jc w:val="left"/>
        <w:rPr/>
      </w:pPr>
      <w:bookmarkStart w:id="295" w:name="__RefHeading___Toc688729_653776707"/>
      <w:bookmarkStart w:id="296" w:name="_Toc104"/>
      <w:bookmarkEnd w:id="295"/>
      <w:r>
        <w:rPr/>
        <w:t>3. Teologi</w:t>
      </w:r>
      <w:bookmarkEnd w:id="296"/>
    </w:p>
    <w:p>
      <w:pPr>
        <w:pStyle w:val="BookText"/>
        <w:bidi w:val="0"/>
        <w:jc w:val="both"/>
        <w:rPr/>
      </w:pPr>
      <w:r>
        <w:rPr>
          <w:rFonts w:eastAsia="Times New Roman" w:cs="Times New Roman" w:ascii="Times New Roman" w:hAnsi="Times New Roman"/>
          <w:color w:val="111111"/>
          <w:sz w:val="28"/>
          <w:szCs w:val="28"/>
          <w:lang w:val="en-US"/>
        </w:rPr>
        <w:t>Dalam bidang teologi, padangan-pandangan Muhammad Taqî  Mishbâh Yazdî dapat disimpulkan sebagai berikut:</w:t>
      </w:r>
    </w:p>
    <w:p>
      <w:pPr>
        <w:pStyle w:val="BookText"/>
        <w:bidi w:val="0"/>
        <w:jc w:val="both"/>
        <w:rPr/>
      </w:pPr>
      <w:r>
        <w:rPr>
          <w:rFonts w:eastAsia="Times New Roman" w:cs="Times New Roman" w:ascii="Times New Roman" w:hAnsi="Times New Roman"/>
          <w:color w:val="111111"/>
          <w:sz w:val="28"/>
          <w:szCs w:val="28"/>
          <w:lang w:val="en-US"/>
        </w:rPr>
        <w:t>Pertama, Muhammad Taqi Mishbâh Yazdî tetap konsisten menerima  konsekuensi-konsekuensi ontologis dari gagasan yang diajukannya.</w:t>
      </w:r>
    </w:p>
    <w:p>
      <w:pPr>
        <w:pStyle w:val="BookText"/>
        <w:bidi w:val="0"/>
        <w:jc w:val="both"/>
        <w:rPr/>
      </w:pPr>
      <w:r>
        <w:rPr>
          <w:rFonts w:eastAsia="Times New Roman" w:cs="Times New Roman" w:ascii="Times New Roman" w:hAnsi="Times New Roman"/>
          <w:color w:val="111111"/>
          <w:sz w:val="28"/>
          <w:szCs w:val="28"/>
          <w:lang w:val="en-US"/>
        </w:rPr>
        <w:t>Hanya saja, ia dengan tegas menolak dasar teks sebagai titik awal  argumentasi rasional. Namun, ia tidak berpendapat bahwa ayat-ayat  tersebut dapat diperlakukan sebagai premis-premis dan diargumentasikan  dalam silogisme dan deduksi.</w:t>
      </w:r>
    </w:p>
    <w:p>
      <w:pPr>
        <w:pStyle w:val="BookText"/>
        <w:bidi w:val="0"/>
        <w:jc w:val="both"/>
        <w:rPr/>
      </w:pPr>
      <w:r>
        <w:rPr>
          <w:rFonts w:eastAsia="Times New Roman" w:cs="Times New Roman" w:ascii="Times New Roman" w:hAnsi="Times New Roman"/>
          <w:color w:val="111111"/>
          <w:sz w:val="28"/>
          <w:szCs w:val="28"/>
          <w:lang w:val="en-US"/>
        </w:rPr>
        <w:t>Kedua, Muhammad Taqî Mishbâh Yazdî tidak menggun-  akan istilah kalam, namun khodâ shenâsî. Khodâ berarti Tuhan dan  Shenasi berarti pengetahuan. Agaknya, inilah yang lebih tepat diartikan  ilâhiyât daripada kalam.</w:t>
      </w:r>
    </w:p>
    <w:p>
      <w:pPr>
        <w:pStyle w:val="BookText"/>
        <w:bidi w:val="0"/>
        <w:jc w:val="both"/>
        <w:rPr/>
      </w:pPr>
      <w:r>
        <w:rPr>
          <w:rFonts w:eastAsia="Times New Roman" w:cs="Times New Roman" w:ascii="Times New Roman" w:hAnsi="Times New Roman"/>
          <w:color w:val="111111"/>
          <w:sz w:val="28"/>
          <w:szCs w:val="28"/>
          <w:lang w:val="en-US"/>
        </w:rPr>
        <w:t>Menurut pengamatan penulis, penggunaan istilah kalam atau ilahiyat,  tidak memiliki signifikansi yang besar, karena yang lebih penting dari  istilah adalah metode, sistematika dan validitas argumentasinya. Bila  Muhammad Taqi Mishbâh Yazdî konsisten untuk tidak menggunakan  istilah kalam, maka semestinya ia tidak menggunakan metode kalam.</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Nyatanya, ia dalam sebagian karyanya tidak bersikap filsufis, bahkan  setelah mengundurkan diri sebagai dosen filsafat di hawzah 'Ilmiyah </w:t>
      </w:r>
    </w:p>
    <w:p>
      <w:pPr>
        <w:pStyle w:val="BookText"/>
        <w:bidi w:val="0"/>
        <w:rPr/>
      </w:pPr>
      <w:r>
        <w:rPr>
          <w:rFonts w:eastAsia="Times New Roman" w:cs="Times New Roman" w:ascii="Times New Roman" w:hAnsi="Times New Roman"/>
          <w:color w:val="111111"/>
          <w:sz w:val="28"/>
          <w:szCs w:val="28"/>
          <w:lang w:val="en-US"/>
        </w:rPr>
        <w:t>Qom sejak lima tahun lalu, Muhammad Taqi Mishbâh Yazdî mulai  menunjukkan kecenderungan mistis dalam sebagian Falsaafeh-ye  Akhlâq (3 jilid) dan kecenderungan kalam dalam sebagian buku serial  Porsyekh-ha va Pasukh-ha yang memuat tanya jawab seputar konsep  Welâyat-e Faqîh.</w:t>
      </w:r>
    </w:p>
    <w:p>
      <w:pPr>
        <w:pStyle w:val="BookText"/>
        <w:bidi w:val="0"/>
        <w:jc w:val="both"/>
        <w:rPr/>
      </w:pPr>
      <w:r>
        <w:rPr>
          <w:rFonts w:eastAsia="Times New Roman" w:cs="Times New Roman" w:ascii="Times New Roman" w:hAnsi="Times New Roman"/>
          <w:color w:val="111111"/>
          <w:sz w:val="28"/>
          <w:szCs w:val="28"/>
          <w:lang w:val="en-US"/>
        </w:rPr>
        <w:t>Ketiga, Muhammad Taqi Mishbâh Yazdî menjadikan rasio sebagai  dasar pembuktian tema-tema ketuhanan dan tema-tema mayor lainnya.</w:t>
      </w:r>
    </w:p>
    <w:p>
      <w:pPr>
        <w:pStyle w:val="BookText"/>
        <w:bidi w:val="0"/>
        <w:jc w:val="both"/>
        <w:rPr/>
      </w:pPr>
      <w:r>
        <w:rPr>
          <w:rFonts w:eastAsia="Times New Roman" w:cs="Times New Roman" w:ascii="Times New Roman" w:hAnsi="Times New Roman"/>
          <w:color w:val="111111"/>
          <w:sz w:val="28"/>
          <w:szCs w:val="28"/>
          <w:lang w:val="en-US"/>
        </w:rPr>
        <w:t>Menurut penulis, Muhammad Taqi Mishbâh Yazdî dalam sebagian  karyanya terlihat tidak sepenuhnya konsisten dengan pendekatan  filsufis. Saat dikonfirmasi akan ‘inkosistensi ini, Muhammad Taqî  Mishbâh Yazdi dalam wawancara dengan penulis, menjustifikasinya  dengan klasifikasi tingkat pembaca. Menurutnya, demi tujuan dakwah,  tema 'pandangan dunia' bisa dijelaskan secara kalam bila ditujukan  kepada para pembaca non akademis. Bagaimanapun, katanya, pengajian  filsufis hanya bisa dicerna oleh kalangan akademis. Dalam hal ini,  Muhammad Taqi Mishbâh Yazdî menggunakan metode kalam bila  menulis buku-buku non daras.</w:t>
      </w:r>
    </w:p>
    <w:p>
      <w:pPr>
        <w:pStyle w:val="BookText"/>
        <w:bidi w:val="0"/>
        <w:jc w:val="both"/>
        <w:rPr/>
      </w:pPr>
      <w:r>
        <w:rPr>
          <w:rFonts w:eastAsia="Times New Roman" w:cs="Times New Roman" w:ascii="Times New Roman" w:hAnsi="Times New Roman"/>
          <w:color w:val="111111"/>
          <w:sz w:val="28"/>
          <w:szCs w:val="28"/>
          <w:lang w:val="en-US"/>
        </w:rPr>
        <w:t>Keempat, Muhammad Taqi Mishbâh Yazdî memperlakukan teks-  teks suci, ayat al-Qur'an dan Hadis, dalam konteks pembahasan  ketuhanan dan turunannya, sebagai premis-premis, baik badîhiyyah  maupun nazhariyyah, seusai hasil inferensi yang diperolehnya. Menurut  hemat penulis, pembagian Muhammad Taqi Mishbâh Yazdî terhadap  ayat-ayat al-Qur’an pada ayat-ayat instruktif (takîifiyyah), ayat-ayat  deskriptif (taw shîfiyyah) dan ayat-ayat argumentatif (istidlâliyah) malah  menunjukkan adanya ayat-ayat yang tidak bisa diargumentasikan atau  diperlakukan sejak semula sebagai premis-premis yang tunduk pada  inferensi logis. Karena itulah, Muhammad Taqi Mishbâh Yazdî pada  akhirnya mengakui bahwa teks-teks suci dapat dijadikan sebagai dasar  pendukung dalam pembahasan ketuhanan, bukan dasar utama bila  diperlakukan sebagai wahyu yang melampaui piremis.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Keenam, Muhammad Taqi Mishbâh Yazdî berpendapat bahwa tema  ketuhanan dan Kenabian tidak bisa dibuktikan dengan teks suci, karena al- </w:t>
      </w:r>
    </w:p>
    <w:p>
      <w:pPr>
        <w:pStyle w:val="BookText"/>
        <w:bidi w:val="0"/>
        <w:rPr/>
      </w:pPr>
      <w:r>
        <w:rPr>
          <w:rFonts w:eastAsia="Times New Roman" w:cs="Times New Roman" w:ascii="Times New Roman" w:hAnsi="Times New Roman"/>
          <w:color w:val="111111"/>
          <w:sz w:val="28"/>
          <w:szCs w:val="28"/>
          <w:lang w:val="en-US"/>
        </w:rPr>
        <w:t>Qur'an dan Hadis merupakan produk dari prinsip kenabian. Di sisi lain, ia  berpendapat bahwa tema-tema yang merupakan produk dan konsekuensi  dari prinsip kenabian dapat secara langsung diargumentasikan dengan  menjadikan teks-teks suci yang telah divalidasi sebagai bagian dari  prinsip kenabian pada pembahasan sebelumnya. Menurut hemat penulis,  pandangan Muhammad Taqi Mishbâh Yazdî ini mempertegas sikapnya  yang tidak menggunakan pendekatan kalam.</w:t>
      </w:r>
    </w:p>
    <w:p>
      <w:pPr>
        <w:pStyle w:val="BookText"/>
        <w:bidi w:val="0"/>
        <w:jc w:val="both"/>
        <w:rPr/>
      </w:pPr>
      <w:r>
        <w:rPr>
          <w:rFonts w:eastAsia="Times New Roman" w:cs="Times New Roman" w:ascii="Times New Roman" w:hAnsi="Times New Roman"/>
          <w:color w:val="111111"/>
          <w:sz w:val="28"/>
          <w:szCs w:val="28"/>
          <w:lang w:val="en-US"/>
        </w:rPr>
        <w:t>Ketujuh, Muhammad Taqi Mishbâh Yazdî beranggapan bahwa  ketuhanan dan kenabian bukanlah bagian dari bidang agama, karena  keyakinan akan agama merupakan konsekuensi dari prinsip kenabian  yang mesti diargumentasikan secara rasional, bukan tekstual. Menurut  hemat penulis, Muhammad Taqi Mishbâh Yazdî memposisikan agama  sebagai syari'ah semata dengan merujuk kepada arti primer kata dîn,  yaitu aturan. Hal ini memperjelas susunan keyakinan yang dimulai dari  ketuhanan (mabda') dengan semua subtema sifat-sifatNya dan berujung  pada kebangkitan (ma`ad).</w:t>
      </w:r>
    </w:p>
    <w:p>
      <w:pPr>
        <w:pStyle w:val="BookText"/>
        <w:bidi w:val="0"/>
        <w:jc w:val="both"/>
        <w:rPr/>
      </w:pPr>
      <w:r>
        <w:rPr>
          <w:rFonts w:eastAsia="Times New Roman" w:cs="Times New Roman" w:ascii="Times New Roman" w:hAnsi="Times New Roman"/>
          <w:color w:val="111111"/>
          <w:sz w:val="28"/>
          <w:szCs w:val="28"/>
          <w:lang w:val="en-US"/>
        </w:rPr>
        <w:t>Kedelapan, tauhid, menurut Muhammad Taqî Mishbâh Yazdî,  mesti memenuhi tiga syarat minimal, yaitu: tauhîd fi al-dzât, tauhid  fi al-khaliqiyyah, tauhîd fî al-rubûbiyyah dan tauhîd fi al-ulûhiyyah.</w:t>
      </w:r>
    </w:p>
    <w:p>
      <w:pPr>
        <w:pStyle w:val="BookText"/>
        <w:bidi w:val="0"/>
        <w:jc w:val="both"/>
        <w:rPr/>
      </w:pPr>
      <w:r>
        <w:rPr>
          <w:rFonts w:eastAsia="Times New Roman" w:cs="Times New Roman" w:ascii="Times New Roman" w:hAnsi="Times New Roman"/>
          <w:color w:val="111111"/>
          <w:sz w:val="28"/>
          <w:szCs w:val="28"/>
          <w:lang w:val="en-US"/>
        </w:rPr>
        <w:t>Menurutnya, kaum kafir Quraisy yang meyakini keberadaan Allah sebagai  Pencipta, tetap dianggap sebagai musyrikin karena tidak meyakini Allah  sebagai Rabb. Pandangan Muhammad Taqî Mishbâh Yazdî ini, sejauh  pengamatan penulis, belum pernah dikemukakan oleh selainnya. Meski  demikian, perluasan tauhid pada dimensi selain dzât dan khâliqiyyyah  cukup menunjukkan dirinya sebagai seorang fundamentalis.</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memasukkan tauhîd fi al-rubûbiyyah al-tasyri yyah sebagai  salah satu syarat tauhid, menulis menyimpulkan bahwa ia memasukkan  semua kelompok yang tidak meyakini hukum agama sebagai undang-  undang negara dan aturan individual sebagai prilaku politeistik. Inilah  yang sangat mungkin menjadi landasan sikapnya yang sangat revolusioner  dan fundamentalis. Itu berarti ia seorang rasionalis pada bidang filsafat  dan pemikiran, sekaligus konservatif dalam bidang agama dan hukum. </w:t>
      </w:r>
      <w:bookmarkStart w:id="297" w:name="pg6424_45407"/>
    </w:p>
    <w:p>
      <w:pPr>
        <w:pStyle w:val="BookText"/>
        <w:bidi w:val="0"/>
        <w:rPr/>
      </w:pPr>
      <w:bookmarkEnd w:id="297"/>
      <w:r>
        <w:rPr>
          <w:rFonts w:eastAsia="Times New Roman" w:cs="Times New Roman" w:ascii="Times New Roman" w:hAnsi="Times New Roman"/>
          <w:color w:val="111111"/>
          <w:sz w:val="28"/>
          <w:szCs w:val="28"/>
          <w:lang w:val="en-US"/>
        </w:rPr>
        <w:t>Boleh jadi, ia menganggap sikap konservatif itu diterimanya  sebagai konsekuensi rasional dari prinsip tauhîd fi al-rubûbiyyah al-  tasyri`iyyah yang dipahaminya sebagai sebuah premis yang sangat  valid. Menurutnya, produk dari sebuah premis yang diyakini rasional  tidak semestinya diargumentasikan lagi secara rasional, karena ia  secara langsung merupakan premis minor dari premis mayor yang telah  diafirmasi sebelumnya.</w:t>
      </w:r>
    </w:p>
    <w:p>
      <w:pPr>
        <w:pStyle w:val="Heading3"/>
        <w:numPr>
          <w:ilvl w:val="2"/>
          <w:numId w:val="1"/>
        </w:numPr>
        <w:bidi w:val="0"/>
        <w:jc w:val="left"/>
        <w:rPr/>
      </w:pPr>
      <w:bookmarkStart w:id="298" w:name="__RefHeading___Toc688731_653776707"/>
      <w:bookmarkStart w:id="299" w:name="_Toc105"/>
      <w:bookmarkEnd w:id="298"/>
      <w:r>
        <w:rPr/>
        <w:t>B. Saran-saran</w:t>
      </w:r>
      <w:bookmarkEnd w:id="299"/>
    </w:p>
    <w:p>
      <w:pPr>
        <w:pStyle w:val="BookText"/>
        <w:bidi w:val="0"/>
        <w:jc w:val="both"/>
        <w:rPr/>
      </w:pPr>
      <w:r>
        <w:rPr>
          <w:rFonts w:eastAsia="Times New Roman" w:cs="Times New Roman" w:ascii="Times New Roman" w:hAnsi="Times New Roman"/>
          <w:color w:val="111111"/>
          <w:sz w:val="28"/>
          <w:szCs w:val="28"/>
          <w:lang w:val="en-US"/>
        </w:rPr>
        <w:t>Dari seluruh pembahasan yang telah dilakukan, berikut ini adalah  saran-saran yang penulis dapat ajukan:</w:t>
      </w:r>
    </w:p>
    <w:p>
      <w:pPr>
        <w:pStyle w:val="BookText"/>
        <w:bidi w:val="0"/>
        <w:jc w:val="both"/>
        <w:rPr/>
      </w:pPr>
      <w:r>
        <w:rPr>
          <w:rFonts w:eastAsia="Times New Roman" w:cs="Times New Roman" w:ascii="Times New Roman" w:hAnsi="Times New Roman"/>
          <w:color w:val="111111"/>
          <w:sz w:val="28"/>
          <w:szCs w:val="28"/>
          <w:lang w:val="en-US"/>
        </w:rPr>
        <w:t>Pertama, seperti telah disebutkan bahwa penelitian mengenai  pemikiran Muhammad Taqi Mishbâh Yazdî masih jarang ditemukan,  khususnya di Indonesia dalam bentuk tesis maupun disertasi. Untuk itu,  perlu dilakukan penelitian lebih lanjut mengenai pemikiran-pemikiran  Muhammad Taqi Mishbâh Yazdî dalam bidang-bidang lain seperti  kosmologi, eskatologi demi memperkaya khazanah pemikiran Islam  dalam bidang filsafat.</w:t>
      </w:r>
    </w:p>
    <w:p>
      <w:pPr>
        <w:pStyle w:val="BookText"/>
        <w:bidi w:val="0"/>
        <w:jc w:val="both"/>
        <w:rPr/>
      </w:pPr>
      <w:r>
        <w:rPr>
          <w:rFonts w:eastAsia="Times New Roman" w:cs="Times New Roman" w:ascii="Times New Roman" w:hAnsi="Times New Roman"/>
          <w:color w:val="111111"/>
          <w:sz w:val="28"/>
          <w:szCs w:val="28"/>
          <w:lang w:val="en-US"/>
        </w:rPr>
        <w:t>Kedua, diperlukan pula penelitian terhadap kiprah dan aktivitasnya  dalam mereformasi sistem pengajaran filsafat secara khusus dan sistem  pendidikan hawzah 'Ilmiyah Qom secara umum. Hal ini diperlukan  karena pemikiran khas Muhammad Taqi Mishbâh Yazdî berimplikasi  terhadap usahanya untuk mensandingkan ilmu-ilmu rasional dengan  ilmu-ilmu kemanusiaan (humaniora), sebagaimana telah dirintisnya  dengan mendirikan Institut Pendidikan dan Penelitian Imam Khomeini.</w:t>
      </w:r>
    </w:p>
    <w:p>
      <w:pPr>
        <w:pStyle w:val="BookText"/>
        <w:bidi w:val="0"/>
        <w:jc w:val="both"/>
        <w:rPr/>
      </w:pPr>
      <w:r>
        <w:rPr>
          <w:rFonts w:eastAsia="Times New Roman" w:cs="Times New Roman" w:ascii="Times New Roman" w:hAnsi="Times New Roman"/>
          <w:color w:val="111111"/>
          <w:sz w:val="28"/>
          <w:szCs w:val="28"/>
          <w:lang w:val="en-US"/>
        </w:rPr>
        <w:t>Ketiga, untuk mendukung penelitian lebih lanjut tersebut, perlu juga  diperkaya mengenai buku-buku yang ditulis oleh Yazdi, baik dalam  bahasa aslinya maupun terjemahan untuk membantu dalam memahami  ide-idenya.</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diperlukan pula sebuah riset khusus tentang konsep  filsafat politik yang dikemukakan oleh Muhammad Taqi Mishbâh Yazdî </w:t>
      </w:r>
    </w:p>
    <w:p>
      <w:pPr>
        <w:pStyle w:val="BookText"/>
        <w:bidi w:val="0"/>
        <w:rPr/>
      </w:pPr>
      <w:r>
        <w:rPr>
          <w:rFonts w:eastAsia="Times New Roman" w:cs="Times New Roman" w:ascii="Times New Roman" w:hAnsi="Times New Roman"/>
          <w:color w:val="111111"/>
          <w:sz w:val="28"/>
          <w:szCs w:val="28"/>
          <w:lang w:val="en-US"/>
        </w:rPr>
        <w:t>sebagai langkah untuk melakukan komparasi antar beragam konsep  sistem pemerintahan Islami, baik di Indonesia maupun lainnya, serta  relevansinya dengan konteks kekinian dan kesinian.</w:t>
      </w:r>
    </w:p>
    <w:p>
      <w:pPr>
        <w:pStyle w:val="BookText"/>
        <w:bidi w:val="0"/>
        <w:jc w:val="both"/>
        <w:rPr/>
      </w:pPr>
      <w:r>
        <w:rPr>
          <w:rFonts w:eastAsia="Times New Roman" w:cs="Times New Roman" w:ascii="Times New Roman" w:hAnsi="Times New Roman"/>
          <w:color w:val="111111"/>
          <w:sz w:val="28"/>
          <w:szCs w:val="28"/>
          <w:lang w:val="en-US"/>
        </w:rPr>
        <w:t>Kelima, pemikiran filsafat Muhammad Taqi Mishbâh Yazdî  merupakan pemikiran yang memiliki corak tersendiri sehingga harus  dipahami secara mendalam. Untuk itu, diperlukan alat analisis yang  tajam, baik metode maupun pemahaman mengenai filsafat, terutama  penguasaan terhadap latar belakang budaya dan sosial masyarakat Iran  pada umamnya, dan hawzah 'Ilmiyah Qom pada khususnya. Karena  itu, sangat diperlukan adanya kerjasama dalam bidang pendidikan  antar perguruan tinggi Iran, terutama pusat-pusat pendidikan di hawzah  'Ilmiyah Qom dan Universitas Islam Negeri Syarif Hidayatullah sebagai  perguruan tinggi Islam terbesar di Indonesia.</w:t>
      </w:r>
    </w:p>
    <w:p>
      <w:pPr>
        <w:pStyle w:val="BookText"/>
        <w:bidi w:val="0"/>
        <w:jc w:val="both"/>
        <w:rPr/>
      </w:pPr>
      <w:r>
        <w:rPr>
          <w:rFonts w:eastAsia="Times New Roman" w:cs="Times New Roman" w:ascii="Times New Roman" w:hAnsi="Times New Roman"/>
          <w:color w:val="111111"/>
          <w:sz w:val="28"/>
          <w:szCs w:val="28"/>
          <w:lang w:val="en-US"/>
        </w:rPr>
        <w:t>Keenam, pemikiran filsafat Muhammad Taqi Mishbâh Yazdî perlu  dan karya-karyanya, terutama dalam filsafat, perlu diperkenalkan dan  didiskusikan dalam forum akademis demi memberikan gambaran bahwa  Syi'ah, sebagai pasangan mazhab Sunni di dunia Islam, bisa dilihat  dari perspektif filsafat dan pemikiran, bukan hanya dari perspektif fikih  dan sejarah yang sangat sensitif dan membuka peluang konflik dan  kesapahaman sektarian. Sudah banyak intelektual Muslim di Indonesia,  seperti Nurcholish Madjid dan Abdurrahman Wahid yang berusaha  mengajak umat Islam yang bermazhab Sunni untuk melihat Syi'ah dari  persepktif filsafat dan budaya. Karena dengan dua perspektif ini, peluang  untuk menumbuhkan toleransi dan tukar menukar khazanah pemikiran  bisa terbuka.</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kedatangan Muhammad Taqi Mishbâh Yazdî ke Indonesia  dan kunjungannya ke beberapa perguruan tinggi di Indonesia serta  pertemuannya dengan sejumlah cendekiawan beberapa tahun lalu dapat  dianggap sebagai langkah awal bagi usaha mulia ini. Penulis menyarankan  agar Universitas Islam Negeri Syarif Hidayatullah, sebagai perguruan  tinggi Islam terkemuka, menjalin kerjasama dalam pelbagai bidang,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terutama pertukaran mahasiswa dengan Reasearch and Education Imam  Khomeini Institute yang dipimpin oleh Muhammad Taqi Mishbâh Yazdî  di masa mendatang.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00" w:name="pg6424_45415"/>
      <w:bookmarkStart w:id="301" w:name="pg6424_45415"/>
      <w:bookmarkEnd w:id="301"/>
    </w:p>
    <w:p>
      <w:pPr>
        <w:pStyle w:val="Heading2"/>
        <w:numPr>
          <w:ilvl w:val="1"/>
          <w:numId w:val="1"/>
        </w:numPr>
        <w:bidi w:val="0"/>
        <w:jc w:val="left"/>
        <w:rPr/>
      </w:pPr>
      <w:bookmarkStart w:id="302" w:name="pg6424_45415"/>
      <w:bookmarkStart w:id="303" w:name="__RefHeading___Toc688733_653776707"/>
      <w:bookmarkStart w:id="304" w:name="_Toc106"/>
      <w:bookmarkEnd w:id="302"/>
      <w:bookmarkEnd w:id="303"/>
      <w:r>
        <w:rPr/>
        <w:t>DAFTAR PUSTAKA</w:t>
      </w:r>
      <w:bookmarkEnd w:id="304"/>
    </w:p>
    <w:p>
      <w:pPr>
        <w:pStyle w:val="BookText"/>
        <w:bidi w:val="0"/>
        <w:jc w:val="both"/>
        <w:rPr/>
      </w:pPr>
      <w:r>
        <w:rPr>
          <w:rFonts w:eastAsia="Times New Roman" w:cs="Times New Roman" w:ascii="Times New Roman" w:hAnsi="Times New Roman"/>
          <w:color w:val="111111"/>
          <w:sz w:val="28"/>
          <w:szCs w:val="28"/>
          <w:lang w:val="en-US"/>
        </w:rPr>
        <w:t>A. Buku</w:t>
      </w:r>
    </w:p>
    <w:p>
      <w:pPr>
        <w:pStyle w:val="BookText"/>
        <w:bidi w:val="0"/>
        <w:jc w:val="both"/>
        <w:rPr/>
      </w:pPr>
      <w:r>
        <w:rPr>
          <w:rFonts w:eastAsia="Times New Roman" w:cs="Times New Roman" w:ascii="Times New Roman" w:hAnsi="Times New Roman"/>
          <w:color w:val="111111"/>
          <w:sz w:val="28"/>
          <w:szCs w:val="28"/>
          <w:lang w:val="en-US"/>
        </w:rPr>
        <w:t>Acikgence, Alparslan “Sistem Pemikiran Filsafat: Sebuah Model yang</w:t>
      </w:r>
    </w:p>
    <w:p>
      <w:pPr>
        <w:pStyle w:val="BookText"/>
        <w:bidi w:val="0"/>
        <w:jc w:val="both"/>
        <w:rPr/>
      </w:pPr>
      <w:r>
        <w:rPr>
          <w:rFonts w:eastAsia="Times New Roman" w:cs="Times New Roman" w:ascii="Times New Roman" w:hAnsi="Times New Roman"/>
          <w:color w:val="111111"/>
          <w:sz w:val="28"/>
          <w:szCs w:val="28"/>
          <w:lang w:val="en-US"/>
        </w:rPr>
        <w:t>Islami”, Jurnal al-Huda, Vol. I, No. 2, 2000.</w:t>
      </w:r>
    </w:p>
    <w:p>
      <w:pPr>
        <w:pStyle w:val="BookText"/>
        <w:bidi w:val="0"/>
        <w:jc w:val="both"/>
        <w:rPr/>
      </w:pPr>
      <w:r>
        <w:rPr>
          <w:rFonts w:eastAsia="Times New Roman" w:cs="Times New Roman" w:ascii="Times New Roman" w:hAnsi="Times New Roman"/>
          <w:color w:val="111111"/>
          <w:sz w:val="28"/>
          <w:szCs w:val="28"/>
          <w:lang w:val="en-US"/>
        </w:rPr>
        <w:t>Adian, Donny Gahral. Matinya Metafisika Barat, Jakarta: Komunitas</w:t>
      </w:r>
    </w:p>
    <w:p>
      <w:pPr>
        <w:pStyle w:val="BookText"/>
        <w:bidi w:val="0"/>
        <w:jc w:val="both"/>
        <w:rPr/>
      </w:pPr>
      <w:r>
        <w:rPr>
          <w:rFonts w:eastAsia="Times New Roman" w:cs="Times New Roman" w:ascii="Times New Roman" w:hAnsi="Times New Roman"/>
          <w:color w:val="111111"/>
          <w:sz w:val="28"/>
          <w:szCs w:val="28"/>
          <w:lang w:val="en-US"/>
        </w:rPr>
        <w:t>Bambu, 2001.</w:t>
      </w:r>
    </w:p>
    <w:p>
      <w:pPr>
        <w:pStyle w:val="BookText"/>
        <w:bidi w:val="0"/>
        <w:jc w:val="both"/>
        <w:rPr/>
      </w:pPr>
      <w:r>
        <w:rPr>
          <w:rFonts w:eastAsia="Times New Roman" w:cs="Times New Roman" w:ascii="Times New Roman" w:hAnsi="Times New Roman"/>
          <w:color w:val="111111"/>
          <w:sz w:val="28"/>
          <w:szCs w:val="28"/>
          <w:lang w:val="en-US"/>
        </w:rPr>
        <w:t>Amoli, Hasan Zadeh, On the Sky of Gnosis, Entesharat e Tashayyu',</w:t>
      </w:r>
    </w:p>
    <w:p>
      <w:pPr>
        <w:pStyle w:val="BookText"/>
        <w:bidi w:val="0"/>
        <w:jc w:val="both"/>
        <w:rPr/>
      </w:pPr>
      <w:r>
        <w:rPr>
          <w:rFonts w:eastAsia="Times New Roman" w:cs="Times New Roman" w:ascii="Times New Roman" w:hAnsi="Times New Roman"/>
          <w:color w:val="111111"/>
          <w:sz w:val="28"/>
          <w:szCs w:val="28"/>
          <w:lang w:val="en-US"/>
        </w:rPr>
        <w:t>Qom, 1997</w:t>
      </w:r>
    </w:p>
    <w:p>
      <w:pPr>
        <w:pStyle w:val="BookText"/>
        <w:bidi w:val="0"/>
        <w:jc w:val="both"/>
        <w:rPr/>
      </w:pPr>
      <w:r>
        <w:rPr>
          <w:rFonts w:eastAsia="Times New Roman" w:cs="Times New Roman" w:ascii="Times New Roman" w:hAnsi="Times New Roman"/>
          <w:color w:val="111111"/>
          <w:sz w:val="28"/>
          <w:szCs w:val="28"/>
          <w:lang w:val="en-US"/>
        </w:rPr>
        <w:t>Arikunto, Suharsimi. Prosedur Penelitian: Suatu Pendekatan Praktik,</w:t>
      </w:r>
    </w:p>
    <w:p>
      <w:pPr>
        <w:pStyle w:val="BookText"/>
        <w:bidi w:val="0"/>
        <w:jc w:val="both"/>
        <w:rPr/>
      </w:pPr>
      <w:r>
        <w:rPr>
          <w:rFonts w:eastAsia="Times New Roman" w:cs="Times New Roman" w:ascii="Times New Roman" w:hAnsi="Times New Roman"/>
          <w:color w:val="111111"/>
          <w:sz w:val="28"/>
          <w:szCs w:val="28"/>
          <w:lang w:val="en-US"/>
        </w:rPr>
        <w:t>Jakarta: Rineka Cipta, 2006.</w:t>
      </w:r>
    </w:p>
    <w:p>
      <w:pPr>
        <w:pStyle w:val="BookText"/>
        <w:bidi w:val="0"/>
        <w:jc w:val="both"/>
        <w:rPr/>
      </w:pPr>
      <w:r>
        <w:rPr>
          <w:rFonts w:eastAsia="Times New Roman" w:cs="Times New Roman" w:ascii="Times New Roman" w:hAnsi="Times New Roman"/>
          <w:color w:val="111111"/>
          <w:sz w:val="28"/>
          <w:szCs w:val="28"/>
          <w:lang w:val="en-US"/>
        </w:rPr>
        <w:t>Shadr, Reza. al-Falsafah al-'Ulya, Qom: The Center of Publication of</w:t>
      </w:r>
    </w:p>
    <w:p>
      <w:pPr>
        <w:pStyle w:val="BookText"/>
        <w:bidi w:val="0"/>
        <w:jc w:val="both"/>
        <w:rPr/>
      </w:pPr>
      <w:r>
        <w:rPr>
          <w:rFonts w:eastAsia="Times New Roman" w:cs="Times New Roman" w:ascii="Times New Roman" w:hAnsi="Times New Roman"/>
          <w:color w:val="111111"/>
          <w:sz w:val="28"/>
          <w:szCs w:val="28"/>
          <w:lang w:val="en-US"/>
        </w:rPr>
        <w:t>the Office of Islam Propagation, 2000.</w:t>
      </w:r>
    </w:p>
    <w:p>
      <w:pPr>
        <w:pStyle w:val="BookText"/>
        <w:bidi w:val="0"/>
        <w:jc w:val="both"/>
        <w:rPr/>
      </w:pPr>
      <w:r>
        <w:rPr>
          <w:rFonts w:eastAsia="Times New Roman" w:cs="Times New Roman" w:ascii="Times New Roman" w:hAnsi="Times New Roman"/>
          <w:color w:val="111111"/>
          <w:sz w:val="28"/>
          <w:szCs w:val="28"/>
          <w:lang w:val="en-US"/>
        </w:rPr>
        <w:t>Ashtiani, Jalal al-Din. The Existence from View Point of Philosophy</w:t>
      </w:r>
    </w:p>
    <w:p>
      <w:pPr>
        <w:pStyle w:val="BookText"/>
        <w:bidi w:val="0"/>
        <w:jc w:val="both"/>
        <w:rPr/>
      </w:pPr>
      <w:r>
        <w:rPr>
          <w:rFonts w:eastAsia="Times New Roman" w:cs="Times New Roman" w:ascii="Times New Roman" w:hAnsi="Times New Roman"/>
          <w:color w:val="111111"/>
          <w:sz w:val="28"/>
          <w:szCs w:val="28"/>
          <w:lang w:val="en-US"/>
        </w:rPr>
        <w:t>anda Mysticism, Teheran: The Center of Publication of the Office of</w:t>
      </w:r>
    </w:p>
    <w:p>
      <w:pPr>
        <w:pStyle w:val="BookText"/>
        <w:bidi w:val="0"/>
        <w:jc w:val="both"/>
        <w:rPr/>
      </w:pPr>
      <w:r>
        <w:rPr>
          <w:rFonts w:eastAsia="Times New Roman" w:cs="Times New Roman" w:ascii="Times New Roman" w:hAnsi="Times New Roman"/>
          <w:color w:val="111111"/>
          <w:sz w:val="28"/>
          <w:szCs w:val="28"/>
          <w:lang w:val="en-US"/>
        </w:rPr>
        <w:t>Islamic Propagation, 1375HS/1994 M.</w:t>
      </w:r>
    </w:p>
    <w:p>
      <w:pPr>
        <w:pStyle w:val="BookText"/>
        <w:bidi w:val="0"/>
        <w:jc w:val="both"/>
        <w:rPr/>
      </w:pPr>
      <w:r>
        <w:rPr>
          <w:rFonts w:eastAsia="Times New Roman" w:cs="Times New Roman" w:ascii="Times New Roman" w:hAnsi="Times New Roman"/>
          <w:color w:val="111111"/>
          <w:sz w:val="28"/>
          <w:szCs w:val="28"/>
          <w:lang w:val="en-US"/>
        </w:rPr>
        <w:t>_. Syarh Ahwâl wa Aray-e falsafi Molla Sadrâ, second edition,</w:t>
      </w:r>
    </w:p>
    <w:p>
      <w:pPr>
        <w:pStyle w:val="BookText"/>
        <w:bidi w:val="0"/>
        <w:jc w:val="both"/>
        <w:rPr/>
      </w:pPr>
      <w:r>
        <w:rPr>
          <w:rFonts w:eastAsia="Times New Roman" w:cs="Times New Roman" w:ascii="Times New Roman" w:hAnsi="Times New Roman"/>
          <w:color w:val="111111"/>
          <w:sz w:val="28"/>
          <w:szCs w:val="28"/>
          <w:lang w:val="en-US"/>
        </w:rPr>
        <w:t>Qom: The center of publication of the office of Islamic Propagation,</w:t>
      </w:r>
    </w:p>
    <w:p>
      <w:pPr>
        <w:pStyle w:val="BookText"/>
        <w:bidi w:val="0"/>
        <w:jc w:val="both"/>
        <w:rPr/>
      </w:pPr>
      <w:r>
        <w:rPr>
          <w:rFonts w:eastAsia="Times New Roman" w:cs="Times New Roman" w:ascii="Times New Roman" w:hAnsi="Times New Roman"/>
          <w:color w:val="111111"/>
          <w:sz w:val="28"/>
          <w:szCs w:val="28"/>
          <w:lang w:val="en-US"/>
        </w:rPr>
        <w:t>1378 H/1957M.</w:t>
      </w:r>
    </w:p>
    <w:p>
      <w:pPr>
        <w:pStyle w:val="BookText"/>
        <w:bidi w:val="0"/>
        <w:jc w:val="both"/>
        <w:rPr/>
      </w:pPr>
      <w:r>
        <w:rPr>
          <w:rFonts w:eastAsia="Times New Roman" w:cs="Times New Roman" w:ascii="Times New Roman" w:hAnsi="Times New Roman"/>
          <w:color w:val="111111"/>
          <w:sz w:val="28"/>
          <w:szCs w:val="28"/>
          <w:lang w:val="en-US"/>
        </w:rPr>
        <w:t>Asytiani, J. Syarh Ahwâl wa Aray-e falsafi Mollâ Sadrâ, second edition,</w:t>
      </w:r>
    </w:p>
    <w:p>
      <w:pPr>
        <w:pStyle w:val="BookText"/>
        <w:bidi w:val="0"/>
        <w:jc w:val="both"/>
        <w:rPr/>
      </w:pPr>
      <w:r>
        <w:rPr>
          <w:rFonts w:eastAsia="Times New Roman" w:cs="Times New Roman" w:ascii="Times New Roman" w:hAnsi="Times New Roman"/>
          <w:color w:val="111111"/>
          <w:sz w:val="28"/>
          <w:szCs w:val="28"/>
          <w:lang w:val="en-US"/>
        </w:rPr>
        <w:t>Qom: The center of publication of the office of Islamic Propagation,</w:t>
      </w:r>
    </w:p>
    <w:p>
      <w:pPr>
        <w:pStyle w:val="BookText"/>
        <w:bidi w:val="0"/>
        <w:jc w:val="both"/>
        <w:rPr/>
      </w:pPr>
      <w:r>
        <w:rPr>
          <w:rFonts w:eastAsia="Times New Roman" w:cs="Times New Roman" w:ascii="Times New Roman" w:hAnsi="Times New Roman"/>
          <w:color w:val="111111"/>
          <w:sz w:val="28"/>
          <w:szCs w:val="28"/>
          <w:lang w:val="en-US"/>
        </w:rPr>
        <w:t>1378 H/1957M.</w:t>
      </w:r>
    </w:p>
    <w:p>
      <w:pPr>
        <w:pStyle w:val="BookText"/>
        <w:bidi w:val="0"/>
        <w:jc w:val="both"/>
        <w:rPr/>
      </w:pPr>
      <w:r>
        <w:rPr>
          <w:rFonts w:eastAsia="Times New Roman" w:cs="Times New Roman" w:ascii="Times New Roman" w:hAnsi="Times New Roman"/>
          <w:color w:val="111111"/>
          <w:sz w:val="28"/>
          <w:szCs w:val="28"/>
          <w:lang w:val="en-US"/>
        </w:rPr>
        <w:t>Barten, Kamus Filsafat, Yogyakarta: Kanisius, 1998.</w:t>
      </w:r>
    </w:p>
    <w:p>
      <w:pPr>
        <w:pStyle w:val="BookText"/>
        <w:bidi w:val="0"/>
        <w:jc w:val="both"/>
        <w:rPr/>
      </w:pPr>
      <w:r>
        <w:rPr>
          <w:rFonts w:eastAsia="Times New Roman" w:cs="Times New Roman" w:ascii="Times New Roman" w:hAnsi="Times New Roman"/>
          <w:color w:val="111111"/>
          <w:sz w:val="28"/>
          <w:szCs w:val="28"/>
          <w:lang w:val="en-US"/>
        </w:rPr>
        <w:t>Blackburn, Simon. “Philosophy”, The Oxford Dictionary of Philosophy,</w:t>
      </w:r>
    </w:p>
    <w:p>
      <w:pPr>
        <w:pStyle w:val="BookText"/>
        <w:bidi w:val="0"/>
        <w:jc w:val="both"/>
        <w:rPr/>
      </w:pPr>
      <w:r>
        <w:rPr>
          <w:rFonts w:eastAsia="Times New Roman" w:cs="Times New Roman" w:ascii="Times New Roman" w:hAnsi="Times New Roman"/>
          <w:color w:val="111111"/>
          <w:sz w:val="28"/>
          <w:szCs w:val="28"/>
          <w:lang w:val="en-US"/>
        </w:rPr>
        <w:t>Oxford: Oxford University Press, 1994.</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Bostock, Aristotle: Metaphysics Books Z and H. Oxford: Clarendon </w:t>
      </w:r>
    </w:p>
    <w:p>
      <w:pPr>
        <w:pStyle w:val="BookText"/>
        <w:bidi w:val="0"/>
        <w:rPr/>
      </w:pPr>
      <w:r>
        <w:rPr>
          <w:rFonts w:eastAsia="Times New Roman" w:cs="Times New Roman" w:ascii="Times New Roman" w:hAnsi="Times New Roman"/>
          <w:color w:val="111111"/>
          <w:sz w:val="28"/>
          <w:szCs w:val="28"/>
          <w:lang w:val="en-US"/>
        </w:rPr>
        <w:t>Press, 1994</w:t>
      </w:r>
    </w:p>
    <w:p>
      <w:pPr>
        <w:pStyle w:val="BookText"/>
        <w:bidi w:val="0"/>
        <w:jc w:val="both"/>
        <w:rPr/>
      </w:pPr>
      <w:r>
        <w:rPr>
          <w:rFonts w:eastAsia="Times New Roman" w:cs="Times New Roman" w:ascii="Times New Roman" w:hAnsi="Times New Roman"/>
          <w:color w:val="111111"/>
          <w:sz w:val="28"/>
          <w:szCs w:val="28"/>
          <w:lang w:val="en-US"/>
        </w:rPr>
        <w:t>Bungin, Burhan. Metodologi Penelitian Kualitatif, Jakarta: RajaGrafindo</w:t>
      </w:r>
    </w:p>
    <w:p>
      <w:pPr>
        <w:pStyle w:val="BookText"/>
        <w:bidi w:val="0"/>
        <w:jc w:val="both"/>
        <w:rPr/>
      </w:pPr>
      <w:r>
        <w:rPr>
          <w:rFonts w:eastAsia="Times New Roman" w:cs="Times New Roman" w:ascii="Times New Roman" w:hAnsi="Times New Roman"/>
          <w:color w:val="111111"/>
          <w:sz w:val="28"/>
          <w:szCs w:val="28"/>
          <w:lang w:val="en-US"/>
        </w:rPr>
        <w:t>Perkasa, 2001.</w:t>
      </w:r>
    </w:p>
    <w:p>
      <w:pPr>
        <w:pStyle w:val="BookText"/>
        <w:bidi w:val="0"/>
        <w:jc w:val="both"/>
        <w:rPr/>
      </w:pPr>
      <w:r>
        <w:rPr>
          <w:rFonts w:eastAsia="Times New Roman" w:cs="Times New Roman" w:ascii="Times New Roman" w:hAnsi="Times New Roman"/>
          <w:color w:val="111111"/>
          <w:sz w:val="28"/>
          <w:szCs w:val="28"/>
          <w:lang w:val="en-US"/>
        </w:rPr>
        <w:t>Chisholm, R.M. Theory of Knowledge. California: Sage Publication,</w:t>
      </w:r>
    </w:p>
    <w:p>
      <w:pPr>
        <w:pStyle w:val="BookText"/>
        <w:bidi w:val="0"/>
        <w:jc w:val="both"/>
        <w:rPr/>
      </w:pPr>
      <w:r>
        <w:rPr>
          <w:rFonts w:eastAsia="Times New Roman" w:cs="Times New Roman" w:ascii="Times New Roman" w:hAnsi="Times New Roman"/>
          <w:color w:val="111111"/>
          <w:sz w:val="28"/>
          <w:szCs w:val="28"/>
          <w:lang w:val="en-US"/>
        </w:rPr>
        <w:t>2000.</w:t>
      </w:r>
    </w:p>
    <w:p>
      <w:pPr>
        <w:pStyle w:val="BookText"/>
        <w:bidi w:val="0"/>
        <w:jc w:val="both"/>
        <w:rPr/>
      </w:pPr>
      <w:r>
        <w:rPr>
          <w:rFonts w:eastAsia="Times New Roman" w:cs="Times New Roman" w:ascii="Times New Roman" w:hAnsi="Times New Roman"/>
          <w:color w:val="111111"/>
          <w:sz w:val="28"/>
          <w:szCs w:val="28"/>
          <w:lang w:val="en-US"/>
        </w:rPr>
        <w:t>Corbin, Henry Tarikh Al-Falsafah Al-Islamiyyah, terjemah Arab Uwaidat,</w:t>
      </w:r>
    </w:p>
    <w:p>
      <w:pPr>
        <w:pStyle w:val="BookText"/>
        <w:bidi w:val="0"/>
        <w:jc w:val="both"/>
        <w:rPr/>
      </w:pPr>
      <w:r>
        <w:rPr>
          <w:rFonts w:eastAsia="Times New Roman" w:cs="Times New Roman" w:ascii="Times New Roman" w:hAnsi="Times New Roman"/>
          <w:color w:val="111111"/>
          <w:sz w:val="28"/>
          <w:szCs w:val="28"/>
          <w:lang w:val="en-US"/>
        </w:rPr>
        <w:t>Beirut, 1983.</w:t>
      </w:r>
    </w:p>
    <w:p>
      <w:pPr>
        <w:pStyle w:val="BookText"/>
        <w:bidi w:val="0"/>
        <w:jc w:val="both"/>
        <w:rPr/>
      </w:pPr>
      <w:r>
        <w:rPr>
          <w:rFonts w:eastAsia="Times New Roman" w:cs="Times New Roman" w:ascii="Times New Roman" w:hAnsi="Times New Roman"/>
          <w:color w:val="111111"/>
          <w:sz w:val="28"/>
          <w:szCs w:val="28"/>
          <w:lang w:val="en-US"/>
        </w:rPr>
        <w:t>__ History of Islamic Philosophy, London: Keagan Paul</w:t>
      </w:r>
    </w:p>
    <w:p>
      <w:pPr>
        <w:pStyle w:val="BookText"/>
        <w:bidi w:val="0"/>
        <w:jc w:val="both"/>
        <w:rPr/>
      </w:pPr>
      <w:r>
        <w:rPr>
          <w:rFonts w:eastAsia="Times New Roman" w:cs="Times New Roman" w:ascii="Times New Roman" w:hAnsi="Times New Roman"/>
          <w:color w:val="111111"/>
          <w:sz w:val="28"/>
          <w:szCs w:val="28"/>
          <w:lang w:val="en-US"/>
        </w:rPr>
        <w:t>International Limited, 1983.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Book of Metaphysics Penetrations, Paris-Teheran;</w:t>
      </w:r>
    </w:p>
    <w:p>
      <w:pPr>
        <w:pStyle w:val="BookText"/>
        <w:bidi w:val="0"/>
        <w:jc w:val="both"/>
        <w:rPr/>
      </w:pPr>
      <w:r>
        <w:rPr>
          <w:rFonts w:eastAsia="Times New Roman" w:cs="Times New Roman" w:ascii="Times New Roman" w:hAnsi="Times New Roman"/>
          <w:color w:val="111111"/>
          <w:sz w:val="28"/>
          <w:szCs w:val="28"/>
          <w:lang w:val="en-US"/>
        </w:rPr>
        <w:t>Adrien-Maisonneuve, 1965</w:t>
      </w:r>
    </w:p>
    <w:p>
      <w:pPr>
        <w:pStyle w:val="BookText"/>
        <w:bidi w:val="0"/>
        <w:jc w:val="both"/>
        <w:rPr/>
      </w:pPr>
      <w:r>
        <w:rPr>
          <w:rFonts w:eastAsia="Times New Roman" w:cs="Times New Roman" w:ascii="Times New Roman" w:hAnsi="Times New Roman"/>
          <w:color w:val="111111"/>
          <w:sz w:val="28"/>
          <w:szCs w:val="28"/>
          <w:lang w:val="en-US"/>
        </w:rPr>
        <w:t>Creswel, John W. Qualitative Inquiry and research design, Choosing</w:t>
      </w:r>
    </w:p>
    <w:p>
      <w:pPr>
        <w:pStyle w:val="BookText"/>
        <w:bidi w:val="0"/>
        <w:jc w:val="both"/>
        <w:rPr/>
      </w:pPr>
      <w:r>
        <w:rPr>
          <w:rFonts w:eastAsia="Times New Roman" w:cs="Times New Roman" w:ascii="Times New Roman" w:hAnsi="Times New Roman"/>
          <w:color w:val="111111"/>
          <w:sz w:val="28"/>
          <w:szCs w:val="28"/>
          <w:lang w:val="en-US"/>
        </w:rPr>
        <w:t>among Five Traditions, California: SAGE Publications Inc., 1997.</w:t>
      </w:r>
    </w:p>
    <w:p>
      <w:pPr>
        <w:pStyle w:val="BookText"/>
        <w:bidi w:val="0"/>
        <w:jc w:val="both"/>
        <w:rPr/>
      </w:pPr>
      <w:r>
        <w:rPr>
          <w:rFonts w:eastAsia="Times New Roman" w:cs="Times New Roman" w:ascii="Times New Roman" w:hAnsi="Times New Roman"/>
          <w:color w:val="111111"/>
          <w:sz w:val="28"/>
          <w:szCs w:val="28"/>
          <w:lang w:val="en-US"/>
        </w:rPr>
        <w:t>Denzin, N. K. Interpretive Biography, Newbury Park, CA: Sage, 1989.</w:t>
      </w:r>
    </w:p>
    <w:p>
      <w:pPr>
        <w:pStyle w:val="BookText"/>
        <w:bidi w:val="0"/>
        <w:jc w:val="both"/>
        <w:rPr/>
      </w:pPr>
      <w:r>
        <w:rPr>
          <w:rFonts w:eastAsia="Times New Roman" w:cs="Times New Roman" w:ascii="Times New Roman" w:hAnsi="Times New Roman"/>
          <w:color w:val="111111"/>
          <w:sz w:val="28"/>
          <w:szCs w:val="28"/>
          <w:lang w:val="en-US"/>
        </w:rPr>
        <w:t>Departemen Pendidikan dan Kebudayaan RI, Kamus Besar Bahasa</w:t>
      </w:r>
    </w:p>
    <w:p>
      <w:pPr>
        <w:pStyle w:val="BookText"/>
        <w:bidi w:val="0"/>
        <w:jc w:val="both"/>
        <w:rPr/>
      </w:pPr>
      <w:r>
        <w:rPr>
          <w:rFonts w:eastAsia="Times New Roman" w:cs="Times New Roman" w:ascii="Times New Roman" w:hAnsi="Times New Roman"/>
          <w:color w:val="111111"/>
          <w:sz w:val="28"/>
          <w:szCs w:val="28"/>
          <w:lang w:val="en-US"/>
        </w:rPr>
        <w:t>Indonesia, edisi III, Jakarta: Balai Pustaka, 2001.</w:t>
      </w:r>
    </w:p>
    <w:p>
      <w:pPr>
        <w:pStyle w:val="BookText"/>
        <w:bidi w:val="0"/>
        <w:jc w:val="both"/>
        <w:rPr/>
      </w:pPr>
      <w:r>
        <w:rPr>
          <w:rFonts w:eastAsia="Times New Roman" w:cs="Times New Roman" w:ascii="Times New Roman" w:hAnsi="Times New Roman"/>
          <w:color w:val="111111"/>
          <w:sz w:val="28"/>
          <w:szCs w:val="28"/>
          <w:lang w:val="en-US"/>
        </w:rPr>
        <w:t>Dinani, Gholam Hosain Ibrahim. The Adventure of Philosophical</w:t>
      </w:r>
    </w:p>
    <w:p>
      <w:pPr>
        <w:pStyle w:val="BookText"/>
        <w:bidi w:val="0"/>
        <w:jc w:val="both"/>
        <w:rPr/>
      </w:pPr>
      <w:r>
        <w:rPr>
          <w:rFonts w:eastAsia="Times New Roman" w:cs="Times New Roman" w:ascii="Times New Roman" w:hAnsi="Times New Roman"/>
          <w:color w:val="111111"/>
          <w:sz w:val="28"/>
          <w:szCs w:val="28"/>
          <w:lang w:val="en-US"/>
        </w:rPr>
        <w:t>Thought in the Muslim World, Tehran: Vezarat e Farhang va Ershad</w:t>
      </w:r>
    </w:p>
    <w:p>
      <w:pPr>
        <w:pStyle w:val="BookText"/>
        <w:bidi w:val="0"/>
        <w:jc w:val="both"/>
        <w:rPr/>
      </w:pPr>
      <w:r>
        <w:rPr>
          <w:rFonts w:eastAsia="Times New Roman" w:cs="Times New Roman" w:ascii="Times New Roman" w:hAnsi="Times New Roman"/>
          <w:color w:val="111111"/>
          <w:sz w:val="28"/>
          <w:szCs w:val="28"/>
          <w:lang w:val="en-US"/>
        </w:rPr>
        <w:t>e Eslami, 1999, vol 3.</w:t>
      </w:r>
    </w:p>
    <w:p>
      <w:pPr>
        <w:pStyle w:val="BookText"/>
        <w:bidi w:val="0"/>
        <w:jc w:val="both"/>
        <w:rPr/>
      </w:pPr>
      <w:r>
        <w:rPr>
          <w:rFonts w:eastAsia="Times New Roman" w:cs="Times New Roman" w:ascii="Times New Roman" w:hAnsi="Times New Roman"/>
          <w:color w:val="111111"/>
          <w:sz w:val="28"/>
          <w:szCs w:val="28"/>
          <w:lang w:val="en-US"/>
        </w:rPr>
        <w:t>Echols, John M. and Shadily, Hasan. Oxford Advanced Learner's,</w:t>
      </w:r>
    </w:p>
    <w:p>
      <w:pPr>
        <w:pStyle w:val="BookText"/>
        <w:bidi w:val="0"/>
        <w:jc w:val="both"/>
        <w:rPr/>
      </w:pPr>
      <w:r>
        <w:rPr>
          <w:rFonts w:eastAsia="Times New Roman" w:cs="Times New Roman" w:ascii="Times New Roman" w:hAnsi="Times New Roman"/>
          <w:color w:val="111111"/>
          <w:sz w:val="28"/>
          <w:szCs w:val="28"/>
          <w:lang w:val="en-US"/>
        </w:rPr>
        <w:t>Dictionary of Current English, Gramedia, Jakarta, 1984.</w:t>
      </w:r>
    </w:p>
    <w:p>
      <w:pPr>
        <w:pStyle w:val="BookText"/>
        <w:bidi w:val="0"/>
        <w:jc w:val="both"/>
        <w:rPr/>
      </w:pPr>
      <w:r>
        <w:rPr>
          <w:rFonts w:eastAsia="Times New Roman" w:cs="Times New Roman" w:ascii="Times New Roman" w:hAnsi="Times New Roman"/>
          <w:color w:val="111111"/>
          <w:sz w:val="28"/>
          <w:szCs w:val="28"/>
          <w:lang w:val="en-US"/>
        </w:rPr>
        <w:t>Eriyanto, Analisis Wacana, Yogyakarta: LKiS, 2001.</w:t>
      </w:r>
    </w:p>
    <w:p>
      <w:pPr>
        <w:pStyle w:val="BookText"/>
        <w:bidi w:val="0"/>
        <w:jc w:val="both"/>
        <w:rPr/>
      </w:pPr>
      <w:r>
        <w:rPr>
          <w:rFonts w:eastAsia="Times New Roman" w:cs="Times New Roman" w:ascii="Times New Roman" w:hAnsi="Times New Roman"/>
          <w:color w:val="111111"/>
          <w:sz w:val="28"/>
          <w:szCs w:val="28"/>
          <w:lang w:val="en-US"/>
        </w:rPr>
        <w:t>Eshkawari, M. Fana’ee. Secondary Intelligible (Ma'qol e Tsani), Qum:</w:t>
      </w:r>
    </w:p>
    <w:p>
      <w:pPr>
        <w:pStyle w:val="BookText"/>
        <w:bidi w:val="0"/>
        <w:jc w:val="both"/>
        <w:rPr/>
      </w:pPr>
      <w:r>
        <w:rPr>
          <w:rFonts w:eastAsia="Times New Roman" w:cs="Times New Roman" w:ascii="Times New Roman" w:hAnsi="Times New Roman"/>
          <w:color w:val="111111"/>
          <w:sz w:val="28"/>
          <w:szCs w:val="28"/>
          <w:lang w:val="en-US"/>
        </w:rPr>
        <w:t>The Imam Khomeini Education and Reasearch Institute, 1997.</w:t>
      </w:r>
    </w:p>
    <w:p>
      <w:pPr>
        <w:pStyle w:val="BookText"/>
        <w:bidi w:val="0"/>
        <w:jc w:val="both"/>
        <w:rPr/>
      </w:pPr>
      <w:r>
        <w:rPr>
          <w:rFonts w:eastAsia="Times New Roman" w:cs="Times New Roman" w:ascii="Times New Roman" w:hAnsi="Times New Roman"/>
          <w:color w:val="111111"/>
          <w:sz w:val="28"/>
          <w:szCs w:val="28"/>
          <w:lang w:val="en-US"/>
        </w:rPr>
        <w:t>,,Fana'ee. Elm-e Huzhuri, Qum: The Imam Khomeini Education</w:t>
      </w:r>
    </w:p>
    <w:p>
      <w:pPr>
        <w:pStyle w:val="BookText"/>
        <w:bidi w:val="0"/>
        <w:jc w:val="both"/>
        <w:rPr/>
      </w:pPr>
      <w:r>
        <w:rPr>
          <w:rFonts w:eastAsia="Times New Roman" w:cs="Times New Roman" w:ascii="Times New Roman" w:hAnsi="Times New Roman"/>
          <w:color w:val="111111"/>
          <w:sz w:val="28"/>
          <w:szCs w:val="28"/>
          <w:lang w:val="en-US"/>
        </w:rPr>
        <w:t>and Research Institute, 1997.</w:t>
      </w:r>
    </w:p>
    <w:p>
      <w:pPr>
        <w:pStyle w:val="BookText"/>
        <w:bidi w:val="0"/>
        <w:jc w:val="both"/>
        <w:rPr/>
      </w:pPr>
      <w:r>
        <w:rPr>
          <w:rFonts w:eastAsia="Times New Roman" w:cs="Times New Roman" w:ascii="Times New Roman" w:hAnsi="Times New Roman"/>
          <w:color w:val="111111"/>
          <w:sz w:val="28"/>
          <w:szCs w:val="28"/>
          <w:lang w:val="en-US"/>
        </w:rPr>
        <w:t>Fa’ali, M.T. Maʼrefat Shenasi Dini va Moasher, Teheran: Anjuman</w:t>
      </w:r>
    </w:p>
    <w:p>
      <w:pPr>
        <w:pStyle w:val="BookText"/>
        <w:bidi w:val="0"/>
        <w:jc w:val="both"/>
        <w:rPr/>
      </w:pPr>
      <w:r>
        <w:rPr>
          <w:rFonts w:eastAsia="Times New Roman" w:cs="Times New Roman" w:ascii="Times New Roman" w:hAnsi="Times New Roman"/>
          <w:color w:val="111111"/>
          <w:sz w:val="28"/>
          <w:szCs w:val="28"/>
          <w:lang w:val="en-US"/>
        </w:rPr>
        <w:t>Falsafeye Syohansohi Iron, 1366 HS/1983.</w:t>
      </w:r>
    </w:p>
    <w:p>
      <w:pPr>
        <w:pStyle w:val="BookText"/>
        <w:bidi w:val="0"/>
        <w:jc w:val="both"/>
        <w:rPr/>
      </w:pPr>
      <w:r>
        <w:rPr>
          <w:rFonts w:eastAsia="Times New Roman" w:cs="Times New Roman" w:ascii="Times New Roman" w:hAnsi="Times New Roman"/>
          <w:color w:val="111111"/>
          <w:sz w:val="28"/>
          <w:szCs w:val="28"/>
          <w:lang w:val="en-US"/>
        </w:rPr>
        <w:t>Faqihi, Ali Asghar. Tarikh-e Mazhabi-ye Qom, Hekmat, 1997.</w:t>
      </w:r>
    </w:p>
    <w:p>
      <w:pPr>
        <w:pStyle w:val="BookText"/>
        <w:bidi w:val="0"/>
        <w:jc w:val="both"/>
        <w:rPr/>
      </w:pPr>
      <w:r>
        <w:rPr>
          <w:rFonts w:eastAsia="Times New Roman" w:cs="Times New Roman" w:ascii="Times New Roman" w:hAnsi="Times New Roman"/>
          <w:color w:val="111111"/>
          <w:sz w:val="28"/>
          <w:szCs w:val="28"/>
          <w:lang w:val="en-US"/>
        </w:rPr>
        <w:t>Foulquie, Paul. Falsafah-e 'Umûmi yâ Mâ Ba’da Thabíah, terjemahan</w:t>
      </w:r>
    </w:p>
    <w:p>
      <w:pPr>
        <w:pStyle w:val="BookText"/>
        <w:bidi w:val="0"/>
        <w:jc w:val="both"/>
        <w:rPr/>
      </w:pPr>
      <w:r>
        <w:rPr>
          <w:rFonts w:eastAsia="Times New Roman" w:cs="Times New Roman" w:ascii="Times New Roman" w:hAnsi="Times New Roman"/>
          <w:color w:val="111111"/>
          <w:sz w:val="28"/>
          <w:szCs w:val="28"/>
          <w:lang w:val="en-US"/>
        </w:rPr>
        <w:t>Yahya Mahdawi atas karya, Treité élémentaire de philosophie, Paris,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1951.</w:t>
      </w:r>
    </w:p>
    <w:p>
      <w:pPr>
        <w:pStyle w:val="BookText"/>
        <w:bidi w:val="0"/>
        <w:rPr/>
      </w:pPr>
      <w:r>
        <w:rPr>
          <w:rFonts w:eastAsia="Times New Roman" w:cs="Times New Roman" w:ascii="Times New Roman" w:hAnsi="Times New Roman"/>
          <w:color w:val="111111"/>
          <w:sz w:val="28"/>
          <w:szCs w:val="28"/>
          <w:lang w:val="en-US"/>
        </w:rPr>
        <w:t>Haeri, Mehdi. The Pyramid of Existence, Cultural Studies anda Reseach</w:t>
      </w:r>
    </w:p>
    <w:p>
      <w:pPr>
        <w:pStyle w:val="BookText"/>
        <w:bidi w:val="0"/>
        <w:jc w:val="both"/>
        <w:rPr/>
      </w:pPr>
      <w:r>
        <w:rPr>
          <w:rFonts w:eastAsia="Times New Roman" w:cs="Times New Roman" w:ascii="Times New Roman" w:hAnsi="Times New Roman"/>
          <w:color w:val="111111"/>
          <w:sz w:val="28"/>
          <w:szCs w:val="28"/>
          <w:lang w:val="en-US"/>
        </w:rPr>
        <w:t>Institute, Teheran, 1983.</w:t>
      </w:r>
    </w:p>
    <w:p>
      <w:pPr>
        <w:pStyle w:val="BookText"/>
        <w:bidi w:val="0"/>
        <w:jc w:val="both"/>
        <w:rPr/>
      </w:pPr>
      <w:r>
        <w:rPr>
          <w:rFonts w:eastAsia="Times New Roman" w:cs="Times New Roman" w:ascii="Times New Roman" w:hAnsi="Times New Roman"/>
          <w:color w:val="111111"/>
          <w:sz w:val="28"/>
          <w:szCs w:val="28"/>
          <w:lang w:val="en-US"/>
        </w:rPr>
        <w:t>Al-Ghazali, Tahậfut al-Falâsifah, Mesir: Darul Ma'arif, 1972.</w:t>
      </w:r>
    </w:p>
    <w:p>
      <w:pPr>
        <w:pStyle w:val="BookText"/>
        <w:bidi w:val="0"/>
        <w:jc w:val="both"/>
        <w:rPr/>
      </w:pPr>
      <w:r>
        <w:rPr>
          <w:rFonts w:eastAsia="Times New Roman" w:cs="Times New Roman" w:ascii="Times New Roman" w:hAnsi="Times New Roman"/>
          <w:color w:val="111111"/>
          <w:sz w:val="28"/>
          <w:szCs w:val="28"/>
          <w:lang w:val="en-US"/>
        </w:rPr>
        <w:t>Al-Hakimi, Muhammad Ridha. Mazhab e Tafkik dar Falsafeh, Teheran:</w:t>
      </w:r>
    </w:p>
    <w:p>
      <w:pPr>
        <w:pStyle w:val="BookText"/>
        <w:bidi w:val="0"/>
        <w:jc w:val="both"/>
        <w:rPr/>
      </w:pPr>
      <w:r>
        <w:rPr>
          <w:rFonts w:eastAsia="Times New Roman" w:cs="Times New Roman" w:ascii="Times New Roman" w:hAnsi="Times New Roman"/>
          <w:color w:val="111111"/>
          <w:sz w:val="28"/>
          <w:szCs w:val="28"/>
          <w:lang w:val="en-US"/>
        </w:rPr>
        <w:t>Daftar e Nasyr e Farhang e Islami. 1997.</w:t>
      </w:r>
    </w:p>
    <w:p>
      <w:pPr>
        <w:pStyle w:val="BookText"/>
        <w:bidi w:val="0"/>
        <w:jc w:val="both"/>
        <w:rPr/>
      </w:pPr>
      <w:r>
        <w:rPr>
          <w:rFonts w:eastAsia="Times New Roman" w:cs="Times New Roman" w:ascii="Times New Roman" w:hAnsi="Times New Roman"/>
          <w:color w:val="111111"/>
          <w:sz w:val="28"/>
          <w:szCs w:val="28"/>
          <w:lang w:val="en-US"/>
        </w:rPr>
        <w:t>Al-Khunsari, Raudhat Al-Jannat, Al-Maktabah Al-Haydariyyah, Teheran,</w:t>
      </w:r>
    </w:p>
    <w:p>
      <w:pPr>
        <w:pStyle w:val="BookText"/>
        <w:bidi w:val="0"/>
        <w:jc w:val="both"/>
        <w:rPr/>
      </w:pPr>
      <w:r>
        <w:rPr>
          <w:rFonts w:eastAsia="Times New Roman" w:cs="Times New Roman" w:ascii="Times New Roman" w:hAnsi="Times New Roman"/>
          <w:color w:val="111111"/>
          <w:sz w:val="28"/>
          <w:szCs w:val="28"/>
          <w:lang w:val="en-US"/>
        </w:rPr>
        <w:t>1312 H.</w:t>
      </w:r>
    </w:p>
    <w:p>
      <w:pPr>
        <w:pStyle w:val="BookText"/>
        <w:bidi w:val="0"/>
        <w:jc w:val="both"/>
        <w:rPr/>
      </w:pPr>
      <w:r>
        <w:rPr>
          <w:rFonts w:eastAsia="Times New Roman" w:cs="Times New Roman" w:ascii="Times New Roman" w:hAnsi="Times New Roman"/>
          <w:color w:val="111111"/>
          <w:sz w:val="28"/>
          <w:szCs w:val="28"/>
          <w:lang w:val="en-US"/>
        </w:rPr>
        <w:t>Hakim, Sayyid Muhammad Baqir. Al-Hawzah ILMIYAH Nusyu'uha,</w:t>
      </w:r>
    </w:p>
    <w:p>
      <w:pPr>
        <w:pStyle w:val="BookText"/>
        <w:bidi w:val="0"/>
        <w:jc w:val="both"/>
        <w:rPr/>
      </w:pPr>
      <w:r>
        <w:rPr>
          <w:rFonts w:eastAsia="Times New Roman" w:cs="Times New Roman" w:ascii="Times New Roman" w:hAnsi="Times New Roman"/>
          <w:color w:val="111111"/>
          <w:sz w:val="28"/>
          <w:szCs w:val="28"/>
          <w:lang w:val="en-US"/>
        </w:rPr>
        <w:t>Qum: Intisyarat Markaze Asnad-e Enqqlab-e Islami, 2000.</w:t>
      </w:r>
    </w:p>
    <w:p>
      <w:pPr>
        <w:pStyle w:val="BookText"/>
        <w:bidi w:val="0"/>
        <w:jc w:val="both"/>
        <w:rPr/>
      </w:pPr>
      <w:r>
        <w:rPr>
          <w:rFonts w:eastAsia="Times New Roman" w:cs="Times New Roman" w:ascii="Times New Roman" w:hAnsi="Times New Roman"/>
          <w:color w:val="111111"/>
          <w:sz w:val="28"/>
          <w:szCs w:val="28"/>
          <w:lang w:val="en-US"/>
        </w:rPr>
        <w:t>Hashem, Razi. Hikmat e Khosrovani, Tehran, Iran: Behjat publications,</w:t>
      </w:r>
    </w:p>
    <w:p>
      <w:pPr>
        <w:pStyle w:val="BookText"/>
        <w:bidi w:val="0"/>
        <w:jc w:val="both"/>
        <w:rPr/>
      </w:pPr>
      <w:r>
        <w:rPr>
          <w:rFonts w:eastAsia="Times New Roman" w:cs="Times New Roman" w:ascii="Times New Roman" w:hAnsi="Times New Roman"/>
          <w:color w:val="111111"/>
          <w:sz w:val="28"/>
          <w:szCs w:val="28"/>
          <w:lang w:val="en-US"/>
        </w:rPr>
        <w:t>2000.</w:t>
      </w:r>
    </w:p>
    <w:p>
      <w:pPr>
        <w:pStyle w:val="BookText"/>
        <w:bidi w:val="0"/>
        <w:jc w:val="both"/>
        <w:rPr/>
      </w:pPr>
      <w:r>
        <w:rPr>
          <w:rFonts w:eastAsia="Times New Roman" w:cs="Times New Roman" w:ascii="Times New Roman" w:hAnsi="Times New Roman"/>
          <w:color w:val="111111"/>
          <w:sz w:val="28"/>
          <w:szCs w:val="28"/>
          <w:lang w:val="en-US"/>
        </w:rPr>
        <w:t>Hasti Syenasi, Qom: Moasseseh Amuzesyi pezuhesyi Imam Khomeini,</w:t>
      </w:r>
    </w:p>
    <w:p>
      <w:pPr>
        <w:pStyle w:val="BookText"/>
        <w:bidi w:val="0"/>
        <w:jc w:val="both"/>
        <w:rPr/>
      </w:pPr>
      <w:r>
        <w:rPr>
          <w:rFonts w:eastAsia="Times New Roman" w:cs="Times New Roman" w:ascii="Times New Roman" w:hAnsi="Times New Roman"/>
          <w:color w:val="111111"/>
          <w:sz w:val="28"/>
          <w:szCs w:val="28"/>
          <w:lang w:val="en-US"/>
        </w:rPr>
        <w:t>Intisyarat-e Muasseseh wa Pezuhesyi Imam Khomeini, 1999.</w:t>
      </w:r>
    </w:p>
    <w:p>
      <w:pPr>
        <w:pStyle w:val="BookText"/>
        <w:bidi w:val="0"/>
        <w:jc w:val="both"/>
        <w:rPr/>
      </w:pPr>
      <w:r>
        <w:rPr>
          <w:rFonts w:eastAsia="Times New Roman" w:cs="Times New Roman" w:ascii="Times New Roman" w:hAnsi="Times New Roman"/>
          <w:color w:val="111111"/>
          <w:sz w:val="28"/>
          <w:szCs w:val="28"/>
          <w:lang w:val="en-US"/>
        </w:rPr>
        <w:t>Heidegger, Martin. Sein und Zeit, Tubingen; Max Niemeyer, 1953.</w:t>
      </w:r>
    </w:p>
    <w:p>
      <w:pPr>
        <w:pStyle w:val="BookText"/>
        <w:bidi w:val="0"/>
        <w:jc w:val="both"/>
        <w:rPr/>
      </w:pPr>
      <w:r>
        <w:rPr>
          <w:rFonts w:eastAsia="Times New Roman" w:cs="Times New Roman" w:ascii="Times New Roman" w:hAnsi="Times New Roman"/>
          <w:color w:val="111111"/>
          <w:sz w:val="28"/>
          <w:szCs w:val="28"/>
          <w:lang w:val="en-US"/>
        </w:rPr>
        <w:t>Hoesin, O.A. Filsafat Islam. Jakarta: Bulan Bintang, 1996.</w:t>
      </w:r>
    </w:p>
    <w:p>
      <w:pPr>
        <w:pStyle w:val="BookText"/>
        <w:bidi w:val="0"/>
        <w:jc w:val="both"/>
        <w:rPr/>
      </w:pPr>
      <w:r>
        <w:rPr>
          <w:rFonts w:eastAsia="Times New Roman" w:cs="Times New Roman" w:ascii="Times New Roman" w:hAnsi="Times New Roman"/>
          <w:color w:val="111111"/>
          <w:sz w:val="28"/>
          <w:szCs w:val="28"/>
          <w:lang w:val="en-US"/>
        </w:rPr>
        <w:t>Idris, Hani. Mâ ba’da al-Rusydiyyah, Beirut: Dar al-Ma'arif, 1408</w:t>
      </w:r>
    </w:p>
    <w:p>
      <w:pPr>
        <w:pStyle w:val="BookText"/>
        <w:bidi w:val="0"/>
        <w:jc w:val="both"/>
        <w:rPr/>
      </w:pPr>
      <w:r>
        <w:rPr>
          <w:rFonts w:eastAsia="Times New Roman" w:cs="Times New Roman" w:ascii="Times New Roman" w:hAnsi="Times New Roman"/>
          <w:color w:val="111111"/>
          <w:sz w:val="28"/>
          <w:szCs w:val="28"/>
          <w:lang w:val="en-US"/>
        </w:rPr>
        <w:t>H/1996 M.</w:t>
      </w:r>
    </w:p>
    <w:p>
      <w:pPr>
        <w:pStyle w:val="BookText"/>
        <w:bidi w:val="0"/>
        <w:jc w:val="both"/>
        <w:rPr/>
      </w:pPr>
      <w:r>
        <w:rPr>
          <w:rFonts w:eastAsia="Times New Roman" w:cs="Times New Roman" w:ascii="Times New Roman" w:hAnsi="Times New Roman"/>
          <w:color w:val="111111"/>
          <w:sz w:val="28"/>
          <w:szCs w:val="28"/>
          <w:lang w:val="en-US"/>
        </w:rPr>
        <w:t>Imam Khomaini, Pandangan, Hidup dan Pejuangan, al-Huda, cet. Ke-2,</w:t>
      </w:r>
    </w:p>
    <w:p>
      <w:pPr>
        <w:pStyle w:val="BookText"/>
        <w:bidi w:val="0"/>
        <w:jc w:val="both"/>
        <w:rPr/>
      </w:pPr>
      <w:r>
        <w:rPr>
          <w:rFonts w:eastAsia="Times New Roman" w:cs="Times New Roman" w:ascii="Times New Roman" w:hAnsi="Times New Roman"/>
          <w:color w:val="111111"/>
          <w:sz w:val="28"/>
          <w:szCs w:val="28"/>
          <w:lang w:val="en-US"/>
        </w:rPr>
        <w:t>2005.</w:t>
      </w:r>
    </w:p>
    <w:p>
      <w:pPr>
        <w:pStyle w:val="BookText"/>
        <w:bidi w:val="0"/>
        <w:jc w:val="both"/>
        <w:rPr/>
      </w:pPr>
      <w:r>
        <w:rPr>
          <w:rFonts w:eastAsia="Times New Roman" w:cs="Times New Roman" w:ascii="Times New Roman" w:hAnsi="Times New Roman"/>
          <w:color w:val="111111"/>
          <w:sz w:val="28"/>
          <w:szCs w:val="28"/>
          <w:lang w:val="en-US"/>
        </w:rPr>
        <w:t>Islami, Muhammad Taqi. Zendegi Nameh Hadhrat Muhammad Taqi</w:t>
      </w:r>
    </w:p>
    <w:p>
      <w:pPr>
        <w:pStyle w:val="BookText"/>
        <w:bidi w:val="0"/>
        <w:jc w:val="both"/>
        <w:rPr/>
      </w:pPr>
      <w:r>
        <w:rPr>
          <w:rFonts w:eastAsia="Times New Roman" w:cs="Times New Roman" w:ascii="Times New Roman" w:hAnsi="Times New Roman"/>
          <w:color w:val="111111"/>
          <w:sz w:val="28"/>
          <w:szCs w:val="28"/>
          <w:lang w:val="en-US"/>
        </w:rPr>
        <w:t>Mishbâh Yazdî, Qum, Intisyarat Partu Wilayat, 1382 HS/2000 M.</w:t>
      </w:r>
    </w:p>
    <w:p>
      <w:pPr>
        <w:pStyle w:val="BookText"/>
        <w:bidi w:val="0"/>
        <w:jc w:val="both"/>
        <w:rPr/>
      </w:pPr>
      <w:r>
        <w:rPr>
          <w:rFonts w:eastAsia="Times New Roman" w:cs="Times New Roman" w:ascii="Times New Roman" w:hAnsi="Times New Roman"/>
          <w:color w:val="111111"/>
          <w:sz w:val="28"/>
          <w:szCs w:val="28"/>
          <w:lang w:val="en-US"/>
        </w:rPr>
        <w:t>Islami, Muhammad Taqi. Zendegi Nameh Muhammad Taqi Mishbâh</w:t>
      </w:r>
    </w:p>
    <w:p>
      <w:pPr>
        <w:pStyle w:val="BookText"/>
        <w:bidi w:val="0"/>
        <w:jc w:val="both"/>
        <w:rPr/>
      </w:pPr>
      <w:r>
        <w:rPr>
          <w:rFonts w:eastAsia="Times New Roman" w:cs="Times New Roman" w:ascii="Times New Roman" w:hAnsi="Times New Roman"/>
          <w:color w:val="111111"/>
          <w:sz w:val="28"/>
          <w:szCs w:val="28"/>
          <w:lang w:val="en-US"/>
        </w:rPr>
        <w:t>Yazdî, Qum, Intisyarat Partu Wilayat, 1382 HS/2000 M.</w:t>
      </w:r>
    </w:p>
    <w:p>
      <w:pPr>
        <w:pStyle w:val="BookText"/>
        <w:bidi w:val="0"/>
        <w:jc w:val="both"/>
        <w:rPr/>
      </w:pPr>
      <w:r>
        <w:rPr>
          <w:rFonts w:eastAsia="Times New Roman" w:cs="Times New Roman" w:ascii="Times New Roman" w:hAnsi="Times New Roman"/>
          <w:color w:val="111111"/>
          <w:sz w:val="28"/>
          <w:szCs w:val="28"/>
          <w:lang w:val="en-US"/>
        </w:rPr>
        <w:t>Izutsu, Toshihiko dan Mohaghegh, Mehdi. The Metaphysics of Sabzavari,</w:t>
      </w:r>
    </w:p>
    <w:p>
      <w:pPr>
        <w:pStyle w:val="BookText"/>
        <w:bidi w:val="0"/>
        <w:jc w:val="both"/>
        <w:rPr/>
      </w:pPr>
      <w:r>
        <w:rPr>
          <w:rFonts w:eastAsia="Times New Roman" w:cs="Times New Roman" w:ascii="Times New Roman" w:hAnsi="Times New Roman"/>
          <w:color w:val="111111"/>
          <w:sz w:val="28"/>
          <w:szCs w:val="28"/>
          <w:lang w:val="en-US"/>
        </w:rPr>
        <w:t>New York: Caravan Books, 1977.</w:t>
      </w:r>
    </w:p>
    <w:p>
      <w:pPr>
        <w:pStyle w:val="BookText"/>
        <w:bidi w:val="0"/>
        <w:jc w:val="both"/>
        <w:rPr/>
      </w:pPr>
      <w:r>
        <w:rPr>
          <w:rFonts w:eastAsia="Times New Roman" w:cs="Times New Roman" w:ascii="Times New Roman" w:hAnsi="Times New Roman"/>
          <w:color w:val="111111"/>
          <w:sz w:val="28"/>
          <w:szCs w:val="28"/>
          <w:lang w:val="en-US"/>
        </w:rPr>
        <w:t>Jameeh Modarresin Hauzeh Ilmiyeh Qom, Az`Aghaz'ta Aknun, Markaz</w:t>
      </w:r>
    </w:p>
    <w:p>
      <w:pPr>
        <w:pStyle w:val="BookText"/>
        <w:bidi w:val="0"/>
        <w:jc w:val="both"/>
        <w:rPr/>
      </w:pPr>
      <w:r>
        <w:rPr>
          <w:rFonts w:eastAsia="Times New Roman" w:cs="Times New Roman" w:ascii="Times New Roman" w:hAnsi="Times New Roman"/>
          <w:color w:val="111111"/>
          <w:sz w:val="28"/>
          <w:szCs w:val="28"/>
          <w:lang w:val="en-US"/>
        </w:rPr>
        <w:t>Asnad-e Inqilab-e Islami, vol. VI, 2007.</w:t>
      </w:r>
    </w:p>
    <w:p>
      <w:pPr>
        <w:pStyle w:val="BookText"/>
        <w:bidi w:val="0"/>
        <w:jc w:val="both"/>
        <w:rPr/>
      </w:pPr>
      <w:r>
        <w:rPr>
          <w:rFonts w:eastAsia="Times New Roman" w:cs="Times New Roman" w:ascii="Times New Roman" w:hAnsi="Times New Roman"/>
          <w:color w:val="111111"/>
          <w:sz w:val="28"/>
          <w:szCs w:val="28"/>
          <w:lang w:val="en-US"/>
        </w:rPr>
        <w:t>Kartono, Kartini. Pengantar Metodologi Riset Sosial, Bandung: Mandar</w:t>
      </w:r>
    </w:p>
    <w:p>
      <w:pPr>
        <w:pStyle w:val="BookText"/>
        <w:bidi w:val="0"/>
        <w:jc w:val="both"/>
        <w:rPr/>
      </w:pPr>
      <w:r>
        <w:rPr>
          <w:rFonts w:eastAsia="Times New Roman" w:cs="Times New Roman" w:ascii="Times New Roman" w:hAnsi="Times New Roman"/>
          <w:color w:val="111111"/>
          <w:sz w:val="28"/>
          <w:szCs w:val="28"/>
          <w:lang w:val="en-US"/>
        </w:rPr>
        <w:t>Maju, 1996.</w:t>
      </w:r>
    </w:p>
    <w:p>
      <w:pPr>
        <w:pStyle w:val="BookText"/>
        <w:bidi w:val="0"/>
        <w:jc w:val="both"/>
        <w:rPr/>
      </w:pPr>
      <w:r>
        <w:rPr>
          <w:rFonts w:eastAsia="Times New Roman" w:cs="Times New Roman" w:ascii="Times New Roman" w:hAnsi="Times New Roman"/>
          <w:color w:val="111111"/>
          <w:sz w:val="28"/>
          <w:szCs w:val="28"/>
          <w:lang w:val="en-US"/>
        </w:rPr>
        <w:t>Kazhim, Musa. Buku Daras Filsafat, Bandung: Mizan, 2003.</w:t>
      </w:r>
    </w:p>
    <w:p>
      <w:pPr>
        <w:pStyle w:val="BookText"/>
        <w:bidi w:val="0"/>
        <w:jc w:val="both"/>
        <w:rPr/>
      </w:pPr>
      <w:r>
        <w:rPr>
          <w:rFonts w:eastAsia="Times New Roman" w:cs="Times New Roman" w:ascii="Times New Roman" w:hAnsi="Times New Roman"/>
          <w:color w:val="111111"/>
          <w:sz w:val="28"/>
          <w:szCs w:val="28"/>
          <w:lang w:val="en-US"/>
        </w:rPr>
        <w:t>Muhammad Taqî Mishbâh Yazdî, Mizan, Bandung: 2003.</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Khamenei, Gozoresyi az Sabiqeh-e Tarikhi wa Auzha-e Konuni Hawzah </w:t>
      </w:r>
    </w:p>
    <w:p>
      <w:pPr>
        <w:pStyle w:val="BookText"/>
        <w:bidi w:val="0"/>
        <w:rPr/>
      </w:pPr>
      <w:r>
        <w:rPr>
          <w:rFonts w:eastAsia="Times New Roman" w:cs="Times New Roman" w:ascii="Times New Roman" w:hAnsi="Times New Roman"/>
          <w:color w:val="111111"/>
          <w:sz w:val="28"/>
          <w:szCs w:val="28"/>
          <w:lang w:val="en-US"/>
        </w:rPr>
        <w:t>ILMIYAH Mashad, Qom: Jameeh Modarresin, 1992.</w:t>
      </w:r>
    </w:p>
    <w:p>
      <w:pPr>
        <w:pStyle w:val="BookText"/>
        <w:bidi w:val="0"/>
        <w:jc w:val="both"/>
        <w:rPr/>
      </w:pPr>
      <w:r>
        <w:rPr>
          <w:rFonts w:eastAsia="Times New Roman" w:cs="Times New Roman" w:ascii="Times New Roman" w:hAnsi="Times New Roman"/>
          <w:color w:val="111111"/>
          <w:sz w:val="28"/>
          <w:szCs w:val="28"/>
          <w:lang w:val="en-US"/>
        </w:rPr>
        <w:t>Kim, Jaegwon dan Sosa, Earnest (ed), A Companion to Metaphysics,</w:t>
      </w:r>
    </w:p>
    <w:p>
      <w:pPr>
        <w:pStyle w:val="BookText"/>
        <w:bidi w:val="0"/>
        <w:jc w:val="both"/>
        <w:rPr/>
      </w:pPr>
      <w:r>
        <w:rPr>
          <w:rFonts w:eastAsia="Times New Roman" w:cs="Times New Roman" w:ascii="Times New Roman" w:hAnsi="Times New Roman"/>
          <w:color w:val="111111"/>
          <w:sz w:val="28"/>
          <w:szCs w:val="28"/>
          <w:lang w:val="en-US"/>
        </w:rPr>
        <w:t>United Kingdom: Blackwell Ltd., 1995.</w:t>
      </w:r>
    </w:p>
    <w:p>
      <w:pPr>
        <w:pStyle w:val="BookText"/>
        <w:bidi w:val="0"/>
        <w:jc w:val="both"/>
        <w:rPr/>
      </w:pPr>
      <w:r>
        <w:rPr>
          <w:rFonts w:eastAsia="Times New Roman" w:cs="Times New Roman" w:ascii="Times New Roman" w:hAnsi="Times New Roman"/>
          <w:color w:val="111111"/>
          <w:sz w:val="28"/>
          <w:szCs w:val="28"/>
          <w:lang w:val="en-US"/>
        </w:rPr>
        <w:t>Labib, Muhsin. Ahamdinejad, David di Tengah Angkara Goliath, Jakarta:</w:t>
      </w:r>
    </w:p>
    <w:p>
      <w:pPr>
        <w:pStyle w:val="BookText"/>
        <w:bidi w:val="0"/>
        <w:jc w:val="both"/>
        <w:rPr/>
      </w:pPr>
      <w:r>
        <w:rPr>
          <w:rFonts w:eastAsia="Times New Roman" w:cs="Times New Roman" w:ascii="Times New Roman" w:hAnsi="Times New Roman"/>
          <w:color w:val="111111"/>
          <w:sz w:val="28"/>
          <w:szCs w:val="28"/>
          <w:lang w:val="en-US"/>
        </w:rPr>
        <w:t>Hikmah, 2006.</w:t>
      </w:r>
    </w:p>
    <w:p>
      <w:pPr>
        <w:pStyle w:val="BookText"/>
        <w:bidi w:val="0"/>
        <w:jc w:val="both"/>
        <w:rPr/>
      </w:pPr>
      <w:r>
        <w:rPr>
          <w:rFonts w:eastAsia="Times New Roman" w:cs="Times New Roman" w:ascii="Times New Roman" w:hAnsi="Times New Roman"/>
          <w:color w:val="111111"/>
          <w:sz w:val="28"/>
          <w:szCs w:val="28"/>
          <w:lang w:val="en-US"/>
        </w:rPr>
        <w:t>. Para Filsuf Sebelum dan Sesudah Mullâ Sadrâ, Jakarta:</w:t>
      </w:r>
    </w:p>
    <w:p>
      <w:pPr>
        <w:pStyle w:val="BookText"/>
        <w:bidi w:val="0"/>
        <w:jc w:val="both"/>
        <w:rPr/>
      </w:pPr>
      <w:r>
        <w:rPr>
          <w:rFonts w:eastAsia="Times New Roman" w:cs="Times New Roman" w:ascii="Times New Roman" w:hAnsi="Times New Roman"/>
          <w:color w:val="111111"/>
          <w:sz w:val="28"/>
          <w:szCs w:val="28"/>
          <w:lang w:val="en-US"/>
        </w:rPr>
        <w:t>Al-Huda, 2004</w:t>
      </w:r>
    </w:p>
    <w:p>
      <w:pPr>
        <w:pStyle w:val="BookText"/>
        <w:bidi w:val="0"/>
        <w:jc w:val="both"/>
        <w:rPr/>
      </w:pPr>
      <w:r>
        <w:rPr>
          <w:rFonts w:eastAsia="Times New Roman" w:cs="Times New Roman" w:ascii="Times New Roman" w:hAnsi="Times New Roman"/>
          <w:color w:val="111111"/>
          <w:sz w:val="28"/>
          <w:szCs w:val="28"/>
          <w:lang w:val="en-US"/>
        </w:rPr>
        <w:t>Lalande, Andre. Vocabulaire Technique ef Critique de la Philosophie,</w:t>
      </w:r>
    </w:p>
    <w:p>
      <w:pPr>
        <w:pStyle w:val="BookText"/>
        <w:bidi w:val="0"/>
        <w:jc w:val="both"/>
        <w:rPr/>
      </w:pPr>
      <w:r>
        <w:rPr>
          <w:rFonts w:eastAsia="Times New Roman" w:cs="Times New Roman" w:ascii="Times New Roman" w:hAnsi="Times New Roman"/>
          <w:color w:val="111111"/>
          <w:sz w:val="28"/>
          <w:szCs w:val="28"/>
          <w:lang w:val="en-US"/>
        </w:rPr>
        <w:t>terj. Parsi Gholam Reza, 2000.</w:t>
      </w:r>
    </w:p>
    <w:p>
      <w:pPr>
        <w:pStyle w:val="BookText"/>
        <w:bidi w:val="0"/>
        <w:jc w:val="both"/>
        <w:rPr/>
      </w:pPr>
      <w:r>
        <w:rPr>
          <w:rFonts w:eastAsia="Times New Roman" w:cs="Times New Roman" w:ascii="Times New Roman" w:hAnsi="Times New Roman"/>
          <w:color w:val="111111"/>
          <w:sz w:val="28"/>
          <w:szCs w:val="28"/>
          <w:lang w:val="en-US"/>
        </w:rPr>
        <w:t>Leaman, Oliver. Pengantar Filsafat Islam: Sebuah Pendekatan Tematis.</w:t>
      </w:r>
    </w:p>
    <w:p>
      <w:pPr>
        <w:pStyle w:val="BookText"/>
        <w:bidi w:val="0"/>
        <w:jc w:val="both"/>
        <w:rPr/>
      </w:pPr>
      <w:r>
        <w:rPr>
          <w:rFonts w:eastAsia="Times New Roman" w:cs="Times New Roman" w:ascii="Times New Roman" w:hAnsi="Times New Roman"/>
          <w:color w:val="111111"/>
          <w:sz w:val="28"/>
          <w:szCs w:val="28"/>
          <w:lang w:val="en-US"/>
        </w:rPr>
        <w:t>Bandung: Mizan, 2001.</w:t>
      </w:r>
    </w:p>
    <w:p>
      <w:pPr>
        <w:pStyle w:val="BookText"/>
        <w:bidi w:val="0"/>
        <w:jc w:val="both"/>
        <w:rPr/>
      </w:pPr>
      <w:r>
        <w:rPr>
          <w:rFonts w:eastAsia="Times New Roman" w:cs="Times New Roman" w:ascii="Times New Roman" w:hAnsi="Times New Roman"/>
          <w:color w:val="111111"/>
          <w:sz w:val="28"/>
          <w:szCs w:val="28"/>
          <w:lang w:val="en-US"/>
        </w:rPr>
        <w:t>Madjid, Nurcholish. Islam Doktrin dan Peradaban : Sebuah Telaah</w:t>
      </w:r>
    </w:p>
    <w:p>
      <w:pPr>
        <w:pStyle w:val="BookText"/>
        <w:bidi w:val="0"/>
        <w:jc w:val="both"/>
        <w:rPr/>
      </w:pPr>
      <w:r>
        <w:rPr>
          <w:rFonts w:eastAsia="Times New Roman" w:cs="Times New Roman" w:ascii="Times New Roman" w:hAnsi="Times New Roman"/>
          <w:color w:val="111111"/>
          <w:sz w:val="28"/>
          <w:szCs w:val="28"/>
          <w:lang w:val="en-US"/>
        </w:rPr>
        <w:t>Kritis Tentang Masalah Keislaman, Kemanusiaan dan Kemodernan,</w:t>
      </w:r>
    </w:p>
    <w:p>
      <w:pPr>
        <w:pStyle w:val="BookText"/>
        <w:bidi w:val="0"/>
        <w:jc w:val="both"/>
        <w:rPr/>
      </w:pPr>
      <w:r>
        <w:rPr>
          <w:rFonts w:eastAsia="Times New Roman" w:cs="Times New Roman" w:ascii="Times New Roman" w:hAnsi="Times New Roman"/>
          <w:color w:val="111111"/>
          <w:sz w:val="28"/>
          <w:szCs w:val="28"/>
          <w:lang w:val="en-US"/>
        </w:rPr>
        <w:t>Jakarta : Paramadina, 1995.</w:t>
      </w:r>
    </w:p>
    <w:p>
      <w:pPr>
        <w:pStyle w:val="BookText"/>
        <w:bidi w:val="0"/>
        <w:jc w:val="both"/>
        <w:rPr/>
      </w:pPr>
      <w:r>
        <w:rPr>
          <w:rFonts w:eastAsia="Times New Roman" w:cs="Times New Roman" w:ascii="Times New Roman" w:hAnsi="Times New Roman"/>
          <w:color w:val="111111"/>
          <w:sz w:val="28"/>
          <w:szCs w:val="28"/>
          <w:lang w:val="en-US"/>
        </w:rPr>
        <w:t>Mahdawi, Asghar and Iraj Afsyar, Sayyid Jamaluddin Huseini, Paygozareh</w:t>
      </w:r>
    </w:p>
    <w:p>
      <w:pPr>
        <w:pStyle w:val="BookText"/>
        <w:bidi w:val="0"/>
        <w:jc w:val="both"/>
        <w:rPr/>
      </w:pPr>
      <w:r>
        <w:rPr>
          <w:rFonts w:eastAsia="Times New Roman" w:cs="Times New Roman" w:ascii="Times New Roman" w:hAnsi="Times New Roman"/>
          <w:color w:val="111111"/>
          <w:sz w:val="28"/>
          <w:szCs w:val="28"/>
          <w:lang w:val="en-US"/>
        </w:rPr>
        <w:t>Nehzataye Islami.</w:t>
      </w:r>
    </w:p>
    <w:p>
      <w:pPr>
        <w:pStyle w:val="BookText"/>
        <w:bidi w:val="0"/>
        <w:jc w:val="both"/>
        <w:rPr/>
      </w:pPr>
      <w:r>
        <w:rPr>
          <w:rFonts w:eastAsia="Times New Roman" w:cs="Times New Roman" w:ascii="Times New Roman" w:hAnsi="Times New Roman"/>
          <w:color w:val="111111"/>
          <w:sz w:val="28"/>
          <w:szCs w:val="28"/>
          <w:lang w:val="en-US"/>
        </w:rPr>
        <w:t>Moallemi, Hasan. Maʼrefat Syenasi az Didgah-e Hekmat-e Muta;aiyyah,</w:t>
      </w:r>
    </w:p>
    <w:p>
      <w:pPr>
        <w:pStyle w:val="BookText"/>
        <w:bidi w:val="0"/>
        <w:jc w:val="both"/>
        <w:rPr/>
      </w:pPr>
      <w:r>
        <w:rPr>
          <w:rFonts w:eastAsia="Times New Roman" w:cs="Times New Roman" w:ascii="Times New Roman" w:hAnsi="Times New Roman"/>
          <w:color w:val="111111"/>
          <w:sz w:val="28"/>
          <w:szCs w:val="28"/>
          <w:lang w:val="en-US"/>
        </w:rPr>
        <w:t>Qom: Muaseseh Pezuhesy wa Amuzesy-e Imam, 2001.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Nighahi Ma'rifat Syinasi dar Falsafah Islami, Qom:</w:t>
      </w:r>
    </w:p>
    <w:p>
      <w:pPr>
        <w:pStyle w:val="BookText"/>
        <w:bidi w:val="0"/>
        <w:jc w:val="both"/>
        <w:rPr/>
      </w:pPr>
      <w:r>
        <w:rPr>
          <w:rFonts w:eastAsia="Times New Roman" w:cs="Times New Roman" w:ascii="Times New Roman" w:hAnsi="Times New Roman"/>
          <w:color w:val="111111"/>
          <w:sz w:val="28"/>
          <w:szCs w:val="28"/>
          <w:lang w:val="en-US"/>
        </w:rPr>
        <w:t>Muassasah Farhangi Danesy, 1379 HS/1998M</w:t>
      </w:r>
    </w:p>
    <w:p>
      <w:pPr>
        <w:pStyle w:val="BookText"/>
        <w:bidi w:val="0"/>
        <w:jc w:val="both"/>
        <w:rPr/>
      </w:pPr>
      <w:r>
        <w:rPr>
          <w:rFonts w:eastAsia="Times New Roman" w:cs="Times New Roman" w:ascii="Times New Roman" w:hAnsi="Times New Roman"/>
          <w:color w:val="111111"/>
          <w:sz w:val="28"/>
          <w:szCs w:val="28"/>
          <w:lang w:val="en-US"/>
        </w:rPr>
        <w:t>Moleong, Lexy J. Metodologi Penelitian Kualitatif, Bandung : Remaja</w:t>
      </w:r>
    </w:p>
    <w:p>
      <w:pPr>
        <w:pStyle w:val="BookText"/>
        <w:bidi w:val="0"/>
        <w:jc w:val="both"/>
        <w:rPr/>
      </w:pPr>
      <w:r>
        <w:rPr>
          <w:rFonts w:eastAsia="Times New Roman" w:cs="Times New Roman" w:ascii="Times New Roman" w:hAnsi="Times New Roman"/>
          <w:color w:val="111111"/>
          <w:sz w:val="28"/>
          <w:szCs w:val="28"/>
          <w:lang w:val="en-US"/>
        </w:rPr>
        <w:t>Rosdakarya, 2004.</w:t>
      </w:r>
    </w:p>
    <w:p>
      <w:pPr>
        <w:pStyle w:val="BookText"/>
        <w:bidi w:val="0"/>
        <w:jc w:val="both"/>
        <w:rPr/>
      </w:pPr>
      <w:r>
        <w:rPr>
          <w:rFonts w:eastAsia="Times New Roman" w:cs="Times New Roman" w:ascii="Times New Roman" w:hAnsi="Times New Roman"/>
          <w:color w:val="111111"/>
          <w:sz w:val="28"/>
          <w:szCs w:val="28"/>
          <w:lang w:val="en-US"/>
        </w:rPr>
        <w:t>Morewedge, Parvis. The Metaphysica of Avicenna, London, Routledge</w:t>
      </w:r>
    </w:p>
    <w:p>
      <w:pPr>
        <w:pStyle w:val="BookText"/>
        <w:bidi w:val="0"/>
        <w:jc w:val="both"/>
        <w:rPr/>
      </w:pPr>
      <w:r>
        <w:rPr>
          <w:rFonts w:eastAsia="Times New Roman" w:cs="Times New Roman" w:ascii="Times New Roman" w:hAnsi="Times New Roman"/>
          <w:color w:val="111111"/>
          <w:sz w:val="28"/>
          <w:szCs w:val="28"/>
          <w:lang w:val="en-US"/>
        </w:rPr>
        <w:t>and Kegan Paul; 1973.</w:t>
      </w:r>
    </w:p>
    <w:p>
      <w:pPr>
        <w:pStyle w:val="BookText"/>
        <w:bidi w:val="0"/>
        <w:jc w:val="both"/>
        <w:rPr/>
      </w:pPr>
      <w:r>
        <w:rPr>
          <w:rFonts w:eastAsia="Times New Roman" w:cs="Times New Roman" w:ascii="Times New Roman" w:hAnsi="Times New Roman"/>
          <w:color w:val="111111"/>
          <w:sz w:val="28"/>
          <w:szCs w:val="28"/>
          <w:lang w:val="en-US"/>
        </w:rPr>
        <w:t>_. Essays in Islamic Philosophy, Theology, and Mysticism.</w:t>
      </w:r>
    </w:p>
    <w:p>
      <w:pPr>
        <w:pStyle w:val="BookText"/>
        <w:bidi w:val="0"/>
        <w:jc w:val="both"/>
        <w:rPr/>
      </w:pPr>
      <w:r>
        <w:rPr>
          <w:rFonts w:eastAsia="Times New Roman" w:cs="Times New Roman" w:ascii="Times New Roman" w:hAnsi="Times New Roman"/>
          <w:color w:val="111111"/>
          <w:sz w:val="28"/>
          <w:szCs w:val="28"/>
          <w:lang w:val="en-US"/>
        </w:rPr>
        <w:t>Binghamton, NY: Global Publ., Binghamton University, State</w:t>
      </w:r>
    </w:p>
    <w:p>
      <w:pPr>
        <w:pStyle w:val="BookText"/>
        <w:bidi w:val="0"/>
        <w:jc w:val="both"/>
        <w:rPr/>
      </w:pPr>
      <w:r>
        <w:rPr>
          <w:rFonts w:eastAsia="Times New Roman" w:cs="Times New Roman" w:ascii="Times New Roman" w:hAnsi="Times New Roman"/>
          <w:color w:val="111111"/>
          <w:sz w:val="28"/>
          <w:szCs w:val="28"/>
          <w:lang w:val="en-US"/>
        </w:rPr>
        <w:t>University of New York, 1997.</w:t>
      </w:r>
    </w:p>
    <w:p>
      <w:pPr>
        <w:pStyle w:val="BookText"/>
        <w:bidi w:val="0"/>
        <w:jc w:val="both"/>
        <w:rPr/>
      </w:pPr>
      <w:r>
        <w:rPr>
          <w:rFonts w:eastAsia="Times New Roman" w:cs="Times New Roman" w:ascii="Times New Roman" w:hAnsi="Times New Roman"/>
          <w:color w:val="111111"/>
          <w:sz w:val="28"/>
          <w:szCs w:val="28"/>
          <w:lang w:val="en-US"/>
        </w:rPr>
        <w:t>Motahedeh, Roy The Mantle of The Prophet, New York: Pantheon Books</w:t>
      </w:r>
    </w:p>
    <w:p>
      <w:pPr>
        <w:pStyle w:val="BookText"/>
        <w:bidi w:val="0"/>
        <w:jc w:val="both"/>
        <w:rPr/>
      </w:pPr>
      <w:r>
        <w:rPr>
          <w:rFonts w:eastAsia="Times New Roman" w:cs="Times New Roman" w:ascii="Times New Roman" w:hAnsi="Times New Roman"/>
          <w:color w:val="111111"/>
          <w:sz w:val="28"/>
          <w:szCs w:val="28"/>
          <w:lang w:val="en-US"/>
        </w:rPr>
        <w:t>1985.</w:t>
      </w:r>
    </w:p>
    <w:p>
      <w:pPr>
        <w:pStyle w:val="BookText"/>
        <w:bidi w:val="0"/>
        <w:jc w:val="both"/>
        <w:rPr/>
      </w:pPr>
      <w:r>
        <w:rPr>
          <w:rFonts w:eastAsia="Times New Roman" w:cs="Times New Roman" w:ascii="Times New Roman" w:hAnsi="Times New Roman"/>
          <w:color w:val="111111"/>
          <w:sz w:val="28"/>
          <w:szCs w:val="28"/>
          <w:lang w:val="en-US"/>
        </w:rPr>
        <w:t>Muassasah Nasyr wa Turats Imam Khomeini, Hasti Syenasi Eslami,</w:t>
      </w:r>
    </w:p>
    <w:p>
      <w:pPr>
        <w:pStyle w:val="BookText"/>
        <w:bidi w:val="0"/>
        <w:jc w:val="both"/>
        <w:rPr/>
      </w:pPr>
      <w:r>
        <w:rPr>
          <w:rFonts w:eastAsia="Times New Roman" w:cs="Times New Roman" w:ascii="Times New Roman" w:hAnsi="Times New Roman"/>
          <w:color w:val="111111"/>
          <w:sz w:val="28"/>
          <w:szCs w:val="28"/>
          <w:lang w:val="en-US"/>
        </w:rPr>
        <w:t>Qom: The Imam Khomeini Education and Reasearch Institute Iran,</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1997.</w:t>
      </w:r>
    </w:p>
    <w:p>
      <w:pPr>
        <w:pStyle w:val="BookText"/>
        <w:bidi w:val="0"/>
        <w:rPr/>
      </w:pPr>
      <w:r>
        <w:rPr>
          <w:rFonts w:eastAsia="Times New Roman" w:cs="Times New Roman" w:ascii="Times New Roman" w:hAnsi="Times New Roman"/>
          <w:color w:val="111111"/>
          <w:sz w:val="28"/>
          <w:szCs w:val="28"/>
          <w:lang w:val="en-US"/>
        </w:rPr>
        <w:t>Muassasah Tanzhim wa Nasyr ‘Atsar Imam Khomeinî. Awaye Tauhîd:</w:t>
      </w:r>
    </w:p>
    <w:p>
      <w:pPr>
        <w:pStyle w:val="BookText"/>
        <w:bidi w:val="0"/>
        <w:jc w:val="both"/>
        <w:rPr/>
      </w:pPr>
      <w:r>
        <w:rPr>
          <w:rFonts w:eastAsia="Times New Roman" w:cs="Times New Roman" w:ascii="Times New Roman" w:hAnsi="Times New Roman"/>
          <w:color w:val="111111"/>
          <w:sz w:val="28"/>
          <w:szCs w:val="28"/>
          <w:lang w:val="en-US"/>
        </w:rPr>
        <w:t>Nâmeh Imâm Khomeinî bih Gorbachev (A Call to Divine Unity:</w:t>
      </w:r>
    </w:p>
    <w:p>
      <w:pPr>
        <w:pStyle w:val="BookText"/>
        <w:bidi w:val="0"/>
        <w:jc w:val="both"/>
        <w:rPr/>
      </w:pPr>
      <w:r>
        <w:rPr>
          <w:rFonts w:eastAsia="Times New Roman" w:cs="Times New Roman" w:ascii="Times New Roman" w:hAnsi="Times New Roman"/>
          <w:color w:val="111111"/>
          <w:sz w:val="28"/>
          <w:szCs w:val="28"/>
          <w:lang w:val="en-US"/>
        </w:rPr>
        <w:t>Letter of Imam Khomeinî to President Mikhail Gorbachev), (Teheran:</w:t>
      </w:r>
    </w:p>
    <w:p>
      <w:pPr>
        <w:pStyle w:val="BookText"/>
        <w:bidi w:val="0"/>
        <w:jc w:val="both"/>
        <w:rPr/>
      </w:pPr>
      <w:r>
        <w:rPr>
          <w:rFonts w:eastAsia="Times New Roman" w:cs="Times New Roman" w:ascii="Times New Roman" w:hAnsi="Times New Roman"/>
          <w:color w:val="111111"/>
          <w:sz w:val="28"/>
          <w:szCs w:val="28"/>
          <w:lang w:val="en-US"/>
        </w:rPr>
        <w:t>Muassasah Tanzhim wa Nasyr ‘Atsar Imam Khomeinî (International</w:t>
      </w:r>
    </w:p>
    <w:p>
      <w:pPr>
        <w:pStyle w:val="BookText"/>
        <w:bidi w:val="0"/>
        <w:jc w:val="both"/>
        <w:rPr/>
      </w:pPr>
      <w:r>
        <w:rPr>
          <w:rFonts w:eastAsia="Times New Roman" w:cs="Times New Roman" w:ascii="Times New Roman" w:hAnsi="Times New Roman"/>
          <w:color w:val="111111"/>
          <w:sz w:val="28"/>
          <w:szCs w:val="28"/>
          <w:lang w:val="en-US"/>
        </w:rPr>
        <w:t>Affairs Departement), 1372 HS/1991 M.</w:t>
      </w:r>
    </w:p>
    <w:p>
      <w:pPr>
        <w:pStyle w:val="BookText"/>
        <w:bidi w:val="0"/>
        <w:jc w:val="both"/>
        <w:rPr/>
      </w:pPr>
      <w:r>
        <w:rPr>
          <w:rFonts w:eastAsia="Times New Roman" w:cs="Times New Roman" w:ascii="Times New Roman" w:hAnsi="Times New Roman"/>
          <w:color w:val="111111"/>
          <w:sz w:val="28"/>
          <w:szCs w:val="28"/>
          <w:lang w:val="en-US"/>
        </w:rPr>
        <w:t>Mughinyah, Jawad. Ma'a Ulama an-Najaf al-Asyraf, Beirut, Dar al-</w:t>
      </w:r>
    </w:p>
    <w:p>
      <w:pPr>
        <w:pStyle w:val="BookText"/>
        <w:bidi w:val="0"/>
        <w:jc w:val="both"/>
        <w:rPr/>
      </w:pPr>
      <w:r>
        <w:rPr>
          <w:rFonts w:eastAsia="Times New Roman" w:cs="Times New Roman" w:ascii="Times New Roman" w:hAnsi="Times New Roman"/>
          <w:color w:val="111111"/>
          <w:sz w:val="28"/>
          <w:szCs w:val="28"/>
          <w:lang w:val="en-US"/>
        </w:rPr>
        <w:t>Jawad, 1987.</w:t>
      </w:r>
    </w:p>
    <w:p>
      <w:pPr>
        <w:pStyle w:val="BookText"/>
        <w:bidi w:val="0"/>
        <w:jc w:val="both"/>
        <w:rPr/>
      </w:pPr>
      <w:r>
        <w:rPr>
          <w:rFonts w:eastAsia="Times New Roman" w:cs="Times New Roman" w:ascii="Times New Roman" w:hAnsi="Times New Roman"/>
          <w:color w:val="111111"/>
          <w:sz w:val="28"/>
          <w:szCs w:val="28"/>
          <w:lang w:val="en-US"/>
        </w:rPr>
        <w:t>Muhadharat fi Al-Aidiulij iyyyah Al-Muqaranah, Teheran: Wizarah AI-I</w:t>
      </w:r>
    </w:p>
    <w:p>
      <w:pPr>
        <w:pStyle w:val="BookText"/>
        <w:bidi w:val="0"/>
        <w:jc w:val="both"/>
        <w:rPr/>
      </w:pPr>
      <w:r>
        <w:rPr>
          <w:rFonts w:eastAsia="Times New Roman" w:cs="Times New Roman" w:ascii="Times New Roman" w:hAnsi="Times New Roman"/>
          <w:color w:val="111111"/>
          <w:sz w:val="28"/>
          <w:szCs w:val="28"/>
          <w:lang w:val="en-US"/>
        </w:rPr>
        <w:t>rsyad Al-Islami, 1982</w:t>
      </w:r>
    </w:p>
    <w:p>
      <w:pPr>
        <w:pStyle w:val="BookText"/>
        <w:bidi w:val="0"/>
        <w:jc w:val="both"/>
        <w:rPr/>
      </w:pPr>
      <w:r>
        <w:rPr>
          <w:rFonts w:eastAsia="Times New Roman" w:cs="Times New Roman" w:ascii="Times New Roman" w:hAnsi="Times New Roman"/>
          <w:color w:val="111111"/>
          <w:sz w:val="28"/>
          <w:szCs w:val="28"/>
          <w:lang w:val="en-US"/>
        </w:rPr>
        <w:t>Muthahhari, Murtadha, Asynâ'i bâ 'Ulûm-e Islâmi, Qom: Intisyârât</w:t>
      </w:r>
    </w:p>
    <w:p>
      <w:pPr>
        <w:pStyle w:val="BookText"/>
        <w:bidi w:val="0"/>
        <w:jc w:val="both"/>
        <w:rPr/>
      </w:pPr>
      <w:r>
        <w:rPr>
          <w:rFonts w:eastAsia="Times New Roman" w:cs="Times New Roman" w:ascii="Times New Roman" w:hAnsi="Times New Roman"/>
          <w:color w:val="111111"/>
          <w:sz w:val="28"/>
          <w:szCs w:val="28"/>
          <w:lang w:val="en-US"/>
        </w:rPr>
        <w:t>Islami, 1409 H/1988 M.</w:t>
      </w:r>
    </w:p>
    <w:p>
      <w:pPr>
        <w:pStyle w:val="BookText"/>
        <w:bidi w:val="0"/>
        <w:jc w:val="both"/>
        <w:rPr/>
      </w:pPr>
      <w:r>
        <w:rPr>
          <w:rFonts w:eastAsia="Times New Roman" w:cs="Times New Roman" w:ascii="Times New Roman" w:hAnsi="Times New Roman"/>
          <w:color w:val="111111"/>
          <w:sz w:val="28"/>
          <w:szCs w:val="28"/>
          <w:lang w:val="en-US"/>
        </w:rPr>
        <w:t>, Majmoeh Asar, vol 14, Qom: Entesharat-e Shadra, 1997.</w:t>
      </w:r>
    </w:p>
    <w:p>
      <w:pPr>
        <w:pStyle w:val="BookText"/>
        <w:bidi w:val="0"/>
        <w:jc w:val="both"/>
        <w:rPr/>
      </w:pPr>
      <w:r>
        <w:rPr>
          <w:rFonts w:eastAsia="Times New Roman" w:cs="Times New Roman" w:ascii="Times New Roman" w:hAnsi="Times New Roman"/>
          <w:color w:val="111111"/>
          <w:sz w:val="28"/>
          <w:szCs w:val="28"/>
          <w:lang w:val="en-US"/>
        </w:rPr>
        <w:t>. Muhadharat fil Falsafah Al-Islamiyyah, Qom: The Center of</w:t>
      </w:r>
    </w:p>
    <w:p>
      <w:pPr>
        <w:pStyle w:val="BookText"/>
        <w:bidi w:val="0"/>
        <w:jc w:val="both"/>
        <w:rPr/>
      </w:pPr>
      <w:r>
        <w:rPr>
          <w:rFonts w:eastAsia="Times New Roman" w:cs="Times New Roman" w:ascii="Times New Roman" w:hAnsi="Times New Roman"/>
          <w:color w:val="111111"/>
          <w:sz w:val="28"/>
          <w:szCs w:val="28"/>
          <w:lang w:val="en-US"/>
        </w:rPr>
        <w:t>Publication of the Office of Islam Propagation, 1987.</w:t>
      </w:r>
    </w:p>
    <w:p>
      <w:pPr>
        <w:pStyle w:val="BookText"/>
        <w:bidi w:val="0"/>
        <w:jc w:val="both"/>
        <w:rPr/>
      </w:pPr>
      <w:r>
        <w:rPr>
          <w:rFonts w:eastAsia="Times New Roman" w:cs="Times New Roman" w:ascii="Times New Roman" w:hAnsi="Times New Roman"/>
          <w:color w:val="111111"/>
          <w:sz w:val="28"/>
          <w:szCs w:val="28"/>
          <w:lang w:val="en-US"/>
        </w:rPr>
        <w:t>_, Thabaqah ye Falasefeh Islami, Majmoeh Asar, vol. 14, Qom:</w:t>
      </w:r>
    </w:p>
    <w:p>
      <w:pPr>
        <w:pStyle w:val="BookText"/>
        <w:bidi w:val="0"/>
        <w:jc w:val="both"/>
        <w:rPr/>
      </w:pPr>
      <w:r>
        <w:rPr>
          <w:rFonts w:eastAsia="Times New Roman" w:cs="Times New Roman" w:ascii="Times New Roman" w:hAnsi="Times New Roman"/>
          <w:color w:val="111111"/>
          <w:sz w:val="28"/>
          <w:szCs w:val="28"/>
          <w:lang w:val="en-US"/>
        </w:rPr>
        <w:t>Intisyarat e Shadra, 2000.</w:t>
      </w:r>
    </w:p>
    <w:p>
      <w:pPr>
        <w:pStyle w:val="BookText"/>
        <w:bidi w:val="0"/>
        <w:jc w:val="both"/>
        <w:rPr/>
      </w:pPr>
      <w:r>
        <w:rPr>
          <w:rFonts w:eastAsia="Times New Roman" w:cs="Times New Roman" w:ascii="Times New Roman" w:hAnsi="Times New Roman"/>
          <w:color w:val="111111"/>
          <w:sz w:val="28"/>
          <w:szCs w:val="28"/>
          <w:lang w:val="en-US"/>
        </w:rPr>
        <w:t>Nashr, Sayed Hossen. Three Muslim Sages. Cambridge, Harvard</w:t>
      </w:r>
    </w:p>
    <w:p>
      <w:pPr>
        <w:pStyle w:val="BookText"/>
        <w:bidi w:val="0"/>
        <w:jc w:val="both"/>
        <w:rPr/>
      </w:pPr>
      <w:r>
        <w:rPr>
          <w:rFonts w:eastAsia="Times New Roman" w:cs="Times New Roman" w:ascii="Times New Roman" w:hAnsi="Times New Roman"/>
          <w:color w:val="111111"/>
          <w:sz w:val="28"/>
          <w:szCs w:val="28"/>
          <w:lang w:val="en-US"/>
        </w:rPr>
        <w:t>University Press, 1964.,</w:t>
      </w:r>
    </w:p>
    <w:p>
      <w:pPr>
        <w:pStyle w:val="BookText"/>
        <w:bidi w:val="0"/>
        <w:jc w:val="both"/>
        <w:rPr/>
      </w:pPr>
      <w:r>
        <w:rPr>
          <w:rFonts w:eastAsia="Times New Roman" w:cs="Times New Roman" w:ascii="Times New Roman" w:hAnsi="Times New Roman"/>
          <w:color w:val="111111"/>
          <w:sz w:val="28"/>
          <w:szCs w:val="28"/>
          <w:lang w:val="en-US"/>
        </w:rPr>
        <w:t>_. The Islamic Intellectual Tradition in Persia. London: Curzon</w:t>
      </w:r>
    </w:p>
    <w:p>
      <w:pPr>
        <w:pStyle w:val="BookText"/>
        <w:bidi w:val="0"/>
        <w:jc w:val="both"/>
        <w:rPr/>
      </w:pPr>
      <w:r>
        <w:rPr>
          <w:rFonts w:eastAsia="Times New Roman" w:cs="Times New Roman" w:ascii="Times New Roman" w:hAnsi="Times New Roman"/>
          <w:color w:val="111111"/>
          <w:sz w:val="28"/>
          <w:szCs w:val="28"/>
          <w:lang w:val="en-US"/>
        </w:rPr>
        <w:t>Press, 1997.</w:t>
      </w:r>
    </w:p>
    <w:p>
      <w:pPr>
        <w:pStyle w:val="BookText"/>
        <w:bidi w:val="0"/>
        <w:jc w:val="both"/>
        <w:rPr/>
      </w:pPr>
      <w:r>
        <w:rPr>
          <w:rFonts w:eastAsia="Times New Roman" w:cs="Times New Roman" w:ascii="Times New Roman" w:hAnsi="Times New Roman"/>
          <w:color w:val="111111"/>
          <w:sz w:val="28"/>
          <w:szCs w:val="28"/>
          <w:lang w:val="en-US"/>
        </w:rPr>
        <w:t>Ni'mah Abdullah, Falasifah asy-Syiah, Qom: Dar al-Kitab al-Islami,</w:t>
      </w:r>
    </w:p>
    <w:p>
      <w:pPr>
        <w:pStyle w:val="BookText"/>
        <w:bidi w:val="0"/>
        <w:jc w:val="both"/>
        <w:rPr/>
      </w:pPr>
      <w:r>
        <w:rPr>
          <w:rFonts w:eastAsia="Times New Roman" w:cs="Times New Roman" w:ascii="Times New Roman" w:hAnsi="Times New Roman"/>
          <w:color w:val="111111"/>
          <w:sz w:val="28"/>
          <w:szCs w:val="28"/>
          <w:lang w:val="en-US"/>
        </w:rPr>
        <w:t>1987.</w:t>
      </w:r>
    </w:p>
    <w:p>
      <w:pPr>
        <w:pStyle w:val="BookText"/>
        <w:bidi w:val="0"/>
        <w:jc w:val="both"/>
        <w:rPr/>
      </w:pPr>
      <w:r>
        <w:rPr>
          <w:rFonts w:eastAsia="Times New Roman" w:cs="Times New Roman" w:ascii="Times New Roman" w:hAnsi="Times New Roman"/>
          <w:color w:val="111111"/>
          <w:sz w:val="28"/>
          <w:szCs w:val="28"/>
          <w:lang w:val="en-US"/>
        </w:rPr>
        <w:t>Niyazmand, Reza. Syi'eh dar Tarikhe-Iran, Tehran: Hekayat-e Kalam-e</w:t>
      </w:r>
    </w:p>
    <w:p>
      <w:pPr>
        <w:pStyle w:val="BookText"/>
        <w:bidi w:val="0"/>
        <w:jc w:val="both"/>
        <w:rPr/>
      </w:pPr>
      <w:r>
        <w:rPr>
          <w:rFonts w:eastAsia="Times New Roman" w:cs="Times New Roman" w:ascii="Times New Roman" w:hAnsi="Times New Roman"/>
          <w:color w:val="111111"/>
          <w:sz w:val="28"/>
          <w:szCs w:val="28"/>
          <w:lang w:val="en-US"/>
        </w:rPr>
        <w:t>Novin, 1383 HS/2002 M.</w:t>
      </w:r>
    </w:p>
    <w:p>
      <w:pPr>
        <w:pStyle w:val="BookText"/>
        <w:bidi w:val="0"/>
        <w:jc w:val="both"/>
        <w:rPr/>
      </w:pPr>
      <w:r>
        <w:rPr>
          <w:rFonts w:eastAsia="Times New Roman" w:cs="Times New Roman" w:ascii="Times New Roman" w:hAnsi="Times New Roman"/>
          <w:color w:val="111111"/>
          <w:sz w:val="28"/>
          <w:szCs w:val="28"/>
          <w:lang w:val="en-US"/>
        </w:rPr>
        <w:t>Pasdari Az Sangarha-ye lydi’uluzhik, Qom: Dar Rah-e Haqq, 1982 M.</w:t>
      </w:r>
    </w:p>
    <w:p>
      <w:pPr>
        <w:pStyle w:val="BookText"/>
        <w:bidi w:val="0"/>
        <w:jc w:val="both"/>
        <w:rPr/>
      </w:pPr>
      <w:r>
        <w:rPr>
          <w:rFonts w:eastAsia="Times New Roman" w:cs="Times New Roman" w:ascii="Times New Roman" w:hAnsi="Times New Roman"/>
          <w:color w:val="111111"/>
          <w:sz w:val="28"/>
          <w:szCs w:val="28"/>
          <w:lang w:val="en-US"/>
        </w:rPr>
        <w:t>Poespoprodjo. W. Beberapa Catatan Pendekatan Filsafat. Bandung</w:t>
      </w:r>
    </w:p>
    <w:p>
      <w:pPr>
        <w:pStyle w:val="BookText"/>
        <w:bidi w:val="0"/>
        <w:jc w:val="both"/>
        <w:rPr/>
      </w:pPr>
      <w:r>
        <w:rPr>
          <w:rFonts w:eastAsia="Times New Roman" w:cs="Times New Roman" w:ascii="Times New Roman" w:hAnsi="Times New Roman"/>
          <w:color w:val="111111"/>
          <w:sz w:val="28"/>
          <w:szCs w:val="28"/>
          <w:lang w:val="en-US"/>
        </w:rPr>
        <w:t>Remadja Karya, 1987.</w:t>
      </w:r>
    </w:p>
    <w:p>
      <w:pPr>
        <w:pStyle w:val="BookText"/>
        <w:bidi w:val="0"/>
        <w:jc w:val="both"/>
        <w:rPr/>
      </w:pPr>
      <w:r>
        <w:rPr>
          <w:rFonts w:eastAsia="Times New Roman" w:cs="Times New Roman" w:ascii="Times New Roman" w:hAnsi="Times New Roman"/>
          <w:color w:val="111111"/>
          <w:sz w:val="28"/>
          <w:szCs w:val="28"/>
          <w:lang w:val="en-US"/>
        </w:rPr>
        <w:t>Pojman, L.P. (ed.), The Theory of Knowledge, London: Routledge,</w:t>
      </w:r>
    </w:p>
    <w:p>
      <w:pPr>
        <w:pStyle w:val="BookText"/>
        <w:bidi w:val="0"/>
        <w:jc w:val="both"/>
        <w:rPr/>
      </w:pPr>
      <w:r>
        <w:rPr>
          <w:rFonts w:eastAsia="Times New Roman" w:cs="Times New Roman" w:ascii="Times New Roman" w:hAnsi="Times New Roman"/>
          <w:color w:val="111111"/>
          <w:sz w:val="28"/>
          <w:szCs w:val="28"/>
          <w:lang w:val="en-US"/>
        </w:rPr>
        <w:t>2000.</w:t>
      </w:r>
    </w:p>
    <w:p>
      <w:pPr>
        <w:pStyle w:val="BookText"/>
        <w:bidi w:val="0"/>
        <w:jc w:val="both"/>
        <w:rPr/>
      </w:pPr>
      <w:r>
        <w:rPr>
          <w:rFonts w:eastAsia="Times New Roman" w:cs="Times New Roman" w:ascii="Times New Roman" w:hAnsi="Times New Roman"/>
          <w:color w:val="111111"/>
          <w:sz w:val="28"/>
          <w:szCs w:val="28"/>
          <w:lang w:val="en-US"/>
        </w:rPr>
        <w:t>Praja, J.S. Filsafat dan metodologi ilmu dalam Islam. Jakarta: Penerbit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Teraju, 2002 </w:t>
      </w:r>
    </w:p>
    <w:p>
      <w:pPr>
        <w:pStyle w:val="BookText"/>
        <w:bidi w:val="0"/>
        <w:rPr/>
      </w:pPr>
      <w:r>
        <w:rPr>
          <w:rFonts w:eastAsia="Times New Roman" w:cs="Times New Roman" w:ascii="Times New Roman" w:hAnsi="Times New Roman"/>
          <w:color w:val="111111"/>
          <w:sz w:val="28"/>
          <w:szCs w:val="28"/>
          <w:lang w:val="en-US"/>
        </w:rPr>
        <w:t>Rahman, Fazlur. The Philosophy of Mullâ Sadrâ, Albany: State</w:t>
      </w:r>
    </w:p>
    <w:p>
      <w:pPr>
        <w:pStyle w:val="BookText"/>
        <w:bidi w:val="0"/>
        <w:jc w:val="both"/>
        <w:rPr/>
      </w:pPr>
      <w:r>
        <w:rPr>
          <w:rFonts w:eastAsia="Times New Roman" w:cs="Times New Roman" w:ascii="Times New Roman" w:hAnsi="Times New Roman"/>
          <w:color w:val="111111"/>
          <w:sz w:val="28"/>
          <w:szCs w:val="28"/>
          <w:lang w:val="en-US"/>
        </w:rPr>
        <w:t>University of New York Press, 1975</w:t>
      </w:r>
    </w:p>
    <w:p>
      <w:pPr>
        <w:pStyle w:val="BookText"/>
        <w:bidi w:val="0"/>
        <w:jc w:val="both"/>
        <w:rPr/>
      </w:pPr>
      <w:r>
        <w:rPr>
          <w:rFonts w:eastAsia="Times New Roman" w:cs="Times New Roman" w:ascii="Times New Roman" w:hAnsi="Times New Roman"/>
          <w:color w:val="111111"/>
          <w:sz w:val="28"/>
          <w:szCs w:val="28"/>
          <w:lang w:val="en-US"/>
        </w:rPr>
        <w:t>Razi, Hashemi. Hekmat e Khosrovani, Teheran: Behjat publications,</w:t>
      </w:r>
    </w:p>
    <w:p>
      <w:pPr>
        <w:pStyle w:val="BookText"/>
        <w:bidi w:val="0"/>
        <w:jc w:val="both"/>
        <w:rPr/>
      </w:pPr>
      <w:r>
        <w:rPr>
          <w:rFonts w:eastAsia="Times New Roman" w:cs="Times New Roman" w:ascii="Times New Roman" w:hAnsi="Times New Roman"/>
          <w:color w:val="111111"/>
          <w:sz w:val="28"/>
          <w:szCs w:val="28"/>
          <w:lang w:val="en-US"/>
        </w:rPr>
        <w:t>2000.</w:t>
      </w:r>
    </w:p>
    <w:p>
      <w:pPr>
        <w:pStyle w:val="BookText"/>
        <w:bidi w:val="0"/>
        <w:jc w:val="both"/>
        <w:rPr/>
      </w:pPr>
      <w:r>
        <w:rPr>
          <w:rFonts w:eastAsia="Times New Roman" w:cs="Times New Roman" w:ascii="Times New Roman" w:hAnsi="Times New Roman"/>
          <w:color w:val="111111"/>
          <w:sz w:val="28"/>
          <w:szCs w:val="28"/>
          <w:lang w:val="en-US"/>
        </w:rPr>
        <w:t>Ricoeur, Paul. From Text to Action Essays in Hermeneutics. Illionis:</w:t>
      </w:r>
    </w:p>
    <w:p>
      <w:pPr>
        <w:pStyle w:val="BookText"/>
        <w:bidi w:val="0"/>
        <w:jc w:val="both"/>
        <w:rPr/>
      </w:pPr>
      <w:r>
        <w:rPr>
          <w:rFonts w:eastAsia="Times New Roman" w:cs="Times New Roman" w:ascii="Times New Roman" w:hAnsi="Times New Roman"/>
          <w:color w:val="111111"/>
          <w:sz w:val="28"/>
          <w:szCs w:val="28"/>
          <w:lang w:val="en-US"/>
        </w:rPr>
        <w:t>Northwestern University Press, 1999.</w:t>
      </w:r>
    </w:p>
    <w:p>
      <w:pPr>
        <w:pStyle w:val="BookText"/>
        <w:bidi w:val="0"/>
        <w:jc w:val="both"/>
        <w:rPr/>
      </w:pPr>
      <w:r>
        <w:rPr>
          <w:rFonts w:eastAsia="Times New Roman" w:cs="Times New Roman" w:ascii="Times New Roman" w:hAnsi="Times New Roman"/>
          <w:color w:val="111111"/>
          <w:sz w:val="28"/>
          <w:szCs w:val="28"/>
          <w:lang w:val="en-US"/>
        </w:rPr>
        <w:t>Rizvi, Sajjad. Transcendent Philosophy, vol. II, no. 1, Maret 2001.</w:t>
      </w:r>
    </w:p>
    <w:p>
      <w:pPr>
        <w:pStyle w:val="BookText"/>
        <w:bidi w:val="0"/>
        <w:jc w:val="both"/>
        <w:rPr/>
      </w:pPr>
      <w:r>
        <w:rPr>
          <w:rFonts w:eastAsia="Times New Roman" w:cs="Times New Roman" w:ascii="Times New Roman" w:hAnsi="Times New Roman"/>
          <w:color w:val="111111"/>
          <w:sz w:val="28"/>
          <w:szCs w:val="28"/>
          <w:lang w:val="en-US"/>
        </w:rPr>
        <w:t>Rusyd, Ibn. Fashl al-Maqâl fi mâ bayn al-Hikmat wa al-Syarî’ah min</w:t>
      </w:r>
    </w:p>
    <w:p>
      <w:pPr>
        <w:pStyle w:val="BookText"/>
        <w:bidi w:val="0"/>
        <w:jc w:val="both"/>
        <w:rPr/>
      </w:pPr>
      <w:r>
        <w:rPr>
          <w:rFonts w:eastAsia="Times New Roman" w:cs="Times New Roman" w:ascii="Times New Roman" w:hAnsi="Times New Roman"/>
          <w:color w:val="111111"/>
          <w:sz w:val="28"/>
          <w:szCs w:val="28"/>
          <w:lang w:val="en-US"/>
        </w:rPr>
        <w:t>al-Ittishâl. Kairo: Dar al-Ma'arif, 1972.</w:t>
      </w:r>
    </w:p>
    <w:p>
      <w:pPr>
        <w:pStyle w:val="BookText"/>
        <w:bidi w:val="0"/>
        <w:jc w:val="both"/>
        <w:rPr/>
      </w:pPr>
      <w:r>
        <w:rPr>
          <w:rFonts w:eastAsia="Times New Roman" w:cs="Times New Roman" w:ascii="Times New Roman" w:hAnsi="Times New Roman"/>
          <w:color w:val="111111"/>
          <w:sz w:val="28"/>
          <w:szCs w:val="28"/>
          <w:lang w:val="en-US"/>
        </w:rPr>
        <w:t>. Tahấfut al-Tahâfut, Beirut: Dar al-Maghreq, 1986 M.</w:t>
      </w:r>
    </w:p>
    <w:p>
      <w:pPr>
        <w:pStyle w:val="BookText"/>
        <w:bidi w:val="0"/>
        <w:jc w:val="both"/>
        <w:rPr/>
      </w:pPr>
      <w:r>
        <w:rPr>
          <w:rFonts w:eastAsia="Times New Roman" w:cs="Times New Roman" w:ascii="Times New Roman" w:hAnsi="Times New Roman"/>
          <w:color w:val="111111"/>
          <w:sz w:val="28"/>
          <w:szCs w:val="28"/>
          <w:lang w:val="en-US"/>
        </w:rPr>
        <w:t>S. Haim, Farhang e Moaser, Parsi English, Entesharat e Farhang e</w:t>
      </w:r>
    </w:p>
    <w:p>
      <w:pPr>
        <w:pStyle w:val="BookText"/>
        <w:bidi w:val="0"/>
        <w:jc w:val="both"/>
        <w:rPr/>
      </w:pPr>
      <w:r>
        <w:rPr>
          <w:rFonts w:eastAsia="Times New Roman" w:cs="Times New Roman" w:ascii="Times New Roman" w:hAnsi="Times New Roman"/>
          <w:color w:val="111111"/>
          <w:sz w:val="28"/>
          <w:szCs w:val="28"/>
          <w:lang w:val="en-US"/>
        </w:rPr>
        <w:t>Moaser, Teheran, 2000.</w:t>
      </w:r>
    </w:p>
    <w:p>
      <w:pPr>
        <w:pStyle w:val="BookText"/>
        <w:bidi w:val="0"/>
        <w:jc w:val="both"/>
        <w:rPr/>
      </w:pPr>
      <w:r>
        <w:rPr>
          <w:rFonts w:eastAsia="Times New Roman" w:cs="Times New Roman" w:ascii="Times New Roman" w:hAnsi="Times New Roman"/>
          <w:color w:val="111111"/>
          <w:sz w:val="28"/>
          <w:szCs w:val="28"/>
          <w:lang w:val="en-US"/>
        </w:rPr>
        <w:t>Sajjadi, Jaʼfar. Farhang-e Falsafi-ye Mulla Shdra (Philosophical</w:t>
      </w:r>
    </w:p>
    <w:p>
      <w:pPr>
        <w:pStyle w:val="BookText"/>
        <w:bidi w:val="0"/>
        <w:jc w:val="both"/>
        <w:rPr/>
      </w:pPr>
      <w:r>
        <w:rPr>
          <w:rFonts w:eastAsia="Times New Roman" w:cs="Times New Roman" w:ascii="Times New Roman" w:hAnsi="Times New Roman"/>
          <w:color w:val="111111"/>
          <w:sz w:val="28"/>
          <w:szCs w:val="28"/>
          <w:lang w:val="en-US"/>
        </w:rPr>
        <w:t>Glossary of Mullâ Sadrâ), , Teheran: Wezarat e Farhang wa Ershad</w:t>
      </w:r>
    </w:p>
    <w:p>
      <w:pPr>
        <w:pStyle w:val="BookText"/>
        <w:bidi w:val="0"/>
        <w:jc w:val="both"/>
        <w:rPr/>
      </w:pPr>
      <w:r>
        <w:rPr>
          <w:rFonts w:eastAsia="Times New Roman" w:cs="Times New Roman" w:ascii="Times New Roman" w:hAnsi="Times New Roman"/>
          <w:color w:val="111111"/>
          <w:sz w:val="28"/>
          <w:szCs w:val="28"/>
          <w:lang w:val="en-US"/>
        </w:rPr>
        <w:t>e Islami, 2001.</w:t>
      </w:r>
    </w:p>
    <w:p>
      <w:pPr>
        <w:pStyle w:val="BookText"/>
        <w:bidi w:val="0"/>
        <w:jc w:val="both"/>
        <w:rPr/>
      </w:pPr>
      <w:r>
        <w:rPr>
          <w:rFonts w:eastAsia="Times New Roman" w:cs="Times New Roman" w:ascii="Times New Roman" w:hAnsi="Times New Roman"/>
          <w:color w:val="111111"/>
          <w:sz w:val="28"/>
          <w:szCs w:val="28"/>
          <w:lang w:val="en-US"/>
        </w:rPr>
        <w:t>Saleh, Mohsen, Jameeh Modarresin Az Aghaz ta Konun, vol I, hlm 345,</w:t>
      </w:r>
    </w:p>
    <w:p>
      <w:pPr>
        <w:pStyle w:val="BookText"/>
        <w:bidi w:val="0"/>
        <w:jc w:val="both"/>
        <w:rPr/>
      </w:pPr>
      <w:r>
        <w:rPr>
          <w:rFonts w:eastAsia="Times New Roman" w:cs="Times New Roman" w:ascii="Times New Roman" w:hAnsi="Times New Roman"/>
          <w:color w:val="111111"/>
          <w:sz w:val="28"/>
          <w:szCs w:val="28"/>
          <w:lang w:val="en-US"/>
        </w:rPr>
        <w:t>Markaz-e Asnad-e Enqelab-e Islami, Qom 2004.</w:t>
      </w:r>
    </w:p>
    <w:p>
      <w:pPr>
        <w:pStyle w:val="BookText"/>
        <w:bidi w:val="0"/>
        <w:jc w:val="both"/>
        <w:rPr/>
      </w:pPr>
      <w:r>
        <w:rPr>
          <w:rFonts w:eastAsia="Times New Roman" w:cs="Times New Roman" w:ascii="Times New Roman" w:hAnsi="Times New Roman"/>
          <w:color w:val="111111"/>
          <w:sz w:val="28"/>
          <w:szCs w:val="28"/>
          <w:lang w:val="en-US"/>
        </w:rPr>
        <w:t>Sarton, Introduction to the history of science. Baltimore, 1927</w:t>
      </w:r>
    </w:p>
    <w:p>
      <w:pPr>
        <w:pStyle w:val="BookText"/>
        <w:bidi w:val="0"/>
        <w:jc w:val="both"/>
        <w:rPr/>
      </w:pPr>
      <w:r>
        <w:rPr>
          <w:rFonts w:eastAsia="Times New Roman" w:cs="Times New Roman" w:ascii="Times New Roman" w:hAnsi="Times New Roman"/>
          <w:color w:val="111111"/>
          <w:sz w:val="28"/>
          <w:szCs w:val="28"/>
          <w:lang w:val="en-US"/>
        </w:rPr>
        <w:t>Sarwono, Jonathan. Metodologi Penelitian Kualitatif and Kuantitatif,</w:t>
      </w:r>
    </w:p>
    <w:p>
      <w:pPr>
        <w:pStyle w:val="BookText"/>
        <w:bidi w:val="0"/>
        <w:jc w:val="both"/>
        <w:rPr/>
      </w:pPr>
      <w:r>
        <w:rPr>
          <w:rFonts w:eastAsia="Times New Roman" w:cs="Times New Roman" w:ascii="Times New Roman" w:hAnsi="Times New Roman"/>
          <w:color w:val="111111"/>
          <w:sz w:val="28"/>
          <w:szCs w:val="28"/>
          <w:lang w:val="en-US"/>
        </w:rPr>
        <w:t>Yogyakarta: Graha Ilmu, 2006.</w:t>
      </w:r>
    </w:p>
    <w:p>
      <w:pPr>
        <w:pStyle w:val="BookText"/>
        <w:bidi w:val="0"/>
        <w:jc w:val="both"/>
        <w:rPr/>
      </w:pPr>
      <w:r>
        <w:rPr>
          <w:rFonts w:eastAsia="Times New Roman" w:cs="Times New Roman" w:ascii="Times New Roman" w:hAnsi="Times New Roman"/>
          <w:color w:val="111111"/>
          <w:sz w:val="28"/>
          <w:szCs w:val="28"/>
          <w:lang w:val="en-US"/>
        </w:rPr>
        <w:t>Sadrâ, Mullâ, al-Hikmat al-Mu ta'âliyyalı fî al-Asfâr al-“Aqliyyalı al-</w:t>
      </w:r>
    </w:p>
    <w:p>
      <w:pPr>
        <w:pStyle w:val="BookText"/>
        <w:bidi w:val="0"/>
        <w:jc w:val="both"/>
        <w:rPr/>
      </w:pPr>
      <w:r>
        <w:rPr>
          <w:rFonts w:eastAsia="Times New Roman" w:cs="Times New Roman" w:ascii="Times New Roman" w:hAnsi="Times New Roman"/>
          <w:color w:val="111111"/>
          <w:sz w:val="28"/>
          <w:szCs w:val="28"/>
          <w:lang w:val="en-US"/>
        </w:rPr>
        <w:t>Arba'alı. Beriut: Dâr Ihyâ wa Turâts al--Arabi, 1981.</w:t>
      </w:r>
    </w:p>
    <w:p>
      <w:pPr>
        <w:pStyle w:val="BookText"/>
        <w:bidi w:val="0"/>
        <w:jc w:val="both"/>
        <w:rPr/>
      </w:pPr>
      <w:r>
        <w:rPr>
          <w:rFonts w:eastAsia="Times New Roman" w:cs="Times New Roman" w:ascii="Times New Roman" w:hAnsi="Times New Roman"/>
          <w:color w:val="111111"/>
          <w:sz w:val="28"/>
          <w:szCs w:val="28"/>
          <w:lang w:val="en-US"/>
        </w:rPr>
        <w:t>. al-Asfâr al-Arba'ah, Beirut: Dar at-Turats al-Arabi, 1981.</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al-Hikmah al-Muta’âliyyah fi al-Asfâr al-'Aqliyyah al-</w:t>
      </w:r>
    </w:p>
    <w:p>
      <w:pPr>
        <w:pStyle w:val="BookText"/>
        <w:bidi w:val="0"/>
        <w:jc w:val="both"/>
        <w:rPr/>
      </w:pPr>
      <w:r>
        <w:rPr>
          <w:rFonts w:eastAsia="Times New Roman" w:cs="Times New Roman" w:ascii="Times New Roman" w:hAnsi="Times New Roman"/>
          <w:color w:val="111111"/>
          <w:sz w:val="28"/>
          <w:szCs w:val="28"/>
          <w:lang w:val="en-US"/>
        </w:rPr>
        <w:t>Arba'ah. Beirut: Dâr Ihyâ wa Turâts al-'Arabi, Beirut, 1981.</w:t>
      </w:r>
    </w:p>
    <w:p>
      <w:pPr>
        <w:pStyle w:val="BookText"/>
        <w:bidi w:val="0"/>
        <w:jc w:val="both"/>
        <w:rPr/>
      </w:pPr>
      <w:r>
        <w:rPr>
          <w:rFonts w:eastAsia="Times New Roman" w:cs="Times New Roman" w:ascii="Times New Roman" w:hAnsi="Times New Roman"/>
          <w:color w:val="111111"/>
          <w:sz w:val="28"/>
          <w:szCs w:val="28"/>
          <w:lang w:val="en-US"/>
        </w:rPr>
        <w:t>Al-Syawahid al-Rububiyyah fi al-Manâhij al-Sulűkiyyah.</w:t>
      </w:r>
    </w:p>
    <w:p>
      <w:pPr>
        <w:pStyle w:val="BookText"/>
        <w:bidi w:val="0"/>
        <w:jc w:val="both"/>
        <w:rPr/>
      </w:pPr>
      <w:r>
        <w:rPr>
          <w:rFonts w:eastAsia="Times New Roman" w:cs="Times New Roman" w:ascii="Times New Roman" w:hAnsi="Times New Roman"/>
          <w:color w:val="111111"/>
          <w:sz w:val="28"/>
          <w:szCs w:val="28"/>
          <w:lang w:val="en-US"/>
        </w:rPr>
        <w:t>Masyhad : Markaze Nasyr Donesgohi, 1360.</w:t>
      </w:r>
    </w:p>
    <w:p>
      <w:pPr>
        <w:pStyle w:val="BookText"/>
        <w:bidi w:val="0"/>
        <w:jc w:val="both"/>
        <w:rPr/>
      </w:pPr>
      <w:r>
        <w:rPr>
          <w:rFonts w:eastAsia="Times New Roman" w:cs="Times New Roman" w:ascii="Times New Roman" w:hAnsi="Times New Roman"/>
          <w:color w:val="111111"/>
          <w:sz w:val="28"/>
          <w:szCs w:val="28"/>
          <w:lang w:val="en-US"/>
        </w:rPr>
        <w:t>Shaduqi, Manu Chohor. Tarikh Hukama wa Urfa-ye Mutaakhir, Teheran,</w:t>
      </w:r>
    </w:p>
    <w:p>
      <w:pPr>
        <w:pStyle w:val="BookText"/>
        <w:bidi w:val="0"/>
        <w:jc w:val="both"/>
        <w:rPr/>
      </w:pPr>
      <w:r>
        <w:rPr>
          <w:rFonts w:eastAsia="Times New Roman" w:cs="Times New Roman" w:ascii="Times New Roman" w:hAnsi="Times New Roman"/>
          <w:color w:val="111111"/>
          <w:sz w:val="28"/>
          <w:szCs w:val="28"/>
          <w:lang w:val="en-US"/>
        </w:rPr>
        <w:t>Intisyarat Hikmat.</w:t>
      </w:r>
    </w:p>
    <w:p>
      <w:pPr>
        <w:pStyle w:val="BookText"/>
        <w:bidi w:val="0"/>
        <w:jc w:val="both"/>
        <w:rPr/>
      </w:pPr>
      <w:r>
        <w:rPr>
          <w:rFonts w:eastAsia="Times New Roman" w:cs="Times New Roman" w:ascii="Times New Roman" w:hAnsi="Times New Roman"/>
          <w:color w:val="111111"/>
          <w:sz w:val="28"/>
          <w:szCs w:val="28"/>
          <w:lang w:val="en-US"/>
        </w:rPr>
        <w:t>Shaliba, Jamil. al-Falsafah al-'Arabiyyah, Dar al-Kitab al-Lubnani,</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Beirut, 1973 </w:t>
      </w:r>
    </w:p>
    <w:p>
      <w:pPr>
        <w:pStyle w:val="BookText"/>
        <w:bidi w:val="0"/>
        <w:rPr/>
      </w:pPr>
      <w:r>
        <w:rPr>
          <w:rFonts w:eastAsia="Times New Roman" w:cs="Times New Roman" w:ascii="Times New Roman" w:hAnsi="Times New Roman"/>
          <w:color w:val="111111"/>
          <w:sz w:val="28"/>
          <w:szCs w:val="28"/>
          <w:lang w:val="en-US"/>
        </w:rPr>
        <w:t>Shan’ati, Ridha. Mishbah Dustan, Qum: Himaye Ghadir, 1383 HS/2001 M.</w:t>
      </w:r>
    </w:p>
    <w:p>
      <w:pPr>
        <w:pStyle w:val="BookText"/>
        <w:bidi w:val="0"/>
        <w:jc w:val="both"/>
        <w:rPr/>
      </w:pPr>
      <w:r>
        <w:rPr>
          <w:rFonts w:eastAsia="Times New Roman" w:cs="Times New Roman" w:ascii="Times New Roman" w:hAnsi="Times New Roman"/>
          <w:color w:val="111111"/>
          <w:sz w:val="28"/>
          <w:szCs w:val="28"/>
          <w:lang w:val="en-US"/>
        </w:rPr>
        <w:t>Sharif, M.M. (ed.). History of Muslim Philosophy. Delhi: Low Prince</w:t>
      </w:r>
    </w:p>
    <w:p>
      <w:pPr>
        <w:pStyle w:val="BookText"/>
        <w:bidi w:val="0"/>
        <w:jc w:val="both"/>
        <w:rPr/>
      </w:pPr>
      <w:r>
        <w:rPr>
          <w:rFonts w:eastAsia="Times New Roman" w:cs="Times New Roman" w:ascii="Times New Roman" w:hAnsi="Times New Roman"/>
          <w:color w:val="111111"/>
          <w:sz w:val="28"/>
          <w:szCs w:val="28"/>
          <w:lang w:val="en-US"/>
        </w:rPr>
        <w:t>Publication, 1995.</w:t>
      </w:r>
    </w:p>
    <w:p>
      <w:pPr>
        <w:pStyle w:val="BookText"/>
        <w:bidi w:val="0"/>
        <w:jc w:val="both"/>
        <w:rPr/>
      </w:pPr>
      <w:r>
        <w:rPr>
          <w:rFonts w:eastAsia="Times New Roman" w:cs="Times New Roman" w:ascii="Times New Roman" w:hAnsi="Times New Roman"/>
          <w:color w:val="111111"/>
          <w:sz w:val="28"/>
          <w:szCs w:val="28"/>
          <w:lang w:val="en-US"/>
        </w:rPr>
        <w:t>Shirkhani Ali dan Zare', Abbas. Tahawulat-e Hauzeh-ye Ilmiyeh-ye Qom,</w:t>
      </w:r>
    </w:p>
    <w:p>
      <w:pPr>
        <w:pStyle w:val="BookText"/>
        <w:bidi w:val="0"/>
        <w:jc w:val="both"/>
        <w:rPr/>
      </w:pPr>
      <w:r>
        <w:rPr>
          <w:rFonts w:eastAsia="Times New Roman" w:cs="Times New Roman" w:ascii="Times New Roman" w:hAnsi="Times New Roman"/>
          <w:color w:val="111111"/>
          <w:sz w:val="28"/>
          <w:szCs w:val="28"/>
          <w:lang w:val="en-US"/>
        </w:rPr>
        <w:t>Qom: Entesharat Markaze Asnad-e Enqqlab-e Islami, 2006.</w:t>
      </w:r>
    </w:p>
    <w:p>
      <w:pPr>
        <w:pStyle w:val="BookText"/>
        <w:bidi w:val="0"/>
        <w:jc w:val="both"/>
        <w:rPr/>
      </w:pPr>
      <w:r>
        <w:rPr>
          <w:rFonts w:eastAsia="Times New Roman" w:cs="Times New Roman" w:ascii="Times New Roman" w:hAnsi="Times New Roman"/>
          <w:color w:val="111111"/>
          <w:sz w:val="28"/>
          <w:szCs w:val="28"/>
          <w:lang w:val="en-US"/>
        </w:rPr>
        <w:t>Sina, Ibn, al-Isyârât wa at-Tanbihất, Qom: Entesharat e Kitab-khaneh</w:t>
      </w:r>
    </w:p>
    <w:p>
      <w:pPr>
        <w:pStyle w:val="BookText"/>
        <w:bidi w:val="0"/>
        <w:jc w:val="both"/>
        <w:rPr/>
      </w:pPr>
      <w:r>
        <w:rPr>
          <w:rFonts w:eastAsia="Times New Roman" w:cs="Times New Roman" w:ascii="Times New Roman" w:hAnsi="Times New Roman"/>
          <w:color w:val="111111"/>
          <w:sz w:val="28"/>
          <w:szCs w:val="28"/>
          <w:lang w:val="en-US"/>
        </w:rPr>
        <w:t>Ayatullah Najafi, 1404 H/1983 M, vol. 4.</w:t>
      </w:r>
    </w:p>
    <w:p>
      <w:pPr>
        <w:pStyle w:val="BookText"/>
        <w:bidi w:val="0"/>
        <w:jc w:val="both"/>
        <w:rPr/>
      </w:pPr>
      <w:r>
        <w:rPr>
          <w:rFonts w:eastAsia="Times New Roman" w:cs="Times New Roman" w:ascii="Times New Roman" w:hAnsi="Times New Roman"/>
          <w:color w:val="111111"/>
          <w:sz w:val="28"/>
          <w:szCs w:val="28"/>
          <w:lang w:val="en-US"/>
        </w:rPr>
        <w:t>Suhrawardi, Majmû’ah Mushannafât Isyraq. Tashhîh wa Muqaddimah</w:t>
      </w:r>
    </w:p>
    <w:p>
      <w:pPr>
        <w:pStyle w:val="BookText"/>
        <w:bidi w:val="0"/>
        <w:jc w:val="both"/>
        <w:rPr/>
      </w:pPr>
      <w:r>
        <w:rPr>
          <w:rFonts w:eastAsia="Times New Roman" w:cs="Times New Roman" w:ascii="Times New Roman" w:hAnsi="Times New Roman"/>
          <w:color w:val="111111"/>
          <w:sz w:val="28"/>
          <w:szCs w:val="28"/>
          <w:lang w:val="en-US"/>
        </w:rPr>
        <w:t>Henry Corbin, Tehran: Mu'assassah Muthala’ah wa Tahqiqat</w:t>
      </w:r>
    </w:p>
    <w:p>
      <w:pPr>
        <w:pStyle w:val="BookText"/>
        <w:bidi w:val="0"/>
        <w:jc w:val="both"/>
        <w:rPr/>
      </w:pPr>
      <w:r>
        <w:rPr>
          <w:rFonts w:eastAsia="Times New Roman" w:cs="Times New Roman" w:ascii="Times New Roman" w:hAnsi="Times New Roman"/>
          <w:color w:val="111111"/>
          <w:sz w:val="28"/>
          <w:szCs w:val="28"/>
          <w:lang w:val="en-US"/>
        </w:rPr>
        <w:t>Pazuhasygah, 1972.</w:t>
      </w:r>
    </w:p>
    <w:p>
      <w:pPr>
        <w:pStyle w:val="BookText"/>
        <w:bidi w:val="0"/>
        <w:jc w:val="both"/>
        <w:rPr/>
      </w:pPr>
      <w:r>
        <w:rPr>
          <w:rFonts w:eastAsia="Times New Roman" w:cs="Times New Roman" w:ascii="Times New Roman" w:hAnsi="Times New Roman"/>
          <w:color w:val="111111"/>
          <w:sz w:val="28"/>
          <w:szCs w:val="28"/>
          <w:lang w:val="en-US"/>
        </w:rPr>
        <w:t>Syahrastani, Muhammad, Kitâb Milâl wa al-Nihâl, jil. II, hlm</w:t>
      </w:r>
    </w:p>
    <w:p>
      <w:pPr>
        <w:pStyle w:val="BookText"/>
        <w:bidi w:val="0"/>
        <w:jc w:val="both"/>
        <w:rPr/>
      </w:pPr>
      <w:r>
        <w:rPr>
          <w:rFonts w:eastAsia="Times New Roman" w:cs="Times New Roman" w:ascii="Times New Roman" w:hAnsi="Times New Roman"/>
          <w:color w:val="111111"/>
          <w:sz w:val="28"/>
          <w:szCs w:val="28"/>
          <w:lang w:val="en-US"/>
        </w:rPr>
        <w:t>Syirkhani, Ali. Tahawulat Haw zah 'Ilmiyah Qum Pis Az Piruzi Inwilab</w:t>
      </w:r>
    </w:p>
    <w:p>
      <w:pPr>
        <w:pStyle w:val="BookText"/>
        <w:bidi w:val="0"/>
        <w:jc w:val="both"/>
        <w:rPr/>
      </w:pPr>
      <w:r>
        <w:rPr>
          <w:rFonts w:eastAsia="Times New Roman" w:cs="Times New Roman" w:ascii="Times New Roman" w:hAnsi="Times New Roman"/>
          <w:color w:val="111111"/>
          <w:sz w:val="28"/>
          <w:szCs w:val="28"/>
          <w:lang w:val="en-US"/>
        </w:rPr>
        <w:t>Islami, Teheran: Markaz Isnad Inqilab Islami, 1386 HS.</w:t>
      </w:r>
    </w:p>
    <w:p>
      <w:pPr>
        <w:pStyle w:val="BookText"/>
        <w:bidi w:val="0"/>
        <w:jc w:val="both"/>
        <w:rPr/>
      </w:pPr>
      <w:r>
        <w:rPr>
          <w:rFonts w:eastAsia="Times New Roman" w:cs="Times New Roman" w:ascii="Times New Roman" w:hAnsi="Times New Roman"/>
          <w:color w:val="111111"/>
          <w:sz w:val="28"/>
          <w:szCs w:val="28"/>
          <w:lang w:val="en-US"/>
        </w:rPr>
        <w:t>Teherani, Agha Buzurg Adz-Dzari'ah ila Tashanif Asy-Syi'ah, hlm 212</w:t>
      </w:r>
    </w:p>
    <w:p>
      <w:pPr>
        <w:pStyle w:val="BookText"/>
        <w:bidi w:val="0"/>
        <w:jc w:val="both"/>
        <w:rPr/>
      </w:pPr>
      <w:r>
        <w:rPr>
          <w:rFonts w:eastAsia="Times New Roman" w:cs="Times New Roman" w:ascii="Times New Roman" w:hAnsi="Times New Roman"/>
          <w:color w:val="111111"/>
          <w:sz w:val="28"/>
          <w:szCs w:val="28"/>
          <w:lang w:val="en-US"/>
        </w:rPr>
        <w:t>Dar Al-Kutub Al-Islamiyyah, Teheran, 1408.</w:t>
      </w:r>
    </w:p>
    <w:p>
      <w:pPr>
        <w:pStyle w:val="BookText"/>
        <w:bidi w:val="0"/>
        <w:jc w:val="both"/>
        <w:rPr/>
      </w:pPr>
      <w:r>
        <w:rPr>
          <w:rFonts w:eastAsia="Times New Roman" w:cs="Times New Roman" w:ascii="Times New Roman" w:hAnsi="Times New Roman"/>
          <w:color w:val="111111"/>
          <w:sz w:val="28"/>
          <w:szCs w:val="28"/>
          <w:lang w:val="en-US"/>
        </w:rPr>
        <w:t>Thabâthabâ’î, Muhammad Husain. Nihayat al-Hikmah, Qom: Jameeh</w:t>
      </w:r>
    </w:p>
    <w:p>
      <w:pPr>
        <w:pStyle w:val="BookText"/>
        <w:bidi w:val="0"/>
        <w:jc w:val="both"/>
        <w:rPr/>
      </w:pPr>
      <w:r>
        <w:rPr>
          <w:rFonts w:eastAsia="Times New Roman" w:cs="Times New Roman" w:ascii="Times New Roman" w:hAnsi="Times New Roman"/>
          <w:color w:val="111111"/>
          <w:sz w:val="28"/>
          <w:szCs w:val="28"/>
          <w:lang w:val="en-US"/>
        </w:rPr>
        <w:t>Modartesin, 1997.</w:t>
      </w:r>
    </w:p>
    <w:p>
      <w:pPr>
        <w:pStyle w:val="BookText"/>
        <w:bidi w:val="0"/>
        <w:jc w:val="both"/>
        <w:rPr/>
      </w:pPr>
      <w:r>
        <w:rPr>
          <w:rFonts w:eastAsia="Times New Roman" w:cs="Times New Roman" w:ascii="Times New Roman" w:hAnsi="Times New Roman"/>
          <w:color w:val="111111"/>
          <w:sz w:val="28"/>
          <w:szCs w:val="28"/>
          <w:lang w:val="en-US"/>
        </w:rPr>
        <w:t>Khoda dar Falsafeh, Qom: Jameeh Modarresin, 1997.</w:t>
      </w:r>
    </w:p>
    <w:p>
      <w:pPr>
        <w:pStyle w:val="BookText"/>
        <w:bidi w:val="0"/>
        <w:jc w:val="both"/>
        <w:rPr/>
      </w:pPr>
      <w:r>
        <w:rPr>
          <w:rFonts w:eastAsia="Times New Roman" w:cs="Times New Roman" w:ascii="Times New Roman" w:hAnsi="Times New Roman"/>
          <w:color w:val="111111"/>
          <w:sz w:val="28"/>
          <w:szCs w:val="28"/>
          <w:lang w:val="en-US"/>
        </w:rPr>
        <w:t>Thabathabai, M. H. Al-Mizan fi Tafsir Al-Qur'an, vol. 13 Beirut: Dar Al-</w:t>
      </w:r>
    </w:p>
    <w:p>
      <w:pPr>
        <w:pStyle w:val="BookText"/>
        <w:bidi w:val="0"/>
        <w:jc w:val="both"/>
        <w:rPr/>
      </w:pPr>
      <w:r>
        <w:rPr>
          <w:rFonts w:eastAsia="Times New Roman" w:cs="Times New Roman" w:ascii="Times New Roman" w:hAnsi="Times New Roman"/>
          <w:color w:val="111111"/>
          <w:sz w:val="28"/>
          <w:szCs w:val="28"/>
          <w:lang w:val="en-US"/>
        </w:rPr>
        <w:t>A'lami li Al-Mathbu'at, 1987.</w:t>
      </w:r>
    </w:p>
    <w:p>
      <w:pPr>
        <w:pStyle w:val="BookText"/>
        <w:bidi w:val="0"/>
        <w:jc w:val="both"/>
        <w:rPr/>
      </w:pPr>
      <w:r>
        <w:rPr>
          <w:rFonts w:eastAsia="Times New Roman" w:cs="Times New Roman" w:ascii="Times New Roman" w:hAnsi="Times New Roman"/>
          <w:color w:val="111111"/>
          <w:sz w:val="28"/>
          <w:szCs w:val="28"/>
          <w:lang w:val="en-US"/>
        </w:rPr>
        <w:t>Yathrebi, Theoritical Gnosis, The center of Islamic Propagation, Qom,</w:t>
      </w:r>
    </w:p>
    <w:p>
      <w:pPr>
        <w:pStyle w:val="BookText"/>
        <w:bidi w:val="0"/>
        <w:jc w:val="both"/>
        <w:rPr/>
      </w:pPr>
      <w:r>
        <w:rPr>
          <w:rFonts w:eastAsia="Times New Roman" w:cs="Times New Roman" w:ascii="Times New Roman" w:hAnsi="Times New Roman"/>
          <w:color w:val="111111"/>
          <w:sz w:val="28"/>
          <w:szCs w:val="28"/>
          <w:lang w:val="en-US"/>
        </w:rPr>
        <w:t>1999.</w:t>
      </w:r>
    </w:p>
    <w:p>
      <w:pPr>
        <w:pStyle w:val="BookText"/>
        <w:bidi w:val="0"/>
        <w:jc w:val="both"/>
        <w:rPr/>
      </w:pPr>
      <w:r>
        <w:rPr>
          <w:rFonts w:eastAsia="Times New Roman" w:cs="Times New Roman" w:ascii="Times New Roman" w:hAnsi="Times New Roman"/>
          <w:color w:val="111111"/>
          <w:sz w:val="28"/>
          <w:szCs w:val="28"/>
          <w:lang w:val="en-US"/>
        </w:rPr>
        <w:t>Yathrebi, Yahya. Majara-ye Tafakkor-e Falsafi, vol. I, Tehran: Danesh,</w:t>
      </w:r>
    </w:p>
    <w:p>
      <w:pPr>
        <w:pStyle w:val="BookText"/>
        <w:bidi w:val="0"/>
        <w:jc w:val="both"/>
        <w:rPr/>
      </w:pPr>
      <w:r>
        <w:rPr>
          <w:rFonts w:eastAsia="Times New Roman" w:cs="Times New Roman" w:ascii="Times New Roman" w:hAnsi="Times New Roman"/>
          <w:color w:val="111111"/>
          <w:sz w:val="28"/>
          <w:szCs w:val="28"/>
          <w:lang w:val="en-US"/>
        </w:rPr>
        <w:t>2004.</w:t>
      </w:r>
    </w:p>
    <w:p>
      <w:pPr>
        <w:pStyle w:val="BookText"/>
        <w:bidi w:val="0"/>
        <w:jc w:val="both"/>
        <w:rPr/>
      </w:pPr>
      <w:r>
        <w:rPr>
          <w:rFonts w:eastAsia="Times New Roman" w:cs="Times New Roman" w:ascii="Times New Roman" w:hAnsi="Times New Roman"/>
          <w:color w:val="111111"/>
          <w:sz w:val="28"/>
          <w:szCs w:val="28"/>
          <w:lang w:val="en-US"/>
        </w:rPr>
        <w:t>Yathrebi, Yahya. Theoritical Gnosis, The Center of Islamic Propagation,</w:t>
      </w:r>
    </w:p>
    <w:p>
      <w:pPr>
        <w:pStyle w:val="BookText"/>
        <w:bidi w:val="0"/>
        <w:jc w:val="both"/>
        <w:rPr/>
      </w:pPr>
      <w:r>
        <w:rPr>
          <w:rFonts w:eastAsia="Times New Roman" w:cs="Times New Roman" w:ascii="Times New Roman" w:hAnsi="Times New Roman"/>
          <w:color w:val="111111"/>
          <w:sz w:val="28"/>
          <w:szCs w:val="28"/>
          <w:lang w:val="en-US"/>
        </w:rPr>
        <w:t>Qom, 1999.</w:t>
      </w:r>
    </w:p>
    <w:p>
      <w:pPr>
        <w:pStyle w:val="BookText"/>
        <w:bidi w:val="0"/>
        <w:jc w:val="both"/>
        <w:rPr/>
      </w:pPr>
      <w:r>
        <w:rPr>
          <w:rFonts w:eastAsia="Times New Roman" w:cs="Times New Roman" w:ascii="Times New Roman" w:hAnsi="Times New Roman"/>
          <w:color w:val="111111"/>
          <w:sz w:val="28"/>
          <w:szCs w:val="28"/>
          <w:lang w:val="en-US"/>
        </w:rPr>
        <w:t>Yazdî, Muhammad Taqi Mishbâh. Syarh-e Nihayah al-Hikmah, Qom:</w:t>
      </w:r>
    </w:p>
    <w:p>
      <w:pPr>
        <w:pStyle w:val="BookText"/>
        <w:bidi w:val="0"/>
        <w:jc w:val="both"/>
        <w:rPr/>
      </w:pPr>
      <w:r>
        <w:rPr>
          <w:rFonts w:eastAsia="Times New Roman" w:cs="Times New Roman" w:ascii="Times New Roman" w:hAnsi="Times New Roman"/>
          <w:color w:val="111111"/>
          <w:sz w:val="28"/>
          <w:szCs w:val="28"/>
          <w:lang w:val="en-US"/>
        </w:rPr>
        <w:t>Muaseseye Nashr Islomi, 1415 H/1993 M.</w:t>
      </w:r>
    </w:p>
    <w:p>
      <w:pPr>
        <w:pStyle w:val="BookText"/>
        <w:bidi w:val="0"/>
        <w:jc w:val="both"/>
        <w:rPr/>
      </w:pPr>
      <w:r>
        <w:rPr>
          <w:rFonts w:eastAsia="Times New Roman" w:cs="Times New Roman" w:ascii="Times New Roman" w:hAnsi="Times New Roman"/>
          <w:color w:val="111111"/>
          <w:sz w:val="28"/>
          <w:szCs w:val="28"/>
          <w:lang w:val="en-US"/>
        </w:rPr>
        <w:t>Syarh-e Nihayat al-Hikmah, Qom: Muaseseye Nashr Islomi,</w:t>
      </w:r>
    </w:p>
    <w:p>
      <w:pPr>
        <w:pStyle w:val="BookText"/>
        <w:bidi w:val="0"/>
        <w:jc w:val="both"/>
        <w:rPr/>
      </w:pPr>
      <w:r>
        <w:rPr>
          <w:rFonts w:eastAsia="Times New Roman" w:cs="Times New Roman" w:ascii="Times New Roman" w:hAnsi="Times New Roman"/>
          <w:color w:val="111111"/>
          <w:sz w:val="28"/>
          <w:szCs w:val="28"/>
          <w:lang w:val="en-US"/>
        </w:rPr>
        <w:t>1415 H/1993 M.</w:t>
      </w:r>
    </w:p>
    <w:p>
      <w:pPr>
        <w:pStyle w:val="BookText"/>
        <w:bidi w:val="0"/>
        <w:jc w:val="both"/>
        <w:rPr/>
      </w:pPr>
      <w:r>
        <w:rPr>
          <w:rFonts w:eastAsia="Times New Roman" w:cs="Times New Roman" w:ascii="Times New Roman" w:hAnsi="Times New Roman"/>
          <w:color w:val="111111"/>
          <w:sz w:val="28"/>
          <w:szCs w:val="28"/>
          <w:lang w:val="en-US"/>
        </w:rPr>
        <w:t>Ta'liqah bar Nihayat al-Hikmah, Muassah Thariq al-Haq,</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Qom; 1405 H </w:t>
      </w:r>
    </w:p>
    <w:p>
      <w:pPr>
        <w:pStyle w:val="BookText"/>
        <w:bidi w:val="0"/>
        <w:rPr/>
      </w:pPr>
      <w:r>
        <w:rPr>
          <w:rFonts w:eastAsia="Times New Roman" w:cs="Times New Roman" w:ascii="Times New Roman" w:hAnsi="Times New Roman"/>
          <w:color w:val="111111"/>
          <w:sz w:val="28"/>
          <w:szCs w:val="28"/>
          <w:lang w:val="en-US"/>
        </w:rPr>
        <w:t>Yazdi, Mehdi Haeri. Safa-e Nafs, Qom: Entesharat e Naqsy-e Jahan,</w:t>
      </w:r>
    </w:p>
    <w:p>
      <w:pPr>
        <w:pStyle w:val="BookText"/>
        <w:bidi w:val="0"/>
        <w:jc w:val="both"/>
        <w:rPr/>
      </w:pPr>
      <w:r>
        <w:rPr>
          <w:rFonts w:eastAsia="Times New Roman" w:cs="Times New Roman" w:ascii="Times New Roman" w:hAnsi="Times New Roman"/>
          <w:color w:val="111111"/>
          <w:sz w:val="28"/>
          <w:szCs w:val="28"/>
          <w:lang w:val="en-US"/>
        </w:rPr>
        <w:t>2000.</w:t>
      </w:r>
    </w:p>
    <w:p>
      <w:pPr>
        <w:pStyle w:val="BookText"/>
        <w:bidi w:val="0"/>
        <w:jc w:val="both"/>
        <w:rPr/>
      </w:pPr>
      <w:r>
        <w:rPr>
          <w:rFonts w:eastAsia="Times New Roman" w:cs="Times New Roman" w:ascii="Times New Roman" w:hAnsi="Times New Roman"/>
          <w:color w:val="111111"/>
          <w:sz w:val="28"/>
          <w:szCs w:val="28"/>
          <w:lang w:val="en-US"/>
        </w:rPr>
        <w:t>: “Pasdari az Sangarha-ye lydi’uluzhik” Qom: Dar Rah-e</w:t>
      </w:r>
    </w:p>
    <w:p>
      <w:pPr>
        <w:pStyle w:val="BookText"/>
        <w:bidi w:val="0"/>
        <w:jc w:val="both"/>
        <w:rPr/>
      </w:pPr>
      <w:r>
        <w:rPr>
          <w:rFonts w:eastAsia="Times New Roman" w:cs="Times New Roman" w:ascii="Times New Roman" w:hAnsi="Times New Roman"/>
          <w:color w:val="111111"/>
          <w:sz w:val="28"/>
          <w:szCs w:val="28"/>
          <w:lang w:val="en-US"/>
        </w:rPr>
        <w:t>Haqq, 1982</w:t>
      </w:r>
    </w:p>
    <w:p>
      <w:pPr>
        <w:pStyle w:val="BookText"/>
        <w:bidi w:val="0"/>
        <w:jc w:val="both"/>
        <w:rPr/>
      </w:pPr>
      <w:r>
        <w:rPr>
          <w:rFonts w:eastAsia="Times New Roman" w:cs="Times New Roman" w:ascii="Times New Roman" w:hAnsi="Times New Roman"/>
          <w:color w:val="111111"/>
          <w:sz w:val="28"/>
          <w:szCs w:val="28"/>
          <w:lang w:val="en-US"/>
        </w:rPr>
        <w:t>Maaref-e Qur'an, Qom: Mu'assasah An-Nasyr Al-Islami,</w:t>
      </w:r>
    </w:p>
    <w:p>
      <w:pPr>
        <w:pStyle w:val="BookText"/>
        <w:bidi w:val="0"/>
        <w:jc w:val="both"/>
        <w:rPr/>
      </w:pPr>
      <w:r>
        <w:rPr>
          <w:rFonts w:eastAsia="Times New Roman" w:cs="Times New Roman" w:ascii="Times New Roman" w:hAnsi="Times New Roman"/>
          <w:color w:val="111111"/>
          <w:sz w:val="28"/>
          <w:szCs w:val="28"/>
          <w:lang w:val="en-US"/>
        </w:rPr>
        <w:t>1987</w:t>
      </w:r>
    </w:p>
    <w:p>
      <w:pPr>
        <w:pStyle w:val="BookText"/>
        <w:bidi w:val="0"/>
        <w:jc w:val="both"/>
        <w:rPr/>
      </w:pPr>
      <w:r>
        <w:rPr>
          <w:rFonts w:eastAsia="Times New Roman" w:cs="Times New Roman" w:ascii="Times New Roman" w:hAnsi="Times New Roman"/>
          <w:color w:val="111111"/>
          <w:sz w:val="28"/>
          <w:szCs w:val="28"/>
          <w:lang w:val="en-US"/>
        </w:rPr>
        <w:t>Amuzesy e Falsafeh, juz 1, Tehran: Muassasah Intisyarat</w:t>
      </w:r>
    </w:p>
    <w:p>
      <w:pPr>
        <w:pStyle w:val="BookText"/>
        <w:bidi w:val="0"/>
        <w:jc w:val="both"/>
        <w:rPr/>
      </w:pPr>
      <w:r>
        <w:rPr>
          <w:rFonts w:eastAsia="Times New Roman" w:cs="Times New Roman" w:ascii="Times New Roman" w:hAnsi="Times New Roman"/>
          <w:color w:val="111111"/>
          <w:sz w:val="28"/>
          <w:szCs w:val="28"/>
          <w:lang w:val="en-US"/>
        </w:rPr>
        <w:t>Amir Kabir,</w:t>
      </w:r>
    </w:p>
    <w:p>
      <w:pPr>
        <w:pStyle w:val="BookText"/>
        <w:bidi w:val="0"/>
        <w:jc w:val="both"/>
        <w:rPr/>
      </w:pPr>
      <w:r>
        <w:rPr>
          <w:rFonts w:eastAsia="Times New Roman" w:cs="Times New Roman" w:ascii="Times New Roman" w:hAnsi="Times New Roman"/>
          <w:color w:val="111111"/>
          <w:sz w:val="28"/>
          <w:szCs w:val="28"/>
          <w:lang w:val="en-US"/>
        </w:rPr>
        <w:t>_. Âmûzesy-e Falsafeh, juz 2, Teheran: Muassasah Intisyarat</w:t>
      </w:r>
    </w:p>
    <w:p>
      <w:pPr>
        <w:pStyle w:val="BookText"/>
        <w:bidi w:val="0"/>
        <w:jc w:val="both"/>
        <w:rPr/>
      </w:pPr>
      <w:r>
        <w:rPr>
          <w:rFonts w:eastAsia="Times New Roman" w:cs="Times New Roman" w:ascii="Times New Roman" w:hAnsi="Times New Roman"/>
          <w:color w:val="111111"/>
          <w:sz w:val="28"/>
          <w:szCs w:val="28"/>
          <w:lang w:val="en-US"/>
        </w:rPr>
        <w:t>Amir Kabir, 1998.</w:t>
      </w:r>
    </w:p>
    <w:p>
      <w:pPr>
        <w:pStyle w:val="BookText"/>
        <w:bidi w:val="0"/>
        <w:jc w:val="both"/>
        <w:rPr/>
      </w:pPr>
      <w:r>
        <w:rPr>
          <w:rFonts w:eastAsia="Times New Roman" w:cs="Times New Roman" w:ascii="Times New Roman" w:hAnsi="Times New Roman"/>
          <w:color w:val="111111"/>
          <w:sz w:val="28"/>
          <w:szCs w:val="28"/>
          <w:lang w:val="en-US"/>
        </w:rPr>
        <w:t>. Durus fil Aqidah al-Islamiyyah, Teheran: Muassasah al-Hadi,</w:t>
      </w:r>
    </w:p>
    <w:p>
      <w:pPr>
        <w:pStyle w:val="BookText"/>
        <w:bidi w:val="0"/>
        <w:jc w:val="both"/>
        <w:rPr/>
      </w:pPr>
      <w:r>
        <w:rPr>
          <w:rFonts w:eastAsia="Times New Roman" w:cs="Times New Roman" w:ascii="Times New Roman" w:hAnsi="Times New Roman"/>
          <w:color w:val="111111"/>
          <w:sz w:val="28"/>
          <w:szCs w:val="28"/>
          <w:lang w:val="en-US"/>
        </w:rPr>
        <w:t>1998.</w:t>
      </w:r>
    </w:p>
    <w:p>
      <w:pPr>
        <w:pStyle w:val="BookText"/>
        <w:bidi w:val="0"/>
        <w:jc w:val="both"/>
        <w:rPr/>
      </w:pPr>
      <w:r>
        <w:rPr>
          <w:rFonts w:eastAsia="Times New Roman" w:cs="Times New Roman" w:ascii="Times New Roman" w:hAnsi="Times New Roman"/>
          <w:color w:val="111111"/>
          <w:sz w:val="28"/>
          <w:szCs w:val="28"/>
          <w:lang w:val="en-US"/>
        </w:rPr>
        <w:t>_. Ma'arif Islamiyyah, Qom: Daarul islamiyyah, 1991.</w:t>
      </w:r>
    </w:p>
    <w:p>
      <w:pPr>
        <w:pStyle w:val="BookText"/>
        <w:bidi w:val="0"/>
        <w:jc w:val="both"/>
        <w:rPr/>
      </w:pPr>
      <w:r>
        <w:rPr>
          <w:rFonts w:eastAsia="Times New Roman" w:cs="Times New Roman" w:ascii="Times New Roman" w:hAnsi="Times New Roman"/>
          <w:color w:val="111111"/>
          <w:sz w:val="28"/>
          <w:szCs w:val="28"/>
          <w:lang w:val="en-US"/>
        </w:rPr>
        <w:t>Ziai, Hossein. Knowledge and Illumination: A Study of Suhrawardi</w:t>
      </w:r>
    </w:p>
    <w:p>
      <w:pPr>
        <w:pStyle w:val="BookText"/>
        <w:bidi w:val="0"/>
        <w:jc w:val="both"/>
        <w:rPr/>
      </w:pPr>
      <w:r>
        <w:rPr>
          <w:rFonts w:eastAsia="Times New Roman" w:cs="Times New Roman" w:ascii="Times New Roman" w:hAnsi="Times New Roman"/>
          <w:color w:val="111111"/>
          <w:sz w:val="28"/>
          <w:szCs w:val="28"/>
          <w:lang w:val="en-US"/>
        </w:rPr>
        <w:t>Syeikh al-Isyraq. Atlanta: Georgia Scholar Press, 1990.</w:t>
      </w:r>
    </w:p>
    <w:p>
      <w:pPr>
        <w:pStyle w:val="BookText"/>
        <w:bidi w:val="0"/>
        <w:jc w:val="both"/>
        <w:rPr/>
      </w:pPr>
      <w:r>
        <w:rPr>
          <w:rFonts w:eastAsia="Times New Roman" w:cs="Times New Roman" w:ascii="Times New Roman" w:hAnsi="Times New Roman"/>
          <w:color w:val="111111"/>
          <w:sz w:val="28"/>
          <w:szCs w:val="28"/>
          <w:lang w:val="en-US"/>
        </w:rPr>
        <w:t>B. Jurnal, Ensiklopedia, Internet</w:t>
      </w:r>
    </w:p>
    <w:p>
      <w:pPr>
        <w:pStyle w:val="BookText"/>
        <w:bidi w:val="0"/>
        <w:jc w:val="both"/>
        <w:rPr/>
      </w:pPr>
      <w:r>
        <w:rPr>
          <w:rFonts w:eastAsia="Times New Roman" w:cs="Times New Roman" w:ascii="Times New Roman" w:hAnsi="Times New Roman"/>
          <w:color w:val="111111"/>
          <w:sz w:val="28"/>
          <w:szCs w:val="28"/>
          <w:lang w:val="en-US"/>
        </w:rPr>
        <w:t>Craig, Edward (ed.), Routledge's Encyclopedia of Islamic Philosophy</w:t>
      </w:r>
    </w:p>
    <w:p>
      <w:pPr>
        <w:pStyle w:val="BookText"/>
        <w:bidi w:val="0"/>
        <w:jc w:val="both"/>
        <w:rPr/>
      </w:pPr>
      <w:r>
        <w:rPr>
          <w:rFonts w:eastAsia="Times New Roman" w:cs="Times New Roman" w:ascii="Times New Roman" w:hAnsi="Times New Roman"/>
          <w:color w:val="111111"/>
          <w:sz w:val="28"/>
          <w:szCs w:val="28"/>
          <w:lang w:val="en-US"/>
        </w:rPr>
        <w:t>(disusun kembali dalam versi Islam oleh Mulyadhi Kartanegera),</w:t>
      </w:r>
    </w:p>
    <w:p>
      <w:pPr>
        <w:pStyle w:val="BookText"/>
        <w:bidi w:val="0"/>
        <w:jc w:val="both"/>
        <w:rPr/>
      </w:pPr>
      <w:r>
        <w:rPr>
          <w:rFonts w:eastAsia="Times New Roman" w:cs="Times New Roman" w:ascii="Times New Roman" w:hAnsi="Times New Roman"/>
          <w:color w:val="111111"/>
          <w:sz w:val="28"/>
          <w:szCs w:val="28"/>
          <w:lang w:val="en-US"/>
        </w:rPr>
        <w:t>London and New York: Routledge, 1998.</w:t>
      </w:r>
    </w:p>
    <w:p>
      <w:pPr>
        <w:pStyle w:val="BookText"/>
        <w:bidi w:val="0"/>
        <w:jc w:val="both"/>
        <w:rPr/>
      </w:pPr>
      <w:r>
        <w:rPr>
          <w:rFonts w:eastAsia="Times New Roman" w:cs="Times New Roman" w:ascii="Times New Roman" w:hAnsi="Times New Roman"/>
          <w:color w:val="111111"/>
          <w:sz w:val="28"/>
          <w:szCs w:val="28"/>
          <w:lang w:val="en-US"/>
        </w:rPr>
        <w:t>Eliade, Mircea. (ed.) The Encyclopedia of Religion, Vol. 13 New York:</w:t>
      </w:r>
    </w:p>
    <w:p>
      <w:pPr>
        <w:pStyle w:val="BookText"/>
        <w:bidi w:val="0"/>
        <w:jc w:val="both"/>
        <w:rPr/>
      </w:pPr>
      <w:r>
        <w:rPr>
          <w:rFonts w:eastAsia="Times New Roman" w:cs="Times New Roman" w:ascii="Times New Roman" w:hAnsi="Times New Roman"/>
          <w:color w:val="111111"/>
          <w:sz w:val="28"/>
          <w:szCs w:val="28"/>
          <w:lang w:val="en-US"/>
        </w:rPr>
        <w:t>Simon and Schuster Macmillan, 1987</w:t>
      </w:r>
    </w:p>
    <w:p>
      <w:pPr>
        <w:pStyle w:val="BookText"/>
        <w:bidi w:val="0"/>
        <w:jc w:val="both"/>
        <w:rPr/>
      </w:pPr>
      <w:r>
        <w:rPr>
          <w:rFonts w:eastAsia="Times New Roman" w:cs="Times New Roman" w:ascii="Times New Roman" w:hAnsi="Times New Roman"/>
          <w:color w:val="111111"/>
          <w:sz w:val="28"/>
          <w:szCs w:val="28"/>
          <w:lang w:val="en-US"/>
        </w:rPr>
        <w:t>Jurnal Kitab-e Naqd, vol. 12, Qum: Markaz Intisyarat wa Tabligh,</w:t>
      </w:r>
    </w:p>
    <w:p>
      <w:pPr>
        <w:pStyle w:val="BookText"/>
        <w:bidi w:val="0"/>
        <w:jc w:val="both"/>
        <w:rPr/>
      </w:pPr>
      <w:r>
        <w:rPr>
          <w:rFonts w:eastAsia="Times New Roman" w:cs="Times New Roman" w:ascii="Times New Roman" w:hAnsi="Times New Roman"/>
          <w:color w:val="111111"/>
          <w:sz w:val="28"/>
          <w:szCs w:val="28"/>
          <w:lang w:val="en-US"/>
        </w:rPr>
        <w:t>2000.</w:t>
      </w:r>
    </w:p>
    <w:p>
      <w:pPr>
        <w:pStyle w:val="BookText"/>
        <w:bidi w:val="0"/>
        <w:jc w:val="both"/>
        <w:rPr/>
      </w:pPr>
      <w:r>
        <w:rPr>
          <w:rFonts w:eastAsia="Times New Roman" w:cs="Times New Roman" w:ascii="Times New Roman" w:hAnsi="Times New Roman"/>
          <w:color w:val="111111"/>
          <w:sz w:val="28"/>
          <w:szCs w:val="28"/>
          <w:lang w:val="en-US"/>
        </w:rPr>
        <w:t>Mestika Zed, “Metode Penelitian Kepustakaan”, http://history2001.</w:t>
      </w:r>
    </w:p>
    <w:p>
      <w:pPr>
        <w:pStyle w:val="BookText"/>
        <w:bidi w:val="0"/>
        <w:jc w:val="both"/>
        <w:rPr/>
      </w:pPr>
      <w:r>
        <w:rPr>
          <w:rFonts w:eastAsia="Times New Roman" w:cs="Times New Roman" w:ascii="Times New Roman" w:hAnsi="Times New Roman"/>
          <w:color w:val="111111"/>
          <w:sz w:val="28"/>
          <w:szCs w:val="28"/>
          <w:lang w:val="en-US"/>
        </w:rPr>
        <w:t>multiply.com/journal/item/44, diakses tanggal 30 Maret 2008,</w:t>
      </w:r>
    </w:p>
    <w:p>
      <w:pPr>
        <w:pStyle w:val="BookText"/>
        <w:bidi w:val="0"/>
        <w:jc w:val="both"/>
        <w:rPr/>
      </w:pPr>
      <w:r>
        <w:rPr>
          <w:rFonts w:eastAsia="Times New Roman" w:cs="Times New Roman" w:ascii="Times New Roman" w:hAnsi="Times New Roman"/>
          <w:color w:val="111111"/>
          <w:sz w:val="28"/>
          <w:szCs w:val="28"/>
          <w:lang w:val="en-US"/>
        </w:rPr>
        <w:t>pkl. 20.05.</w:t>
      </w:r>
    </w:p>
    <w:p>
      <w:pPr>
        <w:pStyle w:val="BookText"/>
        <w:bidi w:val="0"/>
        <w:jc w:val="both"/>
        <w:rPr/>
      </w:pPr>
      <w:r>
        <w:rPr>
          <w:rFonts w:eastAsia="Times New Roman" w:cs="Times New Roman" w:ascii="Times New Roman" w:hAnsi="Times New Roman"/>
          <w:color w:val="111111"/>
          <w:sz w:val="28"/>
          <w:szCs w:val="28"/>
          <w:lang w:val="en-US"/>
        </w:rPr>
        <w:t>Microsoft Encarta Dictionary Tools, 2003.</w:t>
      </w:r>
    </w:p>
    <w:p>
      <w:pPr>
        <w:pStyle w:val="BookText"/>
        <w:bidi w:val="0"/>
        <w:jc w:val="both"/>
        <w:rPr/>
      </w:pPr>
      <w:r>
        <w:rPr>
          <w:rFonts w:eastAsia="Times New Roman" w:cs="Times New Roman" w:ascii="Times New Roman" w:hAnsi="Times New Roman"/>
          <w:color w:val="111111"/>
          <w:sz w:val="28"/>
          <w:szCs w:val="28"/>
          <w:lang w:val="en-US"/>
        </w:rPr>
        <w:t>Sunaryo. “Transmisi Kebudayaan Yunani Dalam Peradaban Islam”,</w:t>
      </w:r>
    </w:p>
    <w:p>
      <w:pPr>
        <w:pStyle w:val="BookText"/>
        <w:bidi w:val="0"/>
        <w:jc w:val="both"/>
        <w:rPr/>
      </w:pPr>
      <w:r>
        <w:rPr>
          <w:rFonts w:eastAsia="Times New Roman" w:cs="Times New Roman" w:ascii="Times New Roman" w:hAnsi="Times New Roman"/>
          <w:color w:val="111111"/>
          <w:sz w:val="28"/>
          <w:szCs w:val="28"/>
          <w:lang w:val="en-US"/>
        </w:rPr>
        <w:t>Jurnal Pemikiran Islam Vol.1, No.3, September 2003.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www.haw zah.net </w:t>
      </w:r>
      <w:bookmarkStart w:id="305" w:name="pg6424_45430"/>
    </w:p>
    <w:p>
      <w:pPr>
        <w:pStyle w:val="Heading2"/>
        <w:numPr>
          <w:ilvl w:val="1"/>
          <w:numId w:val="1"/>
        </w:numPr>
        <w:bidi w:val="0"/>
        <w:jc w:val="left"/>
        <w:rPr/>
      </w:pPr>
      <w:bookmarkStart w:id="306" w:name="__RefHeading___Toc688735_653776707"/>
      <w:bookmarkStart w:id="307" w:name="_Toc107"/>
      <w:bookmarkEnd w:id="305"/>
      <w:bookmarkEnd w:id="306"/>
      <w:r>
        <w:rPr/>
        <w:t>INDEKS</w:t>
      </w:r>
      <w:bookmarkEnd w:id="307"/>
    </w:p>
    <w:p>
      <w:pPr>
        <w:pStyle w:val="BookText"/>
        <w:bidi w:val="0"/>
        <w:jc w:val="both"/>
        <w:rPr/>
      </w:pPr>
      <w:r>
        <w:rPr>
          <w:rFonts w:eastAsia="Times New Roman" w:cs="Times New Roman" w:ascii="Times New Roman" w:hAnsi="Times New Roman"/>
          <w:color w:val="111111"/>
          <w:sz w:val="28"/>
          <w:szCs w:val="28"/>
          <w:lang w:val="en-US"/>
        </w:rPr>
        <w:t>А</w:t>
      </w:r>
    </w:p>
    <w:p>
      <w:pPr>
        <w:pStyle w:val="BookText"/>
        <w:bidi w:val="0"/>
        <w:jc w:val="both"/>
        <w:rPr/>
      </w:pPr>
      <w:r>
        <w:rPr>
          <w:rFonts w:eastAsia="Times New Roman" w:cs="Times New Roman" w:ascii="Times New Roman" w:hAnsi="Times New Roman"/>
          <w:color w:val="111111"/>
          <w:sz w:val="28"/>
          <w:szCs w:val="28"/>
          <w:lang w:val="en-US"/>
        </w:rPr>
        <w:t>'Abd al-Karîm Hâ'erî 46</w:t>
      </w:r>
    </w:p>
    <w:p>
      <w:pPr>
        <w:pStyle w:val="BookText"/>
        <w:bidi w:val="0"/>
        <w:jc w:val="both"/>
        <w:rPr/>
      </w:pPr>
      <w:r>
        <w:rPr>
          <w:rFonts w:eastAsia="Times New Roman" w:cs="Times New Roman" w:ascii="Times New Roman" w:hAnsi="Times New Roman"/>
          <w:color w:val="111111"/>
          <w:sz w:val="28"/>
          <w:szCs w:val="28"/>
          <w:lang w:val="en-US"/>
        </w:rPr>
        <w:t>Alî Araki 48</w:t>
      </w:r>
    </w:p>
    <w:p>
      <w:pPr>
        <w:pStyle w:val="BookText"/>
        <w:bidi w:val="0"/>
        <w:jc w:val="both"/>
        <w:rPr/>
      </w:pPr>
      <w:r>
        <w:rPr>
          <w:rFonts w:eastAsia="Times New Roman" w:cs="Times New Roman" w:ascii="Times New Roman" w:hAnsi="Times New Roman"/>
          <w:color w:val="111111"/>
          <w:sz w:val="28"/>
          <w:szCs w:val="28"/>
          <w:lang w:val="en-US"/>
        </w:rPr>
        <w:t>Ali Fanî Isfahani 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Alî Syahristani 47</w:t>
      </w:r>
    </w:p>
    <w:p>
      <w:pPr>
        <w:pStyle w:val="BookText"/>
        <w:bidi w:val="0"/>
        <w:jc w:val="both"/>
        <w:rPr/>
      </w:pPr>
      <w:r>
        <w:rPr>
          <w:rFonts w:eastAsia="Times New Roman" w:cs="Times New Roman" w:ascii="Times New Roman" w:hAnsi="Times New Roman"/>
          <w:color w:val="111111"/>
          <w:sz w:val="28"/>
          <w:szCs w:val="28"/>
          <w:lang w:val="en-US"/>
        </w:rPr>
        <w:t>Abd al- Hâdî Syirazî 68</w:t>
      </w:r>
    </w:p>
    <w:p>
      <w:pPr>
        <w:pStyle w:val="BookText"/>
        <w:bidi w:val="0"/>
        <w:jc w:val="both"/>
        <w:rPr/>
      </w:pPr>
      <w:r>
        <w:rPr>
          <w:rFonts w:eastAsia="Times New Roman" w:cs="Times New Roman" w:ascii="Times New Roman" w:hAnsi="Times New Roman"/>
          <w:color w:val="111111"/>
          <w:sz w:val="28"/>
          <w:szCs w:val="28"/>
          <w:lang w:val="en-US"/>
        </w:rPr>
        <w:t>Abd al-Hosain Hujjat Karbala 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Abd al-Hosain Lari 38</w:t>
      </w:r>
    </w:p>
    <w:p>
      <w:pPr>
        <w:pStyle w:val="BookText"/>
        <w:bidi w:val="0"/>
        <w:jc w:val="both"/>
        <w:rPr/>
      </w:pPr>
      <w:r>
        <w:rPr>
          <w:rFonts w:eastAsia="Times New Roman" w:cs="Times New Roman" w:ascii="Times New Roman" w:hAnsi="Times New Roman"/>
          <w:color w:val="111111"/>
          <w:sz w:val="28"/>
          <w:szCs w:val="28"/>
          <w:lang w:val="en-US"/>
        </w:rPr>
        <w:t>Abd al-Jawad di Masjid Isyqʻali</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Abd al-Karim Haerî Yazdi 54</w:t>
      </w:r>
    </w:p>
    <w:p>
      <w:pPr>
        <w:pStyle w:val="BookText"/>
        <w:bidi w:val="0"/>
        <w:jc w:val="both"/>
        <w:rPr/>
      </w:pPr>
      <w:r>
        <w:rPr>
          <w:rFonts w:eastAsia="Times New Roman" w:cs="Times New Roman" w:ascii="Times New Roman" w:hAnsi="Times New Roman"/>
          <w:color w:val="111111"/>
          <w:sz w:val="28"/>
          <w:szCs w:val="28"/>
          <w:lang w:val="en-US"/>
        </w:rPr>
        <w:t>Abd al-Nabi Nuri 51</w:t>
      </w:r>
    </w:p>
    <w:p>
      <w:pPr>
        <w:pStyle w:val="BookText"/>
        <w:bidi w:val="0"/>
        <w:jc w:val="both"/>
        <w:rPr/>
      </w:pPr>
      <w:r>
        <w:rPr>
          <w:rFonts w:eastAsia="Times New Roman" w:cs="Times New Roman" w:ascii="Times New Roman" w:hAnsi="Times New Roman"/>
          <w:color w:val="111111"/>
          <w:sz w:val="28"/>
          <w:szCs w:val="28"/>
          <w:lang w:val="en-US"/>
        </w:rPr>
        <w:t>Abdol-Hosein Khosro Panâh 16</w:t>
      </w:r>
    </w:p>
    <w:p>
      <w:pPr>
        <w:pStyle w:val="BookText"/>
        <w:bidi w:val="0"/>
        <w:jc w:val="both"/>
        <w:rPr/>
      </w:pPr>
      <w:r>
        <w:rPr>
          <w:rFonts w:eastAsia="Times New Roman" w:cs="Times New Roman" w:ascii="Times New Roman" w:hAnsi="Times New Roman"/>
          <w:color w:val="111111"/>
          <w:sz w:val="28"/>
          <w:szCs w:val="28"/>
          <w:lang w:val="en-US"/>
        </w:rPr>
        <w:t>Abdol-Rasul Obudiyat 16</w:t>
      </w:r>
    </w:p>
    <w:p>
      <w:pPr>
        <w:pStyle w:val="BookText"/>
        <w:bidi w:val="0"/>
        <w:jc w:val="both"/>
        <w:rPr/>
      </w:pPr>
      <w:r>
        <w:rPr>
          <w:rFonts w:eastAsia="Times New Roman" w:cs="Times New Roman" w:ascii="Times New Roman" w:hAnsi="Times New Roman"/>
          <w:color w:val="111111"/>
          <w:sz w:val="28"/>
          <w:szCs w:val="28"/>
          <w:lang w:val="en-US"/>
        </w:rPr>
        <w:t>Abdul-Kareem Shorous 102</w:t>
      </w:r>
    </w:p>
    <w:p>
      <w:pPr>
        <w:pStyle w:val="BookText"/>
        <w:bidi w:val="0"/>
        <w:jc w:val="both"/>
        <w:rPr/>
      </w:pPr>
      <w:r>
        <w:rPr>
          <w:rFonts w:eastAsia="Times New Roman" w:cs="Times New Roman" w:ascii="Times New Roman" w:hAnsi="Times New Roman"/>
          <w:color w:val="111111"/>
          <w:sz w:val="28"/>
          <w:szCs w:val="28"/>
          <w:lang w:val="en-US"/>
        </w:rPr>
        <w:t>Abu al-Hasan Isfahani 47</w:t>
      </w:r>
    </w:p>
    <w:p>
      <w:pPr>
        <w:pStyle w:val="BookText"/>
        <w:bidi w:val="0"/>
        <w:jc w:val="both"/>
        <w:rPr/>
      </w:pPr>
      <w:r>
        <w:rPr>
          <w:rFonts w:eastAsia="Times New Roman" w:cs="Times New Roman" w:ascii="Times New Roman" w:hAnsi="Times New Roman"/>
          <w:color w:val="111111"/>
          <w:sz w:val="28"/>
          <w:szCs w:val="28"/>
          <w:lang w:val="en-US"/>
        </w:rPr>
        <w:t>Abû'Ali al-Hosain bin Sînâ 23</w:t>
      </w:r>
    </w:p>
    <w:p>
      <w:pPr>
        <w:pStyle w:val="BookText"/>
        <w:bidi w:val="0"/>
        <w:jc w:val="both"/>
        <w:rPr/>
      </w:pPr>
      <w:r>
        <w:rPr>
          <w:rFonts w:eastAsia="Times New Roman" w:cs="Times New Roman" w:ascii="Times New Roman" w:hAnsi="Times New Roman"/>
          <w:color w:val="111111"/>
          <w:sz w:val="28"/>
          <w:szCs w:val="28"/>
          <w:lang w:val="en-US"/>
        </w:rPr>
        <w:t>Abu al-Nashr Muhammad bin</w:t>
      </w:r>
    </w:p>
    <w:p>
      <w:pPr>
        <w:pStyle w:val="BookText"/>
        <w:bidi w:val="0"/>
        <w:jc w:val="both"/>
        <w:rPr/>
      </w:pPr>
      <w:r>
        <w:rPr>
          <w:rFonts w:eastAsia="Times New Roman" w:cs="Times New Roman" w:ascii="Times New Roman" w:hAnsi="Times New Roman"/>
          <w:color w:val="111111"/>
          <w:sz w:val="28"/>
          <w:szCs w:val="28"/>
          <w:lang w:val="en-US"/>
        </w:rPr>
        <w:t>Tharkhan al-Farabi 49</w:t>
      </w:r>
    </w:p>
    <w:p>
      <w:pPr>
        <w:pStyle w:val="BookText"/>
        <w:bidi w:val="0"/>
        <w:jc w:val="both"/>
        <w:rPr/>
      </w:pPr>
      <w:r>
        <w:rPr>
          <w:rFonts w:eastAsia="Times New Roman" w:cs="Times New Roman" w:ascii="Times New Roman" w:hAnsi="Times New Roman"/>
          <w:color w:val="111111"/>
          <w:sz w:val="28"/>
          <w:szCs w:val="28"/>
          <w:lang w:val="en-US"/>
        </w:rPr>
        <w:t>Abû al-Qâsim al-Khûî 68</w:t>
      </w:r>
    </w:p>
    <w:p>
      <w:pPr>
        <w:pStyle w:val="BookText"/>
        <w:bidi w:val="0"/>
        <w:jc w:val="both"/>
        <w:rPr/>
      </w:pPr>
      <w:r>
        <w:rPr>
          <w:rFonts w:eastAsia="Times New Roman" w:cs="Times New Roman" w:ascii="Times New Roman" w:hAnsi="Times New Roman"/>
          <w:color w:val="111111"/>
          <w:sz w:val="28"/>
          <w:szCs w:val="28"/>
          <w:lang w:val="en-US"/>
        </w:rPr>
        <w:t>Abu al-Qasim Kabîr Qommi 46</w:t>
      </w:r>
    </w:p>
    <w:p>
      <w:pPr>
        <w:pStyle w:val="BookText"/>
        <w:bidi w:val="0"/>
        <w:jc w:val="both"/>
        <w:rPr/>
      </w:pPr>
      <w:r>
        <w:rPr>
          <w:rFonts w:eastAsia="Times New Roman" w:cs="Times New Roman" w:ascii="Times New Roman" w:hAnsi="Times New Roman"/>
          <w:color w:val="111111"/>
          <w:sz w:val="28"/>
          <w:szCs w:val="28"/>
          <w:lang w:val="en-US"/>
        </w:rPr>
        <w:t>Abu Sahl al-Tustarî 33</w:t>
      </w:r>
    </w:p>
    <w:p>
      <w:pPr>
        <w:pStyle w:val="BookText"/>
        <w:bidi w:val="0"/>
        <w:jc w:val="both"/>
        <w:rPr/>
      </w:pPr>
      <w:r>
        <w:rPr>
          <w:rFonts w:eastAsia="Times New Roman" w:cs="Times New Roman" w:ascii="Times New Roman" w:hAnsi="Times New Roman"/>
          <w:color w:val="111111"/>
          <w:sz w:val="28"/>
          <w:szCs w:val="28"/>
          <w:lang w:val="en-US"/>
        </w:rPr>
        <w:t>Abu Saminah Muhammad bin</w:t>
      </w:r>
    </w:p>
    <w:p>
      <w:pPr>
        <w:pStyle w:val="BookText"/>
        <w:bidi w:val="0"/>
        <w:jc w:val="both"/>
        <w:rPr/>
      </w:pPr>
      <w:r>
        <w:rPr>
          <w:rFonts w:eastAsia="Times New Roman" w:cs="Times New Roman" w:ascii="Times New Roman" w:hAnsi="Times New Roman"/>
          <w:color w:val="111111"/>
          <w:sz w:val="28"/>
          <w:szCs w:val="28"/>
          <w:lang w:val="en-US"/>
        </w:rPr>
        <w:t>Alî Shairfî 44</w:t>
      </w:r>
    </w:p>
    <w:p>
      <w:pPr>
        <w:pStyle w:val="BookText"/>
        <w:bidi w:val="0"/>
        <w:jc w:val="both"/>
        <w:rPr/>
      </w:pPr>
      <w:r>
        <w:rPr>
          <w:rFonts w:eastAsia="Times New Roman" w:cs="Times New Roman" w:ascii="Times New Roman" w:hAnsi="Times New Roman"/>
          <w:color w:val="111111"/>
          <w:sz w:val="28"/>
          <w:szCs w:val="28"/>
          <w:lang w:val="en-US"/>
        </w:rPr>
        <w:t>Abû Yazîd al-Busthamî 33</w:t>
      </w:r>
    </w:p>
    <w:p>
      <w:pPr>
        <w:pStyle w:val="BookText"/>
        <w:bidi w:val="0"/>
        <w:jc w:val="both"/>
        <w:rPr/>
      </w:pPr>
      <w:r>
        <w:rPr>
          <w:rFonts w:eastAsia="Times New Roman" w:cs="Times New Roman" w:ascii="Times New Roman" w:hAnsi="Times New Roman"/>
          <w:color w:val="111111"/>
          <w:sz w:val="28"/>
          <w:szCs w:val="28"/>
          <w:lang w:val="en-US"/>
        </w:rPr>
        <w:t>Abû Yûsuf Ya'qûb bin Ishâq al-</w:t>
      </w:r>
    </w:p>
    <w:p>
      <w:pPr>
        <w:pStyle w:val="BookText"/>
        <w:bidi w:val="0"/>
        <w:jc w:val="both"/>
        <w:rPr/>
      </w:pPr>
      <w:r>
        <w:rPr>
          <w:rFonts w:eastAsia="Times New Roman" w:cs="Times New Roman" w:ascii="Times New Roman" w:hAnsi="Times New Roman"/>
          <w:color w:val="111111"/>
          <w:sz w:val="28"/>
          <w:szCs w:val="28"/>
          <w:lang w:val="en-US"/>
        </w:rPr>
        <w:t>Kindî 22</w:t>
      </w:r>
    </w:p>
    <w:p>
      <w:pPr>
        <w:pStyle w:val="BookText"/>
        <w:bidi w:val="0"/>
        <w:jc w:val="both"/>
        <w:rPr/>
      </w:pPr>
      <w:r>
        <w:rPr>
          <w:rFonts w:eastAsia="Times New Roman" w:cs="Times New Roman" w:ascii="Times New Roman" w:hAnsi="Times New Roman"/>
          <w:color w:val="111111"/>
          <w:sz w:val="28"/>
          <w:szCs w:val="28"/>
          <w:lang w:val="en-US"/>
        </w:rPr>
        <w:t>Afsyariyyah 42</w:t>
      </w:r>
    </w:p>
    <w:p>
      <w:pPr>
        <w:pStyle w:val="BookText"/>
        <w:bidi w:val="0"/>
        <w:jc w:val="both"/>
        <w:rPr/>
      </w:pPr>
      <w:r>
        <w:rPr>
          <w:rFonts w:eastAsia="Times New Roman" w:cs="Times New Roman" w:ascii="Times New Roman" w:hAnsi="Times New Roman"/>
          <w:color w:val="111111"/>
          <w:sz w:val="28"/>
          <w:szCs w:val="28"/>
          <w:lang w:val="en-US"/>
        </w:rPr>
        <w:t>agnosistik 202</w:t>
      </w:r>
    </w:p>
    <w:p>
      <w:pPr>
        <w:pStyle w:val="BookText"/>
        <w:bidi w:val="0"/>
        <w:jc w:val="both"/>
        <w:rPr/>
      </w:pPr>
      <w:r>
        <w:rPr>
          <w:rFonts w:eastAsia="Times New Roman" w:cs="Times New Roman" w:ascii="Times New Roman" w:hAnsi="Times New Roman"/>
          <w:color w:val="111111"/>
          <w:sz w:val="28"/>
          <w:szCs w:val="28"/>
          <w:lang w:val="en-US"/>
        </w:rPr>
        <w:t>Ahmad Âkhûndî 65</w:t>
      </w:r>
    </w:p>
    <w:p>
      <w:pPr>
        <w:pStyle w:val="BookText"/>
        <w:bidi w:val="0"/>
        <w:jc w:val="both"/>
        <w:rPr/>
      </w:pPr>
      <w:r>
        <w:rPr>
          <w:rFonts w:eastAsia="Times New Roman" w:cs="Times New Roman" w:ascii="Times New Roman" w:hAnsi="Times New Roman"/>
          <w:color w:val="111111"/>
          <w:sz w:val="28"/>
          <w:szCs w:val="28"/>
          <w:lang w:val="en-US"/>
        </w:rPr>
        <w:t>Ahmad bin Muhammad bin Isa</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Ahmad bin Muhammad bin</w:t>
      </w:r>
    </w:p>
    <w:p>
      <w:pPr>
        <w:pStyle w:val="BookText"/>
        <w:bidi w:val="0"/>
        <w:jc w:val="both"/>
        <w:rPr/>
      </w:pPr>
      <w:r>
        <w:rPr>
          <w:rFonts w:eastAsia="Times New Roman" w:cs="Times New Roman" w:ascii="Times New Roman" w:hAnsi="Times New Roman"/>
          <w:color w:val="111111"/>
          <w:sz w:val="28"/>
          <w:szCs w:val="28"/>
          <w:lang w:val="en-US"/>
        </w:rPr>
        <w:t>Khalid Barqi 44</w:t>
      </w:r>
    </w:p>
    <w:p>
      <w:pPr>
        <w:pStyle w:val="BookText"/>
        <w:bidi w:val="0"/>
        <w:jc w:val="both"/>
        <w:rPr/>
      </w:pPr>
      <w:r>
        <w:rPr>
          <w:rFonts w:eastAsia="Times New Roman" w:cs="Times New Roman" w:ascii="Times New Roman" w:hAnsi="Times New Roman"/>
          <w:color w:val="111111"/>
          <w:sz w:val="28"/>
          <w:szCs w:val="28"/>
          <w:lang w:val="en-US"/>
        </w:rPr>
        <w:t>Ahmad Karbala’i 38</w:t>
      </w:r>
    </w:p>
    <w:p>
      <w:pPr>
        <w:pStyle w:val="BookText"/>
        <w:bidi w:val="0"/>
        <w:jc w:val="both"/>
        <w:rPr/>
      </w:pPr>
      <w:r>
        <w:rPr>
          <w:rFonts w:eastAsia="Times New Roman" w:cs="Times New Roman" w:ascii="Times New Roman" w:hAnsi="Times New Roman"/>
          <w:color w:val="111111"/>
          <w:sz w:val="28"/>
          <w:szCs w:val="28"/>
          <w:lang w:val="en-US"/>
        </w:rPr>
        <w:t>Ahmad Kirmansyahi 45</w:t>
      </w:r>
    </w:p>
    <w:p>
      <w:pPr>
        <w:pStyle w:val="BookText"/>
        <w:bidi w:val="0"/>
        <w:jc w:val="both"/>
        <w:rPr/>
      </w:pPr>
      <w:r>
        <w:rPr>
          <w:rFonts w:eastAsia="Times New Roman" w:cs="Times New Roman" w:ascii="Times New Roman" w:hAnsi="Times New Roman"/>
          <w:color w:val="111111"/>
          <w:sz w:val="28"/>
          <w:szCs w:val="28"/>
          <w:lang w:val="en-US"/>
        </w:rPr>
        <w:t>Akhud Khorasani 58, 66</w:t>
      </w:r>
    </w:p>
    <w:p>
      <w:pPr>
        <w:pStyle w:val="BookText"/>
        <w:bidi w:val="0"/>
        <w:jc w:val="both"/>
        <w:rPr/>
      </w:pPr>
      <w:r>
        <w:rPr>
          <w:rFonts w:eastAsia="Times New Roman" w:cs="Times New Roman" w:ascii="Times New Roman" w:hAnsi="Times New Roman"/>
          <w:color w:val="111111"/>
          <w:sz w:val="28"/>
          <w:szCs w:val="28"/>
          <w:lang w:val="en-US"/>
        </w:rPr>
        <w:t>Aktus 334</w:t>
      </w:r>
    </w:p>
    <w:p>
      <w:pPr>
        <w:pStyle w:val="BookText"/>
        <w:bidi w:val="0"/>
        <w:jc w:val="both"/>
        <w:rPr/>
      </w:pPr>
      <w:r>
        <w:rPr>
          <w:rFonts w:eastAsia="Times New Roman" w:cs="Times New Roman" w:ascii="Times New Roman" w:hAnsi="Times New Roman"/>
          <w:color w:val="111111"/>
          <w:sz w:val="28"/>
          <w:szCs w:val="28"/>
          <w:lang w:val="en-US"/>
        </w:rPr>
        <w:t>Alexandria 21</w:t>
      </w:r>
    </w:p>
    <w:p>
      <w:pPr>
        <w:pStyle w:val="BookText"/>
        <w:bidi w:val="0"/>
        <w:jc w:val="both"/>
        <w:rPr/>
      </w:pPr>
      <w:r>
        <w:rPr>
          <w:rFonts w:eastAsia="Times New Roman" w:cs="Times New Roman" w:ascii="Times New Roman" w:hAnsi="Times New Roman"/>
          <w:color w:val="111111"/>
          <w:sz w:val="28"/>
          <w:szCs w:val="28"/>
          <w:lang w:val="en-US"/>
        </w:rPr>
        <w:t>Al-Farabi 22, 23, 28</w:t>
      </w:r>
    </w:p>
    <w:p>
      <w:pPr>
        <w:pStyle w:val="BookText"/>
        <w:bidi w:val="0"/>
        <w:jc w:val="both"/>
        <w:rPr/>
      </w:pPr>
      <w:r>
        <w:rPr>
          <w:rFonts w:eastAsia="Times New Roman" w:cs="Times New Roman" w:ascii="Times New Roman" w:hAnsi="Times New Roman"/>
          <w:color w:val="111111"/>
          <w:sz w:val="28"/>
          <w:szCs w:val="28"/>
          <w:lang w:val="en-US"/>
        </w:rPr>
        <w:t>Al-Ghazali 25, 29, 30, 327</w:t>
      </w:r>
    </w:p>
    <w:p>
      <w:pPr>
        <w:pStyle w:val="BookText"/>
        <w:bidi w:val="0"/>
        <w:jc w:val="both"/>
        <w:rPr/>
      </w:pPr>
      <w:r>
        <w:rPr>
          <w:rFonts w:eastAsia="Times New Roman" w:cs="Times New Roman" w:ascii="Times New Roman" w:hAnsi="Times New Roman"/>
          <w:color w:val="111111"/>
          <w:sz w:val="28"/>
          <w:szCs w:val="28"/>
          <w:lang w:val="en-US"/>
        </w:rPr>
        <w:t>al-Hallâj 33</w:t>
      </w:r>
    </w:p>
    <w:p>
      <w:pPr>
        <w:pStyle w:val="BookText"/>
        <w:bidi w:val="0"/>
        <w:jc w:val="both"/>
        <w:rPr/>
      </w:pPr>
      <w:r>
        <w:rPr>
          <w:rFonts w:eastAsia="Times New Roman" w:cs="Times New Roman" w:ascii="Times New Roman" w:hAnsi="Times New Roman"/>
          <w:color w:val="111111"/>
          <w:sz w:val="28"/>
          <w:szCs w:val="28"/>
          <w:lang w:val="en-US"/>
        </w:rPr>
        <w:t>Ali Akbar Hasyemi Rafsanjani 90</w:t>
      </w:r>
    </w:p>
    <w:p>
      <w:pPr>
        <w:pStyle w:val="BookText"/>
        <w:bidi w:val="0"/>
        <w:jc w:val="both"/>
        <w:rPr/>
      </w:pPr>
      <w:r>
        <w:rPr>
          <w:rFonts w:eastAsia="Times New Roman" w:cs="Times New Roman" w:ascii="Times New Roman" w:hAnsi="Times New Roman"/>
          <w:color w:val="111111"/>
          <w:sz w:val="28"/>
          <w:szCs w:val="28"/>
          <w:lang w:val="en-US"/>
        </w:rPr>
        <w:t>Ali Khamenei 309</w:t>
      </w:r>
    </w:p>
    <w:p>
      <w:pPr>
        <w:pStyle w:val="BookText"/>
        <w:bidi w:val="0"/>
        <w:jc w:val="both"/>
        <w:rPr/>
      </w:pPr>
      <w:r>
        <w:rPr>
          <w:rFonts w:eastAsia="Times New Roman" w:cs="Times New Roman" w:ascii="Times New Roman" w:hAnsi="Times New Roman"/>
          <w:color w:val="111111"/>
          <w:sz w:val="28"/>
          <w:szCs w:val="28"/>
          <w:lang w:val="en-US"/>
        </w:rPr>
        <w:t>Ali Reza A'rafi 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Alî Ridhâ Mudarisî 66</w:t>
      </w:r>
    </w:p>
    <w:p>
      <w:pPr>
        <w:pStyle w:val="BookText"/>
        <w:bidi w:val="0"/>
        <w:jc w:val="both"/>
        <w:rPr/>
      </w:pPr>
      <w:r>
        <w:rPr>
          <w:rFonts w:eastAsia="Times New Roman" w:cs="Times New Roman" w:ascii="Times New Roman" w:hAnsi="Times New Roman"/>
          <w:color w:val="111111"/>
          <w:sz w:val="28"/>
          <w:szCs w:val="28"/>
          <w:lang w:val="en-US"/>
        </w:rPr>
        <w:t>Ali Syirwani 95</w:t>
      </w:r>
    </w:p>
    <w:p>
      <w:pPr>
        <w:pStyle w:val="BookText"/>
        <w:bidi w:val="0"/>
        <w:jc w:val="both"/>
        <w:rPr/>
      </w:pPr>
      <w:r>
        <w:rPr>
          <w:rFonts w:eastAsia="Times New Roman" w:cs="Times New Roman" w:ascii="Times New Roman" w:hAnsi="Times New Roman"/>
          <w:color w:val="111111"/>
          <w:sz w:val="28"/>
          <w:szCs w:val="28"/>
          <w:lang w:val="en-US"/>
        </w:rPr>
        <w:t>Alparslan Acikgence 34</w:t>
      </w:r>
    </w:p>
    <w:p>
      <w:pPr>
        <w:pStyle w:val="BookText"/>
        <w:bidi w:val="0"/>
        <w:jc w:val="both"/>
        <w:rPr/>
      </w:pPr>
      <w:r>
        <w:rPr>
          <w:rFonts w:eastAsia="Times New Roman" w:cs="Times New Roman" w:ascii="Times New Roman" w:hAnsi="Times New Roman"/>
          <w:color w:val="111111"/>
          <w:sz w:val="28"/>
          <w:szCs w:val="28"/>
          <w:lang w:val="en-US"/>
        </w:rPr>
        <w:t>A.O. Lovejoy 141</w:t>
      </w:r>
    </w:p>
    <w:p>
      <w:pPr>
        <w:pStyle w:val="BookText"/>
        <w:bidi w:val="0"/>
        <w:jc w:val="both"/>
        <w:rPr/>
      </w:pPr>
      <w:r>
        <w:rPr>
          <w:rFonts w:eastAsia="Times New Roman" w:cs="Times New Roman" w:ascii="Times New Roman" w:hAnsi="Times New Roman"/>
          <w:color w:val="111111"/>
          <w:sz w:val="28"/>
          <w:szCs w:val="28"/>
          <w:lang w:val="en-US"/>
        </w:rPr>
        <w:t>Aristoteles 21, 22, 24, 30, 32, 49,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115, 139, 140, 164, 180, 189, </w:t>
      </w:r>
    </w:p>
    <w:p>
      <w:pPr>
        <w:pStyle w:val="BookText"/>
        <w:bidi w:val="0"/>
        <w:rPr/>
      </w:pPr>
      <w:r>
        <w:rPr>
          <w:rFonts w:eastAsia="Times New Roman" w:cs="Times New Roman" w:ascii="Times New Roman" w:hAnsi="Times New Roman"/>
          <w:color w:val="111111"/>
          <w:sz w:val="28"/>
          <w:szCs w:val="28"/>
          <w:lang w:val="en-US"/>
        </w:rPr>
        <w:t>Aritmetika 335</w:t>
      </w:r>
    </w:p>
    <w:p>
      <w:pPr>
        <w:pStyle w:val="BookText"/>
        <w:bidi w:val="0"/>
        <w:jc w:val="both"/>
        <w:rPr/>
      </w:pPr>
      <w:r>
        <w:rPr>
          <w:rFonts w:eastAsia="Times New Roman" w:cs="Times New Roman" w:ascii="Times New Roman" w:hAnsi="Times New Roman"/>
          <w:color w:val="111111"/>
          <w:sz w:val="28"/>
          <w:szCs w:val="28"/>
          <w:lang w:val="en-US"/>
        </w:rPr>
        <w:t>Astronomi 335</w:t>
      </w:r>
    </w:p>
    <w:p>
      <w:pPr>
        <w:pStyle w:val="BookText"/>
        <w:bidi w:val="0"/>
        <w:jc w:val="both"/>
        <w:rPr/>
      </w:pPr>
      <w:r>
        <w:rPr>
          <w:rFonts w:eastAsia="Times New Roman" w:cs="Times New Roman" w:ascii="Times New Roman" w:hAnsi="Times New Roman"/>
          <w:color w:val="111111"/>
          <w:sz w:val="28"/>
          <w:szCs w:val="28"/>
          <w:lang w:val="en-US"/>
        </w:rPr>
        <w:t>Atribusi 335</w:t>
      </w:r>
    </w:p>
    <w:p>
      <w:pPr>
        <w:pStyle w:val="BookText"/>
        <w:bidi w:val="0"/>
        <w:jc w:val="both"/>
        <w:rPr/>
      </w:pPr>
      <w:r>
        <w:rPr>
          <w:rFonts w:eastAsia="Times New Roman" w:cs="Times New Roman" w:ascii="Times New Roman" w:hAnsi="Times New Roman"/>
          <w:color w:val="111111"/>
          <w:sz w:val="28"/>
          <w:szCs w:val="28"/>
          <w:lang w:val="en-US"/>
        </w:rPr>
        <w:t>Filsafat Iluminasi 32</w:t>
      </w:r>
    </w:p>
    <w:p>
      <w:pPr>
        <w:pStyle w:val="BookText"/>
        <w:bidi w:val="0"/>
        <w:jc w:val="both"/>
        <w:rPr/>
      </w:pPr>
      <w:r>
        <w:rPr>
          <w:rFonts w:eastAsia="Times New Roman" w:cs="Times New Roman" w:ascii="Times New Roman" w:hAnsi="Times New Roman"/>
          <w:color w:val="111111"/>
          <w:sz w:val="28"/>
          <w:szCs w:val="28"/>
          <w:lang w:val="en-US"/>
        </w:rPr>
        <w:t>filsafat Paripatetik 31, 32</w:t>
      </w:r>
    </w:p>
    <w:p>
      <w:pPr>
        <w:pStyle w:val="BookText"/>
        <w:bidi w:val="0"/>
        <w:jc w:val="both"/>
        <w:rPr/>
      </w:pPr>
      <w:r>
        <w:rPr>
          <w:rFonts w:eastAsia="Times New Roman" w:cs="Times New Roman" w:ascii="Times New Roman" w:hAnsi="Times New Roman"/>
          <w:color w:val="111111"/>
          <w:sz w:val="28"/>
          <w:szCs w:val="28"/>
          <w:lang w:val="en-US"/>
        </w:rPr>
        <w:t>Frederick II 26</w:t>
      </w:r>
    </w:p>
    <w:p>
      <w:pPr>
        <w:pStyle w:val="BookText"/>
        <w:bidi w:val="0"/>
        <w:jc w:val="both"/>
        <w:rPr/>
      </w:pPr>
      <w:r>
        <w:rPr>
          <w:rFonts w:eastAsia="Times New Roman" w:cs="Times New Roman" w:ascii="Times New Roman" w:hAnsi="Times New Roman"/>
          <w:color w:val="111111"/>
          <w:sz w:val="28"/>
          <w:szCs w:val="28"/>
          <w:lang w:val="en-US"/>
        </w:rPr>
        <w:t>Bahmanyâr 201</w:t>
      </w:r>
    </w:p>
    <w:p>
      <w:pPr>
        <w:pStyle w:val="BookText"/>
        <w:bidi w:val="0"/>
        <w:jc w:val="both"/>
        <w:rPr/>
      </w:pPr>
      <w:r>
        <w:rPr>
          <w:rFonts w:eastAsia="Times New Roman" w:cs="Times New Roman" w:ascii="Times New Roman" w:hAnsi="Times New Roman"/>
          <w:color w:val="111111"/>
          <w:sz w:val="28"/>
          <w:szCs w:val="28"/>
          <w:lang w:val="en-US"/>
        </w:rPr>
        <w:t>Botani 335</w:t>
      </w:r>
    </w:p>
    <w:p>
      <w:pPr>
        <w:pStyle w:val="BookText"/>
        <w:bidi w:val="0"/>
        <w:jc w:val="both"/>
        <w:rPr/>
      </w:pPr>
      <w:r>
        <w:rPr>
          <w:rFonts w:eastAsia="Times New Roman" w:cs="Times New Roman" w:ascii="Times New Roman" w:hAnsi="Times New Roman"/>
          <w:color w:val="111111"/>
          <w:sz w:val="28"/>
          <w:szCs w:val="28"/>
          <w:lang w:val="en-US"/>
        </w:rPr>
        <w:t>C.A. Strong 141</w:t>
      </w:r>
    </w:p>
    <w:p>
      <w:pPr>
        <w:pStyle w:val="BookText"/>
        <w:bidi w:val="0"/>
        <w:jc w:val="both"/>
        <w:rPr/>
      </w:pPr>
      <w:r>
        <w:rPr>
          <w:rFonts w:eastAsia="Times New Roman" w:cs="Times New Roman" w:ascii="Times New Roman" w:hAnsi="Times New Roman"/>
          <w:color w:val="111111"/>
          <w:sz w:val="28"/>
          <w:szCs w:val="28"/>
          <w:lang w:val="en-US"/>
        </w:rPr>
        <w:t>Colonymus 27</w:t>
      </w:r>
    </w:p>
    <w:p>
      <w:pPr>
        <w:pStyle w:val="BookText"/>
        <w:bidi w:val="0"/>
        <w:jc w:val="both"/>
        <w:rPr/>
      </w:pPr>
      <w:r>
        <w:rPr>
          <w:rFonts w:eastAsia="Times New Roman" w:cs="Times New Roman" w:ascii="Times New Roman" w:hAnsi="Times New Roman"/>
          <w:color w:val="111111"/>
          <w:sz w:val="28"/>
          <w:szCs w:val="28"/>
          <w:lang w:val="en-US"/>
        </w:rPr>
        <w:t>Geometri 336</w:t>
      </w:r>
    </w:p>
    <w:p>
      <w:pPr>
        <w:pStyle w:val="BookText"/>
        <w:bidi w:val="0"/>
        <w:jc w:val="both"/>
        <w:rPr/>
      </w:pPr>
      <w:r>
        <w:rPr>
          <w:rFonts w:eastAsia="Times New Roman" w:cs="Times New Roman" w:ascii="Times New Roman" w:hAnsi="Times New Roman"/>
          <w:color w:val="111111"/>
          <w:sz w:val="28"/>
          <w:szCs w:val="28"/>
          <w:lang w:val="en-US"/>
        </w:rPr>
        <w:t>George Berkeley 180</w:t>
      </w:r>
    </w:p>
    <w:p>
      <w:pPr>
        <w:pStyle w:val="BookText"/>
        <w:bidi w:val="0"/>
        <w:jc w:val="both"/>
        <w:rPr/>
      </w:pPr>
      <w:r>
        <w:rPr>
          <w:rFonts w:eastAsia="Times New Roman" w:cs="Times New Roman" w:ascii="Times New Roman" w:hAnsi="Times New Roman"/>
          <w:color w:val="111111"/>
          <w:sz w:val="28"/>
          <w:szCs w:val="28"/>
          <w:lang w:val="en-US"/>
        </w:rPr>
        <w:t>Gholam Husain Fayâdhi 198,</w:t>
      </w:r>
    </w:p>
    <w:p>
      <w:pPr>
        <w:pStyle w:val="BookText"/>
        <w:bidi w:val="0"/>
        <w:jc w:val="both"/>
        <w:rPr/>
      </w:pPr>
      <w:r>
        <w:rPr>
          <w:rFonts w:eastAsia="Times New Roman" w:cs="Times New Roman" w:ascii="Times New Roman" w:hAnsi="Times New Roman"/>
          <w:color w:val="111111"/>
          <w:sz w:val="28"/>
          <w:szCs w:val="28"/>
          <w:lang w:val="en-US"/>
        </w:rPr>
        <w:t>200, 201</w:t>
      </w:r>
    </w:p>
    <w:p>
      <w:pPr>
        <w:pStyle w:val="BookText"/>
        <w:bidi w:val="0"/>
        <w:jc w:val="both"/>
        <w:rPr/>
      </w:pPr>
      <w:r>
        <w:rPr>
          <w:rFonts w:eastAsia="Times New Roman" w:cs="Times New Roman" w:ascii="Times New Roman" w:hAnsi="Times New Roman"/>
          <w:color w:val="111111"/>
          <w:sz w:val="28"/>
          <w:szCs w:val="28"/>
          <w:lang w:val="en-US"/>
        </w:rPr>
        <w:t>Gholam Reza Faiyazhi 95, 197</w:t>
      </w:r>
    </w:p>
    <w:p>
      <w:pPr>
        <w:pStyle w:val="BookText"/>
        <w:bidi w:val="0"/>
        <w:jc w:val="both"/>
        <w:rPr/>
      </w:pPr>
      <w:r>
        <w:rPr>
          <w:rFonts w:eastAsia="Times New Roman" w:cs="Times New Roman" w:ascii="Times New Roman" w:hAnsi="Times New Roman"/>
          <w:color w:val="111111"/>
          <w:sz w:val="28"/>
          <w:szCs w:val="28"/>
          <w:lang w:val="en-US"/>
        </w:rPr>
        <w:t>Golpaegânî 82</w:t>
      </w:r>
    </w:p>
    <w:p>
      <w:pPr>
        <w:pStyle w:val="BookText"/>
        <w:bidi w:val="0"/>
        <w:jc w:val="both"/>
        <w:rPr/>
      </w:pPr>
      <w:r>
        <w:rPr>
          <w:rFonts w:eastAsia="Times New Roman" w:cs="Times New Roman" w:ascii="Times New Roman" w:hAnsi="Times New Roman"/>
          <w:color w:val="111111"/>
          <w:sz w:val="28"/>
          <w:szCs w:val="28"/>
          <w:lang w:val="en-US"/>
        </w:rPr>
        <w:t>Gottfried Wilhelm Leibniz 180</w:t>
      </w:r>
    </w:p>
    <w:p>
      <w:pPr>
        <w:pStyle w:val="BookText"/>
        <w:bidi w:val="0"/>
        <w:jc w:val="both"/>
        <w:rPr/>
      </w:pPr>
      <w:r>
        <w:rPr>
          <w:rFonts w:eastAsia="Times New Roman" w:cs="Times New Roman" w:ascii="Times New Roman" w:hAnsi="Times New Roman"/>
          <w:color w:val="111111"/>
          <w:sz w:val="28"/>
          <w:szCs w:val="28"/>
          <w:lang w:val="en-US"/>
        </w:rPr>
        <w:t>G. Santayana 141</w:t>
      </w:r>
    </w:p>
    <w:p>
      <w:pPr>
        <w:pStyle w:val="BookText"/>
        <w:bidi w:val="0"/>
        <w:jc w:val="both"/>
        <w:rPr/>
      </w:pPr>
      <w:r>
        <w:rPr>
          <w:rFonts w:eastAsia="Times New Roman" w:cs="Times New Roman" w:ascii="Times New Roman" w:hAnsi="Times New Roman"/>
          <w:color w:val="111111"/>
          <w:sz w:val="28"/>
          <w:szCs w:val="28"/>
          <w:lang w:val="en-US"/>
        </w:rPr>
        <w:t>David Hume 131, 179, 180</w:t>
      </w:r>
    </w:p>
    <w:p>
      <w:pPr>
        <w:pStyle w:val="BookText"/>
        <w:bidi w:val="0"/>
        <w:jc w:val="both"/>
        <w:rPr/>
      </w:pPr>
      <w:r>
        <w:rPr>
          <w:rFonts w:eastAsia="Times New Roman" w:cs="Times New Roman" w:ascii="Times New Roman" w:hAnsi="Times New Roman"/>
          <w:color w:val="111111"/>
          <w:sz w:val="28"/>
          <w:szCs w:val="28"/>
          <w:lang w:val="en-US"/>
        </w:rPr>
        <w:t>Dzû al-Nûn al-Mishrî 33</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Eklektik 335</w:t>
      </w:r>
    </w:p>
    <w:p>
      <w:pPr>
        <w:pStyle w:val="BookText"/>
        <w:bidi w:val="0"/>
        <w:jc w:val="both"/>
        <w:rPr/>
      </w:pPr>
      <w:r>
        <w:rPr>
          <w:rFonts w:eastAsia="Times New Roman" w:cs="Times New Roman" w:ascii="Times New Roman" w:hAnsi="Times New Roman"/>
          <w:color w:val="111111"/>
          <w:sz w:val="28"/>
          <w:szCs w:val="28"/>
          <w:lang w:val="en-US"/>
        </w:rPr>
        <w:t>Elexandria 50</w:t>
      </w:r>
    </w:p>
    <w:p>
      <w:pPr>
        <w:pStyle w:val="BookText"/>
        <w:bidi w:val="0"/>
        <w:jc w:val="both"/>
        <w:rPr/>
      </w:pPr>
      <w:r>
        <w:rPr>
          <w:rFonts w:eastAsia="Times New Roman" w:cs="Times New Roman" w:ascii="Times New Roman" w:hAnsi="Times New Roman"/>
          <w:color w:val="111111"/>
          <w:sz w:val="28"/>
          <w:szCs w:val="28"/>
          <w:lang w:val="en-US"/>
        </w:rPr>
        <w:t>Empedokles 33</w:t>
      </w:r>
    </w:p>
    <w:p>
      <w:pPr>
        <w:pStyle w:val="BookText"/>
        <w:bidi w:val="0"/>
        <w:jc w:val="both"/>
        <w:rPr/>
      </w:pPr>
      <w:r>
        <w:rPr>
          <w:rFonts w:eastAsia="Times New Roman" w:cs="Times New Roman" w:ascii="Times New Roman" w:hAnsi="Times New Roman"/>
          <w:color w:val="111111"/>
          <w:sz w:val="28"/>
          <w:szCs w:val="28"/>
          <w:lang w:val="en-US"/>
        </w:rPr>
        <w:t>Empirisme Nominalistik 140</w:t>
      </w:r>
    </w:p>
    <w:p>
      <w:pPr>
        <w:pStyle w:val="BookText"/>
        <w:bidi w:val="0"/>
        <w:jc w:val="both"/>
        <w:rPr/>
      </w:pPr>
      <w:r>
        <w:rPr>
          <w:rFonts w:eastAsia="Times New Roman" w:cs="Times New Roman" w:ascii="Times New Roman" w:hAnsi="Times New Roman"/>
          <w:color w:val="111111"/>
          <w:sz w:val="28"/>
          <w:szCs w:val="28"/>
          <w:lang w:val="en-US"/>
        </w:rPr>
        <w:t>Empirisme-Rasionalisme 179</w:t>
      </w:r>
    </w:p>
    <w:p>
      <w:pPr>
        <w:pStyle w:val="BookText"/>
        <w:bidi w:val="0"/>
        <w:jc w:val="both"/>
        <w:rPr/>
      </w:pPr>
      <w:r>
        <w:rPr>
          <w:rFonts w:eastAsia="Times New Roman" w:cs="Times New Roman" w:ascii="Times New Roman" w:hAnsi="Times New Roman"/>
          <w:color w:val="111111"/>
          <w:sz w:val="28"/>
          <w:szCs w:val="28"/>
          <w:lang w:val="en-US"/>
        </w:rPr>
        <w:t>Empirisme-Skeptisisme 179</w:t>
      </w:r>
    </w:p>
    <w:p>
      <w:pPr>
        <w:pStyle w:val="BookText"/>
        <w:bidi w:val="0"/>
        <w:jc w:val="both"/>
        <w:rPr/>
      </w:pPr>
      <w:r>
        <w:rPr>
          <w:rFonts w:eastAsia="Times New Roman" w:cs="Times New Roman" w:ascii="Times New Roman" w:hAnsi="Times New Roman"/>
          <w:color w:val="111111"/>
          <w:sz w:val="28"/>
          <w:szCs w:val="28"/>
          <w:lang w:val="en-US"/>
        </w:rPr>
        <w:t>Epistemologi 139, 143, 144, 146,</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Ernest Renan 27</w:t>
      </w:r>
    </w:p>
    <w:p>
      <w:pPr>
        <w:pStyle w:val="BookText"/>
        <w:bidi w:val="0"/>
        <w:jc w:val="both"/>
        <w:rPr/>
      </w:pPr>
      <w:r>
        <w:rPr>
          <w:rFonts w:eastAsia="Times New Roman" w:cs="Times New Roman" w:ascii="Times New Roman" w:hAnsi="Times New Roman"/>
          <w:color w:val="111111"/>
          <w:sz w:val="28"/>
          <w:szCs w:val="28"/>
          <w:lang w:val="en-US"/>
        </w:rPr>
        <w:t>Haji Mahdi 46</w:t>
      </w:r>
    </w:p>
    <w:p>
      <w:pPr>
        <w:pStyle w:val="BookText"/>
        <w:bidi w:val="0"/>
        <w:jc w:val="both"/>
        <w:rPr/>
      </w:pPr>
      <w:r>
        <w:rPr>
          <w:rFonts w:eastAsia="Times New Roman" w:cs="Times New Roman" w:ascii="Times New Roman" w:hAnsi="Times New Roman"/>
          <w:color w:val="111111"/>
          <w:sz w:val="28"/>
          <w:szCs w:val="28"/>
          <w:lang w:val="en-US"/>
        </w:rPr>
        <w:t>Haji Muhammad Arbâb 46</w:t>
      </w:r>
    </w:p>
    <w:p>
      <w:pPr>
        <w:pStyle w:val="BookText"/>
        <w:bidi w:val="0"/>
        <w:jc w:val="both"/>
        <w:rPr/>
      </w:pPr>
      <w:r>
        <w:rPr>
          <w:rFonts w:eastAsia="Times New Roman" w:cs="Times New Roman" w:ascii="Times New Roman" w:hAnsi="Times New Roman"/>
          <w:color w:val="111111"/>
          <w:sz w:val="28"/>
          <w:szCs w:val="28"/>
          <w:lang w:val="en-US"/>
        </w:rPr>
        <w:t>Hasan Hasan Zâdeh Âmulî 97,</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Hasan Moallemî 16, 95</w:t>
      </w:r>
    </w:p>
    <w:p>
      <w:pPr>
        <w:pStyle w:val="BookText"/>
        <w:bidi w:val="0"/>
        <w:jc w:val="both"/>
        <w:rPr/>
      </w:pPr>
      <w:r>
        <w:rPr>
          <w:rFonts w:eastAsia="Times New Roman" w:cs="Times New Roman" w:ascii="Times New Roman" w:hAnsi="Times New Roman"/>
          <w:color w:val="111111"/>
          <w:sz w:val="28"/>
          <w:szCs w:val="28"/>
          <w:lang w:val="en-US"/>
        </w:rPr>
        <w:t>Henry Corbin 30, 32, 37, 53, 331</w:t>
      </w:r>
    </w:p>
    <w:p>
      <w:pPr>
        <w:pStyle w:val="BookText"/>
        <w:bidi w:val="0"/>
        <w:jc w:val="both"/>
        <w:rPr/>
      </w:pPr>
      <w:r>
        <w:rPr>
          <w:rFonts w:eastAsia="Times New Roman" w:cs="Times New Roman" w:ascii="Times New Roman" w:hAnsi="Times New Roman"/>
          <w:color w:val="111111"/>
          <w:sz w:val="28"/>
          <w:szCs w:val="28"/>
          <w:lang w:val="en-US"/>
        </w:rPr>
        <w:t>Hermes Agathsdaemon 32</w:t>
      </w:r>
    </w:p>
    <w:p>
      <w:pPr>
        <w:pStyle w:val="BookText"/>
        <w:bidi w:val="0"/>
        <w:jc w:val="both"/>
        <w:rPr/>
      </w:pPr>
      <w:r>
        <w:rPr>
          <w:rFonts w:eastAsia="Times New Roman" w:cs="Times New Roman" w:ascii="Times New Roman" w:hAnsi="Times New Roman"/>
          <w:color w:val="111111"/>
          <w:sz w:val="28"/>
          <w:szCs w:val="28"/>
          <w:lang w:val="en-US"/>
        </w:rPr>
        <w:t>Hermuentik 337</w:t>
      </w:r>
    </w:p>
    <w:p>
      <w:pPr>
        <w:pStyle w:val="BookText"/>
        <w:bidi w:val="0"/>
        <w:jc w:val="both"/>
        <w:rPr/>
      </w:pPr>
      <w:r>
        <w:rPr>
          <w:rFonts w:eastAsia="Times New Roman" w:cs="Times New Roman" w:ascii="Times New Roman" w:hAnsi="Times New Roman"/>
          <w:color w:val="111111"/>
          <w:sz w:val="28"/>
          <w:szCs w:val="28"/>
          <w:lang w:val="en-US"/>
        </w:rPr>
        <w:t>Hosein Mazhaherî 84</w:t>
      </w:r>
    </w:p>
    <w:p>
      <w:pPr>
        <w:pStyle w:val="BookText"/>
        <w:bidi w:val="0"/>
        <w:jc w:val="both"/>
        <w:rPr/>
      </w:pPr>
      <w:r>
        <w:rPr>
          <w:rFonts w:eastAsia="Times New Roman" w:cs="Times New Roman" w:ascii="Times New Roman" w:hAnsi="Times New Roman"/>
          <w:color w:val="111111"/>
          <w:sz w:val="28"/>
          <w:szCs w:val="28"/>
          <w:lang w:val="en-US"/>
        </w:rPr>
        <w:t>Hujjat Kuhkamari 48</w:t>
      </w:r>
    </w:p>
    <w:p>
      <w:pPr>
        <w:pStyle w:val="BookText"/>
        <w:bidi w:val="0"/>
        <w:jc w:val="both"/>
        <w:rPr/>
      </w:pPr>
      <w:r>
        <w:rPr>
          <w:rFonts w:eastAsia="Times New Roman" w:cs="Times New Roman" w:ascii="Times New Roman" w:hAnsi="Times New Roman"/>
          <w:color w:val="111111"/>
          <w:sz w:val="28"/>
          <w:szCs w:val="28"/>
          <w:lang w:val="en-US"/>
        </w:rPr>
        <w:t>Fadhil al-Miqdâd 35</w:t>
      </w:r>
    </w:p>
    <w:p>
      <w:pPr>
        <w:pStyle w:val="BookText"/>
        <w:bidi w:val="0"/>
        <w:jc w:val="both"/>
        <w:rPr/>
      </w:pPr>
      <w:r>
        <w:rPr>
          <w:rFonts w:eastAsia="Times New Roman" w:cs="Times New Roman" w:ascii="Times New Roman" w:hAnsi="Times New Roman"/>
          <w:color w:val="111111"/>
          <w:sz w:val="28"/>
          <w:szCs w:val="28"/>
          <w:lang w:val="en-US"/>
        </w:rPr>
        <w:t>Fadhil Tehrani 51</w:t>
      </w:r>
    </w:p>
    <w:p>
      <w:pPr>
        <w:pStyle w:val="BookText"/>
        <w:bidi w:val="0"/>
        <w:jc w:val="both"/>
        <w:rPr/>
      </w:pPr>
      <w:r>
        <w:rPr>
          <w:rFonts w:eastAsia="Times New Roman" w:cs="Times New Roman" w:ascii="Times New Roman" w:hAnsi="Times New Roman"/>
          <w:color w:val="111111"/>
          <w:sz w:val="28"/>
          <w:szCs w:val="28"/>
          <w:lang w:val="en-US"/>
        </w:rPr>
        <w:t>Faidh al-Kasyani 92</w:t>
      </w:r>
    </w:p>
    <w:p>
      <w:pPr>
        <w:pStyle w:val="BookText"/>
        <w:bidi w:val="0"/>
        <w:jc w:val="both"/>
        <w:rPr/>
      </w:pPr>
      <w:r>
        <w:rPr>
          <w:rFonts w:eastAsia="Times New Roman" w:cs="Times New Roman" w:ascii="Times New Roman" w:hAnsi="Times New Roman"/>
          <w:color w:val="111111"/>
          <w:sz w:val="28"/>
          <w:szCs w:val="28"/>
          <w:lang w:val="en-US"/>
        </w:rPr>
        <w:t>Fanâê Eshkavari 16,95</w:t>
      </w:r>
    </w:p>
    <w:p>
      <w:pPr>
        <w:pStyle w:val="BookText"/>
        <w:bidi w:val="0"/>
        <w:jc w:val="both"/>
        <w:rPr/>
      </w:pPr>
      <w:r>
        <w:rPr>
          <w:rFonts w:eastAsia="Times New Roman" w:cs="Times New Roman" w:ascii="Times New Roman" w:hAnsi="Times New Roman"/>
          <w:color w:val="111111"/>
          <w:sz w:val="28"/>
          <w:szCs w:val="28"/>
          <w:lang w:val="en-US"/>
        </w:rPr>
        <w:t>Faridun 33</w:t>
      </w:r>
    </w:p>
    <w:p>
      <w:pPr>
        <w:pStyle w:val="BookText"/>
        <w:bidi w:val="0"/>
        <w:jc w:val="both"/>
        <w:rPr/>
      </w:pPr>
      <w:r>
        <w:rPr>
          <w:rFonts w:eastAsia="Times New Roman" w:cs="Times New Roman" w:ascii="Times New Roman" w:hAnsi="Times New Roman"/>
          <w:color w:val="111111"/>
          <w:sz w:val="28"/>
          <w:szCs w:val="28"/>
          <w:lang w:val="en-US"/>
        </w:rPr>
        <w:t>Ibn Rusyd 24, 25, 26, 27, 28, 30,</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Ibn Sina 24, 26, 27, 28, 29, 35, 36,</w:t>
      </w:r>
    </w:p>
    <w:p>
      <w:pPr>
        <w:pStyle w:val="BookText"/>
        <w:bidi w:val="0"/>
        <w:jc w:val="both"/>
        <w:rPr/>
      </w:pPr>
      <w:r>
        <w:rPr>
          <w:rFonts w:eastAsia="Times New Roman" w:cs="Times New Roman" w:ascii="Times New Roman" w:hAnsi="Times New Roman"/>
          <w:color w:val="111111"/>
          <w:sz w:val="28"/>
          <w:szCs w:val="28"/>
          <w:lang w:val="en-US"/>
        </w:rPr>
        <w:t>37, 38, 48, 49, 56, 58, 59, 61,</w:t>
      </w:r>
    </w:p>
    <w:p>
      <w:pPr>
        <w:pStyle w:val="BookText"/>
        <w:bidi w:val="0"/>
        <w:jc w:val="both"/>
        <w:rPr/>
      </w:pPr>
      <w:r>
        <w:rPr>
          <w:rFonts w:eastAsia="Times New Roman" w:cs="Times New Roman" w:ascii="Times New Roman" w:hAnsi="Times New Roman"/>
          <w:color w:val="111111"/>
          <w:sz w:val="28"/>
          <w:szCs w:val="28"/>
          <w:lang w:val="en-US"/>
        </w:rPr>
        <w:t>93, 105, 109, 117, 125, 153,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157, 158, 161, 162, 194, 202, </w:t>
      </w:r>
    </w:p>
    <w:p>
      <w:pPr>
        <w:pStyle w:val="BookText"/>
        <w:bidi w:val="0"/>
        <w:rPr/>
      </w:pPr>
      <w:r>
        <w:rPr>
          <w:rFonts w:eastAsia="Times New Roman" w:cs="Times New Roman" w:ascii="Times New Roman" w:hAnsi="Times New Roman"/>
          <w:color w:val="111111"/>
          <w:sz w:val="28"/>
          <w:szCs w:val="28"/>
          <w:lang w:val="en-US"/>
        </w:rPr>
        <w:t>Khorso Panah 95</w:t>
      </w:r>
    </w:p>
    <w:p>
      <w:pPr>
        <w:pStyle w:val="BookText"/>
        <w:bidi w:val="0"/>
        <w:jc w:val="both"/>
        <w:rPr/>
      </w:pPr>
      <w:r>
        <w:rPr>
          <w:rFonts w:eastAsia="Times New Roman" w:cs="Times New Roman" w:ascii="Times New Roman" w:hAnsi="Times New Roman"/>
          <w:color w:val="111111"/>
          <w:sz w:val="28"/>
          <w:szCs w:val="28"/>
          <w:lang w:val="en-US"/>
        </w:rPr>
        <w:t>kosmogoni 119</w:t>
      </w:r>
    </w:p>
    <w:p>
      <w:pPr>
        <w:pStyle w:val="BookText"/>
        <w:bidi w:val="0"/>
        <w:jc w:val="both"/>
        <w:rPr/>
      </w:pPr>
      <w:r>
        <w:rPr>
          <w:rFonts w:eastAsia="Times New Roman" w:cs="Times New Roman" w:ascii="Times New Roman" w:hAnsi="Times New Roman"/>
          <w:color w:val="111111"/>
          <w:sz w:val="28"/>
          <w:szCs w:val="28"/>
          <w:lang w:val="en-US"/>
        </w:rPr>
        <w:t>kosmologi 149</w:t>
      </w:r>
    </w:p>
    <w:p>
      <w:pPr>
        <w:pStyle w:val="BookText"/>
        <w:bidi w:val="0"/>
        <w:jc w:val="both"/>
        <w:rPr/>
      </w:pPr>
      <w:r>
        <w:rPr>
          <w:rFonts w:eastAsia="Times New Roman" w:cs="Times New Roman" w:ascii="Times New Roman" w:hAnsi="Times New Roman"/>
          <w:color w:val="111111"/>
          <w:sz w:val="28"/>
          <w:szCs w:val="28"/>
          <w:lang w:val="en-US"/>
        </w:rPr>
        <w:t>Libanon 43</w:t>
      </w:r>
    </w:p>
    <w:p>
      <w:pPr>
        <w:pStyle w:val="BookText"/>
        <w:bidi w:val="0"/>
        <w:jc w:val="both"/>
        <w:rPr/>
      </w:pPr>
      <w:r>
        <w:rPr>
          <w:rFonts w:eastAsia="Times New Roman" w:cs="Times New Roman" w:ascii="Times New Roman" w:hAnsi="Times New Roman"/>
          <w:color w:val="111111"/>
          <w:sz w:val="28"/>
          <w:szCs w:val="28"/>
          <w:lang w:val="en-US"/>
        </w:rPr>
        <w:t>203, 266, 304, 310, 311</w:t>
      </w:r>
    </w:p>
    <w:p>
      <w:pPr>
        <w:pStyle w:val="BookText"/>
        <w:bidi w:val="0"/>
        <w:jc w:val="both"/>
        <w:rPr/>
      </w:pPr>
      <w:r>
        <w:rPr>
          <w:rFonts w:eastAsia="Times New Roman" w:cs="Times New Roman" w:ascii="Times New Roman" w:hAnsi="Times New Roman"/>
          <w:color w:val="111111"/>
          <w:sz w:val="28"/>
          <w:szCs w:val="28"/>
          <w:lang w:val="en-US"/>
        </w:rPr>
        <w:t>Immanuel Kant 131, 139, 179</w:t>
      </w:r>
    </w:p>
    <w:p>
      <w:pPr>
        <w:pStyle w:val="BookText"/>
        <w:bidi w:val="0"/>
        <w:jc w:val="both"/>
        <w:rPr/>
      </w:pPr>
      <w:r>
        <w:rPr>
          <w:rFonts w:eastAsia="Times New Roman" w:cs="Times New Roman" w:ascii="Times New Roman" w:hAnsi="Times New Roman"/>
          <w:color w:val="111111"/>
          <w:sz w:val="28"/>
          <w:szCs w:val="28"/>
          <w:lang w:val="en-US"/>
        </w:rPr>
        <w:t>Isfahan 36, 37, 41, 43, 45, 54, 55,</w:t>
      </w:r>
    </w:p>
    <w:p>
      <w:pPr>
        <w:pStyle w:val="BookText"/>
        <w:bidi w:val="0"/>
        <w:jc w:val="both"/>
        <w:rPr/>
      </w:pPr>
      <w:r>
        <w:rPr>
          <w:rFonts w:eastAsia="Times New Roman" w:cs="Times New Roman" w:ascii="Times New Roman" w:hAnsi="Times New Roman"/>
          <w:color w:val="111111"/>
          <w:sz w:val="28"/>
          <w:szCs w:val="28"/>
          <w:lang w:val="en-US"/>
        </w:rPr>
        <w:t>57, 187</w:t>
      </w:r>
    </w:p>
    <w:p>
      <w:pPr>
        <w:pStyle w:val="BookText"/>
        <w:bidi w:val="0"/>
        <w:jc w:val="both"/>
        <w:rPr/>
      </w:pPr>
      <w:r>
        <w:rPr>
          <w:rFonts w:eastAsia="Times New Roman" w:cs="Times New Roman" w:ascii="Times New Roman" w:hAnsi="Times New Roman"/>
          <w:color w:val="111111"/>
          <w:sz w:val="28"/>
          <w:szCs w:val="28"/>
          <w:lang w:val="en-US"/>
        </w:rPr>
        <w:t>Istahbanâtî 68</w:t>
      </w:r>
    </w:p>
    <w:p>
      <w:pPr>
        <w:pStyle w:val="BookText"/>
        <w:bidi w:val="0"/>
        <w:jc w:val="both"/>
        <w:rPr/>
      </w:pPr>
      <w:r>
        <w:rPr>
          <w:rFonts w:eastAsia="Times New Roman" w:cs="Times New Roman" w:ascii="Times New Roman" w:hAnsi="Times New Roman"/>
          <w:color w:val="111111"/>
          <w:sz w:val="28"/>
          <w:szCs w:val="28"/>
          <w:lang w:val="en-US"/>
        </w:rPr>
        <w:t>Iran iv, 1, 2, 9, 10, 12, 18, 22, 31,</w:t>
      </w:r>
    </w:p>
    <w:p>
      <w:pPr>
        <w:pStyle w:val="BookText"/>
        <w:bidi w:val="0"/>
        <w:jc w:val="both"/>
        <w:rPr/>
      </w:pPr>
      <w:r>
        <w:rPr>
          <w:rFonts w:eastAsia="Times New Roman" w:cs="Times New Roman" w:ascii="Times New Roman" w:hAnsi="Times New Roman"/>
          <w:color w:val="111111"/>
          <w:sz w:val="28"/>
          <w:szCs w:val="28"/>
          <w:lang w:val="en-US"/>
        </w:rPr>
        <w:t>33, 37, 39, 40, 41, 42, 43, 47,</w:t>
      </w:r>
    </w:p>
    <w:p>
      <w:pPr>
        <w:pStyle w:val="BookText"/>
        <w:bidi w:val="0"/>
        <w:jc w:val="both"/>
        <w:rPr/>
      </w:pPr>
      <w:r>
        <w:rPr>
          <w:rFonts w:eastAsia="Times New Roman" w:cs="Times New Roman" w:ascii="Times New Roman" w:hAnsi="Times New Roman"/>
          <w:color w:val="111111"/>
          <w:sz w:val="28"/>
          <w:szCs w:val="28"/>
          <w:lang w:val="en-US"/>
        </w:rPr>
        <w:t>48, 49, 52, 53, 58, 60, 63, 64,</w:t>
      </w:r>
    </w:p>
    <w:p>
      <w:pPr>
        <w:pStyle w:val="BookText"/>
        <w:bidi w:val="0"/>
        <w:jc w:val="both"/>
        <w:rPr/>
      </w:pPr>
      <w:r>
        <w:rPr>
          <w:rFonts w:eastAsia="Times New Roman" w:cs="Times New Roman" w:ascii="Times New Roman" w:hAnsi="Times New Roman"/>
          <w:color w:val="111111"/>
          <w:sz w:val="28"/>
          <w:szCs w:val="28"/>
          <w:lang w:val="en-US"/>
        </w:rPr>
        <w:t>67, 68, 77, 82, 83, 84, 85, 89,</w:t>
      </w:r>
    </w:p>
    <w:p>
      <w:pPr>
        <w:pStyle w:val="BookText"/>
        <w:bidi w:val="0"/>
        <w:jc w:val="both"/>
        <w:rPr/>
      </w:pPr>
      <w:r>
        <w:rPr>
          <w:rFonts w:eastAsia="Times New Roman" w:cs="Times New Roman" w:ascii="Times New Roman" w:hAnsi="Times New Roman"/>
          <w:color w:val="111111"/>
          <w:sz w:val="28"/>
          <w:szCs w:val="28"/>
          <w:lang w:val="en-US"/>
        </w:rPr>
        <w:t>93, 94, 95, 96, 99, 104, 105,</w:t>
      </w:r>
    </w:p>
    <w:p>
      <w:pPr>
        <w:pStyle w:val="BookText"/>
        <w:bidi w:val="0"/>
        <w:jc w:val="both"/>
        <w:rPr/>
      </w:pPr>
      <w:r>
        <w:rPr>
          <w:rFonts w:eastAsia="Times New Roman" w:cs="Times New Roman" w:ascii="Times New Roman" w:hAnsi="Times New Roman"/>
          <w:color w:val="111111"/>
          <w:sz w:val="28"/>
          <w:szCs w:val="28"/>
          <w:lang w:val="en-US"/>
        </w:rPr>
        <w:t>187, 207, 224, 322, 327,328,</w:t>
      </w:r>
    </w:p>
    <w:p>
      <w:pPr>
        <w:pStyle w:val="BookText"/>
        <w:bidi w:val="0"/>
        <w:jc w:val="both"/>
        <w:rPr/>
      </w:pP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Jalâl al-Dîn Asytiâni 27</w:t>
      </w:r>
    </w:p>
    <w:p>
      <w:pPr>
        <w:pStyle w:val="BookText"/>
        <w:bidi w:val="0"/>
        <w:jc w:val="both"/>
        <w:rPr/>
      </w:pPr>
      <w:r>
        <w:rPr>
          <w:rFonts w:eastAsia="Times New Roman" w:cs="Times New Roman" w:ascii="Times New Roman" w:hAnsi="Times New Roman"/>
          <w:color w:val="111111"/>
          <w:sz w:val="28"/>
          <w:szCs w:val="28"/>
          <w:lang w:val="en-US"/>
        </w:rPr>
        <w:t>Jamaluddin Asad-Abadi al-</w:t>
      </w:r>
    </w:p>
    <w:p>
      <w:pPr>
        <w:pStyle w:val="BookText"/>
        <w:bidi w:val="0"/>
        <w:jc w:val="both"/>
        <w:rPr/>
      </w:pPr>
      <w:r>
        <w:rPr>
          <w:rFonts w:eastAsia="Times New Roman" w:cs="Times New Roman" w:ascii="Times New Roman" w:hAnsi="Times New Roman"/>
          <w:color w:val="111111"/>
          <w:sz w:val="28"/>
          <w:szCs w:val="28"/>
          <w:lang w:val="en-US"/>
        </w:rPr>
        <w:t>Afghani 38</w:t>
      </w:r>
    </w:p>
    <w:p>
      <w:pPr>
        <w:pStyle w:val="BookText"/>
        <w:bidi w:val="0"/>
        <w:jc w:val="both"/>
        <w:rPr/>
      </w:pPr>
      <w:r>
        <w:rPr>
          <w:rFonts w:eastAsia="Times New Roman" w:cs="Times New Roman" w:ascii="Times New Roman" w:hAnsi="Times New Roman"/>
          <w:color w:val="111111"/>
          <w:sz w:val="28"/>
          <w:szCs w:val="28"/>
          <w:lang w:val="en-US"/>
        </w:rPr>
        <w:t>Jawadi Âmulî 90, 98, 101, 102,</w:t>
      </w:r>
    </w:p>
    <w:p>
      <w:pPr>
        <w:pStyle w:val="BookText"/>
        <w:bidi w:val="0"/>
        <w:jc w:val="both"/>
        <w:rPr/>
      </w:pPr>
      <w:r>
        <w:rPr>
          <w:rFonts w:eastAsia="Times New Roman" w:cs="Times New Roman" w:ascii="Times New Roman" w:hAnsi="Times New Roman"/>
          <w:color w:val="111111"/>
          <w:sz w:val="28"/>
          <w:szCs w:val="28"/>
          <w:lang w:val="en-US"/>
        </w:rPr>
        <w:t>103, 104, 106, 202, 204, 212,</w:t>
      </w:r>
    </w:p>
    <w:p>
      <w:pPr>
        <w:pStyle w:val="BookText"/>
        <w:bidi w:val="0"/>
        <w:jc w:val="both"/>
        <w:rPr/>
      </w:pPr>
      <w:r>
        <w:rPr>
          <w:rFonts w:eastAsia="Times New Roman" w:cs="Times New Roman" w:ascii="Times New Roman" w:hAnsi="Times New Roman"/>
          <w:color w:val="111111"/>
          <w:sz w:val="28"/>
          <w:szCs w:val="28"/>
          <w:lang w:val="en-US"/>
        </w:rPr>
        <w:t>213, 219, 265</w:t>
      </w:r>
    </w:p>
    <w:p>
      <w:pPr>
        <w:pStyle w:val="BookText"/>
        <w:bidi w:val="0"/>
        <w:jc w:val="both"/>
        <w:rPr/>
      </w:pPr>
      <w:r>
        <w:rPr>
          <w:rFonts w:eastAsia="Times New Roman" w:cs="Times New Roman" w:ascii="Times New Roman" w:hAnsi="Times New Roman"/>
          <w:color w:val="111111"/>
          <w:sz w:val="28"/>
          <w:szCs w:val="28"/>
          <w:lang w:val="en-US"/>
        </w:rPr>
        <w:t>John Stuart Mill 140</w:t>
      </w:r>
    </w:p>
    <w:p>
      <w:pPr>
        <w:pStyle w:val="BookText"/>
        <w:bidi w:val="0"/>
        <w:jc w:val="both"/>
        <w:rPr/>
      </w:pPr>
      <w:r>
        <w:rPr>
          <w:rFonts w:eastAsia="Times New Roman" w:cs="Times New Roman" w:ascii="Times New Roman" w:hAnsi="Times New Roman"/>
          <w:color w:val="111111"/>
          <w:sz w:val="28"/>
          <w:szCs w:val="28"/>
          <w:lang w:val="en-US"/>
        </w:rPr>
        <w:t>Josiah Royce 140</w:t>
      </w:r>
    </w:p>
    <w:p>
      <w:pPr>
        <w:pStyle w:val="BookText"/>
        <w:bidi w:val="0"/>
        <w:jc w:val="both"/>
        <w:rPr/>
      </w:pPr>
      <w:r>
        <w:rPr>
          <w:rFonts w:eastAsia="Times New Roman" w:cs="Times New Roman" w:ascii="Times New Roman" w:hAnsi="Times New Roman"/>
          <w:color w:val="111111"/>
          <w:sz w:val="28"/>
          <w:szCs w:val="28"/>
          <w:lang w:val="en-US"/>
        </w:rPr>
        <w:t>Madrasah Haqqânî 72</w:t>
      </w:r>
    </w:p>
    <w:p>
      <w:pPr>
        <w:pStyle w:val="BookText"/>
        <w:bidi w:val="0"/>
        <w:jc w:val="both"/>
        <w:rPr/>
      </w:pPr>
      <w:r>
        <w:rPr>
          <w:rFonts w:eastAsia="Times New Roman" w:cs="Times New Roman" w:ascii="Times New Roman" w:hAnsi="Times New Roman"/>
          <w:color w:val="111111"/>
          <w:sz w:val="28"/>
          <w:szCs w:val="28"/>
          <w:lang w:val="en-US"/>
        </w:rPr>
        <w:t>Madreseh Dar al-Syifa' 47</w:t>
      </w:r>
    </w:p>
    <w:p>
      <w:pPr>
        <w:pStyle w:val="BookText"/>
        <w:bidi w:val="0"/>
        <w:jc w:val="both"/>
        <w:rPr/>
      </w:pPr>
      <w:r>
        <w:rPr>
          <w:rFonts w:eastAsia="Times New Roman" w:cs="Times New Roman" w:ascii="Times New Roman" w:hAnsi="Times New Roman"/>
          <w:color w:val="111111"/>
          <w:sz w:val="28"/>
          <w:szCs w:val="28"/>
          <w:lang w:val="en-US"/>
        </w:rPr>
        <w:t>Madreseh Faizhiyeh 47</w:t>
      </w:r>
    </w:p>
    <w:p>
      <w:pPr>
        <w:pStyle w:val="BookText"/>
        <w:bidi w:val="0"/>
        <w:jc w:val="both"/>
        <w:rPr/>
      </w:pPr>
      <w:r>
        <w:rPr>
          <w:rFonts w:eastAsia="Times New Roman" w:cs="Times New Roman" w:ascii="Times New Roman" w:hAnsi="Times New Roman"/>
          <w:color w:val="111111"/>
          <w:sz w:val="28"/>
          <w:szCs w:val="28"/>
          <w:lang w:val="en-US"/>
        </w:rPr>
        <w:t>Madreseh Hojjatiyeh 47</w:t>
      </w:r>
    </w:p>
    <w:p>
      <w:pPr>
        <w:pStyle w:val="BookText"/>
        <w:bidi w:val="0"/>
        <w:jc w:val="both"/>
        <w:rPr/>
      </w:pPr>
      <w:r>
        <w:rPr>
          <w:rFonts w:eastAsia="Times New Roman" w:cs="Times New Roman" w:ascii="Times New Roman" w:hAnsi="Times New Roman"/>
          <w:color w:val="111111"/>
          <w:sz w:val="28"/>
          <w:szCs w:val="28"/>
          <w:lang w:val="en-US"/>
        </w:rPr>
        <w:t>Mahmoud Ahmadinejad 89</w:t>
      </w:r>
    </w:p>
    <w:p>
      <w:pPr>
        <w:pStyle w:val="BookText"/>
        <w:bidi w:val="0"/>
        <w:jc w:val="both"/>
        <w:rPr/>
      </w:pPr>
      <w:r>
        <w:rPr>
          <w:rFonts w:eastAsia="Times New Roman" w:cs="Times New Roman" w:ascii="Times New Roman" w:hAnsi="Times New Roman"/>
          <w:color w:val="111111"/>
          <w:sz w:val="28"/>
          <w:szCs w:val="28"/>
          <w:lang w:val="en-US"/>
        </w:rPr>
        <w:t>Mahmud Rajabi 74, 75, 85, 95</w:t>
      </w:r>
    </w:p>
    <w:p>
      <w:pPr>
        <w:pStyle w:val="BookText"/>
        <w:bidi w:val="0"/>
        <w:jc w:val="both"/>
        <w:rPr/>
      </w:pPr>
      <w:r>
        <w:rPr>
          <w:rFonts w:eastAsia="Times New Roman" w:cs="Times New Roman" w:ascii="Times New Roman" w:hAnsi="Times New Roman"/>
          <w:color w:val="111111"/>
          <w:sz w:val="28"/>
          <w:szCs w:val="28"/>
          <w:lang w:val="en-US"/>
        </w:rPr>
        <w:t>Mahmud Syahrudî 68</w:t>
      </w:r>
    </w:p>
    <w:p>
      <w:pPr>
        <w:pStyle w:val="BookText"/>
        <w:bidi w:val="0"/>
        <w:jc w:val="both"/>
        <w:rPr/>
      </w:pPr>
      <w:r>
        <w:rPr>
          <w:rFonts w:eastAsia="Times New Roman" w:cs="Times New Roman" w:ascii="Times New Roman" w:hAnsi="Times New Roman"/>
          <w:color w:val="111111"/>
          <w:sz w:val="28"/>
          <w:szCs w:val="28"/>
          <w:lang w:val="en-US"/>
        </w:rPr>
        <w:t>Martin Heidegger 141, 146</w:t>
      </w:r>
    </w:p>
    <w:p>
      <w:pPr>
        <w:pStyle w:val="BookText"/>
        <w:bidi w:val="0"/>
        <w:jc w:val="both"/>
        <w:rPr/>
      </w:pPr>
      <w:r>
        <w:rPr>
          <w:rFonts w:eastAsia="Times New Roman" w:cs="Times New Roman" w:ascii="Times New Roman" w:hAnsi="Times New Roman"/>
          <w:color w:val="111111"/>
          <w:sz w:val="28"/>
          <w:szCs w:val="28"/>
          <w:lang w:val="en-US"/>
        </w:rPr>
        <w:t>Marxisme 58, 77, 97, 99, 105,</w:t>
      </w:r>
    </w:p>
    <w:p>
      <w:pPr>
        <w:pStyle w:val="BookText"/>
        <w:bidi w:val="0"/>
        <w:jc w:val="both"/>
        <w:rPr/>
      </w:pPr>
      <w:r>
        <w:rPr>
          <w:rFonts w:eastAsia="Times New Roman" w:cs="Times New Roman" w:ascii="Times New Roman" w:hAnsi="Times New Roman"/>
          <w:color w:val="111111"/>
          <w:sz w:val="28"/>
          <w:szCs w:val="28"/>
          <w:lang w:val="en-US"/>
        </w:rPr>
        <w:t>142, 313</w:t>
      </w:r>
    </w:p>
    <w:p>
      <w:pPr>
        <w:pStyle w:val="BookText"/>
        <w:bidi w:val="0"/>
        <w:jc w:val="both"/>
        <w:rPr/>
      </w:pPr>
      <w:r>
        <w:rPr>
          <w:rFonts w:eastAsia="Times New Roman" w:cs="Times New Roman" w:ascii="Times New Roman" w:hAnsi="Times New Roman"/>
          <w:color w:val="111111"/>
          <w:sz w:val="28"/>
          <w:szCs w:val="28"/>
          <w:lang w:val="en-US"/>
        </w:rPr>
        <w:t>Mehdi Haeʼri Yazdi 53, 97, 154</w:t>
      </w:r>
    </w:p>
    <w:p>
      <w:pPr>
        <w:pStyle w:val="BookText"/>
        <w:bidi w:val="0"/>
        <w:jc w:val="both"/>
        <w:rPr/>
      </w:pPr>
      <w:r>
        <w:rPr>
          <w:rFonts w:eastAsia="Times New Roman" w:cs="Times New Roman" w:ascii="Times New Roman" w:hAnsi="Times New Roman"/>
          <w:color w:val="111111"/>
          <w:sz w:val="28"/>
          <w:szCs w:val="28"/>
          <w:lang w:val="en-US"/>
        </w:rPr>
        <w:t>Mehdi Ilahi Qomsyeh'i 38</w:t>
      </w:r>
    </w:p>
    <w:p>
      <w:pPr>
        <w:pStyle w:val="BookText"/>
        <w:bidi w:val="0"/>
        <w:jc w:val="both"/>
        <w:rPr/>
      </w:pPr>
      <w:r>
        <w:rPr>
          <w:rFonts w:eastAsia="Times New Roman" w:cs="Times New Roman" w:ascii="Times New Roman" w:hAnsi="Times New Roman"/>
          <w:color w:val="111111"/>
          <w:sz w:val="28"/>
          <w:szCs w:val="28"/>
          <w:lang w:val="en-US"/>
        </w:rPr>
        <w:t>Metafisika 60, 113, 115, 116, 189,</w:t>
      </w:r>
    </w:p>
    <w:p>
      <w:pPr>
        <w:pStyle w:val="BookText"/>
        <w:bidi w:val="0"/>
        <w:jc w:val="both"/>
        <w:rPr/>
      </w:pPr>
      <w:r>
        <w:rPr>
          <w:rFonts w:eastAsia="Times New Roman" w:cs="Times New Roman" w:ascii="Times New Roman" w:hAnsi="Times New Roman"/>
          <w:color w:val="111111"/>
          <w:sz w:val="28"/>
          <w:szCs w:val="28"/>
          <w:lang w:val="en-US"/>
        </w:rPr>
        <w:t>195, 325</w:t>
      </w:r>
    </w:p>
    <w:p>
      <w:pPr>
        <w:pStyle w:val="BookText"/>
        <w:bidi w:val="0"/>
        <w:jc w:val="both"/>
        <w:rPr/>
      </w:pPr>
      <w:r>
        <w:rPr>
          <w:rFonts w:eastAsia="Times New Roman" w:cs="Times New Roman" w:ascii="Times New Roman" w:hAnsi="Times New Roman"/>
          <w:color w:val="111111"/>
          <w:sz w:val="28"/>
          <w:szCs w:val="28"/>
          <w:lang w:val="en-US"/>
        </w:rPr>
        <w:t>Michael Scot 26</w:t>
      </w:r>
    </w:p>
    <w:p>
      <w:pPr>
        <w:pStyle w:val="BookText"/>
        <w:bidi w:val="0"/>
        <w:jc w:val="both"/>
        <w:rPr/>
      </w:pPr>
      <w:r>
        <w:rPr>
          <w:rFonts w:eastAsia="Times New Roman" w:cs="Times New Roman" w:ascii="Times New Roman" w:hAnsi="Times New Roman"/>
          <w:color w:val="111111"/>
          <w:sz w:val="28"/>
          <w:szCs w:val="28"/>
          <w:lang w:val="en-US"/>
        </w:rPr>
        <w:t>Mineralogi 339</w:t>
      </w:r>
    </w:p>
    <w:p>
      <w:pPr>
        <w:pStyle w:val="BookText"/>
        <w:bidi w:val="0"/>
        <w:jc w:val="both"/>
        <w:rPr/>
      </w:pPr>
      <w:r>
        <w:rPr>
          <w:rFonts w:eastAsia="Times New Roman" w:cs="Times New Roman" w:ascii="Times New Roman" w:hAnsi="Times New Roman"/>
          <w:color w:val="111111"/>
          <w:sz w:val="28"/>
          <w:szCs w:val="28"/>
          <w:lang w:val="en-US"/>
        </w:rPr>
        <w:t>Mîr Sepâh 16</w:t>
      </w:r>
    </w:p>
    <w:p>
      <w:pPr>
        <w:pStyle w:val="BookText"/>
        <w:bidi w:val="0"/>
        <w:jc w:val="both"/>
        <w:rPr/>
      </w:pPr>
      <w:r>
        <w:rPr>
          <w:rFonts w:eastAsia="Times New Roman" w:cs="Times New Roman" w:ascii="Times New Roman" w:hAnsi="Times New Roman"/>
          <w:color w:val="111111"/>
          <w:sz w:val="28"/>
          <w:szCs w:val="28"/>
          <w:lang w:val="en-US"/>
        </w:rPr>
        <w:t>Mirza Abu al-Qasim 45</w:t>
      </w:r>
    </w:p>
    <w:p>
      <w:pPr>
        <w:pStyle w:val="BookText"/>
        <w:bidi w:val="0"/>
        <w:jc w:val="both"/>
        <w:rPr/>
      </w:pPr>
      <w:r>
        <w:rPr>
          <w:rFonts w:eastAsia="Times New Roman" w:cs="Times New Roman" w:ascii="Times New Roman" w:hAnsi="Times New Roman"/>
          <w:color w:val="111111"/>
          <w:sz w:val="28"/>
          <w:szCs w:val="28"/>
          <w:lang w:val="en-US"/>
        </w:rPr>
        <w:t>Mirza Abu Thalib Qommi 45</w:t>
      </w:r>
    </w:p>
    <w:p>
      <w:pPr>
        <w:pStyle w:val="BookText"/>
        <w:bidi w:val="0"/>
        <w:jc w:val="both"/>
        <w:rPr/>
      </w:pPr>
      <w:r>
        <w:rPr>
          <w:rFonts w:eastAsia="Times New Roman" w:cs="Times New Roman" w:ascii="Times New Roman" w:hAnsi="Times New Roman"/>
          <w:color w:val="111111"/>
          <w:sz w:val="28"/>
          <w:szCs w:val="28"/>
          <w:lang w:val="en-US"/>
        </w:rPr>
        <w:t>Mirza Ahmad Mujtahid</w:t>
      </w:r>
    </w:p>
    <w:p>
      <w:pPr>
        <w:pStyle w:val="BookText"/>
        <w:bidi w:val="0"/>
        <w:jc w:val="both"/>
        <w:rPr/>
      </w:pPr>
      <w:r>
        <w:rPr>
          <w:rFonts w:eastAsia="Times New Roman" w:cs="Times New Roman" w:ascii="Times New Roman" w:hAnsi="Times New Roman"/>
          <w:color w:val="111111"/>
          <w:sz w:val="28"/>
          <w:szCs w:val="28"/>
          <w:lang w:val="en-US"/>
        </w:rPr>
        <w:t>Khunsari 94</w:t>
      </w:r>
    </w:p>
    <w:p>
      <w:pPr>
        <w:pStyle w:val="BookText"/>
        <w:bidi w:val="0"/>
        <w:jc w:val="both"/>
        <w:rPr/>
      </w:pPr>
      <w:r>
        <w:rPr>
          <w:rFonts w:eastAsia="Times New Roman" w:cs="Times New Roman" w:ascii="Times New Roman" w:hAnsi="Times New Roman"/>
          <w:color w:val="111111"/>
          <w:sz w:val="28"/>
          <w:szCs w:val="28"/>
          <w:lang w:val="en-US"/>
        </w:rPr>
        <w:t>Mirza Ali Aqa Shirazi Isfahani</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Mirza Hasan 38</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Kai Khusraw 33</w:t>
      </w:r>
    </w:p>
    <w:p>
      <w:pPr>
        <w:pStyle w:val="BookText"/>
        <w:bidi w:val="0"/>
        <w:jc w:val="both"/>
        <w:rPr/>
      </w:pPr>
      <w:r>
        <w:rPr>
          <w:rFonts w:eastAsia="Times New Roman" w:cs="Times New Roman" w:ascii="Times New Roman" w:hAnsi="Times New Roman"/>
          <w:color w:val="111111"/>
          <w:sz w:val="28"/>
          <w:szCs w:val="28"/>
          <w:lang w:val="en-US"/>
        </w:rPr>
        <w:t>Kamal Haydari 197</w:t>
      </w:r>
    </w:p>
    <w:p>
      <w:pPr>
        <w:pStyle w:val="BookText"/>
        <w:bidi w:val="0"/>
        <w:jc w:val="both"/>
        <w:rPr/>
      </w:pPr>
      <w:r>
        <w:rPr>
          <w:rFonts w:eastAsia="Times New Roman" w:cs="Times New Roman" w:ascii="Times New Roman" w:hAnsi="Times New Roman"/>
          <w:color w:val="111111"/>
          <w:sz w:val="28"/>
          <w:szCs w:val="28"/>
          <w:lang w:val="en-US"/>
        </w:rPr>
        <w:t>Karbala 37, 38, 39, 41, 44, 47, 54,</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Kayumarth 33</w:t>
      </w:r>
    </w:p>
    <w:p>
      <w:pPr>
        <w:pStyle w:val="BookText"/>
        <w:bidi w:val="0"/>
        <w:jc w:val="both"/>
        <w:rPr/>
      </w:pPr>
      <w:r>
        <w:rPr>
          <w:rFonts w:eastAsia="Times New Roman" w:cs="Times New Roman" w:ascii="Times New Roman" w:hAnsi="Times New Roman"/>
          <w:color w:val="111111"/>
          <w:sz w:val="28"/>
          <w:szCs w:val="28"/>
          <w:lang w:val="en-US"/>
        </w:rPr>
        <w:t>Khâjeh Nashîr al-Din Thûsi 338</w:t>
      </w:r>
    </w:p>
    <w:p>
      <w:pPr>
        <w:pStyle w:val="BookText"/>
        <w:bidi w:val="0"/>
        <w:jc w:val="both"/>
        <w:rPr/>
      </w:pPr>
      <w:r>
        <w:rPr>
          <w:rFonts w:eastAsia="Times New Roman" w:cs="Times New Roman" w:ascii="Times New Roman" w:hAnsi="Times New Roman"/>
          <w:color w:val="111111"/>
          <w:sz w:val="28"/>
          <w:szCs w:val="28"/>
          <w:lang w:val="en-US"/>
        </w:rPr>
        <w:t>Khalid Barqi 44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Khansari 45, 48 </w:t>
      </w:r>
    </w:p>
    <w:p>
      <w:pPr>
        <w:pStyle w:val="BookText"/>
        <w:bidi w:val="0"/>
        <w:rPr/>
      </w:pPr>
      <w:r>
        <w:rPr>
          <w:rFonts w:eastAsia="Times New Roman" w:cs="Times New Roman" w:ascii="Times New Roman" w:hAnsi="Times New Roman"/>
          <w:color w:val="111111"/>
          <w:sz w:val="28"/>
          <w:szCs w:val="28"/>
          <w:lang w:val="en-US"/>
        </w:rPr>
        <w:t>Mirza Hosain Na ini 47</w:t>
      </w:r>
    </w:p>
    <w:p>
      <w:pPr>
        <w:pStyle w:val="BookText"/>
        <w:bidi w:val="0"/>
        <w:jc w:val="both"/>
        <w:rPr/>
      </w:pPr>
      <w:r>
        <w:rPr>
          <w:rFonts w:eastAsia="Times New Roman" w:cs="Times New Roman" w:ascii="Times New Roman" w:hAnsi="Times New Roman"/>
          <w:color w:val="111111"/>
          <w:sz w:val="28"/>
          <w:szCs w:val="28"/>
          <w:lang w:val="en-US"/>
        </w:rPr>
        <w:t>Muhammad Mahdi Khansari 45</w:t>
      </w:r>
    </w:p>
    <w:p>
      <w:pPr>
        <w:pStyle w:val="BookText"/>
        <w:bidi w:val="0"/>
        <w:jc w:val="both"/>
        <w:rPr/>
      </w:pPr>
      <w:r>
        <w:rPr>
          <w:rFonts w:eastAsia="Times New Roman" w:cs="Times New Roman" w:ascii="Times New Roman" w:hAnsi="Times New Roman"/>
          <w:color w:val="111111"/>
          <w:sz w:val="28"/>
          <w:szCs w:val="28"/>
          <w:lang w:val="en-US"/>
        </w:rPr>
        <w:t>Mirza Mahmud Qommi 51 Muhammad Qomsyeh'î 37</w:t>
      </w:r>
    </w:p>
    <w:p>
      <w:pPr>
        <w:pStyle w:val="BookText"/>
        <w:bidi w:val="0"/>
        <w:jc w:val="both"/>
        <w:rPr/>
      </w:pPr>
      <w:r>
        <w:rPr>
          <w:rFonts w:eastAsia="Times New Roman" w:cs="Times New Roman" w:ascii="Times New Roman" w:hAnsi="Times New Roman"/>
          <w:color w:val="111111"/>
          <w:sz w:val="28"/>
          <w:szCs w:val="28"/>
          <w:lang w:val="en-US"/>
        </w:rPr>
        <w:t>Mirza Mohsen Kermansyahi 51 Muhammad Reza Golpaigani</w:t>
      </w:r>
    </w:p>
    <w:p>
      <w:pPr>
        <w:pStyle w:val="BookText"/>
        <w:bidi w:val="0"/>
        <w:jc w:val="both"/>
        <w:rPr/>
      </w:pPr>
      <w:r>
        <w:rPr>
          <w:rFonts w:eastAsia="Times New Roman" w:cs="Times New Roman" w:ascii="Times New Roman" w:hAnsi="Times New Roman"/>
          <w:color w:val="111111"/>
          <w:sz w:val="28"/>
          <w:szCs w:val="28"/>
          <w:lang w:val="en-US"/>
        </w:rPr>
        <w:t>Mirza Qommi 37, 44</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Modarres Zonûzî 37</w:t>
      </w:r>
    </w:p>
    <w:p>
      <w:pPr>
        <w:pStyle w:val="BookText"/>
        <w:bidi w:val="0"/>
        <w:jc w:val="both"/>
        <w:rPr/>
      </w:pPr>
      <w:r>
        <w:rPr>
          <w:rFonts w:eastAsia="Times New Roman" w:cs="Times New Roman" w:ascii="Times New Roman" w:hAnsi="Times New Roman"/>
          <w:color w:val="111111"/>
          <w:sz w:val="28"/>
          <w:szCs w:val="28"/>
          <w:lang w:val="en-US"/>
        </w:rPr>
        <w:t>Muhammad Ridha Yazdi 39</w:t>
      </w:r>
    </w:p>
    <w:p>
      <w:pPr>
        <w:pStyle w:val="BookText"/>
        <w:bidi w:val="0"/>
        <w:jc w:val="both"/>
        <w:rPr/>
      </w:pPr>
      <w:r>
        <w:rPr>
          <w:rFonts w:eastAsia="Times New Roman" w:cs="Times New Roman" w:ascii="Times New Roman" w:hAnsi="Times New Roman"/>
          <w:color w:val="111111"/>
          <w:sz w:val="28"/>
          <w:szCs w:val="28"/>
          <w:lang w:val="en-US"/>
        </w:rPr>
        <w:t>Mohammad Legenhausen 16 Muhammad Taqî Mishbâh</w:t>
      </w:r>
    </w:p>
    <w:p>
      <w:pPr>
        <w:pStyle w:val="BookText"/>
        <w:bidi w:val="0"/>
        <w:jc w:val="both"/>
        <w:rPr/>
      </w:pPr>
      <w:r>
        <w:rPr>
          <w:rFonts w:eastAsia="Times New Roman" w:cs="Times New Roman" w:ascii="Times New Roman" w:hAnsi="Times New Roman"/>
          <w:color w:val="111111"/>
          <w:sz w:val="28"/>
          <w:szCs w:val="28"/>
          <w:lang w:val="en-US"/>
        </w:rPr>
        <w:t>Mohammad Taqi Fa'âli 16</w:t>
      </w:r>
    </w:p>
    <w:p>
      <w:pPr>
        <w:pStyle w:val="BookText"/>
        <w:bidi w:val="0"/>
        <w:jc w:val="both"/>
        <w:rPr/>
      </w:pPr>
      <w:r>
        <w:rPr>
          <w:rFonts w:eastAsia="Times New Roman" w:cs="Times New Roman" w:ascii="Times New Roman" w:hAnsi="Times New Roman"/>
          <w:color w:val="111111"/>
          <w:sz w:val="28"/>
          <w:szCs w:val="28"/>
          <w:lang w:val="en-US"/>
        </w:rPr>
        <w:t>Yazdî 1, 3, 4, 5, 6, 9, 10,</w:t>
      </w:r>
    </w:p>
    <w:p>
      <w:pPr>
        <w:pStyle w:val="BookText"/>
        <w:bidi w:val="0"/>
        <w:jc w:val="both"/>
        <w:rPr/>
      </w:pPr>
      <w:r>
        <w:rPr>
          <w:rFonts w:eastAsia="Times New Roman" w:cs="Times New Roman" w:ascii="Times New Roman" w:hAnsi="Times New Roman"/>
          <w:color w:val="111111"/>
          <w:sz w:val="28"/>
          <w:szCs w:val="28"/>
          <w:lang w:val="en-US"/>
        </w:rPr>
        <w:t>Mohammad Taqi Islami 14</w:t>
      </w:r>
    </w:p>
    <w:p>
      <w:pPr>
        <w:pStyle w:val="BookText"/>
        <w:bidi w:val="0"/>
        <w:jc w:val="both"/>
        <w:rPr/>
      </w:pPr>
      <w:r>
        <w:rPr>
          <w:rFonts w:eastAsia="Times New Roman" w:cs="Times New Roman" w:ascii="Times New Roman" w:hAnsi="Times New Roman"/>
          <w:color w:val="111111"/>
          <w:sz w:val="28"/>
          <w:szCs w:val="28"/>
          <w:lang w:val="en-US"/>
        </w:rPr>
        <w:t>11, 12, 13, 14, 15, 16, 17, 18,</w:t>
      </w:r>
    </w:p>
    <w:p>
      <w:pPr>
        <w:pStyle w:val="BookText"/>
        <w:bidi w:val="0"/>
        <w:jc w:val="both"/>
        <w:rPr/>
      </w:pPr>
      <w:r>
        <w:rPr>
          <w:rFonts w:eastAsia="Times New Roman" w:cs="Times New Roman" w:ascii="Times New Roman" w:hAnsi="Times New Roman"/>
          <w:color w:val="111111"/>
          <w:sz w:val="28"/>
          <w:szCs w:val="28"/>
          <w:lang w:val="en-US"/>
        </w:rPr>
        <w:t>Mongol 42,51</w:t>
      </w:r>
    </w:p>
    <w:p>
      <w:pPr>
        <w:pStyle w:val="BookText"/>
        <w:bidi w:val="0"/>
        <w:jc w:val="both"/>
        <w:rPr/>
      </w:pPr>
      <w:r>
        <w:rPr>
          <w:rFonts w:eastAsia="Times New Roman" w:cs="Times New Roman" w:ascii="Times New Roman" w:hAnsi="Times New Roman"/>
          <w:color w:val="111111"/>
          <w:sz w:val="28"/>
          <w:szCs w:val="28"/>
          <w:lang w:val="en-US"/>
        </w:rPr>
        <w:t>19, 33, 60, 61, 62, 63, 64, 65,</w:t>
      </w:r>
    </w:p>
    <w:p>
      <w:pPr>
        <w:pStyle w:val="BookText"/>
        <w:bidi w:val="0"/>
        <w:jc w:val="both"/>
        <w:rPr/>
      </w:pPr>
      <w:r>
        <w:rPr>
          <w:rFonts w:eastAsia="Times New Roman" w:cs="Times New Roman" w:ascii="Times New Roman" w:hAnsi="Times New Roman"/>
          <w:color w:val="111111"/>
          <w:sz w:val="28"/>
          <w:szCs w:val="28"/>
          <w:lang w:val="en-US"/>
        </w:rPr>
        <w:t>Montaque atas Royce 141</w:t>
      </w:r>
    </w:p>
    <w:p>
      <w:pPr>
        <w:pStyle w:val="BookText"/>
        <w:bidi w:val="0"/>
        <w:jc w:val="both"/>
        <w:rPr/>
      </w:pPr>
      <w:r>
        <w:rPr>
          <w:rFonts w:eastAsia="Times New Roman" w:cs="Times New Roman" w:ascii="Times New Roman" w:hAnsi="Times New Roman"/>
          <w:color w:val="111111"/>
          <w:sz w:val="28"/>
          <w:szCs w:val="28"/>
          <w:lang w:val="en-US"/>
        </w:rPr>
        <w:t>66, 67, 68, 69, 70, 71, 72, 73,</w:t>
      </w:r>
    </w:p>
    <w:p>
      <w:pPr>
        <w:pStyle w:val="BookText"/>
        <w:bidi w:val="0"/>
        <w:jc w:val="both"/>
        <w:rPr/>
      </w:pPr>
      <w:r>
        <w:rPr>
          <w:rFonts w:eastAsia="Times New Roman" w:cs="Times New Roman" w:ascii="Times New Roman" w:hAnsi="Times New Roman"/>
          <w:color w:val="111111"/>
          <w:sz w:val="28"/>
          <w:szCs w:val="28"/>
          <w:lang w:val="en-US"/>
        </w:rPr>
        <w:t>Mua ssis 46</w:t>
      </w:r>
    </w:p>
    <w:p>
      <w:pPr>
        <w:pStyle w:val="BookText"/>
        <w:bidi w:val="0"/>
        <w:jc w:val="both"/>
        <w:rPr/>
      </w:pPr>
      <w:r>
        <w:rPr>
          <w:rFonts w:eastAsia="Times New Roman" w:cs="Times New Roman" w:ascii="Times New Roman" w:hAnsi="Times New Roman"/>
          <w:color w:val="111111"/>
          <w:sz w:val="28"/>
          <w:szCs w:val="28"/>
          <w:lang w:val="en-US"/>
        </w:rPr>
        <w:t>75, 76, 77, 78, 79, 80, 81, 82,</w:t>
      </w:r>
    </w:p>
    <w:p>
      <w:pPr>
        <w:pStyle w:val="BookText"/>
        <w:bidi w:val="0"/>
        <w:jc w:val="both"/>
        <w:rPr/>
      </w:pPr>
      <w:r>
        <w:rPr>
          <w:rFonts w:eastAsia="Times New Roman" w:cs="Times New Roman" w:ascii="Times New Roman" w:hAnsi="Times New Roman"/>
          <w:color w:val="111111"/>
          <w:sz w:val="28"/>
          <w:szCs w:val="28"/>
          <w:lang w:val="en-US"/>
        </w:rPr>
        <w:t>Muhamad Bâqir Shadr 73</w:t>
      </w:r>
    </w:p>
    <w:p>
      <w:pPr>
        <w:pStyle w:val="BookText"/>
        <w:bidi w:val="0"/>
        <w:jc w:val="both"/>
        <w:rPr/>
      </w:pPr>
      <w:r>
        <w:rPr>
          <w:rFonts w:eastAsia="Times New Roman" w:cs="Times New Roman" w:ascii="Times New Roman" w:hAnsi="Times New Roman"/>
          <w:color w:val="111111"/>
          <w:sz w:val="28"/>
          <w:szCs w:val="28"/>
          <w:lang w:val="en-US"/>
        </w:rPr>
        <w:t>83, 84, 85, 86, 87, 88, 89, 90,</w:t>
      </w:r>
    </w:p>
    <w:p>
      <w:pPr>
        <w:pStyle w:val="BookText"/>
        <w:bidi w:val="0"/>
        <w:jc w:val="both"/>
        <w:rPr/>
      </w:pPr>
      <w:r>
        <w:rPr>
          <w:rFonts w:eastAsia="Times New Roman" w:cs="Times New Roman" w:ascii="Times New Roman" w:hAnsi="Times New Roman"/>
          <w:color w:val="111111"/>
          <w:sz w:val="28"/>
          <w:szCs w:val="28"/>
          <w:lang w:val="en-US"/>
        </w:rPr>
        <w:t>Muhammad `Alî Hizar Jaribi 45 91, 92, 93, 94, 95, 96, 97, 98,</w:t>
      </w:r>
    </w:p>
    <w:p>
      <w:pPr>
        <w:pStyle w:val="BookText"/>
        <w:bidi w:val="0"/>
        <w:jc w:val="both"/>
        <w:rPr/>
      </w:pPr>
      <w:r>
        <w:rPr>
          <w:rFonts w:eastAsia="Times New Roman" w:cs="Times New Roman" w:ascii="Times New Roman" w:hAnsi="Times New Roman"/>
          <w:color w:val="111111"/>
          <w:sz w:val="28"/>
          <w:szCs w:val="28"/>
          <w:lang w:val="en-US"/>
        </w:rPr>
        <w:t>Muhammad `Ali Nahwî 66</w:t>
      </w:r>
    </w:p>
    <w:p>
      <w:pPr>
        <w:pStyle w:val="BookText"/>
        <w:bidi w:val="0"/>
        <w:jc w:val="both"/>
        <w:rPr/>
      </w:pPr>
      <w:r>
        <w:rPr>
          <w:rFonts w:eastAsia="Times New Roman" w:cs="Times New Roman" w:ascii="Times New Roman" w:hAnsi="Times New Roman"/>
          <w:color w:val="111111"/>
          <w:sz w:val="28"/>
          <w:szCs w:val="28"/>
          <w:lang w:val="en-US"/>
        </w:rPr>
        <w:t>100, 101, 102, 103, 104, 105,</w:t>
      </w:r>
    </w:p>
    <w:p>
      <w:pPr>
        <w:pStyle w:val="BookText"/>
        <w:bidi w:val="0"/>
        <w:jc w:val="both"/>
        <w:rPr/>
      </w:pPr>
      <w:r>
        <w:rPr>
          <w:rFonts w:eastAsia="Times New Roman" w:cs="Times New Roman" w:ascii="Times New Roman" w:hAnsi="Times New Roman"/>
          <w:color w:val="111111"/>
          <w:sz w:val="28"/>
          <w:szCs w:val="28"/>
          <w:lang w:val="en-US"/>
        </w:rPr>
        <w:t>Muhammad Ali Nûrî 66</w:t>
      </w:r>
    </w:p>
    <w:p>
      <w:pPr>
        <w:pStyle w:val="BookText"/>
        <w:bidi w:val="0"/>
        <w:jc w:val="both"/>
        <w:rPr/>
      </w:pPr>
      <w:r>
        <w:rPr>
          <w:rFonts w:eastAsia="Times New Roman" w:cs="Times New Roman" w:ascii="Times New Roman" w:hAnsi="Times New Roman"/>
          <w:color w:val="111111"/>
          <w:sz w:val="28"/>
          <w:szCs w:val="28"/>
          <w:lang w:val="en-US"/>
        </w:rPr>
        <w:t>106, 107, 111, 112, 114, 116,</w:t>
      </w:r>
    </w:p>
    <w:p>
      <w:pPr>
        <w:pStyle w:val="BookText"/>
        <w:bidi w:val="0"/>
        <w:jc w:val="both"/>
        <w:rPr/>
      </w:pPr>
      <w:r>
        <w:rPr>
          <w:rFonts w:eastAsia="Times New Roman" w:cs="Times New Roman" w:ascii="Times New Roman" w:hAnsi="Times New Roman"/>
          <w:color w:val="111111"/>
          <w:sz w:val="28"/>
          <w:szCs w:val="28"/>
          <w:lang w:val="en-US"/>
        </w:rPr>
        <w:t>Muhammad Ali Sarabî 68</w:t>
      </w:r>
    </w:p>
    <w:p>
      <w:pPr>
        <w:pStyle w:val="BookText"/>
        <w:bidi w:val="0"/>
        <w:jc w:val="both"/>
        <w:rPr/>
      </w:pPr>
      <w:r>
        <w:rPr>
          <w:rFonts w:eastAsia="Times New Roman" w:cs="Times New Roman" w:ascii="Times New Roman" w:hAnsi="Times New Roman"/>
          <w:color w:val="111111"/>
          <w:sz w:val="28"/>
          <w:szCs w:val="28"/>
          <w:lang w:val="en-US"/>
        </w:rPr>
        <w:t>117, 118, 119, 123, 124, 130,</w:t>
      </w:r>
    </w:p>
    <w:p>
      <w:pPr>
        <w:pStyle w:val="BookText"/>
        <w:bidi w:val="0"/>
        <w:jc w:val="both"/>
        <w:rPr/>
      </w:pPr>
      <w:r>
        <w:rPr>
          <w:rFonts w:eastAsia="Times New Roman" w:cs="Times New Roman" w:ascii="Times New Roman" w:hAnsi="Times New Roman"/>
          <w:color w:val="111111"/>
          <w:sz w:val="28"/>
          <w:szCs w:val="28"/>
          <w:lang w:val="en-US"/>
        </w:rPr>
        <w:t>Muhammad Baqir Istahbanâti</w:t>
      </w:r>
    </w:p>
    <w:p>
      <w:pPr>
        <w:pStyle w:val="BookText"/>
        <w:bidi w:val="0"/>
        <w:jc w:val="both"/>
        <w:rPr/>
      </w:pPr>
      <w:r>
        <w:rPr>
          <w:rFonts w:eastAsia="Times New Roman" w:cs="Times New Roman" w:ascii="Times New Roman" w:hAnsi="Times New Roman"/>
          <w:color w:val="111111"/>
          <w:sz w:val="28"/>
          <w:szCs w:val="28"/>
          <w:lang w:val="en-US"/>
        </w:rPr>
        <w:t>131, 133, 134, 135, 137, 142,</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143, 145, 146, 147, 148, 149,</w:t>
      </w:r>
    </w:p>
    <w:p>
      <w:pPr>
        <w:pStyle w:val="BookText"/>
        <w:bidi w:val="0"/>
        <w:jc w:val="both"/>
        <w:rPr/>
      </w:pPr>
      <w:r>
        <w:rPr>
          <w:rFonts w:eastAsia="Times New Roman" w:cs="Times New Roman" w:ascii="Times New Roman" w:hAnsi="Times New Roman"/>
          <w:color w:val="111111"/>
          <w:sz w:val="28"/>
          <w:szCs w:val="28"/>
          <w:lang w:val="en-US"/>
        </w:rPr>
        <w:t>Muhammad Gîlanî 84</w:t>
      </w:r>
    </w:p>
    <w:p>
      <w:pPr>
        <w:pStyle w:val="BookText"/>
        <w:bidi w:val="0"/>
        <w:jc w:val="both"/>
        <w:rPr/>
      </w:pPr>
      <w:r>
        <w:rPr>
          <w:rFonts w:eastAsia="Times New Roman" w:cs="Times New Roman" w:ascii="Times New Roman" w:hAnsi="Times New Roman"/>
          <w:color w:val="111111"/>
          <w:sz w:val="28"/>
          <w:szCs w:val="28"/>
          <w:lang w:val="en-US"/>
        </w:rPr>
        <w:t>150, 151, 152, 153, 154, 155,</w:t>
      </w:r>
    </w:p>
    <w:p>
      <w:pPr>
        <w:pStyle w:val="BookText"/>
        <w:bidi w:val="0"/>
        <w:jc w:val="both"/>
        <w:rPr/>
      </w:pPr>
      <w:r>
        <w:rPr>
          <w:rFonts w:eastAsia="Times New Roman" w:cs="Times New Roman" w:ascii="Times New Roman" w:hAnsi="Times New Roman"/>
          <w:color w:val="111111"/>
          <w:sz w:val="28"/>
          <w:szCs w:val="28"/>
          <w:lang w:val="en-US"/>
        </w:rPr>
        <w:t>Muhammad Hosain Gharawi</w:t>
      </w:r>
    </w:p>
    <w:p>
      <w:pPr>
        <w:pStyle w:val="BookText"/>
        <w:bidi w:val="0"/>
        <w:jc w:val="both"/>
        <w:rPr/>
      </w:pPr>
      <w:r>
        <w:rPr>
          <w:rFonts w:eastAsia="Times New Roman" w:cs="Times New Roman" w:ascii="Times New Roman" w:hAnsi="Times New Roman"/>
          <w:color w:val="111111"/>
          <w:sz w:val="28"/>
          <w:szCs w:val="28"/>
          <w:lang w:val="en-US"/>
        </w:rPr>
        <w:t>156, 157, 158, 159, 162, 163,</w:t>
      </w:r>
    </w:p>
    <w:p>
      <w:pPr>
        <w:pStyle w:val="BookText"/>
        <w:bidi w:val="0"/>
        <w:jc w:val="both"/>
        <w:rPr/>
      </w:pPr>
      <w:r>
        <w:rPr>
          <w:rFonts w:eastAsia="Times New Roman" w:cs="Times New Roman" w:ascii="Times New Roman" w:hAnsi="Times New Roman"/>
          <w:color w:val="111111"/>
          <w:sz w:val="28"/>
          <w:szCs w:val="28"/>
          <w:lang w:val="en-US"/>
        </w:rPr>
        <w:t>Isfahani 39</w:t>
      </w:r>
    </w:p>
    <w:p>
      <w:pPr>
        <w:pStyle w:val="BookText"/>
        <w:bidi w:val="0"/>
        <w:jc w:val="both"/>
        <w:rPr/>
      </w:pPr>
      <w:r>
        <w:rPr>
          <w:rFonts w:eastAsia="Times New Roman" w:cs="Times New Roman" w:ascii="Times New Roman" w:hAnsi="Times New Roman"/>
          <w:color w:val="111111"/>
          <w:sz w:val="28"/>
          <w:szCs w:val="28"/>
          <w:lang w:val="en-US"/>
        </w:rPr>
        <w:t>167, 168, 172, 173, 175, 179,</w:t>
      </w:r>
    </w:p>
    <w:p>
      <w:pPr>
        <w:pStyle w:val="BookText"/>
        <w:bidi w:val="0"/>
        <w:jc w:val="both"/>
        <w:rPr/>
      </w:pPr>
      <w:r>
        <w:rPr>
          <w:rFonts w:eastAsia="Times New Roman" w:cs="Times New Roman" w:ascii="Times New Roman" w:hAnsi="Times New Roman"/>
          <w:color w:val="111111"/>
          <w:sz w:val="28"/>
          <w:szCs w:val="28"/>
          <w:lang w:val="en-US"/>
        </w:rPr>
        <w:t>Muhammad Hosain Isfahani</w:t>
      </w:r>
    </w:p>
    <w:p>
      <w:pPr>
        <w:pStyle w:val="BookText"/>
        <w:bidi w:val="0"/>
        <w:jc w:val="both"/>
        <w:rPr/>
      </w:pPr>
      <w:r>
        <w:rPr>
          <w:rFonts w:eastAsia="Times New Roman" w:cs="Times New Roman" w:ascii="Times New Roman" w:hAnsi="Times New Roman"/>
          <w:color w:val="111111"/>
          <w:sz w:val="28"/>
          <w:szCs w:val="28"/>
          <w:lang w:val="en-US"/>
        </w:rPr>
        <w:t>180, 181, 182, 183, 184, 185,</w:t>
      </w:r>
    </w:p>
    <w:p>
      <w:pPr>
        <w:pStyle w:val="BookText"/>
        <w:bidi w:val="0"/>
        <w:jc w:val="both"/>
        <w:rPr/>
      </w:pPr>
      <w:r>
        <w:rPr>
          <w:rFonts w:eastAsia="Times New Roman" w:cs="Times New Roman" w:ascii="Times New Roman" w:hAnsi="Times New Roman"/>
          <w:color w:val="111111"/>
          <w:sz w:val="28"/>
          <w:szCs w:val="28"/>
          <w:lang w:val="en-US"/>
        </w:rPr>
        <w:t>Gharwi 47</w:t>
      </w:r>
    </w:p>
    <w:p>
      <w:pPr>
        <w:pStyle w:val="BookText"/>
        <w:bidi w:val="0"/>
        <w:jc w:val="both"/>
        <w:rPr/>
      </w:pPr>
      <w:r>
        <w:rPr>
          <w:rFonts w:eastAsia="Times New Roman" w:cs="Times New Roman" w:ascii="Times New Roman" w:hAnsi="Times New Roman"/>
          <w:color w:val="111111"/>
          <w:sz w:val="28"/>
          <w:szCs w:val="28"/>
          <w:lang w:val="en-US"/>
        </w:rPr>
        <w:t>191, 192, 193, 199, 203, 208,</w:t>
      </w:r>
    </w:p>
    <w:p>
      <w:pPr>
        <w:pStyle w:val="BookText"/>
        <w:bidi w:val="0"/>
        <w:jc w:val="both"/>
        <w:rPr/>
      </w:pPr>
      <w:r>
        <w:rPr>
          <w:rFonts w:eastAsia="Times New Roman" w:cs="Times New Roman" w:ascii="Times New Roman" w:hAnsi="Times New Roman"/>
          <w:color w:val="111111"/>
          <w:sz w:val="28"/>
          <w:szCs w:val="28"/>
          <w:lang w:val="en-US"/>
        </w:rPr>
        <w:t>Muhammad Hosain Kasyif al-</w:t>
      </w:r>
    </w:p>
    <w:p>
      <w:pPr>
        <w:pStyle w:val="BookText"/>
        <w:bidi w:val="0"/>
        <w:jc w:val="both"/>
        <w:rPr/>
      </w:pPr>
      <w:r>
        <w:rPr>
          <w:rFonts w:eastAsia="Times New Roman" w:cs="Times New Roman" w:ascii="Times New Roman" w:hAnsi="Times New Roman"/>
          <w:color w:val="111111"/>
          <w:sz w:val="28"/>
          <w:szCs w:val="28"/>
          <w:lang w:val="en-US"/>
        </w:rPr>
        <w:t>210, 212, 213, 214, 215, 219,</w:t>
      </w:r>
    </w:p>
    <w:p>
      <w:pPr>
        <w:pStyle w:val="BookText"/>
        <w:bidi w:val="0"/>
        <w:jc w:val="both"/>
        <w:rPr/>
      </w:pPr>
      <w:r>
        <w:rPr>
          <w:rFonts w:eastAsia="Times New Roman" w:cs="Times New Roman" w:ascii="Times New Roman" w:hAnsi="Times New Roman"/>
          <w:color w:val="111111"/>
          <w:sz w:val="28"/>
          <w:szCs w:val="28"/>
          <w:lang w:val="en-US"/>
        </w:rPr>
        <w:t>Ghitha 39</w:t>
      </w:r>
    </w:p>
    <w:p>
      <w:pPr>
        <w:pStyle w:val="BookText"/>
        <w:bidi w:val="0"/>
        <w:jc w:val="both"/>
        <w:rPr/>
      </w:pPr>
      <w:r>
        <w:rPr>
          <w:rFonts w:eastAsia="Times New Roman" w:cs="Times New Roman" w:ascii="Times New Roman" w:hAnsi="Times New Roman"/>
          <w:color w:val="111111"/>
          <w:sz w:val="28"/>
          <w:szCs w:val="28"/>
          <w:lang w:val="en-US"/>
        </w:rPr>
        <w:t>220, 221, 222, 223, 224, 225,</w:t>
      </w:r>
    </w:p>
    <w:p>
      <w:pPr>
        <w:pStyle w:val="BookText"/>
        <w:bidi w:val="0"/>
        <w:jc w:val="both"/>
        <w:rPr/>
      </w:pPr>
      <w:r>
        <w:rPr>
          <w:rFonts w:eastAsia="Times New Roman" w:cs="Times New Roman" w:ascii="Times New Roman" w:hAnsi="Times New Roman"/>
          <w:color w:val="111111"/>
          <w:sz w:val="28"/>
          <w:szCs w:val="28"/>
          <w:lang w:val="en-US"/>
        </w:rPr>
        <w:t>Muhammad Hosein</w:t>
      </w:r>
    </w:p>
    <w:p>
      <w:pPr>
        <w:pStyle w:val="BookText"/>
        <w:bidi w:val="0"/>
        <w:jc w:val="both"/>
        <w:rPr/>
      </w:pPr>
      <w:r>
        <w:rPr>
          <w:rFonts w:eastAsia="Times New Roman" w:cs="Times New Roman" w:ascii="Times New Roman" w:hAnsi="Times New Roman"/>
          <w:color w:val="111111"/>
          <w:sz w:val="28"/>
          <w:szCs w:val="28"/>
          <w:lang w:val="en-US"/>
        </w:rPr>
        <w:t>226, 227, 228, 244, 245, 246,</w:t>
      </w:r>
    </w:p>
    <w:p>
      <w:pPr>
        <w:pStyle w:val="BookText"/>
        <w:bidi w:val="0"/>
        <w:jc w:val="both"/>
        <w:rPr/>
      </w:pPr>
      <w:r>
        <w:rPr>
          <w:rFonts w:eastAsia="Times New Roman" w:cs="Times New Roman" w:ascii="Times New Roman" w:hAnsi="Times New Roman"/>
          <w:color w:val="111111"/>
          <w:sz w:val="28"/>
          <w:szCs w:val="28"/>
          <w:lang w:val="en-US"/>
        </w:rPr>
        <w:t>Thabâthabấ'î 53, 54</w:t>
      </w:r>
    </w:p>
    <w:p>
      <w:pPr>
        <w:pStyle w:val="BookText"/>
        <w:bidi w:val="0"/>
        <w:jc w:val="both"/>
        <w:rPr/>
      </w:pPr>
      <w:r>
        <w:rPr>
          <w:rFonts w:eastAsia="Times New Roman" w:cs="Times New Roman" w:ascii="Times New Roman" w:hAnsi="Times New Roman"/>
          <w:color w:val="111111"/>
          <w:sz w:val="28"/>
          <w:szCs w:val="28"/>
          <w:lang w:val="en-US"/>
        </w:rPr>
        <w:t>249, 250, 251, 252, 254, 256,</w:t>
      </w:r>
    </w:p>
    <w:p>
      <w:pPr>
        <w:pStyle w:val="BookText"/>
        <w:bidi w:val="0"/>
        <w:jc w:val="both"/>
        <w:rPr/>
      </w:pPr>
      <w:r>
        <w:rPr>
          <w:rFonts w:eastAsia="Times New Roman" w:cs="Times New Roman" w:ascii="Times New Roman" w:hAnsi="Times New Roman"/>
          <w:color w:val="111111"/>
          <w:sz w:val="28"/>
          <w:szCs w:val="28"/>
          <w:lang w:val="en-US"/>
        </w:rPr>
        <w:t>Muhammadî‘Araqî 76</w:t>
      </w:r>
    </w:p>
    <w:p>
      <w:pPr>
        <w:pStyle w:val="BookText"/>
        <w:bidi w:val="0"/>
        <w:jc w:val="both"/>
        <w:rPr/>
      </w:pPr>
      <w:r>
        <w:rPr>
          <w:rFonts w:eastAsia="Times New Roman" w:cs="Times New Roman" w:ascii="Times New Roman" w:hAnsi="Times New Roman"/>
          <w:color w:val="111111"/>
          <w:sz w:val="28"/>
          <w:szCs w:val="28"/>
          <w:lang w:val="en-US"/>
        </w:rPr>
        <w:t>257, 258, 259, 260, 261, 262,</w:t>
      </w:r>
    </w:p>
    <w:p>
      <w:pPr>
        <w:pStyle w:val="BookText"/>
        <w:bidi w:val="0"/>
        <w:jc w:val="both"/>
        <w:rPr/>
      </w:pPr>
      <w:r>
        <w:rPr>
          <w:rFonts w:eastAsia="Times New Roman" w:cs="Times New Roman" w:ascii="Times New Roman" w:hAnsi="Times New Roman"/>
          <w:color w:val="111111"/>
          <w:sz w:val="28"/>
          <w:szCs w:val="28"/>
          <w:lang w:val="en-US"/>
        </w:rPr>
        <w:t>Muhammad Ibrahim Kalbasi 45 263, 267, 268, 269, 271, 272,</w:t>
      </w:r>
    </w:p>
    <w:p>
      <w:pPr>
        <w:pStyle w:val="BookText"/>
        <w:bidi w:val="0"/>
        <w:jc w:val="both"/>
        <w:rPr/>
      </w:pPr>
      <w:r>
        <w:rPr>
          <w:rFonts w:eastAsia="Times New Roman" w:cs="Times New Roman" w:ascii="Times New Roman" w:hAnsi="Times New Roman"/>
          <w:color w:val="111111"/>
          <w:sz w:val="28"/>
          <w:szCs w:val="28"/>
          <w:lang w:val="en-US"/>
        </w:rPr>
        <w:t>Muhammad Khatami 90</w:t>
      </w:r>
    </w:p>
    <w:p>
      <w:pPr>
        <w:pStyle w:val="BookText"/>
        <w:bidi w:val="0"/>
        <w:jc w:val="both"/>
        <w:rPr/>
      </w:pPr>
      <w:r>
        <w:rPr>
          <w:rFonts w:eastAsia="Times New Roman" w:cs="Times New Roman" w:ascii="Times New Roman" w:hAnsi="Times New Roman"/>
          <w:color w:val="111111"/>
          <w:sz w:val="28"/>
          <w:szCs w:val="28"/>
          <w:lang w:val="en-US"/>
        </w:rPr>
        <w:t>273, 274, 275, 276, 277, 278,</w:t>
      </w:r>
    </w:p>
    <w:p>
      <w:pPr>
        <w:pStyle w:val="BookText"/>
        <w:bidi w:val="0"/>
        <w:jc w:val="both"/>
        <w:rPr/>
      </w:pPr>
      <w:r>
        <w:rPr>
          <w:rFonts w:eastAsia="Times New Roman" w:cs="Times New Roman" w:ascii="Times New Roman" w:hAnsi="Times New Roman"/>
          <w:color w:val="111111"/>
          <w:sz w:val="28"/>
          <w:szCs w:val="28"/>
          <w:lang w:val="en-US"/>
        </w:rPr>
        <w:t>Muhammad Legenhausen 61,</w:t>
      </w:r>
    </w:p>
    <w:p>
      <w:pPr>
        <w:pStyle w:val="BookText"/>
        <w:bidi w:val="0"/>
        <w:jc w:val="both"/>
        <w:rPr/>
      </w:pPr>
      <w:r>
        <w:rPr>
          <w:rFonts w:eastAsia="Times New Roman" w:cs="Times New Roman" w:ascii="Times New Roman" w:hAnsi="Times New Roman"/>
          <w:color w:val="111111"/>
          <w:sz w:val="28"/>
          <w:szCs w:val="28"/>
          <w:lang w:val="en-US"/>
        </w:rPr>
        <w:t>279, 280, 281, 282, 283, 284,</w:t>
      </w:r>
    </w:p>
    <w:p>
      <w:pPr>
        <w:pStyle w:val="BookText"/>
        <w:bidi w:val="0"/>
        <w:jc w:val="both"/>
        <w:rPr/>
      </w:pPr>
      <w:r>
        <w:rPr>
          <w:rFonts w:eastAsia="Times New Roman" w:cs="Times New Roman" w:ascii="Times New Roman" w:hAnsi="Times New Roman"/>
          <w:color w:val="111111"/>
          <w:sz w:val="28"/>
          <w:szCs w:val="28"/>
          <w:lang w:val="en-US"/>
        </w:rPr>
        <w:t>285, 287, 288, 289, 290, 291,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96 </w:t>
      </w:r>
    </w:p>
    <w:p>
      <w:pPr>
        <w:pStyle w:val="BookText"/>
        <w:bidi w:val="0"/>
        <w:rPr/>
      </w:pPr>
      <w:r>
        <w:rPr>
          <w:rFonts w:eastAsia="Times New Roman" w:cs="Times New Roman" w:ascii="Times New Roman" w:hAnsi="Times New Roman"/>
          <w:color w:val="111111"/>
          <w:sz w:val="28"/>
          <w:szCs w:val="28"/>
          <w:lang w:val="en-US"/>
        </w:rPr>
        <w:t>292, 294, 296, 297, 298, 299, 315, 317, 318, 328, 330</w:t>
      </w:r>
    </w:p>
    <w:p>
      <w:pPr>
        <w:pStyle w:val="BookText"/>
        <w:bidi w:val="0"/>
        <w:jc w:val="both"/>
        <w:rPr/>
      </w:pPr>
      <w:r>
        <w:rPr>
          <w:rFonts w:eastAsia="Times New Roman" w:cs="Times New Roman" w:ascii="Times New Roman" w:hAnsi="Times New Roman"/>
          <w:color w:val="111111"/>
          <w:sz w:val="28"/>
          <w:szCs w:val="28"/>
          <w:lang w:val="en-US"/>
        </w:rPr>
        <w:t>300, 301, 302, 303, 304, 306, Mulyadhi Kartengara 31</w:t>
      </w:r>
    </w:p>
    <w:p>
      <w:pPr>
        <w:pStyle w:val="BookText"/>
        <w:bidi w:val="0"/>
        <w:jc w:val="both"/>
        <w:rPr/>
      </w:pPr>
      <w:r>
        <w:rPr>
          <w:rFonts w:eastAsia="Times New Roman" w:cs="Times New Roman" w:ascii="Times New Roman" w:hAnsi="Times New Roman"/>
          <w:color w:val="111111"/>
          <w:sz w:val="28"/>
          <w:szCs w:val="28"/>
          <w:lang w:val="en-US"/>
        </w:rPr>
        <w:t>307, 308, 309, 310, 311, 312, Murtadha Muthahhari 18, 23,</w:t>
      </w:r>
    </w:p>
    <w:p>
      <w:pPr>
        <w:pStyle w:val="BookText"/>
        <w:bidi w:val="0"/>
        <w:jc w:val="both"/>
        <w:rPr/>
      </w:pPr>
      <w:r>
        <w:rPr>
          <w:rFonts w:eastAsia="Times New Roman" w:cs="Times New Roman" w:ascii="Times New Roman" w:hAnsi="Times New Roman"/>
          <w:color w:val="111111"/>
          <w:sz w:val="28"/>
          <w:szCs w:val="28"/>
          <w:lang w:val="en-US"/>
        </w:rPr>
        <w:t>313, 314, 315, 316, 317, 318, 26, 33, 57, 97</w:t>
      </w:r>
    </w:p>
    <w:p>
      <w:pPr>
        <w:pStyle w:val="BookText"/>
        <w:bidi w:val="0"/>
        <w:jc w:val="both"/>
        <w:rPr/>
      </w:pPr>
      <w:r>
        <w:rPr>
          <w:rFonts w:eastAsia="Times New Roman" w:cs="Times New Roman" w:ascii="Times New Roman" w:hAnsi="Times New Roman"/>
          <w:color w:val="111111"/>
          <w:sz w:val="28"/>
          <w:szCs w:val="28"/>
          <w:lang w:val="en-US"/>
        </w:rPr>
        <w:t>319, 320, 321, 322, 323, 327 Musa al-Kazhim 94</w:t>
      </w:r>
    </w:p>
    <w:p>
      <w:pPr>
        <w:pStyle w:val="BookText"/>
        <w:bidi w:val="0"/>
        <w:jc w:val="both"/>
        <w:rPr/>
      </w:pPr>
      <w:r>
        <w:rPr>
          <w:rFonts w:eastAsia="Times New Roman" w:cs="Times New Roman" w:ascii="Times New Roman" w:hAnsi="Times New Roman"/>
          <w:color w:val="111111"/>
          <w:sz w:val="28"/>
          <w:szCs w:val="28"/>
          <w:lang w:val="en-US"/>
        </w:rPr>
        <w:t>Muhsin al-Hakîm 68</w:t>
      </w:r>
    </w:p>
    <w:p>
      <w:pPr>
        <w:pStyle w:val="BookText"/>
        <w:bidi w:val="0"/>
        <w:jc w:val="both"/>
        <w:rPr/>
      </w:pPr>
      <w:r>
        <w:rPr>
          <w:rFonts w:eastAsia="Times New Roman" w:cs="Times New Roman" w:ascii="Times New Roman" w:hAnsi="Times New Roman"/>
          <w:color w:val="111111"/>
          <w:sz w:val="28"/>
          <w:szCs w:val="28"/>
          <w:lang w:val="en-US"/>
        </w:rPr>
        <w:t>Mullâ Abd al-Razzâq Lâhijî 49</w:t>
      </w:r>
    </w:p>
    <w:p>
      <w:pPr>
        <w:pStyle w:val="BookText"/>
        <w:bidi w:val="0"/>
        <w:jc w:val="both"/>
        <w:rPr/>
      </w:pPr>
      <w:r>
        <w:rPr>
          <w:rFonts w:eastAsia="Times New Roman" w:cs="Times New Roman" w:ascii="Times New Roman" w:hAnsi="Times New Roman"/>
          <w:color w:val="111111"/>
          <w:sz w:val="28"/>
          <w:szCs w:val="28"/>
          <w:lang w:val="en-US"/>
        </w:rPr>
        <w:t>Mullâ Abu al-Qasim 94</w:t>
      </w:r>
    </w:p>
    <w:p>
      <w:pPr>
        <w:pStyle w:val="BookText"/>
        <w:bidi w:val="0"/>
        <w:jc w:val="both"/>
        <w:rPr/>
      </w:pPr>
      <w:r>
        <w:rPr>
          <w:rFonts w:eastAsia="Times New Roman" w:cs="Times New Roman" w:ascii="Times New Roman" w:hAnsi="Times New Roman"/>
          <w:color w:val="111111"/>
          <w:sz w:val="28"/>
          <w:szCs w:val="28"/>
          <w:lang w:val="en-US"/>
        </w:rPr>
        <w:t>Najaf 10, 38, 39, 44, 46, 54, 64,</w:t>
      </w:r>
    </w:p>
    <w:p>
      <w:pPr>
        <w:pStyle w:val="BookText"/>
        <w:bidi w:val="0"/>
        <w:jc w:val="both"/>
        <w:rPr/>
      </w:pPr>
      <w:r>
        <w:rPr>
          <w:rFonts w:eastAsia="Times New Roman" w:cs="Times New Roman" w:ascii="Times New Roman" w:hAnsi="Times New Roman"/>
          <w:color w:val="111111"/>
          <w:sz w:val="28"/>
          <w:szCs w:val="28"/>
          <w:lang w:val="en-US"/>
        </w:rPr>
        <w:t>Mulla Asadullah Borujerdi 45</w:t>
      </w:r>
    </w:p>
    <w:p>
      <w:pPr>
        <w:pStyle w:val="BookText"/>
        <w:bidi w:val="0"/>
        <w:jc w:val="both"/>
        <w:rPr/>
      </w:pPr>
      <w:r>
        <w:rPr>
          <w:rFonts w:eastAsia="Times New Roman" w:cs="Times New Roman" w:ascii="Times New Roman" w:hAnsi="Times New Roman"/>
          <w:color w:val="111111"/>
          <w:sz w:val="28"/>
          <w:szCs w:val="28"/>
          <w:lang w:val="en-US"/>
        </w:rPr>
        <w:t>65, 67, 68, 70, 94, 96, 329</w:t>
      </w:r>
    </w:p>
    <w:p>
      <w:pPr>
        <w:pStyle w:val="BookText"/>
        <w:bidi w:val="0"/>
        <w:jc w:val="both"/>
        <w:rPr/>
      </w:pPr>
      <w:r>
        <w:rPr>
          <w:rFonts w:eastAsia="Times New Roman" w:cs="Times New Roman" w:ascii="Times New Roman" w:hAnsi="Times New Roman"/>
          <w:color w:val="111111"/>
          <w:sz w:val="28"/>
          <w:szCs w:val="28"/>
          <w:lang w:val="en-US"/>
        </w:rPr>
        <w:t>Mullâ Hâdî Sabzevârî 10</w:t>
      </w:r>
    </w:p>
    <w:p>
      <w:pPr>
        <w:pStyle w:val="BookText"/>
        <w:bidi w:val="0"/>
        <w:jc w:val="both"/>
        <w:rPr/>
      </w:pPr>
      <w:r>
        <w:rPr>
          <w:rFonts w:eastAsia="Times New Roman" w:cs="Times New Roman" w:ascii="Times New Roman" w:hAnsi="Times New Roman"/>
          <w:color w:val="111111"/>
          <w:sz w:val="28"/>
          <w:szCs w:val="28"/>
          <w:lang w:val="en-US"/>
        </w:rPr>
        <w:t>Nurcholish Madjid 30, 31, 322</w:t>
      </w:r>
    </w:p>
    <w:p>
      <w:pPr>
        <w:pStyle w:val="BookText"/>
        <w:bidi w:val="0"/>
        <w:jc w:val="both"/>
        <w:rPr/>
      </w:pPr>
      <w:r>
        <w:rPr>
          <w:rFonts w:eastAsia="Times New Roman" w:cs="Times New Roman" w:ascii="Times New Roman" w:hAnsi="Times New Roman"/>
          <w:color w:val="111111"/>
          <w:sz w:val="28"/>
          <w:szCs w:val="28"/>
          <w:lang w:val="en-US"/>
        </w:rPr>
        <w:t>Mullâ Hosain-Qali Hamadani</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Oliver Leaman 29, 30, 52</w:t>
      </w:r>
    </w:p>
    <w:p>
      <w:pPr>
        <w:pStyle w:val="BookText"/>
        <w:bidi w:val="0"/>
        <w:jc w:val="both"/>
        <w:rPr/>
      </w:pPr>
      <w:r>
        <w:rPr>
          <w:rFonts w:eastAsia="Times New Roman" w:cs="Times New Roman" w:ascii="Times New Roman" w:hAnsi="Times New Roman"/>
          <w:color w:val="111111"/>
          <w:sz w:val="28"/>
          <w:szCs w:val="28"/>
          <w:lang w:val="en-US"/>
        </w:rPr>
        <w:t>Mullâ Mohsen Fayz Kâsyânî 49</w:t>
      </w:r>
    </w:p>
    <w:p>
      <w:pPr>
        <w:pStyle w:val="BookText"/>
        <w:bidi w:val="0"/>
        <w:jc w:val="both"/>
        <w:rPr/>
      </w:pPr>
      <w:r>
        <w:rPr>
          <w:rFonts w:eastAsia="Times New Roman" w:cs="Times New Roman" w:ascii="Times New Roman" w:hAnsi="Times New Roman"/>
          <w:color w:val="111111"/>
          <w:sz w:val="28"/>
          <w:szCs w:val="28"/>
          <w:lang w:val="en-US"/>
        </w:rPr>
        <w:t>Ontologis 342</w:t>
      </w:r>
    </w:p>
    <w:p>
      <w:pPr>
        <w:pStyle w:val="BookText"/>
        <w:bidi w:val="0"/>
        <w:jc w:val="both"/>
        <w:rPr/>
      </w:pPr>
      <w:r>
        <w:rPr>
          <w:rFonts w:eastAsia="Times New Roman" w:cs="Times New Roman" w:ascii="Times New Roman" w:hAnsi="Times New Roman"/>
          <w:color w:val="111111"/>
          <w:sz w:val="28"/>
          <w:szCs w:val="28"/>
          <w:lang w:val="en-US"/>
        </w:rPr>
        <w:t>Mullâ Muhammad Ismail</w:t>
      </w:r>
    </w:p>
    <w:p>
      <w:pPr>
        <w:pStyle w:val="BookText"/>
        <w:bidi w:val="0"/>
        <w:jc w:val="both"/>
        <w:rPr/>
      </w:pPr>
      <w:r>
        <w:rPr>
          <w:rFonts w:eastAsia="Times New Roman" w:cs="Times New Roman" w:ascii="Times New Roman" w:hAnsi="Times New Roman"/>
          <w:color w:val="111111"/>
          <w:sz w:val="28"/>
          <w:szCs w:val="28"/>
          <w:lang w:val="en-US"/>
        </w:rPr>
        <w:t>Ontoteologi 342</w:t>
      </w:r>
    </w:p>
    <w:p>
      <w:pPr>
        <w:pStyle w:val="BookText"/>
        <w:bidi w:val="0"/>
        <w:jc w:val="both"/>
        <w:rPr/>
      </w:pPr>
      <w:r>
        <w:rPr>
          <w:rFonts w:eastAsia="Times New Roman" w:cs="Times New Roman" w:ascii="Times New Roman" w:hAnsi="Times New Roman"/>
          <w:color w:val="111111"/>
          <w:sz w:val="28"/>
          <w:szCs w:val="28"/>
          <w:lang w:val="en-US"/>
        </w:rPr>
        <w:t>Wahîd al-Ain Isfahani 38</w:t>
      </w:r>
    </w:p>
    <w:p>
      <w:pPr>
        <w:pStyle w:val="BookText"/>
        <w:bidi w:val="0"/>
        <w:jc w:val="both"/>
        <w:rPr/>
      </w:pPr>
      <w:r>
        <w:rPr>
          <w:rFonts w:eastAsia="Times New Roman" w:cs="Times New Roman" w:ascii="Times New Roman" w:hAnsi="Times New Roman"/>
          <w:color w:val="111111"/>
          <w:sz w:val="28"/>
          <w:szCs w:val="28"/>
          <w:lang w:val="en-US"/>
        </w:rPr>
        <w:t>Mullâ Muhammad Kazazi 45</w:t>
      </w:r>
    </w:p>
    <w:p>
      <w:pPr>
        <w:pStyle w:val="BookText"/>
        <w:bidi w:val="0"/>
        <w:jc w:val="both"/>
        <w:rPr/>
      </w:pPr>
      <w:r>
        <w:rPr>
          <w:rFonts w:eastAsia="Times New Roman" w:cs="Times New Roman" w:ascii="Times New Roman" w:hAnsi="Times New Roman"/>
          <w:color w:val="111111"/>
          <w:sz w:val="28"/>
          <w:szCs w:val="28"/>
          <w:lang w:val="en-US"/>
        </w:rPr>
        <w:t>Mullâ Sabzawari 38</w:t>
      </w:r>
    </w:p>
    <w:p>
      <w:pPr>
        <w:pStyle w:val="BookText"/>
        <w:bidi w:val="0"/>
        <w:jc w:val="both"/>
        <w:rPr/>
      </w:pPr>
      <w:r>
        <w:rPr>
          <w:rFonts w:eastAsia="Times New Roman" w:cs="Times New Roman" w:ascii="Times New Roman" w:hAnsi="Times New Roman"/>
          <w:color w:val="111111"/>
          <w:sz w:val="28"/>
          <w:szCs w:val="28"/>
          <w:lang w:val="en-US"/>
        </w:rPr>
        <w:t>Papal Legate 26</w:t>
      </w:r>
    </w:p>
    <w:p>
      <w:pPr>
        <w:pStyle w:val="BookText"/>
        <w:bidi w:val="0"/>
        <w:jc w:val="both"/>
        <w:rPr/>
      </w:pPr>
      <w:r>
        <w:rPr>
          <w:rFonts w:eastAsia="Times New Roman" w:cs="Times New Roman" w:ascii="Times New Roman" w:hAnsi="Times New Roman"/>
          <w:color w:val="111111"/>
          <w:sz w:val="28"/>
          <w:szCs w:val="28"/>
          <w:lang w:val="en-US"/>
        </w:rPr>
        <w:t>Mullâ Sadrâ 3, 10, 14, 18, 24,</w:t>
      </w:r>
    </w:p>
    <w:p>
      <w:pPr>
        <w:pStyle w:val="BookText"/>
        <w:bidi w:val="0"/>
        <w:jc w:val="both"/>
        <w:rPr/>
      </w:pPr>
      <w:r>
        <w:rPr>
          <w:rFonts w:eastAsia="Times New Roman" w:cs="Times New Roman" w:ascii="Times New Roman" w:hAnsi="Times New Roman"/>
          <w:color w:val="111111"/>
          <w:sz w:val="28"/>
          <w:szCs w:val="28"/>
          <w:lang w:val="en-US"/>
        </w:rPr>
        <w:t>Parviz Morewedge 52, 53</w:t>
      </w:r>
    </w:p>
    <w:p>
      <w:pPr>
        <w:pStyle w:val="BookText"/>
        <w:bidi w:val="0"/>
        <w:jc w:val="both"/>
        <w:rPr/>
      </w:pPr>
      <w:r>
        <w:rPr>
          <w:rFonts w:eastAsia="Times New Roman" w:cs="Times New Roman" w:ascii="Times New Roman" w:hAnsi="Times New Roman"/>
          <w:color w:val="111111"/>
          <w:sz w:val="28"/>
          <w:szCs w:val="28"/>
          <w:lang w:val="en-US"/>
        </w:rPr>
        <w:t>27, 28, 33, 34, 35, 36, 37, 38,</w:t>
      </w:r>
    </w:p>
    <w:p>
      <w:pPr>
        <w:pStyle w:val="BookText"/>
        <w:bidi w:val="0"/>
        <w:jc w:val="both"/>
        <w:rPr/>
      </w:pPr>
      <w:r>
        <w:rPr>
          <w:rFonts w:eastAsia="Times New Roman" w:cs="Times New Roman" w:ascii="Times New Roman" w:hAnsi="Times New Roman"/>
          <w:color w:val="111111"/>
          <w:sz w:val="28"/>
          <w:szCs w:val="28"/>
          <w:lang w:val="en-US"/>
        </w:rPr>
        <w:t>Phytagoras 22</w:t>
      </w:r>
    </w:p>
    <w:p>
      <w:pPr>
        <w:pStyle w:val="BookText"/>
        <w:bidi w:val="0"/>
        <w:jc w:val="both"/>
        <w:rPr/>
      </w:pPr>
      <w:r>
        <w:rPr>
          <w:rFonts w:eastAsia="Times New Roman" w:cs="Times New Roman" w:ascii="Times New Roman" w:hAnsi="Times New Roman"/>
          <w:color w:val="111111"/>
          <w:sz w:val="28"/>
          <w:szCs w:val="28"/>
          <w:lang w:val="en-US"/>
        </w:rPr>
        <w:t>41, 43, 44, 47, 49, 53, 54, 55,</w:t>
      </w:r>
    </w:p>
    <w:p>
      <w:pPr>
        <w:pStyle w:val="BookText"/>
        <w:bidi w:val="0"/>
        <w:jc w:val="both"/>
        <w:rPr/>
      </w:pPr>
      <w:r>
        <w:rPr>
          <w:rFonts w:eastAsia="Times New Roman" w:cs="Times New Roman" w:ascii="Times New Roman" w:hAnsi="Times New Roman"/>
          <w:color w:val="111111"/>
          <w:sz w:val="28"/>
          <w:szCs w:val="28"/>
          <w:lang w:val="en-US"/>
        </w:rPr>
        <w:t>Plato 22, 28, 33, 131, 139, 156,</w:t>
      </w:r>
    </w:p>
    <w:p>
      <w:pPr>
        <w:pStyle w:val="BookText"/>
        <w:bidi w:val="0"/>
        <w:jc w:val="both"/>
        <w:rPr/>
      </w:pPr>
      <w:r>
        <w:rPr>
          <w:rFonts w:eastAsia="Times New Roman" w:cs="Times New Roman" w:ascii="Times New Roman" w:hAnsi="Times New Roman"/>
          <w:color w:val="111111"/>
          <w:sz w:val="28"/>
          <w:szCs w:val="28"/>
          <w:lang w:val="en-US"/>
        </w:rPr>
        <w:t>56, 60, 81, 88, 91, 92, 93, 96,</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101, 103, 106, 107, 109, 110,</w:t>
      </w:r>
    </w:p>
    <w:p>
      <w:pPr>
        <w:pStyle w:val="BookText"/>
        <w:bidi w:val="0"/>
        <w:jc w:val="both"/>
        <w:rPr/>
      </w:pPr>
      <w:r>
        <w:rPr>
          <w:rFonts w:eastAsia="Times New Roman" w:cs="Times New Roman" w:ascii="Times New Roman" w:hAnsi="Times New Roman"/>
          <w:color w:val="111111"/>
          <w:sz w:val="28"/>
          <w:szCs w:val="28"/>
          <w:lang w:val="en-US"/>
        </w:rPr>
        <w:t>Prototipe 343</w:t>
      </w:r>
    </w:p>
    <w:p>
      <w:pPr>
        <w:pStyle w:val="BookText"/>
        <w:bidi w:val="0"/>
        <w:jc w:val="both"/>
        <w:rPr/>
      </w:pPr>
      <w:r>
        <w:rPr>
          <w:rFonts w:eastAsia="Times New Roman" w:cs="Times New Roman" w:ascii="Times New Roman" w:hAnsi="Times New Roman"/>
          <w:color w:val="111111"/>
          <w:sz w:val="28"/>
          <w:szCs w:val="28"/>
          <w:lang w:val="en-US"/>
        </w:rPr>
        <w:t>112, 128, 129, 135, 141, 146,</w:t>
      </w:r>
    </w:p>
    <w:p>
      <w:pPr>
        <w:pStyle w:val="BookText"/>
        <w:bidi w:val="0"/>
        <w:jc w:val="both"/>
        <w:rPr/>
      </w:pPr>
      <w:r>
        <w:rPr>
          <w:rFonts w:eastAsia="Times New Roman" w:cs="Times New Roman" w:ascii="Times New Roman" w:hAnsi="Times New Roman"/>
          <w:color w:val="111111"/>
          <w:sz w:val="28"/>
          <w:szCs w:val="28"/>
          <w:lang w:val="en-US"/>
        </w:rPr>
        <w:t>147, 153, 154, 155, 158, 162, Q</w:t>
      </w:r>
    </w:p>
    <w:p>
      <w:pPr>
        <w:pStyle w:val="BookText"/>
        <w:bidi w:val="0"/>
        <w:jc w:val="both"/>
        <w:rPr/>
      </w:pPr>
      <w:r>
        <w:rPr>
          <w:rFonts w:eastAsia="Times New Roman" w:cs="Times New Roman" w:ascii="Times New Roman" w:hAnsi="Times New Roman"/>
          <w:color w:val="111111"/>
          <w:sz w:val="28"/>
          <w:szCs w:val="28"/>
          <w:lang w:val="en-US"/>
        </w:rPr>
        <w:t>163, 164, 165, 167, 168, 170, Qadhi Said Qommi 49</w:t>
      </w:r>
    </w:p>
    <w:p>
      <w:pPr>
        <w:pStyle w:val="BookText"/>
        <w:bidi w:val="0"/>
        <w:jc w:val="both"/>
        <w:rPr/>
      </w:pPr>
      <w:r>
        <w:rPr>
          <w:rFonts w:eastAsia="Times New Roman" w:cs="Times New Roman" w:ascii="Times New Roman" w:hAnsi="Times New Roman"/>
          <w:color w:val="111111"/>
          <w:sz w:val="28"/>
          <w:szCs w:val="28"/>
          <w:lang w:val="en-US"/>
        </w:rPr>
        <w:t>186, 190, 194, 195, 196, 198, Qajariyyah 42</w:t>
      </w:r>
    </w:p>
    <w:p>
      <w:pPr>
        <w:pStyle w:val="BookText"/>
        <w:bidi w:val="0"/>
        <w:jc w:val="both"/>
        <w:rPr/>
      </w:pPr>
      <w:r>
        <w:rPr>
          <w:rFonts w:eastAsia="Times New Roman" w:cs="Times New Roman" w:ascii="Times New Roman" w:hAnsi="Times New Roman"/>
          <w:color w:val="111111"/>
          <w:sz w:val="28"/>
          <w:szCs w:val="28"/>
          <w:lang w:val="en-US"/>
        </w:rPr>
        <w:t>199, 200, 202, 203, 205, 207, Qom 1, 2, 3, 5, 9, 10, 14, 16, 24,</w:t>
      </w:r>
    </w:p>
    <w:p>
      <w:pPr>
        <w:pStyle w:val="BookText"/>
        <w:bidi w:val="0"/>
        <w:jc w:val="both"/>
        <w:rPr/>
      </w:pPr>
      <w:r>
        <w:rPr>
          <w:rFonts w:eastAsia="Times New Roman" w:cs="Times New Roman" w:ascii="Times New Roman" w:hAnsi="Times New Roman"/>
          <w:color w:val="111111"/>
          <w:sz w:val="28"/>
          <w:szCs w:val="28"/>
          <w:lang w:val="en-US"/>
        </w:rPr>
        <w:t>208, 210, 211, 212, 213, 214, 25, 26, 28, 30, 33, 34, 36, 37,</w:t>
      </w:r>
    </w:p>
    <w:p>
      <w:pPr>
        <w:pStyle w:val="BookText"/>
        <w:bidi w:val="0"/>
        <w:jc w:val="both"/>
        <w:rPr/>
      </w:pPr>
      <w:r>
        <w:rPr>
          <w:rFonts w:eastAsia="Times New Roman" w:cs="Times New Roman" w:ascii="Times New Roman" w:hAnsi="Times New Roman"/>
          <w:color w:val="111111"/>
          <w:sz w:val="28"/>
          <w:szCs w:val="28"/>
          <w:lang w:val="en-US"/>
        </w:rPr>
        <w:t>216, 217, 218, 220, 224, 232, 38, 39, 40, 41, 42, 43, 44, 45,</w:t>
      </w:r>
    </w:p>
    <w:p>
      <w:pPr>
        <w:pStyle w:val="BookText"/>
        <w:bidi w:val="0"/>
        <w:jc w:val="both"/>
        <w:rPr/>
      </w:pPr>
      <w:r>
        <w:rPr>
          <w:rFonts w:eastAsia="Times New Roman" w:cs="Times New Roman" w:ascii="Times New Roman" w:hAnsi="Times New Roman"/>
          <w:color w:val="111111"/>
          <w:sz w:val="28"/>
          <w:szCs w:val="28"/>
          <w:lang w:val="en-US"/>
        </w:rPr>
        <w:t>233, 234, 238, 239, 240, 247, 46, 47, 48, 49, 51, 53, 54, 55,</w:t>
      </w:r>
    </w:p>
    <w:p>
      <w:pPr>
        <w:pStyle w:val="BookText"/>
        <w:bidi w:val="0"/>
        <w:jc w:val="both"/>
        <w:rPr/>
      </w:pPr>
      <w:r>
        <w:rPr>
          <w:rFonts w:eastAsia="Times New Roman" w:cs="Times New Roman" w:ascii="Times New Roman" w:hAnsi="Times New Roman"/>
          <w:color w:val="111111"/>
          <w:sz w:val="28"/>
          <w:szCs w:val="28"/>
          <w:lang w:val="en-US"/>
        </w:rPr>
        <w:t>266, 297, 304, 305, 306, 307, 56, 57, 58, 59, 60, 61, 62, 63,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308, 309, 310, 311, 313, 314, 64, 67, 68, 69, 70, 71, 72, 85, </w:t>
      </w:r>
    </w:p>
    <w:p>
      <w:pPr>
        <w:pStyle w:val="BookText"/>
        <w:bidi w:val="0"/>
        <w:rPr/>
      </w:pPr>
      <w:r>
        <w:rPr>
          <w:rFonts w:eastAsia="Times New Roman" w:cs="Times New Roman" w:ascii="Times New Roman" w:hAnsi="Times New Roman"/>
          <w:color w:val="111111"/>
          <w:sz w:val="28"/>
          <w:szCs w:val="28"/>
          <w:lang w:val="en-US"/>
        </w:rPr>
        <w:t>87, 88, 90, 91, 94, 96, 97,</w:t>
      </w:r>
    </w:p>
    <w:p>
      <w:pPr>
        <w:pStyle w:val="BookText"/>
        <w:bidi w:val="0"/>
        <w:jc w:val="both"/>
        <w:rPr/>
      </w:pPr>
      <w:r>
        <w:rPr>
          <w:rFonts w:eastAsia="Times New Roman" w:cs="Times New Roman" w:ascii="Times New Roman" w:hAnsi="Times New Roman"/>
          <w:color w:val="111111"/>
          <w:sz w:val="28"/>
          <w:szCs w:val="28"/>
          <w:lang w:val="en-US"/>
        </w:rPr>
        <w:t>100, 101, 103, 104, 107, 112,</w:t>
      </w:r>
    </w:p>
    <w:p>
      <w:pPr>
        <w:pStyle w:val="BookText"/>
        <w:bidi w:val="0"/>
        <w:jc w:val="both"/>
        <w:rPr/>
      </w:pPr>
      <w:r>
        <w:rPr>
          <w:rFonts w:eastAsia="Times New Roman" w:cs="Times New Roman" w:ascii="Times New Roman" w:hAnsi="Times New Roman"/>
          <w:color w:val="111111"/>
          <w:sz w:val="28"/>
          <w:szCs w:val="28"/>
          <w:lang w:val="en-US"/>
        </w:rPr>
        <w:t>117, 118, 132, 141, 148, 151,</w:t>
      </w:r>
    </w:p>
    <w:p>
      <w:pPr>
        <w:pStyle w:val="BookText"/>
        <w:bidi w:val="0"/>
        <w:jc w:val="both"/>
        <w:rPr/>
      </w:pPr>
      <w:r>
        <w:rPr>
          <w:rFonts w:eastAsia="Times New Roman" w:cs="Times New Roman" w:ascii="Times New Roman" w:hAnsi="Times New Roman"/>
          <w:color w:val="111111"/>
          <w:sz w:val="28"/>
          <w:szCs w:val="28"/>
          <w:lang w:val="en-US"/>
        </w:rPr>
        <w:t>154, 155, 162, 171, 198, 199,</w:t>
      </w:r>
    </w:p>
    <w:p>
      <w:pPr>
        <w:pStyle w:val="BookText"/>
        <w:bidi w:val="0"/>
        <w:jc w:val="both"/>
        <w:rPr/>
      </w:pPr>
      <w:r>
        <w:rPr>
          <w:rFonts w:eastAsia="Times New Roman" w:cs="Times New Roman" w:ascii="Times New Roman" w:hAnsi="Times New Roman"/>
          <w:color w:val="111111"/>
          <w:sz w:val="28"/>
          <w:szCs w:val="28"/>
          <w:lang w:val="en-US"/>
        </w:rPr>
        <w:t>202, 204, 215, 218, 219, 224,</w:t>
      </w:r>
    </w:p>
    <w:p>
      <w:pPr>
        <w:pStyle w:val="BookText"/>
        <w:bidi w:val="0"/>
        <w:jc w:val="both"/>
        <w:rPr/>
      </w:pPr>
      <w:r>
        <w:rPr>
          <w:rFonts w:eastAsia="Times New Roman" w:cs="Times New Roman" w:ascii="Times New Roman" w:hAnsi="Times New Roman"/>
          <w:color w:val="111111"/>
          <w:sz w:val="28"/>
          <w:szCs w:val="28"/>
          <w:lang w:val="en-US"/>
        </w:rPr>
        <w:t>230, 236, 238, 239, 240, 248,</w:t>
      </w:r>
    </w:p>
    <w:p>
      <w:pPr>
        <w:pStyle w:val="BookText"/>
        <w:bidi w:val="0"/>
        <w:jc w:val="both"/>
        <w:rPr/>
      </w:pPr>
      <w:r>
        <w:rPr>
          <w:rFonts w:eastAsia="Times New Roman" w:cs="Times New Roman" w:ascii="Times New Roman" w:hAnsi="Times New Roman"/>
          <w:color w:val="111111"/>
          <w:sz w:val="28"/>
          <w:szCs w:val="28"/>
          <w:lang w:val="en-US"/>
        </w:rPr>
        <w:t>249, 251, 275, 288, 295, 304,</w:t>
      </w:r>
    </w:p>
    <w:p>
      <w:pPr>
        <w:pStyle w:val="BookText"/>
        <w:bidi w:val="0"/>
        <w:jc w:val="both"/>
        <w:rPr/>
      </w:pPr>
      <w:r>
        <w:rPr>
          <w:rFonts w:eastAsia="Times New Roman" w:cs="Times New Roman" w:ascii="Times New Roman" w:hAnsi="Times New Roman"/>
          <w:color w:val="111111"/>
          <w:sz w:val="28"/>
          <w:szCs w:val="28"/>
          <w:lang w:val="en-US"/>
        </w:rPr>
        <w:t>308, 309, 311, 319, 321, 322,</w:t>
      </w:r>
    </w:p>
    <w:p>
      <w:pPr>
        <w:pStyle w:val="BookText"/>
        <w:bidi w:val="0"/>
        <w:jc w:val="both"/>
        <w:rPr/>
      </w:pPr>
      <w:r>
        <w:rPr>
          <w:rFonts w:eastAsia="Times New Roman" w:cs="Times New Roman" w:ascii="Times New Roman" w:hAnsi="Times New Roman"/>
          <w:color w:val="111111"/>
          <w:sz w:val="28"/>
          <w:szCs w:val="28"/>
          <w:lang w:val="en-US"/>
        </w:rPr>
        <w:t>325, 326, 327, 328, 329, 330,</w:t>
      </w:r>
    </w:p>
    <w:p>
      <w:pPr>
        <w:pStyle w:val="BookText"/>
        <w:bidi w:val="0"/>
        <w:jc w:val="both"/>
        <w:rPr/>
      </w:pPr>
      <w:r>
        <w:rPr>
          <w:rFonts w:eastAsia="Times New Roman" w:cs="Times New Roman" w:ascii="Times New Roman" w:hAnsi="Times New Roman"/>
          <w:color w:val="111111"/>
          <w:sz w:val="28"/>
          <w:szCs w:val="28"/>
          <w:lang w:val="en-US"/>
        </w:rPr>
        <w:t>331, 332</w:t>
      </w:r>
    </w:p>
    <w:p>
      <w:pPr>
        <w:pStyle w:val="BookText"/>
        <w:bidi w:val="0"/>
        <w:jc w:val="both"/>
        <w:rPr/>
      </w:pPr>
      <w:r>
        <w:rPr>
          <w:rFonts w:eastAsia="Times New Roman" w:cs="Times New Roman" w:ascii="Times New Roman" w:hAnsi="Times New Roman"/>
          <w:color w:val="111111"/>
          <w:sz w:val="28"/>
          <w:szCs w:val="28"/>
          <w:lang w:val="en-US"/>
        </w:rPr>
        <w:t>Shafawiyyah Afneh 42</w:t>
      </w:r>
    </w:p>
    <w:p>
      <w:pPr>
        <w:pStyle w:val="BookText"/>
        <w:bidi w:val="0"/>
        <w:jc w:val="both"/>
        <w:rPr/>
      </w:pPr>
      <w:r>
        <w:rPr>
          <w:rFonts w:eastAsia="Times New Roman" w:cs="Times New Roman" w:ascii="Times New Roman" w:hAnsi="Times New Roman"/>
          <w:color w:val="111111"/>
          <w:sz w:val="28"/>
          <w:szCs w:val="28"/>
          <w:lang w:val="en-US"/>
        </w:rPr>
        <w:t>Shurawardi 27</w:t>
      </w:r>
    </w:p>
    <w:p>
      <w:pPr>
        <w:pStyle w:val="BookText"/>
        <w:bidi w:val="0"/>
        <w:jc w:val="both"/>
        <w:rPr/>
      </w:pPr>
      <w:r>
        <w:rPr>
          <w:rFonts w:eastAsia="Times New Roman" w:cs="Times New Roman" w:ascii="Times New Roman" w:hAnsi="Times New Roman"/>
          <w:color w:val="111111"/>
          <w:sz w:val="28"/>
          <w:szCs w:val="28"/>
          <w:lang w:val="en-US"/>
        </w:rPr>
        <w:t>Silogisme 344</w:t>
      </w:r>
    </w:p>
    <w:p>
      <w:pPr>
        <w:pStyle w:val="BookText"/>
        <w:bidi w:val="0"/>
        <w:jc w:val="both"/>
        <w:rPr/>
      </w:pPr>
      <w:r>
        <w:rPr>
          <w:rFonts w:eastAsia="Times New Roman" w:cs="Times New Roman" w:ascii="Times New Roman" w:hAnsi="Times New Roman"/>
          <w:color w:val="111111"/>
          <w:sz w:val="28"/>
          <w:szCs w:val="28"/>
          <w:lang w:val="en-US"/>
        </w:rPr>
        <w:t>Sosialisme 97</w:t>
      </w:r>
    </w:p>
    <w:p>
      <w:pPr>
        <w:pStyle w:val="BookText"/>
        <w:bidi w:val="0"/>
        <w:jc w:val="both"/>
        <w:rPr/>
      </w:pPr>
      <w:r>
        <w:rPr>
          <w:rFonts w:eastAsia="Times New Roman" w:cs="Times New Roman" w:ascii="Times New Roman" w:hAnsi="Times New Roman"/>
          <w:color w:val="111111"/>
          <w:sz w:val="28"/>
          <w:szCs w:val="28"/>
          <w:lang w:val="en-US"/>
        </w:rPr>
        <w:t>Syi'ah 10, 23, 27, 31, 37, 39, 40,</w:t>
      </w:r>
    </w:p>
    <w:p>
      <w:pPr>
        <w:pStyle w:val="BookText"/>
        <w:bidi w:val="0"/>
        <w:jc w:val="both"/>
        <w:rPr/>
      </w:pPr>
      <w:r>
        <w:rPr>
          <w:rFonts w:eastAsia="Times New Roman" w:cs="Times New Roman" w:ascii="Times New Roman" w:hAnsi="Times New Roman"/>
          <w:color w:val="111111"/>
          <w:sz w:val="28"/>
          <w:szCs w:val="28"/>
          <w:lang w:val="en-US"/>
        </w:rPr>
        <w:t>43, 44, 45, 46, 47, 48, 49, 52,</w:t>
      </w:r>
    </w:p>
    <w:p>
      <w:pPr>
        <w:pStyle w:val="BookText"/>
        <w:bidi w:val="0"/>
        <w:jc w:val="both"/>
        <w:rPr/>
      </w:pPr>
      <w:r>
        <w:rPr>
          <w:rFonts w:eastAsia="Times New Roman" w:cs="Times New Roman" w:ascii="Times New Roman" w:hAnsi="Times New Roman"/>
          <w:color w:val="111111"/>
          <w:sz w:val="28"/>
          <w:szCs w:val="28"/>
          <w:lang w:val="en-US"/>
        </w:rPr>
        <w:t>53, 54, 69, 87, 90, 92, 106,</w:t>
      </w:r>
    </w:p>
    <w:p>
      <w:pPr>
        <w:pStyle w:val="BookText"/>
        <w:bidi w:val="0"/>
        <w:jc w:val="both"/>
        <w:rPr/>
      </w:pPr>
      <w:r>
        <w:rPr>
          <w:rFonts w:eastAsia="Times New Roman" w:cs="Times New Roman" w:ascii="Times New Roman" w:hAnsi="Times New Roman"/>
          <w:color w:val="111111"/>
          <w:sz w:val="28"/>
          <w:szCs w:val="28"/>
          <w:lang w:val="en-US"/>
        </w:rPr>
        <w:t>244, 291, 292, 298, 304, 322,</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Syihabuddin Hosaini Mar'asyi</w:t>
      </w:r>
    </w:p>
    <w:p>
      <w:pPr>
        <w:pStyle w:val="BookText"/>
        <w:bidi w:val="0"/>
        <w:jc w:val="both"/>
        <w:rPr/>
      </w:pPr>
      <w:r>
        <w:rPr>
          <w:rFonts w:eastAsia="Times New Roman" w:cs="Times New Roman" w:ascii="Times New Roman" w:hAnsi="Times New Roman"/>
          <w:color w:val="111111"/>
          <w:sz w:val="28"/>
          <w:szCs w:val="28"/>
          <w:lang w:val="en-US"/>
        </w:rPr>
        <w:t>Najafi 48</w:t>
      </w:r>
    </w:p>
    <w:p>
      <w:pPr>
        <w:pStyle w:val="BookText"/>
        <w:bidi w:val="0"/>
        <w:jc w:val="both"/>
        <w:rPr/>
      </w:pPr>
      <w:r>
        <w:rPr>
          <w:rFonts w:eastAsia="Times New Roman" w:cs="Times New Roman" w:ascii="Times New Roman" w:hAnsi="Times New Roman"/>
          <w:color w:val="111111"/>
          <w:sz w:val="28"/>
          <w:szCs w:val="28"/>
          <w:lang w:val="en-US"/>
        </w:rPr>
        <w:t>Syiraz 36, 43, 45</w:t>
      </w:r>
    </w:p>
    <w:p>
      <w:pPr>
        <w:pStyle w:val="BookText"/>
        <w:bidi w:val="0"/>
        <w:jc w:val="both"/>
        <w:rPr/>
      </w:pPr>
      <w:r>
        <w:rPr>
          <w:rFonts w:eastAsia="Times New Roman" w:cs="Times New Roman" w:ascii="Times New Roman" w:hAnsi="Times New Roman"/>
          <w:color w:val="111111"/>
          <w:sz w:val="28"/>
          <w:szCs w:val="28"/>
          <w:lang w:val="en-US"/>
        </w:rPr>
        <w:t>Rasul Obudiyat 16, 95</w:t>
      </w:r>
    </w:p>
    <w:p>
      <w:pPr>
        <w:pStyle w:val="BookText"/>
        <w:bidi w:val="0"/>
        <w:jc w:val="both"/>
        <w:rPr/>
      </w:pPr>
      <w:r>
        <w:rPr>
          <w:rFonts w:eastAsia="Times New Roman" w:cs="Times New Roman" w:ascii="Times New Roman" w:hAnsi="Times New Roman"/>
          <w:color w:val="111111"/>
          <w:sz w:val="28"/>
          <w:szCs w:val="28"/>
          <w:lang w:val="en-US"/>
        </w:rPr>
        <w:t>Raymund 26</w:t>
      </w:r>
    </w:p>
    <w:p>
      <w:pPr>
        <w:pStyle w:val="BookText"/>
        <w:bidi w:val="0"/>
        <w:jc w:val="both"/>
        <w:rPr/>
      </w:pPr>
      <w:r>
        <w:rPr>
          <w:rFonts w:eastAsia="Times New Roman" w:cs="Times New Roman" w:ascii="Times New Roman" w:hAnsi="Times New Roman"/>
          <w:color w:val="111111"/>
          <w:sz w:val="28"/>
          <w:szCs w:val="28"/>
          <w:lang w:val="en-US"/>
        </w:rPr>
        <w:t>Rene Descartes 274</w:t>
      </w:r>
    </w:p>
    <w:p>
      <w:pPr>
        <w:pStyle w:val="BookText"/>
        <w:bidi w:val="0"/>
        <w:jc w:val="both"/>
        <w:rPr/>
      </w:pPr>
      <w:r>
        <w:rPr>
          <w:rFonts w:eastAsia="Times New Roman" w:cs="Times New Roman" w:ascii="Times New Roman" w:hAnsi="Times New Roman"/>
          <w:color w:val="111111"/>
          <w:sz w:val="28"/>
          <w:szCs w:val="28"/>
          <w:lang w:val="en-US"/>
        </w:rPr>
        <w:t>Reza Pahlevi 64</w:t>
      </w:r>
    </w:p>
    <w:p>
      <w:pPr>
        <w:pStyle w:val="BookText"/>
        <w:bidi w:val="0"/>
        <w:jc w:val="both"/>
        <w:rPr/>
      </w:pPr>
      <w:r>
        <w:rPr>
          <w:rFonts w:eastAsia="Times New Roman" w:cs="Times New Roman" w:ascii="Times New Roman" w:hAnsi="Times New Roman"/>
          <w:color w:val="111111"/>
          <w:sz w:val="28"/>
          <w:szCs w:val="28"/>
          <w:lang w:val="en-US"/>
        </w:rPr>
        <w:t>Roger Bacon 27</w:t>
      </w:r>
    </w:p>
    <w:p>
      <w:pPr>
        <w:pStyle w:val="BookText"/>
        <w:bidi w:val="0"/>
        <w:jc w:val="both"/>
        <w:rPr/>
      </w:pPr>
      <w:r>
        <w:rPr>
          <w:rFonts w:eastAsia="Times New Roman" w:cs="Times New Roman" w:ascii="Times New Roman" w:hAnsi="Times New Roman"/>
          <w:color w:val="111111"/>
          <w:sz w:val="28"/>
          <w:szCs w:val="28"/>
          <w:lang w:val="en-US"/>
        </w:rPr>
        <w:t>Rudolphus Gockel 139</w:t>
      </w:r>
    </w:p>
    <w:p>
      <w:pPr>
        <w:pStyle w:val="BookText"/>
        <w:bidi w:val="0"/>
        <w:jc w:val="both"/>
        <w:rPr/>
      </w:pPr>
      <w:r>
        <w:rPr>
          <w:rFonts w:eastAsia="Times New Roman" w:cs="Times New Roman" w:ascii="Times New Roman" w:hAnsi="Times New Roman"/>
          <w:color w:val="111111"/>
          <w:sz w:val="28"/>
          <w:szCs w:val="28"/>
          <w:lang w:val="en-US"/>
        </w:rPr>
        <w:t>Sadrud-Din Shadr 48</w:t>
      </w:r>
    </w:p>
    <w:p>
      <w:pPr>
        <w:pStyle w:val="BookText"/>
        <w:bidi w:val="0"/>
        <w:jc w:val="both"/>
        <w:rPr/>
      </w:pPr>
      <w:r>
        <w:rPr>
          <w:rFonts w:eastAsia="Times New Roman" w:cs="Times New Roman" w:ascii="Times New Roman" w:hAnsi="Times New Roman"/>
          <w:color w:val="111111"/>
          <w:sz w:val="28"/>
          <w:szCs w:val="28"/>
          <w:lang w:val="en-US"/>
        </w:rPr>
        <w:t>Sahl bin Ziyad Adami Razi 44</w:t>
      </w:r>
    </w:p>
    <w:p>
      <w:pPr>
        <w:pStyle w:val="BookText"/>
        <w:bidi w:val="0"/>
        <w:jc w:val="both"/>
        <w:rPr/>
      </w:pPr>
      <w:r>
        <w:rPr>
          <w:rFonts w:eastAsia="Times New Roman" w:cs="Times New Roman" w:ascii="Times New Roman" w:hAnsi="Times New Roman"/>
          <w:color w:val="111111"/>
          <w:sz w:val="28"/>
          <w:szCs w:val="28"/>
          <w:lang w:val="en-US"/>
        </w:rPr>
        <w:t>Sa'id al-Habubi 38</w:t>
      </w:r>
    </w:p>
    <w:p>
      <w:pPr>
        <w:pStyle w:val="BookText"/>
        <w:bidi w:val="0"/>
        <w:jc w:val="both"/>
        <w:rPr/>
      </w:pPr>
      <w:r>
        <w:rPr>
          <w:rFonts w:eastAsia="Times New Roman" w:cs="Times New Roman" w:ascii="Times New Roman" w:hAnsi="Times New Roman"/>
          <w:color w:val="111111"/>
          <w:sz w:val="28"/>
          <w:szCs w:val="28"/>
          <w:lang w:val="en-US"/>
        </w:rPr>
        <w:t>Sayyid Abu al-Hasan Rafi'i</w:t>
      </w:r>
    </w:p>
    <w:p>
      <w:pPr>
        <w:pStyle w:val="BookText"/>
        <w:bidi w:val="0"/>
        <w:jc w:val="both"/>
        <w:rPr/>
      </w:pPr>
      <w:r>
        <w:rPr>
          <w:rFonts w:eastAsia="Times New Roman" w:cs="Times New Roman" w:ascii="Times New Roman" w:hAnsi="Times New Roman"/>
          <w:color w:val="111111"/>
          <w:sz w:val="28"/>
          <w:szCs w:val="28"/>
          <w:lang w:val="en-US"/>
        </w:rPr>
        <w:t>Qazwînî 51</w:t>
      </w:r>
    </w:p>
    <w:p>
      <w:pPr>
        <w:pStyle w:val="BookText"/>
        <w:bidi w:val="0"/>
        <w:jc w:val="both"/>
        <w:rPr/>
      </w:pPr>
      <w:r>
        <w:rPr>
          <w:rFonts w:eastAsia="Times New Roman" w:cs="Times New Roman" w:ascii="Times New Roman" w:hAnsi="Times New Roman"/>
          <w:color w:val="111111"/>
          <w:sz w:val="28"/>
          <w:szCs w:val="28"/>
          <w:lang w:val="en-US"/>
        </w:rPr>
        <w:t>Sayyid Alî Khunsari 45</w:t>
      </w:r>
    </w:p>
    <w:p>
      <w:pPr>
        <w:pStyle w:val="BookText"/>
        <w:bidi w:val="0"/>
        <w:jc w:val="both"/>
        <w:rPr/>
      </w:pPr>
      <w:r>
        <w:rPr>
          <w:rFonts w:eastAsia="Times New Roman" w:cs="Times New Roman" w:ascii="Times New Roman" w:hAnsi="Times New Roman"/>
          <w:color w:val="111111"/>
          <w:sz w:val="28"/>
          <w:szCs w:val="28"/>
          <w:lang w:val="en-US"/>
        </w:rPr>
        <w:t>Seyed Hossein Nasr 53, 107</w:t>
      </w:r>
    </w:p>
    <w:p>
      <w:pPr>
        <w:pStyle w:val="BookText"/>
        <w:bidi w:val="0"/>
        <w:jc w:val="both"/>
        <w:rPr/>
      </w:pPr>
      <w:r>
        <w:rPr>
          <w:rFonts w:eastAsia="Times New Roman" w:cs="Times New Roman" w:ascii="Times New Roman" w:hAnsi="Times New Roman"/>
          <w:color w:val="111111"/>
          <w:sz w:val="28"/>
          <w:szCs w:val="28"/>
          <w:lang w:val="en-US"/>
        </w:rPr>
        <w:t>Shâdegan 92</w:t>
      </w:r>
    </w:p>
    <w:p>
      <w:pPr>
        <w:pStyle w:val="BookText"/>
        <w:bidi w:val="0"/>
        <w:jc w:val="both"/>
        <w:rPr/>
      </w:pPr>
      <w:r>
        <w:rPr>
          <w:rFonts w:eastAsia="Times New Roman" w:cs="Times New Roman" w:ascii="Times New Roman" w:hAnsi="Times New Roman"/>
          <w:color w:val="111111"/>
          <w:sz w:val="28"/>
          <w:szCs w:val="28"/>
          <w:lang w:val="en-US"/>
        </w:rPr>
        <w:t>Shadr al-dîn Muhammad bin</w:t>
      </w:r>
    </w:p>
    <w:p>
      <w:pPr>
        <w:pStyle w:val="BookText"/>
        <w:bidi w:val="0"/>
        <w:jc w:val="both"/>
        <w:rPr/>
      </w:pPr>
      <w:r>
        <w:rPr>
          <w:rFonts w:eastAsia="Times New Roman" w:cs="Times New Roman" w:ascii="Times New Roman" w:hAnsi="Times New Roman"/>
          <w:color w:val="111111"/>
          <w:sz w:val="28"/>
          <w:szCs w:val="28"/>
          <w:lang w:val="en-US"/>
        </w:rPr>
        <w:t>Ibrahim al-Syirazi 44</w:t>
      </w:r>
    </w:p>
    <w:p>
      <w:pPr>
        <w:pStyle w:val="BookText"/>
        <w:bidi w:val="0"/>
        <w:jc w:val="both"/>
        <w:rPr/>
      </w:pPr>
      <w:r>
        <w:rPr>
          <w:rFonts w:eastAsia="Times New Roman" w:cs="Times New Roman" w:ascii="Times New Roman" w:hAnsi="Times New Roman"/>
          <w:color w:val="111111"/>
          <w:sz w:val="28"/>
          <w:szCs w:val="28"/>
          <w:lang w:val="en-US"/>
        </w:rPr>
        <w:t>Shadr al-Din Syirazi 43</w:t>
      </w:r>
    </w:p>
    <w:p>
      <w:pPr>
        <w:pStyle w:val="BookText"/>
        <w:bidi w:val="0"/>
        <w:jc w:val="both"/>
        <w:rPr/>
      </w:pPr>
      <w:r>
        <w:rPr>
          <w:rFonts w:eastAsia="Times New Roman" w:cs="Times New Roman" w:ascii="Times New Roman" w:hAnsi="Times New Roman"/>
          <w:color w:val="111111"/>
          <w:sz w:val="28"/>
          <w:szCs w:val="28"/>
          <w:lang w:val="en-US"/>
        </w:rPr>
        <w:t>Shadr al-Muta'allihin 35, 43</w:t>
      </w:r>
    </w:p>
    <w:p>
      <w:pPr>
        <w:pStyle w:val="BookText"/>
        <w:bidi w:val="0"/>
        <w:jc w:val="both"/>
        <w:rPr/>
      </w:pPr>
      <w:r>
        <w:rPr>
          <w:rFonts w:eastAsia="Times New Roman" w:cs="Times New Roman" w:ascii="Times New Roman" w:hAnsi="Times New Roman"/>
          <w:color w:val="111111"/>
          <w:sz w:val="28"/>
          <w:szCs w:val="28"/>
          <w:lang w:val="en-US"/>
        </w:rPr>
        <w:t>Teologi 58, 59, 102, 119, 243,</w:t>
      </w:r>
    </w:p>
    <w:p>
      <w:pPr>
        <w:pStyle w:val="BookText"/>
        <w:bidi w:val="0"/>
        <w:jc w:val="both"/>
        <w:rPr/>
      </w:pPr>
      <w:r>
        <w:rPr>
          <w:rFonts w:eastAsia="Times New Roman" w:cs="Times New Roman" w:ascii="Times New Roman" w:hAnsi="Times New Roman"/>
          <w:color w:val="111111"/>
          <w:sz w:val="28"/>
          <w:szCs w:val="28"/>
          <w:lang w:val="en-US"/>
        </w:rPr>
        <w:t>246, 252, 318</w:t>
      </w:r>
    </w:p>
    <w:p>
      <w:pPr>
        <w:pStyle w:val="BookText"/>
        <w:bidi w:val="0"/>
        <w:jc w:val="both"/>
        <w:rPr/>
      </w:pPr>
      <w:r>
        <w:rPr>
          <w:rFonts w:eastAsia="Times New Roman" w:cs="Times New Roman" w:ascii="Times New Roman" w:hAnsi="Times New Roman"/>
          <w:color w:val="111111"/>
          <w:sz w:val="28"/>
          <w:szCs w:val="28"/>
          <w:lang w:val="en-US"/>
        </w:rPr>
        <w:t>Terminologi 344</w:t>
      </w:r>
    </w:p>
    <w:p>
      <w:pPr>
        <w:pStyle w:val="BookText"/>
        <w:bidi w:val="0"/>
        <w:jc w:val="both"/>
        <w:rPr/>
      </w:pPr>
      <w:r>
        <w:rPr>
          <w:rFonts w:eastAsia="Times New Roman" w:cs="Times New Roman" w:ascii="Times New Roman" w:hAnsi="Times New Roman"/>
          <w:color w:val="111111"/>
          <w:sz w:val="28"/>
          <w:szCs w:val="28"/>
          <w:lang w:val="en-US"/>
        </w:rPr>
        <w:t>Thabâthabâ'î 10, 14, 18, 37, 54,</w:t>
      </w:r>
    </w:p>
    <w:p>
      <w:pPr>
        <w:pStyle w:val="BookText"/>
        <w:bidi w:val="0"/>
        <w:jc w:val="both"/>
        <w:rPr/>
      </w:pPr>
      <w:r>
        <w:rPr>
          <w:rFonts w:eastAsia="Times New Roman" w:cs="Times New Roman" w:ascii="Times New Roman" w:hAnsi="Times New Roman"/>
          <w:color w:val="111111"/>
          <w:sz w:val="28"/>
          <w:szCs w:val="28"/>
          <w:lang w:val="en-US"/>
        </w:rPr>
        <w:t>56, 57, 59, 60, 70, 73, 86, 88,</w:t>
      </w:r>
    </w:p>
    <w:p>
      <w:pPr>
        <w:pStyle w:val="BookText"/>
        <w:bidi w:val="0"/>
        <w:jc w:val="both"/>
        <w:rPr/>
      </w:pPr>
      <w:r>
        <w:rPr>
          <w:rFonts w:eastAsia="Times New Roman" w:cs="Times New Roman" w:ascii="Times New Roman" w:hAnsi="Times New Roman"/>
          <w:color w:val="111111"/>
          <w:sz w:val="28"/>
          <w:szCs w:val="28"/>
          <w:lang w:val="en-US"/>
        </w:rPr>
        <w:t>91, 92, 93, 100, 101, 103,</w:t>
      </w:r>
    </w:p>
    <w:p>
      <w:pPr>
        <w:pStyle w:val="BookText"/>
        <w:bidi w:val="0"/>
        <w:jc w:val="both"/>
        <w:rPr/>
      </w:pPr>
      <w:r>
        <w:rPr>
          <w:rFonts w:eastAsia="Times New Roman" w:cs="Times New Roman" w:ascii="Times New Roman" w:hAnsi="Times New Roman"/>
          <w:color w:val="111111"/>
          <w:sz w:val="28"/>
          <w:szCs w:val="28"/>
          <w:lang w:val="en-US"/>
        </w:rPr>
        <w:t>104, 105, 106, 135, 147, 153,</w:t>
      </w:r>
    </w:p>
    <w:p>
      <w:pPr>
        <w:pStyle w:val="BookText"/>
        <w:bidi w:val="0"/>
        <w:jc w:val="both"/>
        <w:rPr/>
      </w:pPr>
      <w:r>
        <w:rPr>
          <w:rFonts w:eastAsia="Times New Roman" w:cs="Times New Roman" w:ascii="Times New Roman" w:hAnsi="Times New Roman"/>
          <w:color w:val="111111"/>
          <w:sz w:val="28"/>
          <w:szCs w:val="28"/>
          <w:lang w:val="en-US"/>
        </w:rPr>
        <w:t>162, 170, 194, 197, 198, 202,</w:t>
      </w:r>
    </w:p>
    <w:p>
      <w:pPr>
        <w:pStyle w:val="BookText"/>
        <w:bidi w:val="0"/>
        <w:jc w:val="both"/>
        <w:rPr/>
      </w:pPr>
      <w:r>
        <w:rPr>
          <w:rFonts w:eastAsia="Times New Roman" w:cs="Times New Roman" w:ascii="Times New Roman" w:hAnsi="Times New Roman"/>
          <w:color w:val="111111"/>
          <w:sz w:val="28"/>
          <w:szCs w:val="28"/>
          <w:lang w:val="en-US"/>
        </w:rPr>
        <w:t>213, 217, 218, 219, 221, 224,</w:t>
      </w:r>
    </w:p>
    <w:p>
      <w:pPr>
        <w:pStyle w:val="BookText"/>
        <w:bidi w:val="0"/>
        <w:jc w:val="both"/>
        <w:rPr/>
      </w:pPr>
      <w:r>
        <w:rPr>
          <w:rFonts w:eastAsia="Times New Roman" w:cs="Times New Roman" w:ascii="Times New Roman" w:hAnsi="Times New Roman"/>
          <w:color w:val="111111"/>
          <w:sz w:val="28"/>
          <w:szCs w:val="28"/>
          <w:lang w:val="en-US"/>
        </w:rPr>
        <w:t>229, 230, 238, 239, 297, 308,</w:t>
      </w:r>
    </w:p>
    <w:p>
      <w:pPr>
        <w:pStyle w:val="BookText"/>
        <w:bidi w:val="0"/>
        <w:jc w:val="both"/>
        <w:rPr/>
      </w:pPr>
      <w:r>
        <w:rPr>
          <w:rFonts w:eastAsia="Times New Roman" w:cs="Times New Roman" w:ascii="Times New Roman" w:hAnsi="Times New Roman"/>
          <w:color w:val="111111"/>
          <w:sz w:val="28"/>
          <w:szCs w:val="28"/>
          <w:lang w:val="en-US"/>
        </w:rPr>
        <w:t>310, 311, 313, 314, 315, 318,</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Thales 140, 189</w:t>
      </w:r>
    </w:p>
    <w:p>
      <w:pPr>
        <w:pStyle w:val="BookText"/>
        <w:bidi w:val="0"/>
        <w:jc w:val="both"/>
        <w:rPr/>
      </w:pPr>
      <w:r>
        <w:rPr>
          <w:rFonts w:eastAsia="Times New Roman" w:cs="Times New Roman" w:ascii="Times New Roman" w:hAnsi="Times New Roman"/>
          <w:color w:val="111111"/>
          <w:sz w:val="28"/>
          <w:szCs w:val="28"/>
          <w:lang w:val="en-US"/>
        </w:rPr>
        <w:t>Thomas Aquinas 27</w:t>
      </w:r>
    </w:p>
    <w:p>
      <w:pPr>
        <w:pStyle w:val="BookText"/>
        <w:bidi w:val="0"/>
        <w:jc w:val="both"/>
        <w:rPr/>
      </w:pPr>
      <w:r>
        <w:rPr>
          <w:rFonts w:eastAsia="Times New Roman" w:cs="Times New Roman" w:ascii="Times New Roman" w:hAnsi="Times New Roman"/>
          <w:color w:val="111111"/>
          <w:sz w:val="28"/>
          <w:szCs w:val="28"/>
          <w:lang w:val="en-US"/>
        </w:rPr>
        <w:t>Toledo 26, 27</w:t>
      </w:r>
    </w:p>
    <w:p>
      <w:pPr>
        <w:pStyle w:val="BookText"/>
        <w:bidi w:val="0"/>
        <w:jc w:val="both"/>
        <w:rPr/>
      </w:pPr>
      <w:r>
        <w:rPr>
          <w:rFonts w:eastAsia="Times New Roman" w:cs="Times New Roman" w:ascii="Times New Roman" w:hAnsi="Times New Roman"/>
          <w:color w:val="111111"/>
          <w:sz w:val="28"/>
          <w:szCs w:val="28"/>
          <w:lang w:val="en-US"/>
        </w:rPr>
        <w:t>Toshihiko Izutsu 34</w:t>
      </w:r>
    </w:p>
    <w:p>
      <w:pPr>
        <w:pStyle w:val="BookText"/>
        <w:bidi w:val="0"/>
        <w:jc w:val="both"/>
        <w:rPr/>
      </w:pPr>
      <w:r>
        <w:rPr>
          <w:rFonts w:eastAsia="Times New Roman" w:cs="Times New Roman" w:ascii="Times New Roman" w:hAnsi="Times New Roman"/>
          <w:color w:val="111111"/>
          <w:sz w:val="28"/>
          <w:szCs w:val="28"/>
          <w:lang w:val="en-US"/>
        </w:rPr>
        <w:t>Triangulasi 15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338 </w:t>
      </w:r>
    </w:p>
    <w:p>
      <w:pPr>
        <w:pStyle w:val="BookText"/>
        <w:bidi w:val="0"/>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Universitas Naples 26</w:t>
      </w:r>
    </w:p>
    <w:p>
      <w:pPr>
        <w:pStyle w:val="BookText"/>
        <w:bidi w:val="0"/>
        <w:jc w:val="both"/>
        <w:rPr/>
      </w:pPr>
      <w:r>
        <w:rPr>
          <w:rFonts w:eastAsia="Times New Roman" w:cs="Times New Roman" w:ascii="Times New Roman" w:hAnsi="Times New Roman"/>
          <w:color w:val="111111"/>
          <w:sz w:val="28"/>
          <w:szCs w:val="28"/>
          <w:lang w:val="en-US"/>
        </w:rPr>
        <w:t>Zanadiyyah 42</w:t>
      </w:r>
    </w:p>
    <w:p>
      <w:pPr>
        <w:pStyle w:val="BookText"/>
        <w:bidi w:val="0"/>
        <w:jc w:val="both"/>
        <w:rPr/>
      </w:pPr>
      <w:r>
        <w:rPr>
          <w:rFonts w:eastAsia="Times New Roman" w:cs="Times New Roman" w:ascii="Times New Roman" w:hAnsi="Times New Roman"/>
          <w:color w:val="111111"/>
          <w:sz w:val="28"/>
          <w:szCs w:val="28"/>
          <w:lang w:val="en-US"/>
        </w:rPr>
        <w:t>zoologi 119, 149, 157</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William Pepperell Montaque</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W. James 140</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Yahya Yathrebi 28, 43, 44</w:t>
      </w:r>
    </w:p>
    <w:p>
      <w:pPr>
        <w:pStyle w:val="BookText"/>
        <w:bidi w:val="0"/>
        <w:jc w:val="both"/>
        <w:rPr/>
      </w:pPr>
      <w:r>
        <w:rPr>
          <w:rFonts w:eastAsia="Times New Roman" w:cs="Times New Roman" w:ascii="Times New Roman" w:hAnsi="Times New Roman"/>
          <w:color w:val="111111"/>
          <w:sz w:val="28"/>
          <w:szCs w:val="28"/>
          <w:lang w:val="en-US"/>
        </w:rPr>
        <w:t>Yunani 21, 22, 23, 24, 28, 32, 33,</w:t>
      </w:r>
    </w:p>
    <w:p>
      <w:pPr>
        <w:pStyle w:val="BookText"/>
        <w:bidi w:val="0"/>
        <w:jc w:val="both"/>
        <w:rPr/>
      </w:pPr>
      <w:r>
        <w:rPr>
          <w:rFonts w:eastAsia="Times New Roman" w:cs="Times New Roman" w:ascii="Times New Roman" w:hAnsi="Times New Roman"/>
          <w:color w:val="111111"/>
          <w:sz w:val="28"/>
          <w:szCs w:val="28"/>
          <w:lang w:val="en-US"/>
        </w:rPr>
        <w:t>37, 49, 50, 92, 113, 115, 118,</w:t>
      </w:r>
    </w:p>
    <w:p>
      <w:pPr>
        <w:pStyle w:val="BookText"/>
        <w:bidi w:val="0"/>
        <w:jc w:val="both"/>
        <w:rPr/>
      </w:pPr>
      <w:r>
        <w:rPr>
          <w:rFonts w:eastAsia="Times New Roman" w:cs="Times New Roman" w:ascii="Times New Roman" w:hAnsi="Times New Roman"/>
          <w:color w:val="111111"/>
          <w:sz w:val="28"/>
          <w:szCs w:val="28"/>
          <w:lang w:val="en-US"/>
        </w:rPr>
        <w:t>131, 139, 180, 186, 189, 195,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231, 233, 237, 243, 332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1392 25. Human Rights from The Viewpoint of Islam,</w:t>
      </w:r>
    </w:p>
    <w:p>
      <w:pPr>
        <w:pStyle w:val="BookText"/>
        <w:bidi w:val="0"/>
        <w:jc w:val="both"/>
        <w:rPr/>
      </w:pPr>
      <w:r>
        <w:rPr>
          <w:rFonts w:eastAsia="Times New Roman" w:cs="Times New Roman" w:ascii="Times New Roman" w:hAnsi="Times New Roman"/>
          <w:color w:val="111111"/>
          <w:sz w:val="28"/>
          <w:szCs w:val="28"/>
          <w:lang w:val="en-US"/>
        </w:rPr>
        <w:t>persian</w:t>
      </w:r>
    </w:p>
    <w:p>
      <w:pPr>
        <w:pStyle w:val="BookText"/>
        <w:bidi w:val="0"/>
        <w:jc w:val="both"/>
        <w:rPr/>
      </w:pPr>
      <w:r>
        <w:rPr>
          <w:rFonts w:eastAsia="Times New Roman" w:cs="Times New Roman" w:ascii="Times New Roman" w:hAnsi="Times New Roman"/>
          <w:color w:val="111111"/>
          <w:sz w:val="28"/>
          <w:szCs w:val="28"/>
          <w:lang w:val="en-US"/>
        </w:rPr>
        <w:t>Textbook/Abdul Hakim Salimi</w:t>
      </w:r>
    </w:p>
    <w:p>
      <w:pPr>
        <w:pStyle w:val="BookText"/>
        <w:bidi w:val="0"/>
        <w:jc w:val="both"/>
        <w:rPr/>
      </w:pPr>
      <w:r>
        <w:rPr>
          <w:rFonts w:eastAsia="Times New Roman" w:cs="Times New Roman" w:ascii="Times New Roman" w:hAnsi="Times New Roman"/>
          <w:color w:val="111111"/>
          <w:sz w:val="28"/>
          <w:szCs w:val="28"/>
          <w:lang w:val="en-US"/>
        </w:rPr>
        <w:t>1 Abstract of Articles Presented in national Confer- 26. Impact of the soul of The Holy Prophet (p.b.u.h)</w:t>
      </w:r>
    </w:p>
    <w:p>
      <w:pPr>
        <w:pStyle w:val="BookText"/>
        <w:bidi w:val="0"/>
        <w:jc w:val="both"/>
        <w:rPr/>
      </w:pPr>
      <w:r>
        <w:rPr>
          <w:rFonts w:eastAsia="Times New Roman" w:cs="Times New Roman" w:ascii="Times New Roman" w:hAnsi="Times New Roman"/>
          <w:color w:val="111111"/>
          <w:sz w:val="28"/>
          <w:szCs w:val="28"/>
          <w:lang w:val="en-US"/>
        </w:rPr>
        <w:t>ence of Islamic Ethics and economy/Islamic econ- in World of being with The Approach of implora-</w:t>
      </w:r>
    </w:p>
    <w:p>
      <w:pPr>
        <w:pStyle w:val="BookText"/>
        <w:bidi w:val="0"/>
        <w:jc w:val="both"/>
        <w:rPr/>
      </w:pPr>
      <w:r>
        <w:rPr>
          <w:rFonts w:eastAsia="Times New Roman" w:cs="Times New Roman" w:ascii="Times New Roman" w:hAnsi="Times New Roman"/>
          <w:color w:val="111111"/>
          <w:sz w:val="28"/>
          <w:szCs w:val="28"/>
          <w:lang w:val="en-US"/>
        </w:rPr>
        <w:t>omy council of Islamic seminry</w:t>
      </w:r>
    </w:p>
    <w:p>
      <w:pPr>
        <w:pStyle w:val="BookText"/>
        <w:bidi w:val="0"/>
        <w:jc w:val="both"/>
        <w:rPr/>
      </w:pPr>
      <w:r>
        <w:rPr>
          <w:rFonts w:eastAsia="Times New Roman" w:cs="Times New Roman" w:ascii="Times New Roman" w:hAnsi="Times New Roman"/>
          <w:color w:val="111111"/>
          <w:sz w:val="28"/>
          <w:szCs w:val="28"/>
          <w:lang w:val="en-US"/>
        </w:rPr>
        <w:t>tion issue)/Ma'asooma Gul Guli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Advanced writing, from paragraph to article/Ha- 27. Introduction of authorities Science/Syed Moham-</w:t>
      </w:r>
    </w:p>
    <w:p>
      <w:pPr>
        <w:pStyle w:val="BookText"/>
        <w:bidi w:val="0"/>
        <w:jc w:val="both"/>
        <w:rPr/>
      </w:pPr>
      <w:r>
        <w:rPr>
          <w:rFonts w:eastAsia="Times New Roman" w:cs="Times New Roman" w:ascii="Times New Roman" w:hAnsi="Times New Roman"/>
          <w:color w:val="111111"/>
          <w:sz w:val="28"/>
          <w:szCs w:val="28"/>
          <w:lang w:val="en-US"/>
        </w:rPr>
        <w:t>mid Basiriyan</w:t>
      </w:r>
    </w:p>
    <w:p>
      <w:pPr>
        <w:pStyle w:val="BookText"/>
        <w:bidi w:val="0"/>
        <w:jc w:val="both"/>
        <w:rPr/>
      </w:pPr>
      <w:r>
        <w:rPr>
          <w:rFonts w:eastAsia="Times New Roman" w:cs="Times New Roman" w:ascii="Times New Roman" w:hAnsi="Times New Roman"/>
          <w:color w:val="111111"/>
          <w:sz w:val="28"/>
          <w:szCs w:val="28"/>
          <w:lang w:val="en-US"/>
        </w:rPr>
        <w:t>mad Najafi Yazdi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Approach to Political Science and contempo- 28. Introduction of Sahifa-e-Sajjadiya/Mohammad</w:t>
      </w:r>
    </w:p>
    <w:p>
      <w:pPr>
        <w:pStyle w:val="BookText"/>
        <w:bidi w:val="0"/>
        <w:jc w:val="both"/>
        <w:rPr/>
      </w:pPr>
      <w:r>
        <w:rPr>
          <w:rFonts w:eastAsia="Times New Roman" w:cs="Times New Roman" w:ascii="Times New Roman" w:hAnsi="Times New Roman"/>
          <w:color w:val="111111"/>
          <w:sz w:val="28"/>
          <w:szCs w:val="28"/>
          <w:lang w:val="en-US"/>
        </w:rPr>
        <w:t>rary Islamic movements/Abdul Wahhab Furati Ali Majd Faqihi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Analysis of The historiography of Mohammad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Introduction of Shia Studies/Ali Rabbani Gul-</w:t>
      </w:r>
    </w:p>
    <w:p>
      <w:pPr>
        <w:pStyle w:val="BookText"/>
        <w:bidi w:val="0"/>
        <w:jc w:val="both"/>
        <w:rPr/>
      </w:pPr>
      <w:r>
        <w:rPr>
          <w:rFonts w:eastAsia="Times New Roman" w:cs="Times New Roman" w:ascii="Times New Roman" w:hAnsi="Times New Roman"/>
          <w:color w:val="111111"/>
          <w:sz w:val="28"/>
          <w:szCs w:val="28"/>
          <w:lang w:val="en-US"/>
        </w:rPr>
        <w:t>Abid Aljabiri/Syed Mohammad Ali Noori paigani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Basic Teachings of Ethics, Vol.1/Mohammad Fath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Islamic Religions and Theological Schools/Ali</w:t>
      </w:r>
    </w:p>
    <w:p>
      <w:pPr>
        <w:pStyle w:val="BookText"/>
        <w:bidi w:val="0"/>
        <w:jc w:val="both"/>
        <w:rPr/>
      </w:pPr>
      <w:r>
        <w:rPr>
          <w:rFonts w:eastAsia="Times New Roman" w:cs="Times New Roman" w:ascii="Times New Roman" w:hAnsi="Times New Roman"/>
          <w:color w:val="111111"/>
          <w:sz w:val="28"/>
          <w:szCs w:val="28"/>
          <w:lang w:val="en-US"/>
        </w:rPr>
        <w:t>Ali Khani</w:t>
      </w:r>
    </w:p>
    <w:p>
      <w:pPr>
        <w:pStyle w:val="BookText"/>
        <w:bidi w:val="0"/>
        <w:jc w:val="both"/>
        <w:rPr/>
      </w:pPr>
      <w:r>
        <w:rPr>
          <w:rFonts w:eastAsia="Times New Roman" w:cs="Times New Roman" w:ascii="Times New Roman" w:hAnsi="Times New Roman"/>
          <w:color w:val="111111"/>
          <w:sz w:val="28"/>
          <w:szCs w:val="28"/>
          <w:lang w:val="en-US"/>
        </w:rPr>
        <w:t>rabbani Gulpaigani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Basics of Eschatology of History in Quran/Qam- 31. Jurisprudence and Wisdom/Abul Qasim Ali Dost</w:t>
      </w:r>
    </w:p>
    <w:p>
      <w:pPr>
        <w:pStyle w:val="BookText"/>
        <w:bidi w:val="0"/>
        <w:jc w:val="both"/>
        <w:rPr/>
      </w:pPr>
      <w:r>
        <w:rPr>
          <w:rFonts w:eastAsia="Times New Roman" w:cs="Times New Roman" w:ascii="Times New Roman" w:hAnsi="Times New Roman"/>
          <w:color w:val="111111"/>
          <w:sz w:val="28"/>
          <w:szCs w:val="28"/>
          <w:lang w:val="en-US"/>
        </w:rPr>
        <w:t>bar Ali Samadi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Jurisprudence of Quran, verses of The revealed</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Chandelier of Friday prayer(forty Narratives about prescripts/Mohammad Fakir Maibodi</w:t>
      </w:r>
    </w:p>
    <w:p>
      <w:pPr>
        <w:pStyle w:val="BookText"/>
        <w:bidi w:val="0"/>
        <w:jc w:val="both"/>
        <w:rPr/>
      </w:pPr>
      <w:r>
        <w:rPr>
          <w:rFonts w:eastAsia="Times New Roman" w:cs="Times New Roman" w:ascii="Times New Roman" w:hAnsi="Times New Roman"/>
          <w:color w:val="111111"/>
          <w:sz w:val="28"/>
          <w:szCs w:val="28"/>
          <w:lang w:val="en-US"/>
        </w:rPr>
        <w:t>Friday prayer) Mohammad Arif Haider Qizalbash 33. Legal issues in an organization/Mohsin Mantiqui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Cognitive geography of The World of Islam (col- 34. Lexicology of The Holy Quran/Shahid Ghulam Ali</w:t>
      </w:r>
    </w:p>
    <w:p>
      <w:pPr>
        <w:pStyle w:val="BookText"/>
        <w:bidi w:val="0"/>
        <w:jc w:val="both"/>
        <w:rPr/>
      </w:pPr>
      <w:r>
        <w:rPr>
          <w:rFonts w:eastAsia="Times New Roman" w:cs="Times New Roman" w:ascii="Times New Roman" w:hAnsi="Times New Roman"/>
          <w:color w:val="111111"/>
          <w:sz w:val="28"/>
          <w:szCs w:val="28"/>
          <w:lang w:val="en-US"/>
        </w:rPr>
        <w:t>lection of Articles Presented in 16th sheikh Tousi Humai</w:t>
      </w:r>
    </w:p>
    <w:p>
      <w:pPr>
        <w:pStyle w:val="BookText"/>
        <w:bidi w:val="0"/>
        <w:jc w:val="both"/>
        <w:rPr/>
      </w:pPr>
      <w:r>
        <w:rPr>
          <w:rFonts w:eastAsia="Times New Roman" w:cs="Times New Roman" w:ascii="Times New Roman" w:hAnsi="Times New Roman"/>
          <w:color w:val="111111"/>
          <w:sz w:val="28"/>
          <w:szCs w:val="28"/>
          <w:lang w:val="en-US"/>
        </w:rPr>
        <w:t>international festival)/Group of Authors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Light of Research, Vol.3/ Fiqh High Education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Comparative Study of the imaginary from The Complex</w:t>
      </w:r>
    </w:p>
    <w:p>
      <w:pPr>
        <w:pStyle w:val="BookText"/>
        <w:bidi w:val="0"/>
        <w:jc w:val="both"/>
        <w:rPr/>
      </w:pPr>
      <w:r>
        <w:rPr>
          <w:rFonts w:eastAsia="Times New Roman" w:cs="Times New Roman" w:ascii="Times New Roman" w:hAnsi="Times New Roman"/>
          <w:color w:val="111111"/>
          <w:sz w:val="28"/>
          <w:szCs w:val="28"/>
          <w:lang w:val="en-US"/>
        </w:rPr>
        <w:t>Viewpoint of Ibn-e-Sina. Shiekh Ishraque and 36. Literary Analysis of Nehjul Balagha and Sahi-</w:t>
      </w:r>
    </w:p>
    <w:p>
      <w:pPr>
        <w:pStyle w:val="BookText"/>
        <w:bidi w:val="0"/>
        <w:jc w:val="both"/>
        <w:rPr/>
      </w:pPr>
      <w:r>
        <w:rPr>
          <w:rFonts w:eastAsia="Times New Roman" w:cs="Times New Roman" w:ascii="Times New Roman" w:hAnsi="Times New Roman"/>
          <w:color w:val="111111"/>
          <w:sz w:val="28"/>
          <w:szCs w:val="28"/>
          <w:lang w:val="en-US"/>
        </w:rPr>
        <w:t>Mulla Sadra/Mohammad Khan Kazimi</w:t>
      </w:r>
    </w:p>
    <w:p>
      <w:pPr>
        <w:pStyle w:val="BookText"/>
        <w:bidi w:val="0"/>
        <w:jc w:val="both"/>
        <w:rPr/>
      </w:pPr>
      <w:r>
        <w:rPr>
          <w:rFonts w:eastAsia="Times New Roman" w:cs="Times New Roman" w:ascii="Times New Roman" w:hAnsi="Times New Roman"/>
          <w:color w:val="111111"/>
          <w:sz w:val="28"/>
          <w:szCs w:val="28"/>
          <w:lang w:val="en-US"/>
        </w:rPr>
        <w:t>fa-e-Sajjadiye/Rehmet Abidi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Cultural anthropology with Approach of interna- 37. Logic of The Interpretation of Holy Quranl(Ba-</w:t>
      </w:r>
    </w:p>
    <w:p>
      <w:pPr>
        <w:pStyle w:val="BookText"/>
        <w:bidi w:val="0"/>
        <w:jc w:val="both"/>
        <w:rPr/>
      </w:pPr>
      <w:r>
        <w:rPr>
          <w:rFonts w:eastAsia="Times New Roman" w:cs="Times New Roman" w:ascii="Times New Roman" w:hAnsi="Times New Roman"/>
          <w:color w:val="111111"/>
          <w:sz w:val="28"/>
          <w:szCs w:val="28"/>
          <w:lang w:val="en-US"/>
        </w:rPr>
        <w:t>tional propagation/Mohammad Raza Aqai</w:t>
      </w:r>
    </w:p>
    <w:p>
      <w:pPr>
        <w:pStyle w:val="BookText"/>
        <w:bidi w:val="0"/>
        <w:jc w:val="both"/>
        <w:rPr/>
      </w:pPr>
      <w:r>
        <w:rPr>
          <w:rFonts w:eastAsia="Times New Roman" w:cs="Times New Roman" w:ascii="Times New Roman" w:hAnsi="Times New Roman"/>
          <w:color w:val="111111"/>
          <w:sz w:val="28"/>
          <w:szCs w:val="28"/>
          <w:lang w:val="en-US"/>
        </w:rPr>
        <w:t>sics and Rules of The Interpretation of Holy Qu-</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Different perceptions from The proximity of Is-</w:t>
      </w:r>
    </w:p>
    <w:p>
      <w:pPr>
        <w:pStyle w:val="BookText"/>
        <w:bidi w:val="0"/>
        <w:jc w:val="both"/>
        <w:rPr/>
      </w:pPr>
      <w:r>
        <w:rPr>
          <w:rFonts w:eastAsia="Times New Roman" w:cs="Times New Roman" w:ascii="Times New Roman" w:hAnsi="Times New Roman"/>
          <w:color w:val="111111"/>
          <w:sz w:val="28"/>
          <w:szCs w:val="28"/>
          <w:lang w:val="en-US"/>
        </w:rPr>
        <w:t>ran)/ Mohammad Ali Rizai Isfahani</w:t>
      </w:r>
    </w:p>
    <w:p>
      <w:pPr>
        <w:pStyle w:val="BookText"/>
        <w:bidi w:val="0"/>
        <w:jc w:val="both"/>
        <w:rPr/>
      </w:pPr>
      <w:r>
        <w:rPr>
          <w:rFonts w:eastAsia="Times New Roman" w:cs="Times New Roman" w:ascii="Times New Roman" w:hAnsi="Times New Roman"/>
          <w:color w:val="111111"/>
          <w:sz w:val="28"/>
          <w:szCs w:val="28"/>
          <w:lang w:val="en-US"/>
        </w:rPr>
        <w:t>lamic Schools of Thought/Mohammad Tahir Iqbali 38. Logic of The Interpretation of Holy Quran2 (In-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terpretational Methods and trends) / Mohammad</w:t>
      </w:r>
    </w:p>
    <w:p>
      <w:pPr>
        <w:pStyle w:val="BookText"/>
        <w:bidi w:val="0"/>
        <w:jc w:val="both"/>
        <w:rPr/>
      </w:pPr>
      <w:r>
        <w:rPr>
          <w:rFonts w:eastAsia="Times New Roman" w:cs="Times New Roman" w:ascii="Times New Roman" w:hAnsi="Times New Roman"/>
          <w:color w:val="111111"/>
          <w:sz w:val="28"/>
          <w:szCs w:val="28"/>
          <w:lang w:val="en-US"/>
        </w:rPr>
        <w:t>The Holy Quran/Vol.1/ Ali Beman Malik Ahmadi Ali Rizai Isfahani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39. Logic of The Interpretation of Holy Quran 2 (Qu-</w:t>
      </w:r>
    </w:p>
    <w:p>
      <w:pPr>
        <w:pStyle w:val="BookText"/>
        <w:bidi w:val="0"/>
        <w:jc w:val="both"/>
        <w:rPr/>
      </w:pPr>
      <w:r>
        <w:rPr>
          <w:rFonts w:eastAsia="Times New Roman" w:cs="Times New Roman" w:ascii="Times New Roman" w:hAnsi="Times New Roman"/>
          <w:color w:val="111111"/>
          <w:sz w:val="28"/>
          <w:szCs w:val="28"/>
          <w:lang w:val="en-US"/>
        </w:rPr>
        <w:t>The Holy Quran/Vol.2) Ali Beman Malik Ahmadi</w:t>
      </w:r>
    </w:p>
    <w:p>
      <w:pPr>
        <w:pStyle w:val="BookText"/>
        <w:bidi w:val="0"/>
        <w:jc w:val="both"/>
        <w:rPr/>
      </w:pPr>
      <w:r>
        <w:rPr>
          <w:rFonts w:eastAsia="Times New Roman" w:cs="Times New Roman" w:ascii="Times New Roman" w:hAnsi="Times New Roman"/>
          <w:color w:val="111111"/>
          <w:sz w:val="28"/>
          <w:szCs w:val="28"/>
          <w:lang w:val="en-US"/>
        </w:rPr>
        <w:t>alik Ahmadi ran's Interpretational Methods and tendencies /</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w:t>
      </w:r>
    </w:p>
    <w:p>
      <w:pPr>
        <w:pStyle w:val="BookText"/>
        <w:bidi w:val="0"/>
        <w:jc w:val="both"/>
        <w:rPr/>
      </w:pPr>
      <w:r>
        <w:rPr>
          <w:rFonts w:eastAsia="Times New Roman" w:cs="Times New Roman" w:ascii="Times New Roman" w:hAnsi="Times New Roman"/>
          <w:color w:val="111111"/>
          <w:sz w:val="28"/>
          <w:szCs w:val="28"/>
          <w:lang w:val="en-US"/>
        </w:rPr>
        <w:t>f The Translation and concents of Mohammad Ali Rizai Isfehani</w:t>
      </w:r>
    </w:p>
    <w:p>
      <w:pPr>
        <w:pStyle w:val="BookText"/>
        <w:bidi w:val="0"/>
        <w:jc w:val="both"/>
        <w:rPr/>
      </w:pPr>
      <w:r>
        <w:rPr>
          <w:rFonts w:eastAsia="Times New Roman" w:cs="Times New Roman" w:ascii="Times New Roman" w:hAnsi="Times New Roman"/>
          <w:color w:val="111111"/>
          <w:sz w:val="28"/>
          <w:szCs w:val="28"/>
          <w:lang w:val="en-US"/>
        </w:rPr>
        <w:t>The Holy Quran/Vol.3/ Ali Beman Malik Ahmadi 40. Logic of The Interpretation of Holy Quran 3(Qu-</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ran's Interpretational Methods and tendencies) /</w:t>
      </w:r>
    </w:p>
    <w:p>
      <w:pPr>
        <w:pStyle w:val="BookText"/>
        <w:bidi w:val="0"/>
        <w:jc w:val="both"/>
        <w:rPr/>
      </w:pPr>
      <w:r>
        <w:rPr>
          <w:rFonts w:eastAsia="Times New Roman" w:cs="Times New Roman" w:ascii="Times New Roman" w:hAnsi="Times New Roman"/>
          <w:color w:val="111111"/>
          <w:sz w:val="28"/>
          <w:szCs w:val="28"/>
          <w:lang w:val="en-US"/>
        </w:rPr>
        <w:t>The Holy Quran/Vol.4/ Ali Beman Malik Ahmadi Mohammad Ali Rizai Isfehani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41. Logic of The Interpretation of Holy Quran 4(mod-</w:t>
      </w:r>
    </w:p>
    <w:p>
      <w:pPr>
        <w:pStyle w:val="BookText"/>
        <w:bidi w:val="0"/>
        <w:jc w:val="both"/>
        <w:rPr/>
      </w:pPr>
      <w:r>
        <w:rPr>
          <w:rFonts w:eastAsia="Times New Roman" w:cs="Times New Roman" w:ascii="Times New Roman" w:hAnsi="Times New Roman"/>
          <w:color w:val="111111"/>
          <w:sz w:val="28"/>
          <w:szCs w:val="28"/>
          <w:lang w:val="en-US"/>
        </w:rPr>
        <w:t>The Holy Quran/V05/ Ali Beman Malik Ahmadi ern discussions of The Interpretation/Moham-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mad Ali Rizai Isfel</w:t>
      </w:r>
    </w:p>
    <w:p>
      <w:pPr>
        <w:pStyle w:val="BookText"/>
        <w:bidi w:val="0"/>
        <w:jc w:val="both"/>
        <w:rPr/>
      </w:pPr>
      <w:r>
        <w:rPr>
          <w:rFonts w:eastAsia="Times New Roman" w:cs="Times New Roman" w:ascii="Times New Roman" w:hAnsi="Times New Roman"/>
          <w:color w:val="111111"/>
          <w:sz w:val="28"/>
          <w:szCs w:val="28"/>
          <w:lang w:val="en-US"/>
        </w:rPr>
        <w:t>mad Ali Rizai Isfehani</w:t>
      </w:r>
    </w:p>
    <w:p>
      <w:pPr>
        <w:pStyle w:val="BookText"/>
        <w:bidi w:val="0"/>
        <w:jc w:val="both"/>
        <w:rPr/>
      </w:pPr>
      <w:r>
        <w:rPr>
          <w:rFonts w:eastAsia="Times New Roman" w:cs="Times New Roman" w:ascii="Times New Roman" w:hAnsi="Times New Roman"/>
          <w:color w:val="111111"/>
          <w:sz w:val="28"/>
          <w:szCs w:val="28"/>
          <w:lang w:val="en-US"/>
        </w:rPr>
        <w:t>The Holy Quran/Vol.6/ Ali Beman Malik Ahmadi 42. Logic of The Interpretation of Holy Quran5(Qu-</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Embodiment of deeds from The Viewpoint of</w:t>
      </w:r>
    </w:p>
    <w:p>
      <w:pPr>
        <w:pStyle w:val="BookText"/>
        <w:bidi w:val="0"/>
        <w:jc w:val="both"/>
        <w:rPr/>
      </w:pPr>
      <w:r>
        <w:rPr>
          <w:rFonts w:eastAsia="Times New Roman" w:cs="Times New Roman" w:ascii="Times New Roman" w:hAnsi="Times New Roman"/>
          <w:color w:val="111111"/>
          <w:sz w:val="28"/>
          <w:szCs w:val="28"/>
          <w:lang w:val="en-US"/>
        </w:rPr>
        <w:t>ran and Human and natural Sciences)/Moham-</w:t>
      </w:r>
    </w:p>
    <w:p>
      <w:pPr>
        <w:pStyle w:val="BookText"/>
        <w:bidi w:val="0"/>
        <w:jc w:val="both"/>
        <w:rPr/>
      </w:pPr>
      <w:r>
        <w:rPr>
          <w:rFonts w:eastAsia="Times New Roman" w:cs="Times New Roman" w:ascii="Times New Roman" w:hAnsi="Times New Roman"/>
          <w:color w:val="111111"/>
          <w:sz w:val="28"/>
          <w:szCs w:val="28"/>
          <w:lang w:val="en-US"/>
        </w:rPr>
        <w:t>Allama Tabatabai. Rashid Raza in Almizan and Al- mad Ali Rizal Isfehani</w:t>
      </w:r>
    </w:p>
    <w:p>
      <w:pPr>
        <w:pStyle w:val="BookText"/>
        <w:bidi w:val="0"/>
        <w:jc w:val="both"/>
        <w:rPr/>
      </w:pPr>
      <w:r>
        <w:rPr>
          <w:rFonts w:eastAsia="Times New Roman" w:cs="Times New Roman" w:ascii="Times New Roman" w:hAnsi="Times New Roman"/>
          <w:color w:val="111111"/>
          <w:sz w:val="28"/>
          <w:szCs w:val="28"/>
          <w:lang w:val="en-US"/>
        </w:rPr>
        <w:t>manar/Siddiqah Faqihi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Mechanisms of Islamic banking/Mohammad</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Explanation and Analysis of The Attributes of acts Jawad Tawakkuli</w:t>
      </w:r>
    </w:p>
    <w:p>
      <w:pPr>
        <w:pStyle w:val="BookText"/>
        <w:bidi w:val="0"/>
        <w:jc w:val="both"/>
        <w:rPr/>
      </w:pPr>
      <w:r>
        <w:rPr>
          <w:rFonts w:eastAsia="Times New Roman" w:cs="Times New Roman" w:ascii="Times New Roman" w:hAnsi="Times New Roman"/>
          <w:color w:val="111111"/>
          <w:sz w:val="28"/>
          <w:szCs w:val="28"/>
          <w:lang w:val="en-US"/>
        </w:rPr>
        <w:t>of God in Ashura visitation/Syeda Zahra Ahmadi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Mothers of fourteen innocents/Haider Muzaf-</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Four Articles and limit-controlling/Mohammad fari Warsi</w:t>
      </w:r>
    </w:p>
    <w:p>
      <w:pPr>
        <w:pStyle w:val="BookText"/>
        <w:bidi w:val="0"/>
        <w:jc w:val="both"/>
        <w:rPr/>
      </w:pPr>
      <w:r>
        <w:rPr>
          <w:rFonts w:eastAsia="Times New Roman" w:cs="Times New Roman" w:ascii="Times New Roman" w:hAnsi="Times New Roman"/>
          <w:color w:val="111111"/>
          <w:sz w:val="28"/>
          <w:szCs w:val="28"/>
          <w:lang w:val="en-US"/>
        </w:rPr>
        <w:t>Raza Yusufi, Ruqayya Ibrahimi Shehrabad</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Necessity of Islamic Government in The Absence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Hadith and modern Sciences (Logic of under- period/Bismillah Hassani</w:t>
      </w:r>
    </w:p>
    <w:p>
      <w:pPr>
        <w:pStyle w:val="BookText"/>
        <w:bidi w:val="0"/>
        <w:jc w:val="both"/>
        <w:rPr/>
      </w:pPr>
      <w:r>
        <w:rPr>
          <w:rFonts w:eastAsia="Times New Roman" w:cs="Times New Roman" w:ascii="Times New Roman" w:hAnsi="Times New Roman"/>
          <w:color w:val="111111"/>
          <w:sz w:val="28"/>
          <w:szCs w:val="28"/>
          <w:lang w:val="en-US"/>
        </w:rPr>
        <w:t>standing scientific Narratives)/Mohammad Ali 46. Orientalists and The Holy Prophet (p.b.u.h)/Hus-</w:t>
      </w:r>
    </w:p>
    <w:p>
      <w:pPr>
        <w:pStyle w:val="BookText"/>
        <w:bidi w:val="0"/>
        <w:jc w:val="both"/>
        <w:rPr/>
      </w:pPr>
      <w:r>
        <w:rPr>
          <w:rFonts w:eastAsia="Times New Roman" w:cs="Times New Roman" w:ascii="Times New Roman" w:hAnsi="Times New Roman"/>
          <w:color w:val="111111"/>
          <w:sz w:val="28"/>
          <w:szCs w:val="28"/>
          <w:lang w:val="en-US"/>
        </w:rPr>
        <w:t>Rizai Isfehani</w:t>
      </w:r>
    </w:p>
    <w:p>
      <w:pPr>
        <w:pStyle w:val="BookText"/>
        <w:bidi w:val="0"/>
        <w:jc w:val="both"/>
        <w:rPr/>
      </w:pPr>
      <w:r>
        <w:rPr>
          <w:rFonts w:eastAsia="Times New Roman" w:cs="Times New Roman" w:ascii="Times New Roman" w:hAnsi="Times New Roman"/>
          <w:color w:val="111111"/>
          <w:sz w:val="28"/>
          <w:szCs w:val="28"/>
          <w:lang w:val="en-US"/>
        </w:rPr>
        <w:t>sain Abdul Mohammadi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History of Islamic Culture and Civilization/Mo- 47. Persian Education by Persian , Workbook, Vol.6/</w:t>
      </w:r>
    </w:p>
    <w:p>
      <w:pPr>
        <w:pStyle w:val="BookText"/>
        <w:bidi w:val="0"/>
        <w:jc w:val="both"/>
        <w:rPr/>
      </w:pPr>
      <w:r>
        <w:rPr>
          <w:rFonts w:eastAsia="Times New Roman" w:cs="Times New Roman" w:ascii="Times New Roman" w:hAnsi="Times New Roman"/>
          <w:color w:val="111111"/>
          <w:sz w:val="28"/>
          <w:szCs w:val="28"/>
          <w:lang w:val="en-US"/>
        </w:rPr>
        <w:t>hammad Raza Kashifi</w:t>
      </w:r>
    </w:p>
    <w:p>
      <w:pPr>
        <w:pStyle w:val="BookText"/>
        <w:bidi w:val="0"/>
        <w:jc w:val="both"/>
        <w:rPr/>
      </w:pPr>
      <w:r>
        <w:rPr>
          <w:rFonts w:eastAsia="Times New Roman" w:cs="Times New Roman" w:ascii="Times New Roman" w:hAnsi="Times New Roman"/>
          <w:color w:val="111111"/>
          <w:sz w:val="28"/>
          <w:szCs w:val="28"/>
          <w:lang w:val="en-US"/>
        </w:rPr>
        <w:t>Asghar Fardi, Ahmad Zahrai, Ja'afar Momini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History of organization/Mohammad Raza Shahidi 48. Persian Education by Persian , Workbook, Vol.77</w:t>
      </w:r>
    </w:p>
    <w:p>
      <w:pPr>
        <w:pStyle w:val="BookText"/>
        <w:bidi w:val="0"/>
        <w:jc w:val="both"/>
        <w:rPr/>
      </w:pPr>
      <w:r>
        <w:rPr>
          <w:rFonts w:eastAsia="Times New Roman" w:cs="Times New Roman" w:ascii="Times New Roman" w:hAnsi="Times New Roman"/>
          <w:color w:val="111111"/>
          <w:sz w:val="28"/>
          <w:szCs w:val="28"/>
          <w:lang w:val="en-US"/>
        </w:rPr>
        <w:t>Pak</w:t>
      </w:r>
    </w:p>
    <w:p>
      <w:pPr>
        <w:pStyle w:val="BookText"/>
        <w:bidi w:val="0"/>
        <w:jc w:val="both"/>
        <w:rPr/>
      </w:pPr>
      <w:r>
        <w:rPr>
          <w:rFonts w:eastAsia="Times New Roman" w:cs="Times New Roman" w:ascii="Times New Roman" w:hAnsi="Times New Roman"/>
          <w:color w:val="111111"/>
          <w:sz w:val="28"/>
          <w:szCs w:val="28"/>
          <w:lang w:val="en-US"/>
        </w:rPr>
        <w:t>Asghar Fardi, Ahmad Zahrai, Ja'afar Momini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History of Shia’ism1, Textbook/Syed Lutfullah 49. Persian Education by Persian Book4/Asghar</w:t>
      </w:r>
    </w:p>
    <w:p>
      <w:pPr>
        <w:pStyle w:val="BookText"/>
        <w:bidi w:val="0"/>
        <w:jc w:val="both"/>
        <w:rPr/>
      </w:pPr>
      <w:r>
        <w:rPr>
          <w:rFonts w:eastAsia="Times New Roman" w:cs="Times New Roman" w:ascii="Times New Roman" w:hAnsi="Times New Roman"/>
          <w:color w:val="111111"/>
          <w:sz w:val="28"/>
          <w:szCs w:val="28"/>
          <w:lang w:val="en-US"/>
        </w:rPr>
        <w:t>Jalali</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Fardi, Ahmad Zahrai </w:t>
      </w:r>
    </w:p>
    <w:p>
      <w:pPr>
        <w:pStyle w:val="BookText"/>
        <w:bidi w:val="0"/>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Persian Education by Persian, (preliminary d ence, Vol.2/Syed Mir Taqi Hussaini Gurgani</w:t>
      </w:r>
    </w:p>
    <w:p>
      <w:pPr>
        <w:pStyle w:val="BookText"/>
        <w:bidi w:val="0"/>
        <w:jc w:val="both"/>
        <w:rPr/>
      </w:pPr>
      <w:r>
        <w:rPr>
          <w:rFonts w:eastAsia="Times New Roman" w:cs="Times New Roman" w:ascii="Times New Roman" w:hAnsi="Times New Roman"/>
          <w:color w:val="111111"/>
          <w:sz w:val="28"/>
          <w:szCs w:val="28"/>
          <w:lang w:val="en-US"/>
        </w:rPr>
        <w:t>book1/1)/Ahmad Zahrai and Asghar Fardi 77. Divine social laws in The Holy Quran Ahmad</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Philosophy of Ethics/Mohammad Fath Ali Khani</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Philosophy of History/Jawad Sunalimani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Endowment in Islamic shariyyah, jurisprudential</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Place of “Urf"(common Culture) in “Istinbat" (ju- Study comparing five Schools of though/Syed Adil</w:t>
      </w:r>
    </w:p>
    <w:p>
      <w:pPr>
        <w:pStyle w:val="BookText"/>
        <w:bidi w:val="0"/>
        <w:jc w:val="both"/>
        <w:rPr/>
      </w:pPr>
      <w:r>
        <w:rPr>
          <w:rFonts w:eastAsia="Times New Roman" w:cs="Times New Roman" w:ascii="Times New Roman" w:hAnsi="Times New Roman"/>
          <w:color w:val="111111"/>
          <w:sz w:val="28"/>
          <w:szCs w:val="28"/>
          <w:lang w:val="en-US"/>
        </w:rPr>
        <w:t>ridical deduction)/Taqavi al Kanai</w:t>
      </w:r>
    </w:p>
    <w:p>
      <w:pPr>
        <w:pStyle w:val="BookText"/>
        <w:bidi w:val="0"/>
        <w:jc w:val="both"/>
        <w:rPr/>
      </w:pPr>
      <w:r>
        <w:rPr>
          <w:rFonts w:eastAsia="Times New Roman" w:cs="Times New Roman" w:ascii="Times New Roman" w:hAnsi="Times New Roman"/>
          <w:color w:val="111111"/>
          <w:sz w:val="28"/>
          <w:szCs w:val="28"/>
          <w:lang w:val="en-US"/>
        </w:rPr>
        <w:t>Mousavi al Khirsan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Principles and Methods of Teaching youth Reli- 79. Essence of creation (for knowing the right Be-</w:t>
      </w:r>
    </w:p>
    <w:p>
      <w:pPr>
        <w:pStyle w:val="BookText"/>
        <w:bidi w:val="0"/>
        <w:jc w:val="both"/>
        <w:rPr/>
      </w:pPr>
      <w:r>
        <w:rPr>
          <w:rFonts w:eastAsia="Times New Roman" w:cs="Times New Roman" w:ascii="Times New Roman" w:hAnsi="Times New Roman"/>
          <w:color w:val="111111"/>
          <w:sz w:val="28"/>
          <w:szCs w:val="28"/>
          <w:lang w:val="en-US"/>
        </w:rPr>
        <w:t>gious concepts/Hamidullah Rizai</w:t>
      </w:r>
    </w:p>
    <w:p>
      <w:pPr>
        <w:pStyle w:val="BookText"/>
        <w:bidi w:val="0"/>
        <w:jc w:val="both"/>
        <w:rPr/>
      </w:pPr>
      <w:r>
        <w:rPr>
          <w:rFonts w:eastAsia="Times New Roman" w:cs="Times New Roman" w:ascii="Times New Roman" w:hAnsi="Times New Roman"/>
          <w:color w:val="111111"/>
          <w:sz w:val="28"/>
          <w:szCs w:val="28"/>
          <w:lang w:val="en-US"/>
        </w:rPr>
        <w:t>lief)mohammad Mehdi Hairipur, Mehdi Yusufi-</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Quranic movement communal duty/Ali Raza yan, Mohammad Amin Baladastiyan</w:t>
      </w:r>
    </w:p>
    <w:p>
      <w:pPr>
        <w:pStyle w:val="BookText"/>
        <w:bidi w:val="0"/>
        <w:jc w:val="both"/>
        <w:rPr/>
      </w:pPr>
      <w:r>
        <w:rPr>
          <w:rFonts w:eastAsia="Times New Roman" w:cs="Times New Roman" w:ascii="Times New Roman" w:hAnsi="Times New Roman"/>
          <w:color w:val="111111"/>
          <w:sz w:val="28"/>
          <w:szCs w:val="28"/>
          <w:lang w:val="en-US"/>
        </w:rPr>
        <w:t>A'arafi</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Family Planning/Mohammad Hussain Khalique</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Quranic Sciences 2 (absolute inimitablity of The 81. From jihad to jihad/Syed Hassan Firouz Abadi</w:t>
      </w:r>
    </w:p>
    <w:p>
      <w:pPr>
        <w:pStyle w:val="BookText"/>
        <w:bidi w:val="0"/>
        <w:jc w:val="both"/>
        <w:rPr/>
      </w:pPr>
      <w:r>
        <w:rPr>
          <w:rFonts w:eastAsia="Times New Roman" w:cs="Times New Roman" w:ascii="Times New Roman" w:hAnsi="Times New Roman"/>
          <w:color w:val="111111"/>
          <w:sz w:val="28"/>
          <w:szCs w:val="28"/>
          <w:lang w:val="en-US"/>
        </w:rPr>
        <w:t>Holy Quran in Human and natural Sciences )/Mo- 82. Guiding Syntax/Hussain Sher Afkan</w:t>
      </w:r>
    </w:p>
    <w:p>
      <w:pPr>
        <w:pStyle w:val="BookText"/>
        <w:bidi w:val="0"/>
        <w:jc w:val="both"/>
        <w:rPr/>
      </w:pPr>
      <w:r>
        <w:rPr>
          <w:rFonts w:eastAsia="Times New Roman" w:cs="Times New Roman" w:ascii="Times New Roman" w:hAnsi="Times New Roman"/>
          <w:color w:val="111111"/>
          <w:sz w:val="28"/>
          <w:szCs w:val="28"/>
          <w:lang w:val="en-US"/>
        </w:rPr>
        <w:t>hammad Ali Rizai Isfehani</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Guiding Syntax/Hussain Sher Afkan</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Revelation issue and answer to Their doubts / 84. History of Islamic Culture and Civilization/Mo-</w:t>
      </w:r>
    </w:p>
    <w:p>
      <w:pPr>
        <w:pStyle w:val="BookText"/>
        <w:bidi w:val="0"/>
        <w:jc w:val="both"/>
        <w:rPr/>
      </w:pPr>
      <w:r>
        <w:rPr>
          <w:rFonts w:eastAsia="Times New Roman" w:cs="Times New Roman" w:ascii="Times New Roman" w:hAnsi="Times New Roman"/>
          <w:color w:val="111111"/>
          <w:sz w:val="28"/>
          <w:szCs w:val="28"/>
          <w:lang w:val="en-US"/>
        </w:rPr>
        <w:t>Questions/ Hassan Alavi Mehr</w:t>
      </w:r>
    </w:p>
    <w:p>
      <w:pPr>
        <w:pStyle w:val="BookText"/>
        <w:bidi w:val="0"/>
        <w:jc w:val="both"/>
        <w:rPr/>
      </w:pPr>
      <w:r>
        <w:rPr>
          <w:rFonts w:eastAsia="Times New Roman" w:cs="Times New Roman" w:ascii="Times New Roman" w:hAnsi="Times New Roman"/>
          <w:color w:val="111111"/>
          <w:sz w:val="28"/>
          <w:szCs w:val="28"/>
          <w:lang w:val="en-US"/>
        </w:rPr>
        <w:t>hammad Raza Kashifi</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Sovereignty and governance in Nehjul Balagha/ 85. Imamate before Hilli and Qushaji between "nass"</w:t>
      </w:r>
    </w:p>
    <w:p>
      <w:pPr>
        <w:pStyle w:val="BookText"/>
        <w:bidi w:val="0"/>
        <w:jc w:val="both"/>
        <w:rPr/>
      </w:pPr>
      <w:r>
        <w:rPr>
          <w:rFonts w:eastAsia="Times New Roman" w:cs="Times New Roman" w:ascii="Times New Roman" w:hAnsi="Times New Roman"/>
          <w:color w:val="111111"/>
          <w:sz w:val="28"/>
          <w:szCs w:val="28"/>
          <w:lang w:val="en-US"/>
        </w:rPr>
        <w:t>Mohammad Mehdi Babapur Gul Afshani</w:t>
      </w:r>
    </w:p>
    <w:p>
      <w:pPr>
        <w:pStyle w:val="BookText"/>
        <w:bidi w:val="0"/>
        <w:jc w:val="both"/>
        <w:rPr/>
      </w:pPr>
      <w:r>
        <w:rPr>
          <w:rFonts w:eastAsia="Times New Roman" w:cs="Times New Roman" w:ascii="Times New Roman" w:hAnsi="Times New Roman"/>
          <w:color w:val="111111"/>
          <w:sz w:val="28"/>
          <w:szCs w:val="28"/>
          <w:lang w:val="en-US"/>
        </w:rPr>
        <w:t>(clear injunction) and "Ikhtiyar" (ligerty)/Umair</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Textbook for single words of Holy Quran/Shahid Jamil Sharara</w:t>
      </w:r>
    </w:p>
    <w:p>
      <w:pPr>
        <w:pStyle w:val="BookText"/>
        <w:bidi w:val="0"/>
        <w:jc w:val="both"/>
        <w:rPr/>
      </w:pPr>
      <w:r>
        <w:rPr>
          <w:rFonts w:eastAsia="Times New Roman" w:cs="Times New Roman" w:ascii="Times New Roman" w:hAnsi="Times New Roman"/>
          <w:color w:val="111111"/>
          <w:sz w:val="28"/>
          <w:szCs w:val="28"/>
          <w:lang w:val="en-US"/>
        </w:rPr>
        <w:t>Ghulam Ali Humai</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Introduction of important Islamic Religions and</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Textbook of analytical History of Ahl-e-Bait Theological Schools/Shakib bin Badira Al Tubaili</w:t>
      </w:r>
    </w:p>
    <w:p>
      <w:pPr>
        <w:pStyle w:val="BookText"/>
        <w:bidi w:val="0"/>
        <w:jc w:val="both"/>
        <w:rPr/>
      </w:pPr>
      <w:r>
        <w:rPr>
          <w:rFonts w:eastAsia="Times New Roman" w:cs="Times New Roman" w:ascii="Times New Roman" w:hAnsi="Times New Roman"/>
          <w:color w:val="111111"/>
          <w:sz w:val="28"/>
          <w:szCs w:val="28"/>
          <w:lang w:val="en-US"/>
        </w:rPr>
        <w:t>(p.b.u.t)/Majid Haideri Niek</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Introduction of The History of The interpreters</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Textbook of The Basics and Rules of The Inter- and The Interpretations/Hussain Alavi Mehr</w:t>
      </w:r>
    </w:p>
    <w:p>
      <w:pPr>
        <w:pStyle w:val="BookText"/>
        <w:bidi w:val="0"/>
        <w:jc w:val="both"/>
        <w:rPr/>
      </w:pPr>
      <w:r>
        <w:rPr>
          <w:rFonts w:eastAsia="Times New Roman" w:cs="Times New Roman" w:ascii="Times New Roman" w:hAnsi="Times New Roman"/>
          <w:color w:val="111111"/>
          <w:sz w:val="28"/>
          <w:szCs w:val="28"/>
          <w:lang w:val="en-US"/>
        </w:rPr>
        <w:t>pretation(a summery of The Logic of The Inter- 88. Introductory Lessons of Imami Jurisprudence/</w:t>
      </w:r>
    </w:p>
    <w:p>
      <w:pPr>
        <w:pStyle w:val="BookText"/>
        <w:bidi w:val="0"/>
        <w:jc w:val="both"/>
        <w:rPr/>
      </w:pPr>
      <w:r>
        <w:rPr>
          <w:rFonts w:eastAsia="Times New Roman" w:cs="Times New Roman" w:ascii="Times New Roman" w:hAnsi="Times New Roman"/>
          <w:color w:val="111111"/>
          <w:sz w:val="28"/>
          <w:szCs w:val="28"/>
          <w:lang w:val="en-US"/>
        </w:rPr>
        <w:t>pretation of Quran1) Mohammad Ali Rizai Isfehani Syed Mohammad Yazdi Najafi</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 constitution of The Islamic republic of Iran/ 89. Introductory Lessons of The Demonstrative</w:t>
      </w:r>
    </w:p>
    <w:p>
      <w:pPr>
        <w:pStyle w:val="BookText"/>
        <w:bidi w:val="0"/>
        <w:jc w:val="both"/>
        <w:rPr/>
      </w:pPr>
      <w:r>
        <w:rPr>
          <w:rFonts w:eastAsia="Times New Roman" w:cs="Times New Roman" w:ascii="Times New Roman" w:hAnsi="Times New Roman"/>
          <w:color w:val="111111"/>
          <w:sz w:val="28"/>
          <w:szCs w:val="28"/>
          <w:lang w:val="en-US"/>
        </w:rPr>
        <w:t>Group of Authors</w:t>
      </w:r>
    </w:p>
    <w:p>
      <w:pPr>
        <w:pStyle w:val="BookText"/>
        <w:bidi w:val="0"/>
        <w:jc w:val="both"/>
        <w:rPr/>
      </w:pPr>
      <w:r>
        <w:rPr>
          <w:rFonts w:eastAsia="Times New Roman" w:cs="Times New Roman" w:ascii="Times New Roman" w:hAnsi="Times New Roman"/>
          <w:color w:val="111111"/>
          <w:sz w:val="28"/>
          <w:szCs w:val="28"/>
          <w:lang w:val="en-US"/>
        </w:rPr>
        <w:t>Jurisprudence bilateral contracts and onesided</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 stratigies being protected from interest dispositions))Vol.3/ Shiekh Baqir Irwani</w:t>
      </w:r>
    </w:p>
    <w:p>
      <w:pPr>
        <w:pStyle w:val="BookText"/>
        <w:bidi w:val="0"/>
        <w:jc w:val="both"/>
        <w:rPr/>
      </w:pPr>
      <w:r>
        <w:rPr>
          <w:rFonts w:eastAsia="Times New Roman" w:cs="Times New Roman" w:ascii="Times New Roman" w:hAnsi="Times New Roman"/>
          <w:color w:val="111111"/>
          <w:sz w:val="28"/>
          <w:szCs w:val="28"/>
          <w:lang w:val="en-US"/>
        </w:rPr>
        <w:t>deals/Ghulam Murtaza Ansari</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Introductory Lessons of The Demonstrative</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Towards Quran (reading and familiarity with Qu- Jurisprudence(Islamic Duties) Vol.1/ Shiekh</w:t>
      </w:r>
    </w:p>
    <w:p>
      <w:pPr>
        <w:pStyle w:val="BookText"/>
        <w:bidi w:val="0"/>
        <w:jc w:val="both"/>
        <w:rPr/>
      </w:pPr>
      <w:r>
        <w:rPr>
          <w:rFonts w:eastAsia="Times New Roman" w:cs="Times New Roman" w:ascii="Times New Roman" w:hAnsi="Times New Roman"/>
          <w:color w:val="111111"/>
          <w:sz w:val="28"/>
          <w:szCs w:val="28"/>
          <w:lang w:val="en-US"/>
        </w:rPr>
        <w:t>ran) Abul Fadhl Khosh Manish/French</w:t>
      </w:r>
    </w:p>
    <w:p>
      <w:pPr>
        <w:pStyle w:val="BookText"/>
        <w:bidi w:val="0"/>
        <w:jc w:val="both"/>
        <w:rPr/>
      </w:pPr>
      <w:r>
        <w:rPr>
          <w:rFonts w:eastAsia="Times New Roman" w:cs="Times New Roman" w:ascii="Times New Roman" w:hAnsi="Times New Roman"/>
          <w:color w:val="111111"/>
          <w:sz w:val="28"/>
          <w:szCs w:val="28"/>
          <w:lang w:val="en-US"/>
        </w:rPr>
        <w:t>Baqir Irwani</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Translation and explanation of Halqa Thalaitha 91. Introductory Lessons of The Demonstrative</w:t>
      </w:r>
    </w:p>
    <w:p>
      <w:pPr>
        <w:pStyle w:val="BookText"/>
        <w:bidi w:val="0"/>
        <w:jc w:val="both"/>
        <w:rPr/>
      </w:pPr>
      <w:r>
        <w:rPr>
          <w:rFonts w:eastAsia="Times New Roman" w:cs="Times New Roman" w:ascii="Times New Roman" w:hAnsi="Times New Roman"/>
          <w:color w:val="111111"/>
          <w:sz w:val="28"/>
          <w:szCs w:val="28"/>
          <w:lang w:val="en-US"/>
        </w:rPr>
        <w:t>of Ayatollah Shahid Syed Mohammad Baqir Sadr, Jurisprudence(Islamic laws))Vol.4/ Shiekh Baqir</w:t>
      </w:r>
    </w:p>
    <w:p>
      <w:pPr>
        <w:pStyle w:val="BookText"/>
        <w:bidi w:val="0"/>
        <w:jc w:val="both"/>
        <w:rPr/>
      </w:pPr>
      <w:r>
        <w:rPr>
          <w:rFonts w:eastAsia="Times New Roman" w:cs="Times New Roman" w:ascii="Times New Roman" w:hAnsi="Times New Roman"/>
          <w:color w:val="111111"/>
          <w:sz w:val="28"/>
          <w:szCs w:val="28"/>
          <w:lang w:val="en-US"/>
        </w:rPr>
        <w:t>Vol.1/Ahmad Murad Khani/</w:t>
      </w:r>
    </w:p>
    <w:p>
      <w:pPr>
        <w:pStyle w:val="BookText"/>
        <w:bidi w:val="0"/>
        <w:jc w:val="both"/>
        <w:rPr/>
      </w:pPr>
      <w:r>
        <w:rPr>
          <w:rFonts w:eastAsia="Times New Roman" w:cs="Times New Roman" w:ascii="Times New Roman" w:hAnsi="Times New Roman"/>
          <w:color w:val="111111"/>
          <w:sz w:val="28"/>
          <w:szCs w:val="28"/>
          <w:lang w:val="en-US"/>
        </w:rPr>
        <w:t>Irwani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Type of friendship from The View point of Islam) 92. Introductory Lessons of The Demonstrative</w:t>
      </w:r>
    </w:p>
    <w:p>
      <w:pPr>
        <w:pStyle w:val="BookText"/>
        <w:bidi w:val="0"/>
        <w:jc w:val="both"/>
        <w:rPr/>
      </w:pPr>
      <w:r>
        <w:rPr>
          <w:rFonts w:eastAsia="Times New Roman" w:cs="Times New Roman" w:ascii="Times New Roman" w:hAnsi="Times New Roman"/>
          <w:color w:val="111111"/>
          <w:sz w:val="28"/>
          <w:szCs w:val="28"/>
          <w:lang w:val="en-US"/>
        </w:rPr>
        <w:t>Ainullah Noruzi</w:t>
      </w:r>
    </w:p>
    <w:p>
      <w:pPr>
        <w:pStyle w:val="BookText"/>
        <w:bidi w:val="0"/>
        <w:jc w:val="both"/>
        <w:rPr/>
      </w:pPr>
      <w:r>
        <w:rPr>
          <w:rFonts w:eastAsia="Times New Roman" w:cs="Times New Roman" w:ascii="Times New Roman" w:hAnsi="Times New Roman"/>
          <w:color w:val="111111"/>
          <w:sz w:val="28"/>
          <w:szCs w:val="28"/>
          <w:lang w:val="en-US"/>
        </w:rPr>
        <w:t>Jurisprudence Vol.2 (bilateral contracts)/ Shiekh</w:t>
      </w:r>
    </w:p>
    <w:p>
      <w:pPr>
        <w:pStyle w:val="BookText"/>
        <w:bidi w:val="0"/>
        <w:jc w:val="both"/>
        <w:rPr/>
      </w:pPr>
      <w:r>
        <w:rPr>
          <w:rFonts w:eastAsia="Times New Roman" w:cs="Times New Roman" w:ascii="Times New Roman" w:hAnsi="Times New Roman"/>
          <w:color w:val="111111"/>
          <w:sz w:val="28"/>
          <w:szCs w:val="28"/>
          <w:lang w:val="en-US"/>
        </w:rPr>
        <w:t>Arabic</w:t>
      </w:r>
    </w:p>
    <w:p>
      <w:pPr>
        <w:pStyle w:val="BookText"/>
        <w:bidi w:val="0"/>
        <w:jc w:val="both"/>
        <w:rPr/>
      </w:pPr>
      <w:r>
        <w:rPr>
          <w:rFonts w:eastAsia="Times New Roman" w:cs="Times New Roman" w:ascii="Times New Roman" w:hAnsi="Times New Roman"/>
          <w:color w:val="111111"/>
          <w:sz w:val="28"/>
          <w:szCs w:val="28"/>
          <w:lang w:val="en-US"/>
        </w:rPr>
        <w:t>Baqir Irwani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 brief History of Islam, part1/Syed Munzair 93. Introductory Lessons of Theology Sadique Sa'adi</w:t>
      </w:r>
    </w:p>
    <w:p>
      <w:pPr>
        <w:pStyle w:val="BookText"/>
        <w:bidi w:val="0"/>
        <w:jc w:val="both"/>
        <w:rPr/>
      </w:pPr>
      <w:r>
        <w:rPr>
          <w:rFonts w:eastAsia="Times New Roman" w:cs="Times New Roman" w:ascii="Times New Roman" w:hAnsi="Times New Roman"/>
          <w:color w:val="111111"/>
          <w:sz w:val="28"/>
          <w:szCs w:val="28"/>
          <w:lang w:val="en-US"/>
        </w:rPr>
        <w:t>Hakim/ summarized by Mehmood al Saif 94. Islamic Etiquettes, Vol. 2/Muhammad Andalib</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 brief History of Islam, part2/Syed Munzair 95. Islamic Etiquettes,Vol.1/Muhammad Andalib</w:t>
      </w:r>
    </w:p>
    <w:p>
      <w:pPr>
        <w:pStyle w:val="BookText"/>
        <w:bidi w:val="0"/>
        <w:jc w:val="both"/>
        <w:rPr/>
      </w:pPr>
      <w:r>
        <w:rPr>
          <w:rFonts w:eastAsia="Times New Roman" w:cs="Times New Roman" w:ascii="Times New Roman" w:hAnsi="Times New Roman"/>
          <w:color w:val="111111"/>
          <w:sz w:val="28"/>
          <w:szCs w:val="28"/>
          <w:lang w:val="en-US"/>
        </w:rPr>
        <w:t>Hakim/ summarized by Mehmood al Saif 96. Lessons of eloquence/Shiekh Moeen Daçique Al</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 brief History of Islam, part3/Syed Munzair Amili</w:t>
      </w:r>
    </w:p>
    <w:p>
      <w:pPr>
        <w:pStyle w:val="BookText"/>
        <w:bidi w:val="0"/>
        <w:jc w:val="both"/>
        <w:rPr/>
      </w:pPr>
      <w:r>
        <w:rPr>
          <w:rFonts w:eastAsia="Times New Roman" w:cs="Times New Roman" w:ascii="Times New Roman" w:hAnsi="Times New Roman"/>
          <w:color w:val="111111"/>
          <w:sz w:val="28"/>
          <w:szCs w:val="28"/>
          <w:lang w:val="en-US"/>
        </w:rPr>
        <w:t>Hakim/ summarized by Mehmood al Saif 97. Lessons of eloquence/Shiekh Moeen Daqique</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 brief History of Islam, part4/Syed Munzair 98. Lessons of Shia and Shiaism/Ali Rabbani Gul-</w:t>
      </w:r>
    </w:p>
    <w:p>
      <w:pPr>
        <w:pStyle w:val="BookText"/>
        <w:bidi w:val="0"/>
        <w:jc w:val="both"/>
        <w:rPr/>
      </w:pPr>
      <w:r>
        <w:rPr>
          <w:rFonts w:eastAsia="Times New Roman" w:cs="Times New Roman" w:ascii="Times New Roman" w:hAnsi="Times New Roman"/>
          <w:color w:val="111111"/>
          <w:sz w:val="28"/>
          <w:szCs w:val="28"/>
          <w:lang w:val="en-US"/>
        </w:rPr>
        <w:t>Hakim/ summarized by Mehmood al Saif paigani</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Application book1/ Shakir Mahmood Afzali, 99. Logic of The Interpretation of Quran1 (Introduc-</w:t>
      </w:r>
    </w:p>
    <w:p>
      <w:pPr>
        <w:pStyle w:val="BookText"/>
        <w:bidi w:val="0"/>
        <w:jc w:val="both"/>
        <w:rPr/>
      </w:pPr>
      <w:r>
        <w:rPr>
          <w:rFonts w:eastAsia="Times New Roman" w:cs="Times New Roman" w:ascii="Times New Roman" w:hAnsi="Times New Roman"/>
          <w:color w:val="111111"/>
          <w:sz w:val="28"/>
          <w:szCs w:val="28"/>
          <w:lang w:val="en-US"/>
        </w:rPr>
        <w:t>Mietham Rab'ei Arabi</w:t>
      </w:r>
    </w:p>
    <w:p>
      <w:pPr>
        <w:pStyle w:val="BookText"/>
        <w:bidi w:val="0"/>
        <w:jc w:val="both"/>
        <w:rPr/>
      </w:pPr>
      <w:r>
        <w:rPr>
          <w:rFonts w:eastAsia="Times New Roman" w:cs="Times New Roman" w:ascii="Times New Roman" w:hAnsi="Times New Roman"/>
          <w:color w:val="111111"/>
          <w:sz w:val="28"/>
          <w:szCs w:val="28"/>
          <w:lang w:val="en-US"/>
        </w:rPr>
        <w:t>tion of Principles and Methods of The Interpreta-</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Application book2/ Shakir Mahmood Afzali, tion of Holy Quran / Mohammad Ali Rizai Isfahani</w:t>
      </w:r>
    </w:p>
    <w:p>
      <w:pPr>
        <w:pStyle w:val="BookText"/>
        <w:bidi w:val="0"/>
        <w:jc w:val="both"/>
        <w:rPr/>
      </w:pPr>
      <w:r>
        <w:rPr>
          <w:rFonts w:eastAsia="Times New Roman" w:cs="Times New Roman" w:ascii="Times New Roman" w:hAnsi="Times New Roman"/>
          <w:color w:val="111111"/>
          <w:sz w:val="28"/>
          <w:szCs w:val="28"/>
          <w:lang w:val="en-US"/>
        </w:rPr>
        <w:t>Mietham Rab'ei Arabi</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Personal status (Nikah-Marriage)/Syed Mo-</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Arabic Language book2/Shakir Mahmood Afzali, hammad Najafi Yazdi</w:t>
      </w:r>
    </w:p>
    <w:p>
      <w:pPr>
        <w:pStyle w:val="BookText"/>
        <w:bidi w:val="0"/>
        <w:jc w:val="both"/>
        <w:rPr/>
      </w:pPr>
      <w:r>
        <w:rPr>
          <w:rFonts w:eastAsia="Times New Roman" w:cs="Times New Roman" w:ascii="Times New Roman" w:hAnsi="Times New Roman"/>
          <w:color w:val="111111"/>
          <w:sz w:val="28"/>
          <w:szCs w:val="28"/>
          <w:lang w:val="en-US"/>
        </w:rPr>
        <w:t>Mietham Rab'ei</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Regulations of breastfeeding, Vol.1/Syed Mo-</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Arabic Language book3/Shakir Mahmood Afzali, hammad Baqir Damad, editing:Syed Mujtaba Mir-</w:t>
      </w:r>
    </w:p>
    <w:p>
      <w:pPr>
        <w:pStyle w:val="BookText"/>
        <w:bidi w:val="0"/>
        <w:jc w:val="both"/>
        <w:rPr/>
      </w:pPr>
      <w:r>
        <w:rPr>
          <w:rFonts w:eastAsia="Times New Roman" w:cs="Times New Roman" w:ascii="Times New Roman" w:hAnsi="Times New Roman"/>
          <w:color w:val="111111"/>
          <w:sz w:val="28"/>
          <w:szCs w:val="28"/>
          <w:lang w:val="en-US"/>
        </w:rPr>
        <w:t>Mietham Rab'ei</w:t>
      </w:r>
    </w:p>
    <w:p>
      <w:pPr>
        <w:pStyle w:val="BookText"/>
        <w:bidi w:val="0"/>
        <w:jc w:val="both"/>
        <w:rPr/>
      </w:pPr>
      <w:r>
        <w:rPr>
          <w:rFonts w:eastAsia="Times New Roman" w:cs="Times New Roman" w:ascii="Times New Roman" w:hAnsi="Times New Roman"/>
          <w:color w:val="111111"/>
          <w:sz w:val="28"/>
          <w:szCs w:val="28"/>
          <w:lang w:val="en-US"/>
        </w:rPr>
        <w:t>damad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Beacon of mind in Close Theoretical Jurispru- 102. Regulations of breastfeeding, Vol.2/Syed Mo-</w:t>
      </w:r>
    </w:p>
    <w:p>
      <w:pPr>
        <w:pStyle w:val="BookText"/>
        <w:bidi w:val="0"/>
        <w:jc w:val="both"/>
        <w:rPr/>
      </w:pPr>
      <w:r>
        <w:rPr>
          <w:rFonts w:eastAsia="Times New Roman" w:cs="Times New Roman" w:ascii="Times New Roman" w:hAnsi="Times New Roman"/>
          <w:color w:val="111111"/>
          <w:sz w:val="28"/>
          <w:szCs w:val="28"/>
          <w:lang w:val="en-US"/>
        </w:rPr>
        <w:t>dence, Vol.1/Syed Mir Taqi Hussaini Gurgani hammad Baqir Damad, editing:Syed Mujtaba Mir-</w:t>
      </w:r>
    </w:p>
    <w:p>
      <w:pPr>
        <w:pStyle w:val="BookText"/>
        <w:bidi w:val="0"/>
        <w:jc w:val="both"/>
        <w:rPr/>
      </w:pPr>
      <w:r>
        <w:rPr>
          <w:rFonts w:eastAsia="Times New Roman" w:cs="Times New Roman" w:ascii="Times New Roman" w:hAnsi="Times New Roman"/>
          <w:color w:val="111111"/>
          <w:sz w:val="28"/>
          <w:szCs w:val="28"/>
          <w:lang w:val="en-US"/>
        </w:rPr>
        <w:t>76.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Beacon of mind in Close Theoretical Jurispru damad</w:t>
      </w:r>
    </w:p>
    <w:p>
      <w:pPr>
        <w:pStyle w:val="BookText"/>
        <w:bidi w:val="0"/>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Start of Theroretical Jurisprudence/Syed Raza 130. History of The absence period, Textbook/Mo-</w:t>
      </w:r>
    </w:p>
    <w:p>
      <w:pPr>
        <w:pStyle w:val="BookText"/>
        <w:bidi w:val="0"/>
        <w:jc w:val="both"/>
        <w:rPr/>
      </w:pPr>
      <w:r>
        <w:rPr>
          <w:rFonts w:eastAsia="Times New Roman" w:cs="Times New Roman" w:ascii="Times New Roman" w:hAnsi="Times New Roman"/>
          <w:color w:val="111111"/>
          <w:sz w:val="28"/>
          <w:szCs w:val="28"/>
          <w:lang w:val="en-US"/>
        </w:rPr>
        <w:t>Payambar Pur</w:t>
      </w:r>
    </w:p>
    <w:p>
      <w:pPr>
        <w:pStyle w:val="BookText"/>
        <w:bidi w:val="0"/>
        <w:jc w:val="both"/>
        <w:rPr/>
      </w:pPr>
      <w:r>
        <w:rPr>
          <w:rFonts w:eastAsia="Times New Roman" w:cs="Times New Roman" w:ascii="Times New Roman" w:hAnsi="Times New Roman"/>
          <w:color w:val="111111"/>
          <w:sz w:val="28"/>
          <w:szCs w:val="28"/>
          <w:lang w:val="en-US"/>
        </w:rPr>
        <w:t>hammad Pur Syed Aqai, Mohammad Raza Jabbari,</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Study and Arabic Texts (for non-arabics Syed Hassan Ashurai, Syed Munzir Hakim</w:t>
      </w:r>
    </w:p>
    <w:p>
      <w:pPr>
        <w:pStyle w:val="BookText"/>
        <w:bidi w:val="0"/>
        <w:jc w:val="both"/>
        <w:rPr/>
      </w:pPr>
      <w:r>
        <w:rPr>
          <w:rFonts w:eastAsia="Times New Roman" w:cs="Times New Roman" w:ascii="Times New Roman" w:hAnsi="Times New Roman"/>
          <w:color w:val="111111"/>
          <w:sz w:val="28"/>
          <w:szCs w:val="28"/>
          <w:lang w:val="en-US"/>
        </w:rPr>
        <w:t>Abdul Hadi al Sharifi</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Law of Wisdom and Divine Revelation/Hassan</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Teaching program for Halqa Thania, Vol.1] Mehdi Zadeh</w:t>
      </w:r>
    </w:p>
    <w:p>
      <w:pPr>
        <w:pStyle w:val="BookText"/>
        <w:bidi w:val="0"/>
        <w:jc w:val="both"/>
        <w:rPr/>
      </w:pPr>
      <w:r>
        <w:rPr>
          <w:rFonts w:eastAsia="Times New Roman" w:cs="Times New Roman" w:ascii="Times New Roman" w:hAnsi="Times New Roman"/>
          <w:color w:val="111111"/>
          <w:sz w:val="28"/>
          <w:szCs w:val="28"/>
          <w:lang w:val="en-US"/>
        </w:rPr>
        <w:t>Mehmood al Aidani</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Laws of Hijab and chastity/Hamid Jalfai</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Teaching program for Halqa Thania, Vol.1/ 133. Laws of permanent and temporary marriage ac-</w:t>
      </w:r>
    </w:p>
    <w:p>
      <w:pPr>
        <w:pStyle w:val="BookText"/>
        <w:bidi w:val="0"/>
        <w:jc w:val="both"/>
        <w:rPr/>
      </w:pPr>
      <w:r>
        <w:rPr>
          <w:rFonts w:eastAsia="Times New Roman" w:cs="Times New Roman" w:ascii="Times New Roman" w:hAnsi="Times New Roman"/>
          <w:color w:val="111111"/>
          <w:sz w:val="28"/>
          <w:szCs w:val="28"/>
          <w:lang w:val="en-US"/>
        </w:rPr>
        <w:t>Mehmood al Aidani</w:t>
      </w:r>
    </w:p>
    <w:p>
      <w:pPr>
        <w:pStyle w:val="BookText"/>
        <w:bidi w:val="0"/>
        <w:jc w:val="both"/>
        <w:rPr/>
      </w:pPr>
      <w:r>
        <w:rPr>
          <w:rFonts w:eastAsia="Times New Roman" w:cs="Times New Roman" w:ascii="Times New Roman" w:hAnsi="Times New Roman"/>
          <w:color w:val="111111"/>
          <w:sz w:val="28"/>
          <w:szCs w:val="28"/>
          <w:lang w:val="en-US"/>
        </w:rPr>
        <w:t>cording to The decrees of honorable legal author-</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The family in The practical life of The Holy ities/Syed Hujjat Mousavi Khoi</w:t>
      </w:r>
    </w:p>
    <w:p>
      <w:pPr>
        <w:pStyle w:val="BookText"/>
        <w:bidi w:val="0"/>
        <w:jc w:val="both"/>
        <w:rPr/>
      </w:pPr>
      <w:r>
        <w:rPr>
          <w:rFonts w:eastAsia="Times New Roman" w:cs="Times New Roman" w:ascii="Times New Roman" w:hAnsi="Times New Roman"/>
          <w:color w:val="111111"/>
          <w:sz w:val="28"/>
          <w:szCs w:val="28"/>
          <w:lang w:val="en-US"/>
        </w:rPr>
        <w:t>Prophet(p.b.u.h) and Ahl-e-Bait (p.b.u.t)/Moham- 134. Sahifa-e-Shahadat (scripture of martyrdom)</w:t>
      </w:r>
    </w:p>
    <w:p>
      <w:pPr>
        <w:pStyle w:val="BookText"/>
        <w:bidi w:val="0"/>
        <w:jc w:val="both"/>
        <w:rPr/>
      </w:pPr>
      <w:r>
        <w:rPr>
          <w:rFonts w:eastAsia="Times New Roman" w:cs="Times New Roman" w:ascii="Times New Roman" w:hAnsi="Times New Roman"/>
          <w:color w:val="111111"/>
          <w:sz w:val="28"/>
          <w:szCs w:val="28"/>
          <w:lang w:val="en-US"/>
        </w:rPr>
        <w:t>mad Juma Zadeh</w:t>
      </w:r>
    </w:p>
    <w:p>
      <w:pPr>
        <w:pStyle w:val="BookText"/>
        <w:bidi w:val="0"/>
        <w:jc w:val="both"/>
        <w:rPr/>
      </w:pPr>
      <w:r>
        <w:rPr>
          <w:rFonts w:eastAsia="Times New Roman" w:cs="Times New Roman" w:ascii="Times New Roman" w:hAnsi="Times New Roman"/>
          <w:color w:val="111111"/>
          <w:sz w:val="28"/>
          <w:szCs w:val="28"/>
          <w:lang w:val="en-US"/>
        </w:rPr>
        <w:t>sayings of Imam Hussain (p.b.u.h)/Mohammad</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migration and The migrants in The Holy Sadique Najmi</w:t>
      </w:r>
    </w:p>
    <w:p>
      <w:pPr>
        <w:pStyle w:val="BookText"/>
        <w:bidi w:val="0"/>
        <w:jc w:val="both"/>
        <w:rPr/>
      </w:pPr>
      <w:r>
        <w:rPr>
          <w:rFonts w:eastAsia="Times New Roman" w:cs="Times New Roman" w:ascii="Times New Roman" w:hAnsi="Times New Roman"/>
          <w:color w:val="111111"/>
          <w:sz w:val="28"/>
          <w:szCs w:val="28"/>
          <w:lang w:val="en-US"/>
        </w:rPr>
        <w:t>Quran/Mariam Ali Hassan Hashimi</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Sermon of The Holy Lady Zainab in Yazid's pal-</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The value of a paper currency(comparative Stud- ace/Syed Toqeer Abbas Kazimi</w:t>
      </w:r>
    </w:p>
    <w:p>
      <w:pPr>
        <w:pStyle w:val="BookText"/>
        <w:bidi w:val="0"/>
        <w:jc w:val="both"/>
        <w:rPr/>
      </w:pPr>
      <w:r>
        <w:rPr>
          <w:rFonts w:eastAsia="Times New Roman" w:cs="Times New Roman" w:ascii="Times New Roman" w:hAnsi="Times New Roman"/>
          <w:color w:val="111111"/>
          <w:sz w:val="28"/>
          <w:szCs w:val="28"/>
          <w:lang w:val="en-US"/>
        </w:rPr>
        <w:t>ies between Shia Jurisprudence and four Schools of 136. Shia Studies/Ali Rabbani Gulpaigani</w:t>
      </w:r>
    </w:p>
    <w:p>
      <w:pPr>
        <w:pStyle w:val="BookText"/>
        <w:bidi w:val="0"/>
        <w:jc w:val="both"/>
        <w:rPr/>
      </w:pPr>
      <w:r>
        <w:rPr>
          <w:rFonts w:eastAsia="Times New Roman" w:cs="Times New Roman" w:ascii="Times New Roman" w:hAnsi="Times New Roman"/>
          <w:color w:val="111111"/>
          <w:sz w:val="28"/>
          <w:szCs w:val="28"/>
          <w:lang w:val="en-US"/>
        </w:rPr>
        <w:t>Thoughts)/Riaz Abdul Samad Addaghir</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Step by step towards The peak of Knowledge/</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Times of Ijtehad (Intellectual effort) before Ima Mohammad Abidi</w:t>
      </w:r>
    </w:p>
    <w:p>
      <w:pPr>
        <w:pStyle w:val="BookText"/>
        <w:bidi w:val="0"/>
        <w:jc w:val="both"/>
        <w:rPr/>
      </w:pPr>
      <w:r>
        <w:rPr>
          <w:rFonts w:eastAsia="Times New Roman" w:cs="Times New Roman" w:ascii="Times New Roman" w:hAnsi="Times New Roman"/>
          <w:color w:val="111111"/>
          <w:sz w:val="28"/>
          <w:szCs w:val="28"/>
          <w:lang w:val="en-US"/>
        </w:rPr>
        <w:t>mi Shias/Adnan Farhan Tanha</w:t>
      </w:r>
    </w:p>
    <w:p>
      <w:pPr>
        <w:pStyle w:val="BookText"/>
        <w:bidi w:val="0"/>
        <w:jc w:val="both"/>
        <w:rPr/>
      </w:pPr>
      <w:r>
        <w:rPr>
          <w:rFonts w:eastAsia="Times New Roman" w:cs="Times New Roman" w:ascii="Times New Roman" w:hAnsi="Times New Roman"/>
          <w:color w:val="111111"/>
          <w:sz w:val="28"/>
          <w:szCs w:val="28"/>
          <w:lang w:val="en-US"/>
        </w:rPr>
        <w:t>Bengali</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Being married/Ibrahim Amini</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Watching over the Holy Sepulchers of the Proph- 139. Forty Narratives about life of The Prophet</w:t>
      </w:r>
    </w:p>
    <w:p>
      <w:pPr>
        <w:pStyle w:val="BookText"/>
        <w:bidi w:val="0"/>
        <w:jc w:val="both"/>
        <w:rPr/>
      </w:pPr>
      <w:r>
        <w:rPr>
          <w:rFonts w:eastAsia="Times New Roman" w:cs="Times New Roman" w:ascii="Times New Roman" w:hAnsi="Times New Roman"/>
          <w:color w:val="111111"/>
          <w:sz w:val="28"/>
          <w:szCs w:val="28"/>
          <w:lang w:val="en-US"/>
        </w:rPr>
        <w:t>ets and the Illustrious Imams (as) /Jafar Sob'hani (p.b.u.h)/Jawad Mohadithi</w:t>
      </w:r>
    </w:p>
    <w:p>
      <w:pPr>
        <w:pStyle w:val="BookText"/>
        <w:bidi w:val="0"/>
        <w:jc w:val="both"/>
        <w:rPr/>
      </w:pPr>
      <w:r>
        <w:rPr>
          <w:rFonts w:eastAsia="Times New Roman" w:cs="Times New Roman" w:ascii="Times New Roman" w:hAnsi="Times New Roman"/>
          <w:color w:val="111111"/>
          <w:sz w:val="28"/>
          <w:szCs w:val="28"/>
          <w:lang w:val="en-US"/>
        </w:rPr>
        <w:t>Farideh Mahdavi-Damghani</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Light of Research, Vol.1/ Fiqh High Education</w:t>
      </w:r>
    </w:p>
    <w:p>
      <w:pPr>
        <w:pStyle w:val="BookText"/>
        <w:bidi w:val="0"/>
        <w:jc w:val="both"/>
        <w:rPr/>
      </w:pPr>
      <w:r>
        <w:rPr>
          <w:rFonts w:eastAsia="Times New Roman" w:cs="Times New Roman" w:ascii="Times New Roman" w:hAnsi="Times New Roman"/>
          <w:color w:val="111111"/>
          <w:sz w:val="28"/>
          <w:szCs w:val="28"/>
          <w:lang w:val="en-US"/>
        </w:rPr>
        <w:t>French</w:t>
      </w:r>
    </w:p>
    <w:p>
      <w:pPr>
        <w:pStyle w:val="BookText"/>
        <w:bidi w:val="0"/>
        <w:jc w:val="both"/>
        <w:rPr/>
      </w:pPr>
      <w:r>
        <w:rPr>
          <w:rFonts w:eastAsia="Times New Roman" w:cs="Times New Roman" w:ascii="Times New Roman" w:hAnsi="Times New Roman"/>
          <w:color w:val="111111"/>
          <w:sz w:val="28"/>
          <w:szCs w:val="28"/>
          <w:lang w:val="en-US"/>
        </w:rPr>
        <w:t>Complex</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Introduction of Philosophy/Sadique Sa'adi 141. Vision of Mehdi Government/Najmud Din Tabasi</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Propagation, its curricula and Methods /Ja'afar 142. Wilayat-t-Faqih(authority of The qualified Faqih)</w:t>
      </w:r>
    </w:p>
    <w:p>
      <w:pPr>
        <w:pStyle w:val="BookText"/>
        <w:bidi w:val="0"/>
        <w:jc w:val="both"/>
        <w:rPr/>
      </w:pPr>
      <w:r>
        <w:rPr>
          <w:rFonts w:eastAsia="Times New Roman" w:cs="Times New Roman" w:ascii="Times New Roman" w:hAnsi="Times New Roman"/>
          <w:color w:val="111111"/>
          <w:sz w:val="28"/>
          <w:szCs w:val="28"/>
          <w:lang w:val="en-US"/>
        </w:rPr>
        <w:t>al Bajari</w:t>
      </w:r>
    </w:p>
    <w:p>
      <w:pPr>
        <w:pStyle w:val="BookText"/>
        <w:bidi w:val="0"/>
        <w:jc w:val="both"/>
        <w:rPr/>
      </w:pPr>
      <w:r>
        <w:rPr>
          <w:rFonts w:eastAsia="Times New Roman" w:cs="Times New Roman" w:ascii="Times New Roman" w:hAnsi="Times New Roman"/>
          <w:color w:val="111111"/>
          <w:sz w:val="28"/>
          <w:szCs w:val="28"/>
          <w:lang w:val="en-US"/>
        </w:rPr>
        <w:t>infrastructure of Islamic Government/Imam Kho-</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The History of Islamic Culture and Civilization/</w:t>
      </w:r>
    </w:p>
    <w:p>
      <w:pPr>
        <w:pStyle w:val="BookText"/>
        <w:bidi w:val="0"/>
        <w:jc w:val="both"/>
        <w:rPr/>
      </w:pPr>
      <w:r>
        <w:rPr>
          <w:rFonts w:eastAsia="Times New Roman" w:cs="Times New Roman" w:ascii="Times New Roman" w:hAnsi="Times New Roman"/>
          <w:color w:val="111111"/>
          <w:sz w:val="28"/>
          <w:szCs w:val="28"/>
          <w:lang w:val="en-US"/>
        </w:rPr>
        <w:t>meini</w:t>
      </w:r>
    </w:p>
    <w:p>
      <w:pPr>
        <w:pStyle w:val="BookText"/>
        <w:bidi w:val="0"/>
        <w:jc w:val="both"/>
        <w:rPr/>
      </w:pPr>
      <w:r>
        <w:rPr>
          <w:rFonts w:eastAsia="Times New Roman" w:cs="Times New Roman" w:ascii="Times New Roman" w:hAnsi="Times New Roman"/>
          <w:color w:val="111111"/>
          <w:sz w:val="28"/>
          <w:szCs w:val="28"/>
          <w:lang w:val="en-US"/>
        </w:rPr>
        <w:t>Mohammad Raza Kashifi</w:t>
      </w:r>
    </w:p>
    <w:p>
      <w:pPr>
        <w:pStyle w:val="BookText"/>
        <w:bidi w:val="0"/>
        <w:jc w:val="both"/>
        <w:rPr/>
      </w:pPr>
      <w:r>
        <w:rPr>
          <w:rFonts w:eastAsia="Times New Roman" w:cs="Times New Roman" w:ascii="Times New Roman" w:hAnsi="Times New Roman"/>
          <w:color w:val="111111"/>
          <w:sz w:val="28"/>
          <w:szCs w:val="28"/>
          <w:lang w:val="en-US"/>
        </w:rPr>
        <w:t>Pashto</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Theological Sects and Religions /Ali Rabbani 143. Vision of Mehdi Government/Najmud Din Tabasi</w:t>
      </w:r>
    </w:p>
    <w:p>
      <w:pPr>
        <w:pStyle w:val="BookText"/>
        <w:bidi w:val="0"/>
        <w:jc w:val="both"/>
        <w:rPr/>
      </w:pPr>
      <w:r>
        <w:rPr>
          <w:rFonts w:eastAsia="Times New Roman" w:cs="Times New Roman" w:ascii="Times New Roman" w:hAnsi="Times New Roman"/>
          <w:color w:val="111111"/>
          <w:sz w:val="28"/>
          <w:szCs w:val="28"/>
          <w:lang w:val="en-US"/>
        </w:rPr>
        <w:t>Gulpaigani</w:t>
      </w:r>
    </w:p>
    <w:p>
      <w:pPr>
        <w:pStyle w:val="BookText"/>
        <w:bidi w:val="0"/>
        <w:jc w:val="both"/>
        <w:rPr/>
      </w:pPr>
      <w:r>
        <w:rPr>
          <w:rFonts w:eastAsia="Times New Roman" w:cs="Times New Roman" w:ascii="Times New Roman" w:hAnsi="Times New Roman"/>
          <w:color w:val="111111"/>
          <w:sz w:val="28"/>
          <w:szCs w:val="28"/>
          <w:lang w:val="en-US"/>
        </w:rPr>
        <w:t>Italian</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Usool-e-Kafi, Vol.1/Mohammad Bin Yaqub Kulaini 144. Introduction of Sahifa-e-Sajjadiya/Imam Zainul</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Usool-e-Kafi, Vol.2/Mohammad Bin Yaqub Kulaini</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Usool-e-Kafi, Vol.3/Mohammad Bin Yaqub Kulaini Fula</w:t>
      </w:r>
    </w:p>
    <w:p>
      <w:pPr>
        <w:pStyle w:val="BookText"/>
        <w:bidi w:val="0"/>
        <w:jc w:val="both"/>
        <w:rPr/>
      </w:pPr>
      <w:r>
        <w:rPr>
          <w:rFonts w:eastAsia="Times New Roman" w:cs="Times New Roman" w:ascii="Times New Roman" w:hAnsi="Times New Roman"/>
          <w:color w:val="111111"/>
          <w:sz w:val="28"/>
          <w:szCs w:val="28"/>
          <w:lang w:val="en-US"/>
        </w:rPr>
        <w:t>Tajik 145. Light of Research, Vol.1/ Fiqh High Education</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 View on The economic System of Islam/Sha- Complex</w:t>
      </w:r>
    </w:p>
    <w:p>
      <w:pPr>
        <w:pStyle w:val="BookText"/>
        <w:bidi w:val="0"/>
        <w:jc w:val="both"/>
        <w:rPr/>
      </w:pPr>
      <w:r>
        <w:rPr>
          <w:rFonts w:eastAsia="Times New Roman" w:cs="Times New Roman" w:ascii="Times New Roman" w:hAnsi="Times New Roman"/>
          <w:color w:val="111111"/>
          <w:sz w:val="28"/>
          <w:szCs w:val="28"/>
          <w:lang w:val="en-US"/>
        </w:rPr>
        <w:t>hid Murtaza Mutahahri</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Morals of Ahl-e-Bait (p.b.u.t)/Syed Mohammad</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Battle of right and wrong/Shahid Murtaza Mu- Mehdi Sadr</w:t>
      </w:r>
    </w:p>
    <w:p>
      <w:pPr>
        <w:pStyle w:val="BookText"/>
        <w:bidi w:val="0"/>
        <w:jc w:val="both"/>
        <w:rPr/>
      </w:pPr>
      <w:r>
        <w:rPr>
          <w:rFonts w:eastAsia="Times New Roman" w:cs="Times New Roman" w:ascii="Times New Roman" w:hAnsi="Times New Roman"/>
          <w:color w:val="111111"/>
          <w:sz w:val="28"/>
          <w:szCs w:val="28"/>
          <w:lang w:val="en-US"/>
        </w:rPr>
        <w:t>tahhari</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Signs of The promised Government/Najmud</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Family stabilization from The Viewpoint of Quran Din Tabasi</w:t>
      </w:r>
    </w:p>
    <w:p>
      <w:pPr>
        <w:pStyle w:val="BookText"/>
        <w:bidi w:val="0"/>
        <w:jc w:val="both"/>
        <w:rPr/>
      </w:pPr>
      <w:r>
        <w:rPr>
          <w:rFonts w:eastAsia="Times New Roman" w:cs="Times New Roman" w:ascii="Times New Roman" w:hAnsi="Times New Roman"/>
          <w:color w:val="111111"/>
          <w:sz w:val="28"/>
          <w:szCs w:val="28"/>
          <w:lang w:val="en-US"/>
        </w:rPr>
        <w:t>and Hadith/Mohammad Mohammadi Rai Shehri 148. The History of Islam (from The ignorance period</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Nehjul Balagha (Peak of Eloquence)/Syed Razi to The departure of The Holy Prophet(p.b.u.h))/</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Place of Ahl-e-Bait (p.b.u.t) from The Viewpoint Mehdi Peshwai</w:t>
      </w:r>
    </w:p>
    <w:p>
      <w:pPr>
        <w:pStyle w:val="BookText"/>
        <w:bidi w:val="0"/>
        <w:jc w:val="both"/>
        <w:rPr/>
      </w:pPr>
      <w:r>
        <w:rPr>
          <w:rFonts w:eastAsia="Times New Roman" w:cs="Times New Roman" w:ascii="Times New Roman" w:hAnsi="Times New Roman"/>
          <w:color w:val="111111"/>
          <w:sz w:val="28"/>
          <w:szCs w:val="28"/>
          <w:lang w:val="en-US"/>
        </w:rPr>
        <w:t>of Imam Abu Hanifa/Mohammad Shafaq Khawati Anatolian Turkish</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Sayings of The Holy Prophet (p.b.u.h)1/Mo- 149. A Vision of Mehdi's Government/Najmud Din</w:t>
      </w:r>
    </w:p>
    <w:p>
      <w:pPr>
        <w:pStyle w:val="BookText"/>
        <w:bidi w:val="0"/>
        <w:jc w:val="both"/>
        <w:rPr/>
      </w:pPr>
      <w:r>
        <w:rPr>
          <w:rFonts w:eastAsia="Times New Roman" w:cs="Times New Roman" w:ascii="Times New Roman" w:hAnsi="Times New Roman"/>
          <w:color w:val="111111"/>
          <w:sz w:val="28"/>
          <w:szCs w:val="28"/>
          <w:lang w:val="en-US"/>
        </w:rPr>
        <w:t>hammad Mohammadi Rai Shehri</w:t>
      </w:r>
    </w:p>
    <w:p>
      <w:pPr>
        <w:pStyle w:val="BookText"/>
        <w:bidi w:val="0"/>
        <w:jc w:val="both"/>
        <w:rPr/>
      </w:pPr>
      <w:r>
        <w:rPr>
          <w:rFonts w:eastAsia="Times New Roman" w:cs="Times New Roman" w:ascii="Times New Roman" w:hAnsi="Times New Roman"/>
          <w:color w:val="111111"/>
          <w:sz w:val="28"/>
          <w:szCs w:val="28"/>
          <w:lang w:val="en-US"/>
        </w:rPr>
        <w:t>Tabasi</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Sayings of The Holy Prophet (p.b.u.h)2/Mo- 150. Informative examples of Quran/Ja'afar subhani</w:t>
      </w:r>
    </w:p>
    <w:p>
      <w:pPr>
        <w:pStyle w:val="BookText"/>
        <w:bidi w:val="0"/>
        <w:jc w:val="both"/>
        <w:rPr/>
      </w:pPr>
      <w:r>
        <w:rPr>
          <w:rFonts w:eastAsia="Times New Roman" w:cs="Times New Roman" w:ascii="Times New Roman" w:hAnsi="Times New Roman"/>
          <w:color w:val="111111"/>
          <w:sz w:val="28"/>
          <w:szCs w:val="28"/>
          <w:lang w:val="en-US"/>
        </w:rPr>
        <w:t>hammad Mohammadi Rai Shehri</w:t>
      </w:r>
    </w:p>
    <w:p>
      <w:pPr>
        <w:pStyle w:val="BookText"/>
        <w:bidi w:val="0"/>
        <w:jc w:val="both"/>
        <w:rPr/>
      </w:pPr>
      <w:r>
        <w:rPr>
          <w:rFonts w:eastAsia="Times New Roman" w:cs="Times New Roman" w:ascii="Times New Roman" w:hAnsi="Times New Roman"/>
          <w:color w:val="111111"/>
          <w:sz w:val="28"/>
          <w:szCs w:val="28"/>
          <w:lang w:val="en-US"/>
        </w:rPr>
        <w:t>Tabrizi</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Teachings of Lucman/Mohammad Mohammadi 151. Sweet odour of Wilavat/Abdullah lawadi Amoli</w:t>
      </w:r>
    </w:p>
    <w:p>
      <w:pPr>
        <w:pStyle w:val="BookText"/>
        <w:bidi w:val="0"/>
        <w:jc w:val="both"/>
        <w:rPr/>
      </w:pPr>
      <w:r>
        <w:rPr>
          <w:rFonts w:eastAsia="Times New Roman" w:cs="Times New Roman" w:ascii="Times New Roman" w:hAnsi="Times New Roman"/>
          <w:color w:val="111111"/>
          <w:sz w:val="28"/>
          <w:szCs w:val="28"/>
          <w:lang w:val="en-US"/>
        </w:rPr>
        <w:t>Rai Shehri</w:t>
      </w:r>
    </w:p>
    <w:p>
      <w:pPr>
        <w:pStyle w:val="BookText"/>
        <w:bidi w:val="0"/>
        <w:jc w:val="both"/>
        <w:rPr/>
      </w:pPr>
      <w:r>
        <w:rPr>
          <w:rFonts w:eastAsia="Times New Roman" w:cs="Times New Roman" w:ascii="Times New Roman" w:hAnsi="Times New Roman"/>
          <w:color w:val="111111"/>
          <w:sz w:val="28"/>
          <w:szCs w:val="28"/>
          <w:lang w:val="en-US"/>
        </w:rPr>
        <w:t>Indonesian</w:t>
      </w:r>
    </w:p>
    <w:p>
      <w:pPr>
        <w:pStyle w:val="BookText"/>
        <w:bidi w:val="0"/>
        <w:jc w:val="both"/>
        <w:rPr/>
      </w:pPr>
      <w:r>
        <w:rPr>
          <w:rFonts w:eastAsia="Times New Roman" w:cs="Times New Roman" w:ascii="Times New Roman" w:hAnsi="Times New Roman"/>
          <w:color w:val="111111"/>
          <w:sz w:val="28"/>
          <w:szCs w:val="28"/>
          <w:lang w:val="en-US"/>
        </w:rPr>
        <w:t>Urdu</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Light of Research, Vol.1/fiqh High Education</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Freedom and Theocracy/Ja'afar Subhani Tabrizi</w:t>
      </w:r>
    </w:p>
    <w:p>
      <w:pPr>
        <w:pStyle w:val="BookText"/>
        <w:bidi w:val="0"/>
        <w:jc w:val="both"/>
        <w:rPr/>
      </w:pPr>
      <w:r>
        <w:rPr>
          <w:rFonts w:eastAsia="Times New Roman" w:cs="Times New Roman" w:ascii="Times New Roman" w:hAnsi="Times New Roman"/>
          <w:color w:val="111111"/>
          <w:sz w:val="28"/>
          <w:szCs w:val="28"/>
          <w:lang w:val="en-US"/>
        </w:rPr>
        <w:t>Complex</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Generalities of Islamic Jurisprudence/Hassan</w:t>
      </w:r>
    </w:p>
    <w:p>
      <w:pPr>
        <w:pStyle w:val="BookText"/>
        <w:bidi w:val="0"/>
        <w:jc w:val="both"/>
        <w:rPr/>
      </w:pPr>
      <w:r>
        <w:rPr>
          <w:rFonts w:eastAsia="Times New Roman" w:cs="Times New Roman" w:ascii="Times New Roman" w:hAnsi="Times New Roman"/>
          <w:color w:val="111111"/>
          <w:sz w:val="28"/>
          <w:szCs w:val="28"/>
          <w:lang w:val="en-US"/>
        </w:rPr>
        <w:t>1391</w:t>
      </w:r>
    </w:p>
    <w:p>
      <w:pPr>
        <w:pStyle w:val="BookText"/>
        <w:bidi w:val="0"/>
        <w:jc w:val="both"/>
        <w:rPr/>
      </w:pPr>
      <w:r>
        <w:rPr>
          <w:rFonts w:eastAsia="Times New Roman" w:cs="Times New Roman" w:ascii="Times New Roman" w:hAnsi="Times New Roman"/>
          <w:color w:val="111111"/>
          <w:sz w:val="28"/>
          <w:szCs w:val="28"/>
          <w:lang w:val="en-US"/>
        </w:rPr>
        <w:t>Qasimiyan</w:t>
      </w:r>
    </w:p>
    <w:p>
      <w:pPr>
        <w:pStyle w:val="BookText"/>
        <w:bidi w:val="0"/>
        <w:jc w:val="both"/>
        <w:rPr/>
      </w:pPr>
      <w:r>
        <w:rPr>
          <w:rFonts w:eastAsia="Times New Roman" w:cs="Times New Roman" w:ascii="Times New Roman" w:hAnsi="Times New Roman"/>
          <w:color w:val="111111"/>
          <w:sz w:val="28"/>
          <w:szCs w:val="28"/>
          <w:lang w:val="en-US"/>
        </w:rPr>
        <w:t>Persian</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History and The life of The Innocents, Vol2/</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A Collection of Theses presentec in International</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Syed Munzir Hakim </w:t>
      </w:r>
    </w:p>
    <w:p>
      <w:pPr>
        <w:pStyle w:val="BookText"/>
        <w:bidi w:val="0"/>
        <w:rPr/>
      </w:pPr>
      <w:r>
        <w:rPr>
          <w:rFonts w:eastAsia="Times New Roman" w:cs="Times New Roman" w:ascii="Times New Roman" w:hAnsi="Times New Roman"/>
          <w:color w:val="111111"/>
          <w:sz w:val="28"/>
          <w:szCs w:val="28"/>
          <w:lang w:val="en-US"/>
        </w:rPr>
        <w:t>Quran and Orientalists Conference/ A Group of 24. Learning Persian in Persian, Book.1/Ahmad Zah-</w:t>
      </w:r>
    </w:p>
    <w:p>
      <w:pPr>
        <w:pStyle w:val="BookText"/>
        <w:bidi w:val="0"/>
        <w:jc w:val="both"/>
        <w:rPr/>
      </w:pPr>
      <w:r>
        <w:rPr>
          <w:rFonts w:eastAsia="Times New Roman" w:cs="Times New Roman" w:ascii="Times New Roman" w:hAnsi="Times New Roman"/>
          <w:color w:val="111111"/>
          <w:sz w:val="28"/>
          <w:szCs w:val="28"/>
          <w:lang w:val="en-US"/>
        </w:rPr>
        <w:t>Authors</w:t>
      </w:r>
    </w:p>
    <w:p>
      <w:pPr>
        <w:pStyle w:val="BookText"/>
        <w:bidi w:val="0"/>
        <w:jc w:val="both"/>
        <w:rPr/>
      </w:pPr>
      <w:r>
        <w:rPr>
          <w:rFonts w:eastAsia="Times New Roman" w:cs="Times New Roman" w:ascii="Times New Roman" w:hAnsi="Times New Roman"/>
          <w:color w:val="111111"/>
          <w:sz w:val="28"/>
          <w:szCs w:val="28"/>
          <w:lang w:val="en-US"/>
        </w:rPr>
        <w:t>rai and Asghar Fardi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Guide to Religious Laws: According to Verdicts 25. Learning Persian in Persian, Book.2/Ahmad Zah-</w:t>
      </w:r>
    </w:p>
    <w:p>
      <w:pPr>
        <w:pStyle w:val="BookText"/>
        <w:bidi w:val="0"/>
        <w:jc w:val="both"/>
        <w:rPr/>
      </w:pPr>
      <w:r>
        <w:rPr>
          <w:rFonts w:eastAsia="Times New Roman" w:cs="Times New Roman" w:ascii="Times New Roman" w:hAnsi="Times New Roman"/>
          <w:color w:val="111111"/>
          <w:sz w:val="28"/>
          <w:szCs w:val="28"/>
          <w:lang w:val="en-US"/>
        </w:rPr>
        <w:t>of Imam Khomeini with Verdicts of Ayatullah rai and Asghar Fardi</w:t>
      </w:r>
    </w:p>
    <w:p>
      <w:pPr>
        <w:pStyle w:val="BookText"/>
        <w:bidi w:val="0"/>
        <w:jc w:val="both"/>
        <w:rPr/>
      </w:pPr>
      <w:r>
        <w:rPr>
          <w:rFonts w:eastAsia="Times New Roman" w:cs="Times New Roman" w:ascii="Times New Roman" w:hAnsi="Times New Roman"/>
          <w:color w:val="111111"/>
          <w:sz w:val="28"/>
          <w:szCs w:val="28"/>
          <w:lang w:val="en-US"/>
        </w:rPr>
        <w:t>Sayyid Ali Khamene’i Mohammad Fallahzadeh / 26. Learning Persian in Persian, Workbook, Vol.6/</w:t>
      </w:r>
    </w:p>
    <w:p>
      <w:pPr>
        <w:pStyle w:val="BookText"/>
        <w:bidi w:val="0"/>
        <w:jc w:val="both"/>
        <w:rPr/>
      </w:pPr>
      <w:r>
        <w:rPr>
          <w:rFonts w:eastAsia="Times New Roman" w:cs="Times New Roman" w:ascii="Times New Roman" w:hAnsi="Times New Roman"/>
          <w:color w:val="111111"/>
          <w:sz w:val="28"/>
          <w:szCs w:val="28"/>
          <w:lang w:val="en-US"/>
        </w:rPr>
        <w:t>7th Edition....</w:t>
      </w:r>
    </w:p>
    <w:p>
      <w:pPr>
        <w:pStyle w:val="BookText"/>
        <w:bidi w:val="0"/>
        <w:jc w:val="both"/>
        <w:rPr/>
      </w:pPr>
      <w:r>
        <w:rPr>
          <w:rFonts w:eastAsia="Times New Roman" w:cs="Times New Roman" w:ascii="Times New Roman" w:hAnsi="Times New Roman"/>
          <w:color w:val="111111"/>
          <w:sz w:val="28"/>
          <w:szCs w:val="28"/>
          <w:lang w:val="en-US"/>
        </w:rPr>
        <w:t>Center of Language and Islamic Knowledge/3rd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Approach to Intellectual System of Imam Kho- Edition</w:t>
      </w:r>
    </w:p>
    <w:p>
      <w:pPr>
        <w:pStyle w:val="BookText"/>
        <w:bidi w:val="0"/>
        <w:jc w:val="both"/>
        <w:rPr/>
      </w:pPr>
      <w:r>
        <w:rPr>
          <w:rFonts w:eastAsia="Times New Roman" w:cs="Times New Roman" w:ascii="Times New Roman" w:hAnsi="Times New Roman"/>
          <w:color w:val="111111"/>
          <w:sz w:val="28"/>
          <w:szCs w:val="28"/>
          <w:lang w:val="en-US"/>
        </w:rPr>
        <w:t>meini and Ayatullah Khamenei in The Field of 27. Learning Persian in Persian, Workbook, Vol. 7/</w:t>
      </w:r>
    </w:p>
    <w:p>
      <w:pPr>
        <w:pStyle w:val="BookText"/>
        <w:bidi w:val="0"/>
        <w:jc w:val="both"/>
        <w:rPr/>
      </w:pPr>
      <w:r>
        <w:rPr>
          <w:rFonts w:eastAsia="Times New Roman" w:cs="Times New Roman" w:ascii="Times New Roman" w:hAnsi="Times New Roman"/>
          <w:color w:val="111111"/>
          <w:sz w:val="28"/>
          <w:szCs w:val="28"/>
          <w:lang w:val="en-US"/>
        </w:rPr>
        <w:t>Culture and Education/ A Group of Researchers Center of Language and Islamic Knowledge/3rd</w:t>
      </w:r>
    </w:p>
    <w:p>
      <w:pPr>
        <w:pStyle w:val="BookText"/>
        <w:bidi w:val="0"/>
        <w:jc w:val="both"/>
        <w:rPr/>
      </w:pPr>
      <w:r>
        <w:rPr>
          <w:rFonts w:eastAsia="Times New Roman" w:cs="Times New Roman" w:ascii="Times New Roman" w:hAnsi="Times New Roman"/>
          <w:color w:val="111111"/>
          <w:sz w:val="28"/>
          <w:szCs w:val="28"/>
          <w:lang w:val="en-US"/>
        </w:rPr>
        <w:t>of Fakhrul Aemma Cultural Office on The The Edition</w:t>
      </w:r>
    </w:p>
    <w:p>
      <w:pPr>
        <w:pStyle w:val="BookText"/>
        <w:bidi w:val="0"/>
        <w:jc w:val="both"/>
        <w:rPr/>
      </w:pPr>
      <w:r>
        <w:rPr>
          <w:rFonts w:eastAsia="Times New Roman" w:cs="Times New Roman" w:ascii="Times New Roman" w:hAnsi="Times New Roman"/>
          <w:color w:val="111111"/>
          <w:sz w:val="28"/>
          <w:szCs w:val="28"/>
          <w:lang w:val="en-US"/>
        </w:rPr>
        <w:t>recomendation of Al-Musta International Univer- 28. Logic of The Translation of Holy Quran/Moham-</w:t>
      </w:r>
    </w:p>
    <w:p>
      <w:pPr>
        <w:pStyle w:val="BookText"/>
        <w:bidi w:val="0"/>
        <w:jc w:val="both"/>
        <w:rPr/>
      </w:pPr>
      <w:r>
        <w:rPr>
          <w:rFonts w:eastAsia="Times New Roman" w:cs="Times New Roman" w:ascii="Times New Roman" w:hAnsi="Times New Roman"/>
          <w:color w:val="111111"/>
          <w:sz w:val="28"/>
          <w:szCs w:val="28"/>
          <w:lang w:val="en-US"/>
        </w:rPr>
        <w:t>sity / 2nd Edition</w:t>
      </w:r>
    </w:p>
    <w:p>
      <w:pPr>
        <w:pStyle w:val="BookText"/>
        <w:bidi w:val="0"/>
        <w:jc w:val="both"/>
        <w:rPr/>
      </w:pPr>
      <w:r>
        <w:rPr>
          <w:rFonts w:eastAsia="Times New Roman" w:cs="Times New Roman" w:ascii="Times New Roman" w:hAnsi="Times New Roman"/>
          <w:color w:val="111111"/>
          <w:sz w:val="28"/>
          <w:szCs w:val="28"/>
          <w:lang w:val="en-US"/>
        </w:rPr>
        <w:t>mad Ali Rizai Isfehani/ 3rd Edition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Introduction of Islamic Theology/ Izzuddin 29. Persian-Theological bases of the miracle of Qu-</w:t>
      </w:r>
    </w:p>
    <w:p>
      <w:pPr>
        <w:pStyle w:val="BookText"/>
        <w:bidi w:val="0"/>
        <w:jc w:val="both"/>
        <w:rPr/>
      </w:pPr>
      <w:r>
        <w:rPr>
          <w:rFonts w:eastAsia="Times New Roman" w:cs="Times New Roman" w:ascii="Times New Roman" w:hAnsi="Times New Roman"/>
          <w:color w:val="111111"/>
          <w:sz w:val="28"/>
          <w:szCs w:val="28"/>
          <w:lang w:val="en-US"/>
        </w:rPr>
        <w:t>Raza Najad</w:t>
      </w:r>
    </w:p>
    <w:p>
      <w:pPr>
        <w:pStyle w:val="BookText"/>
        <w:bidi w:val="0"/>
        <w:jc w:val="both"/>
        <w:rPr/>
      </w:pPr>
      <w:r>
        <w:rPr>
          <w:rFonts w:eastAsia="Times New Roman" w:cs="Times New Roman" w:ascii="Times New Roman" w:hAnsi="Times New Roman"/>
          <w:color w:val="111111"/>
          <w:sz w:val="28"/>
          <w:szCs w:val="28"/>
          <w:lang w:val="en-US"/>
        </w:rPr>
        <w:t>ran/ Ruhullah Rizwani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Introduction of Liberalism, Review of its Ba- 30. Philosophy of Tear/Syed Abdullah Hussaini</w:t>
      </w:r>
    </w:p>
    <w:p>
      <w:pPr>
        <w:pStyle w:val="BookText"/>
        <w:bidi w:val="0"/>
        <w:jc w:val="both"/>
        <w:rPr/>
      </w:pPr>
      <w:r>
        <w:rPr>
          <w:rFonts w:eastAsia="Times New Roman" w:cs="Times New Roman" w:ascii="Times New Roman" w:hAnsi="Times New Roman"/>
          <w:color w:val="111111"/>
          <w:sz w:val="28"/>
          <w:szCs w:val="28"/>
          <w:lang w:val="en-US"/>
        </w:rPr>
        <w:t>sics/ Ali Ilahi Tabar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Preliminary Logic / Abul fadhl Rohi/ 2nd Edition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An Introduction to The History of Theoretical 32. Research Magazine serial, No.52</w:t>
      </w:r>
    </w:p>
    <w:p>
      <w:pPr>
        <w:pStyle w:val="BookText"/>
        <w:bidi w:val="0"/>
        <w:jc w:val="both"/>
        <w:rPr/>
      </w:pPr>
      <w:r>
        <w:rPr>
          <w:rFonts w:eastAsia="Times New Roman" w:cs="Times New Roman" w:ascii="Times New Roman" w:hAnsi="Times New Roman"/>
          <w:color w:val="111111"/>
          <w:sz w:val="28"/>
          <w:szCs w:val="28"/>
          <w:lang w:val="en-US"/>
        </w:rPr>
        <w:t>Jurisprudence/ Mehdi Ali Pur/ 3rd Edition 33. Rights of The Ahl-e-Bait (p.b.u.t) in Interpreta-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 Introduction to The Relationship between The t ions of The Quran by The Ahl-e-Sunnah / Mo-</w:t>
      </w:r>
    </w:p>
    <w:p>
      <w:pPr>
        <w:pStyle w:val="BookText"/>
        <w:bidi w:val="0"/>
        <w:jc w:val="both"/>
        <w:rPr/>
      </w:pPr>
      <w:r>
        <w:rPr>
          <w:rFonts w:eastAsia="Times New Roman" w:cs="Times New Roman" w:ascii="Times New Roman" w:hAnsi="Times New Roman"/>
          <w:color w:val="111111"/>
          <w:sz w:val="28"/>
          <w:szCs w:val="28"/>
          <w:lang w:val="en-US"/>
        </w:rPr>
        <w:t>Clergy and The Islamic Government as Empha- hammad Yaqub Bashavi/2nd Edition</w:t>
      </w:r>
    </w:p>
    <w:p>
      <w:pPr>
        <w:pStyle w:val="BookText"/>
        <w:bidi w:val="0"/>
        <w:jc w:val="both"/>
        <w:rPr/>
      </w:pPr>
      <w:r>
        <w:rPr>
          <w:rFonts w:eastAsia="Times New Roman" w:cs="Times New Roman" w:ascii="Times New Roman" w:hAnsi="Times New Roman"/>
          <w:color w:val="111111"/>
          <w:sz w:val="28"/>
          <w:szCs w:val="28"/>
          <w:lang w:val="en-US"/>
        </w:rPr>
        <w:t>sized in The Views of Imam Khomeini (r.a) 34. Tafsir-e-Tartibi Text book (Sequential Interpre-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Contextual and Comparitive Study of Hadith / tation of Holy Quran) Vol.1/ Mohammad Hussain</w:t>
      </w:r>
    </w:p>
    <w:p>
      <w:pPr>
        <w:pStyle w:val="BookText"/>
        <w:bidi w:val="0"/>
        <w:jc w:val="both"/>
        <w:rPr/>
      </w:pPr>
      <w:r>
        <w:rPr>
          <w:rFonts w:eastAsia="Times New Roman" w:cs="Times New Roman" w:ascii="Times New Roman" w:hAnsi="Times New Roman"/>
          <w:color w:val="111111"/>
          <w:sz w:val="28"/>
          <w:szCs w:val="28"/>
          <w:lang w:val="en-US"/>
        </w:rPr>
        <w:t>Syed Raza Moaddab/3rd Edition</w:t>
      </w:r>
    </w:p>
    <w:p>
      <w:pPr>
        <w:pStyle w:val="BookText"/>
        <w:bidi w:val="0"/>
        <w:jc w:val="both"/>
        <w:rPr/>
      </w:pPr>
      <w:r>
        <w:rPr>
          <w:rFonts w:eastAsia="Times New Roman" w:cs="Times New Roman" w:ascii="Times New Roman" w:hAnsi="Times New Roman"/>
          <w:color w:val="111111"/>
          <w:sz w:val="28"/>
          <w:szCs w:val="28"/>
          <w:lang w:val="en-US"/>
        </w:rPr>
        <w:t>Mohammadi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Dardari (a Collection of Poems by Persian Poets of 35. The Holy Quran and Imam Hussain(Analysis of</w:t>
      </w:r>
    </w:p>
    <w:p>
      <w:pPr>
        <w:pStyle w:val="BookText"/>
        <w:bidi w:val="0"/>
        <w:jc w:val="both"/>
        <w:rPr/>
      </w:pPr>
      <w:r>
        <w:rPr>
          <w:rFonts w:eastAsia="Times New Roman" w:cs="Times New Roman" w:ascii="Times New Roman" w:hAnsi="Times New Roman"/>
          <w:color w:val="111111"/>
          <w:sz w:val="28"/>
          <w:szCs w:val="28"/>
          <w:lang w:val="en-US"/>
        </w:rPr>
        <w:t>Great Khurasan about Ashura)/Syed Hasan Aha- Quranic and Narrative testimonies of Imam hus-</w:t>
      </w:r>
    </w:p>
    <w:p>
      <w:pPr>
        <w:pStyle w:val="BookText"/>
        <w:bidi w:val="0"/>
        <w:jc w:val="both"/>
        <w:rPr/>
      </w:pPr>
      <w:r>
        <w:rPr>
          <w:rFonts w:eastAsia="Times New Roman" w:cs="Times New Roman" w:ascii="Times New Roman" w:hAnsi="Times New Roman"/>
          <w:color w:val="111111"/>
          <w:sz w:val="28"/>
          <w:szCs w:val="28"/>
          <w:lang w:val="en-US"/>
        </w:rPr>
        <w:t>madi Nejad Balkhi Balkhabi</w:t>
      </w:r>
    </w:p>
    <w:p>
      <w:pPr>
        <w:pStyle w:val="BookText"/>
        <w:bidi w:val="0"/>
        <w:jc w:val="both"/>
        <w:rPr/>
      </w:pPr>
      <w:r>
        <w:rPr>
          <w:rFonts w:eastAsia="Times New Roman" w:cs="Times New Roman" w:ascii="Times New Roman" w:hAnsi="Times New Roman"/>
          <w:color w:val="111111"/>
          <w:sz w:val="28"/>
          <w:szCs w:val="28"/>
          <w:lang w:val="en-US"/>
        </w:rPr>
        <w:t>sain)/ Hussain Motahhari Mohib</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Dirayat ul Hadith/Syed Raza Moaddab/ 3rd Edition Arabic</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Educational Influences of The Moral effects of 36. Al Hidaya fin Nahve (Guiding Syntax)/Hussain</w:t>
      </w:r>
    </w:p>
    <w:p>
      <w:pPr>
        <w:pStyle w:val="BookText"/>
        <w:bidi w:val="0"/>
        <w:jc w:val="both"/>
        <w:rPr/>
      </w:pPr>
      <w:r>
        <w:rPr>
          <w:rFonts w:eastAsia="Times New Roman" w:cs="Times New Roman" w:ascii="Times New Roman" w:hAnsi="Times New Roman"/>
          <w:color w:val="111111"/>
          <w:sz w:val="28"/>
          <w:szCs w:val="28"/>
          <w:lang w:val="en-US"/>
        </w:rPr>
        <w:t>Ashura uprising/ Mohammad Arif Sadaqat Sher Afkan/20th Edition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Glory of Word in Nahjul Balagha/ Hasan amir 37. Al Qaraat wal Ahruf Assaba'a (Readings and Sev-</w:t>
      </w:r>
    </w:p>
    <w:p>
      <w:pPr>
        <w:pStyle w:val="BookText"/>
        <w:bidi w:val="0"/>
        <w:jc w:val="both"/>
        <w:rPr/>
      </w:pPr>
      <w:r>
        <w:rPr>
          <w:rFonts w:eastAsia="Times New Roman" w:cs="Times New Roman" w:ascii="Times New Roman" w:hAnsi="Times New Roman"/>
          <w:color w:val="111111"/>
          <w:sz w:val="28"/>
          <w:szCs w:val="28"/>
          <w:lang w:val="en-US"/>
        </w:rPr>
        <w:t>Ansari</w:t>
      </w:r>
    </w:p>
    <w:p>
      <w:pPr>
        <w:pStyle w:val="BookText"/>
        <w:bidi w:val="0"/>
        <w:jc w:val="both"/>
        <w:rPr/>
      </w:pPr>
      <w:r>
        <w:rPr>
          <w:rFonts w:eastAsia="Times New Roman" w:cs="Times New Roman" w:ascii="Times New Roman" w:hAnsi="Times New Roman"/>
          <w:color w:val="111111"/>
          <w:sz w:val="28"/>
          <w:szCs w:val="28"/>
          <w:lang w:val="en-US"/>
        </w:rPr>
        <w:t>en Characters)/Abdur Rasul Alghaffari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Indirections (Approaches of gth prayer of Sahi- 38. Al Qarato wal Munaqashah (Reading and Discus-</w:t>
      </w:r>
    </w:p>
    <w:p>
      <w:pPr>
        <w:pStyle w:val="BookText"/>
        <w:bidi w:val="0"/>
        <w:jc w:val="both"/>
        <w:rPr/>
      </w:pPr>
      <w:r>
        <w:rPr>
          <w:rFonts w:eastAsia="Times New Roman" w:cs="Times New Roman" w:ascii="Times New Roman" w:hAnsi="Times New Roman"/>
          <w:color w:val="111111"/>
          <w:sz w:val="28"/>
          <w:szCs w:val="28"/>
          <w:lang w:val="en-US"/>
        </w:rPr>
        <w:t>fa-e-Sajjadiah)/ Hujjat Manganeh</w:t>
      </w:r>
    </w:p>
    <w:p>
      <w:pPr>
        <w:pStyle w:val="BookText"/>
        <w:bidi w:val="0"/>
        <w:jc w:val="both"/>
        <w:rPr/>
      </w:pPr>
      <w:r>
        <w:rPr>
          <w:rFonts w:eastAsia="Times New Roman" w:cs="Times New Roman" w:ascii="Times New Roman" w:hAnsi="Times New Roman"/>
          <w:color w:val="111111"/>
          <w:sz w:val="28"/>
          <w:szCs w:val="28"/>
          <w:lang w:val="en-US"/>
        </w:rPr>
        <w:t>sion)/Author: Mietham al Rabi'e; Mohammad Al-</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Inevitable Bound, an Analysis on Strategies of haidari; Shakir Afzali</w:t>
      </w:r>
    </w:p>
    <w:p>
      <w:pPr>
        <w:pStyle w:val="BookText"/>
        <w:bidi w:val="0"/>
        <w:jc w:val="both"/>
        <w:rPr/>
      </w:pPr>
      <w:r>
        <w:rPr>
          <w:rFonts w:eastAsia="Times New Roman" w:cs="Times New Roman" w:ascii="Times New Roman" w:hAnsi="Times New Roman"/>
          <w:color w:val="111111"/>
          <w:sz w:val="28"/>
          <w:szCs w:val="28"/>
          <w:lang w:val="en-US"/>
        </w:rPr>
        <w:t>United States of America in confronting The Is- 39. Al Quds fi Alsh'er Al Arabi Al hadith fi Soriya wa</w:t>
      </w:r>
    </w:p>
    <w:p>
      <w:pPr>
        <w:pStyle w:val="BookText"/>
        <w:bidi w:val="0"/>
        <w:jc w:val="both"/>
        <w:rPr/>
      </w:pPr>
      <w:r>
        <w:rPr>
          <w:rFonts w:eastAsia="Times New Roman" w:cs="Times New Roman" w:ascii="Times New Roman" w:hAnsi="Times New Roman"/>
          <w:color w:val="111111"/>
          <w:sz w:val="28"/>
          <w:szCs w:val="28"/>
          <w:lang w:val="en-US"/>
        </w:rPr>
        <w:t>lamic Awakening Author Amil Nakhlah: Transla- Lubna wa Filistin (Poetry in Modern Arabic in Syr-</w:t>
      </w:r>
    </w:p>
    <w:p>
      <w:pPr>
        <w:pStyle w:val="BookText"/>
        <w:bidi w:val="0"/>
        <w:jc w:val="both"/>
        <w:rPr/>
      </w:pPr>
      <w:r>
        <w:rPr>
          <w:rFonts w:eastAsia="Times New Roman" w:cs="Times New Roman" w:ascii="Times New Roman" w:hAnsi="Times New Roman"/>
          <w:color w:val="111111"/>
          <w:sz w:val="28"/>
          <w:szCs w:val="28"/>
          <w:lang w:val="en-US"/>
        </w:rPr>
        <w:t>tion: Ali Mohammad Sabiqi</w:t>
      </w:r>
    </w:p>
    <w:p>
      <w:pPr>
        <w:pStyle w:val="BookText"/>
        <w:bidi w:val="0"/>
        <w:jc w:val="both"/>
        <w:rPr/>
      </w:pPr>
      <w:r>
        <w:rPr>
          <w:rFonts w:eastAsia="Times New Roman" w:cs="Times New Roman" w:ascii="Times New Roman" w:hAnsi="Times New Roman"/>
          <w:color w:val="111111"/>
          <w:sz w:val="28"/>
          <w:szCs w:val="28"/>
          <w:lang w:val="en-US"/>
        </w:rPr>
        <w:t>ia, Lebanon and Palestine) /Jihad Faizul Islam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Introduction of History and Hadith Resources/ 40. Annahwul Jam'e (Comprehensive Syntax)/Syed</w:t>
      </w:r>
    </w:p>
    <w:p>
      <w:pPr>
        <w:pStyle w:val="BookText"/>
        <w:bidi w:val="0"/>
        <w:jc w:val="both"/>
        <w:rPr/>
      </w:pPr>
      <w:r>
        <w:rPr>
          <w:rFonts w:eastAsia="Times New Roman" w:cs="Times New Roman" w:ascii="Times New Roman" w:hAnsi="Times New Roman"/>
          <w:color w:val="111111"/>
          <w:sz w:val="28"/>
          <w:szCs w:val="28"/>
          <w:lang w:val="en-US"/>
        </w:rPr>
        <w:t>Ali Nasiri/ 2nd Edition</w:t>
      </w:r>
    </w:p>
    <w:p>
      <w:pPr>
        <w:pStyle w:val="BookText"/>
        <w:bidi w:val="0"/>
        <w:jc w:val="both"/>
        <w:rPr/>
      </w:pPr>
      <w:r>
        <w:rPr>
          <w:rFonts w:eastAsia="Times New Roman" w:cs="Times New Roman" w:ascii="Times New Roman" w:hAnsi="Times New Roman"/>
          <w:color w:val="111111"/>
          <w:sz w:val="28"/>
          <w:szCs w:val="28"/>
          <w:lang w:val="en-US"/>
        </w:rPr>
        <w:t>Hamid Jazairi/2nd Edition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Introduction of Principles and Methods of The 41. Atta'alimul Almusawwar(Visual Education)/ Au-</w:t>
      </w:r>
    </w:p>
    <w:p>
      <w:pPr>
        <w:pStyle w:val="BookText"/>
        <w:bidi w:val="0"/>
        <w:jc w:val="both"/>
        <w:rPr/>
      </w:pPr>
      <w:r>
        <w:rPr>
          <w:rFonts w:eastAsia="Times New Roman" w:cs="Times New Roman" w:ascii="Times New Roman" w:hAnsi="Times New Roman"/>
          <w:color w:val="111111"/>
          <w:sz w:val="28"/>
          <w:szCs w:val="28"/>
          <w:lang w:val="en-US"/>
        </w:rPr>
        <w:t>Translation of Holy Quran (A Summary of The thor: Mietham al Rabi'e; Mohammad Alhaidari;</w:t>
      </w:r>
    </w:p>
    <w:p>
      <w:pPr>
        <w:pStyle w:val="BookText"/>
        <w:bidi w:val="0"/>
        <w:jc w:val="both"/>
        <w:rPr/>
      </w:pPr>
      <w:r>
        <w:rPr>
          <w:rFonts w:eastAsia="Times New Roman" w:cs="Times New Roman" w:ascii="Times New Roman" w:hAnsi="Times New Roman"/>
          <w:color w:val="111111"/>
          <w:sz w:val="28"/>
          <w:szCs w:val="28"/>
          <w:lang w:val="en-US"/>
        </w:rPr>
        <w:t>book “Logic of The Translation of Holy Quran") / Shakir Afzali</w:t>
      </w:r>
    </w:p>
    <w:p>
      <w:pPr>
        <w:pStyle w:val="BookText"/>
        <w:bidi w:val="0"/>
        <w:jc w:val="both"/>
        <w:rPr/>
      </w:pPr>
      <w:r>
        <w:rPr>
          <w:rFonts w:eastAsia="Times New Roman" w:cs="Times New Roman" w:ascii="Times New Roman" w:hAnsi="Times New Roman"/>
          <w:color w:val="111111"/>
          <w:sz w:val="28"/>
          <w:szCs w:val="28"/>
          <w:lang w:val="en-US"/>
        </w:rPr>
        <w:t>Mohammad Ali Rizai Isfahani.</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Darasaatul Islamiyya fi Ilmin Namuwwe Marh-</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Islam and Cultural Reformation/ au Ther: Zaki alatut Tofulah Marahilun Namuwwe wa Muqa-</w:t>
      </w:r>
    </w:p>
    <w:p>
      <w:pPr>
        <w:pStyle w:val="BookText"/>
        <w:bidi w:val="0"/>
        <w:jc w:val="both"/>
        <w:rPr/>
      </w:pPr>
      <w:r>
        <w:rPr>
          <w:rFonts w:eastAsia="Times New Roman" w:cs="Times New Roman" w:ascii="Times New Roman" w:hAnsi="Times New Roman"/>
          <w:color w:val="111111"/>
          <w:sz w:val="28"/>
          <w:szCs w:val="28"/>
          <w:lang w:val="en-US"/>
        </w:rPr>
        <w:t>Milad, Aytullah Khazai</w:t>
      </w:r>
    </w:p>
    <w:p>
      <w:pPr>
        <w:pStyle w:val="BookText"/>
        <w:bidi w:val="0"/>
        <w:jc w:val="both"/>
        <w:rPr/>
      </w:pPr>
      <w:r>
        <w:rPr>
          <w:rFonts w:eastAsia="Times New Roman" w:cs="Times New Roman" w:ascii="Times New Roman" w:hAnsi="Times New Roman"/>
          <w:color w:val="111111"/>
          <w:sz w:val="28"/>
          <w:szCs w:val="28"/>
          <w:lang w:val="en-US"/>
        </w:rPr>
        <w:t>wwimatut Tarbiyyah (Islamic Studies in Growth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Islamic Beliefs Textbook/ Ali Sherwani/ 7th Edition Psychology, Childhood Stage, Growth stages and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Isteshraq Special/ A Group of Authors</w:t>
      </w:r>
    </w:p>
    <w:p>
      <w:pPr>
        <w:pStyle w:val="BookText"/>
        <w:bidi w:val="0"/>
        <w:jc w:val="both"/>
        <w:rPr/>
      </w:pPr>
      <w:r>
        <w:rPr>
          <w:rFonts w:eastAsia="Times New Roman" w:cs="Times New Roman" w:ascii="Times New Roman" w:hAnsi="Times New Roman"/>
          <w:color w:val="111111"/>
          <w:sz w:val="28"/>
          <w:szCs w:val="28"/>
          <w:lang w:val="en-US"/>
        </w:rPr>
        <w:t>Elements of Education/Sa'eed Kazim Alazaari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Journal of Information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Wilayatul Faqih wal Hakukatul Islamiyyah fi Asril</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Kau Ther-e-Ma'arif (Heavenly River of Knowl- Ghaibah (Jurisdiction and Islamic Government in</w:t>
      </w:r>
    </w:p>
    <w:p>
      <w:pPr>
        <w:pStyle w:val="BookText"/>
        <w:bidi w:val="0"/>
        <w:jc w:val="both"/>
        <w:rPr/>
      </w:pPr>
      <w:r>
        <w:rPr>
          <w:rFonts w:eastAsia="Times New Roman" w:cs="Times New Roman" w:ascii="Times New Roman" w:hAnsi="Times New Roman"/>
          <w:color w:val="111111"/>
          <w:sz w:val="28"/>
          <w:szCs w:val="28"/>
          <w:lang w:val="en-US"/>
        </w:rPr>
        <w:t>edge) No.22</w:t>
      </w:r>
    </w:p>
    <w:p>
      <w:pPr>
        <w:pStyle w:val="BookText"/>
        <w:bidi w:val="0"/>
        <w:jc w:val="both"/>
        <w:rPr/>
      </w:pPr>
      <w:r>
        <w:rPr>
          <w:rFonts w:eastAsia="Times New Roman" w:cs="Times New Roman" w:ascii="Times New Roman" w:hAnsi="Times New Roman"/>
          <w:color w:val="111111"/>
          <w:sz w:val="28"/>
          <w:szCs w:val="28"/>
          <w:lang w:val="en-US"/>
        </w:rPr>
        <w:t>The Absence of Imam)/Wadi'e Al Haideri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Learning Persian for Non-Persian Students / Fati-</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ma Akbari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NAHJUL BALAGHA; Sermons, Letters and Sayings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Learning Persian in Persian, , Workbook, Vol.5/ of Imam Ali/Seyyed Razi/Seyyed Ali Raza</w:t>
      </w:r>
    </w:p>
    <w:p>
      <w:pPr>
        <w:pStyle w:val="BookText"/>
        <w:bidi w:val="0"/>
        <w:jc w:val="both"/>
        <w:rPr/>
      </w:pPr>
      <w:r>
        <w:rPr>
          <w:rFonts w:eastAsia="Times New Roman" w:cs="Times New Roman" w:ascii="Times New Roman" w:hAnsi="Times New Roman"/>
          <w:color w:val="111111"/>
          <w:sz w:val="28"/>
          <w:szCs w:val="28"/>
          <w:lang w:val="en-US"/>
        </w:rPr>
        <w:t>Center of Language and Islamic Knowledge/3rd 45. The Book of Ahadith/Seyyed Ali Lavassani</w:t>
      </w:r>
    </w:p>
    <w:p>
      <w:pPr>
        <w:pStyle w:val="BookText"/>
        <w:bidi w:val="0"/>
        <w:jc w:val="both"/>
        <w:rPr/>
      </w:pPr>
      <w:r>
        <w:rPr>
          <w:rFonts w:eastAsia="Times New Roman" w:cs="Times New Roman" w:ascii="Times New Roman" w:hAnsi="Times New Roman"/>
          <w:color w:val="111111"/>
          <w:sz w:val="28"/>
          <w:szCs w:val="28"/>
          <w:lang w:val="en-US"/>
        </w:rPr>
        <w:t>Edition</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Seyyed Ali Farid Mohammadi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Dikutip dan disarikan dari kata pengantar di Buku Daras filsafat islam, Prof.M.T. Mishbah Yazdi, Terbitan  Shadra Press, Jakarta, Oktober 2010.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Karya Thabathaba'i dalam tafsir Alquran berjudul al-Mizan fi Tafsir Al-Quran terdiri atas dua puluh jilid. (Teheran: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Hauzah secara bahasa berarti teritori. Di lingkungan Syi'ah, hauzah berarti wilayah yang dijadikan pusat  pembelajaran studi studi keislaman, seperti Najaf dan Qum-M.K.</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Sina, Al-Isyarat wa Al-Tanbihat, suntingan Sulaiman Dunya, (Beirut: Mu'assassah Al-Nu'man, 14137 1992 M),jil. II, h. 147-penerj. Inggris.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Akademia adalah taman atau kebun dekat Athena kuno yang menjadi tempat Plato mengajarkan filsafat-M.K.</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artikel Mehdi Aminrazavi tentang filsafat Islam di Persia modern dalam History of Islamic Philosophy,  suntingan S.H. Nasr dan O. Leaman (London: Routledge, 1995), hh. 1037-1050-penerj. Inggris.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Dikutip dan disarikan dari kata pengantar di Buku Daras filsafat islam, Prof.M.T.Mishbah Yazdi, Terbitan  Shadra Press, Jakarta, Oktober 2010.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Disebutkan bahwa setidaknya ada dua motivasi yang mendorong gerakan penerjemahan yang sudah dimulai sejak  zaman Bani Umayah dan kemudian menemukan puncaknya pada dinasti Abbasiyyah. Pertama, motivasi praktis  dan kedua motivasi kultural. Dalam motivasi yang pertama (ba'its 'amali), ada kebutuhan pada bangsa Arab  saat itu untuk mempelajari ilmu-ilmu yang berasal dari luar Islam. Pengetahuan-pengetahuan tersebut  secara praktis dapat membantu meringankan urusanurusan yang berkenaan dengan hajat hidup umat Islam  ketika itu. Pengetahuan-pengetahuan luar yang dibutuhkan oleh umat Islam saat itu adalah seperti ilmu-ilmu  kimia, kedokteran, fisika, matematika, dan falak (astronomi). Ilmu-ilmu ini secara praktis memang langsung  berhubungan dengan hajat hidup umat Islam dalam menyelesaikan masalah-masalah, seperti penentuan  waktu shalat, hukum faraidl (pembagian harta waris), masalah kesehatan dan lain sebagainya. Motivasi yang  kedua adalah motivasi kultural (ba'its tsaqafi). Ada kebutuhan pada masyarakat Islam untuk mempelajari  kebudayaan-kebudayaan Persia dan Yunani untuk menguatkan sistem hukum Islam dan menangkal akidah  yang datang dari luar Islam. Ketika terjadi gelom-bang kebudayaan luar dalam dunia Islam yang meliputi  akidah kaum Majusi (penyembah api) dan kaum Dahriah, kekhalifahan 'Abbasiyyah mengangap perlu bagi  kaum muslim untuk mempelajari ilmu-ilmu logika serta sistem berpikir rasionalis lainnya untuk menangkal  akidah yang datang dari luar itu.[25] Umat Islam dianjurkan untuk mempelajari logika Aristoteles, agar  dapat berdebat dengan keyakinan yang datang dari luar. (Jamil Shaliba, al-Falsafah al-'Arabiyyah, Dar al-Kitab  al-Lubnani, Beirut, 1973, hlm. 106, 107, sebagaimana dikutip Sunaryo dalam artikel Transmisi  Kebudayaan Yunani Dalam Peradaban Islam, Jurnal Pemikiran Islam Vol.1, No. 3, September 2003).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Abû Yûsuf Ya'qub bin Ishâq bin Sabah bin Imran bin Ismail bin Muhammad al As bin Qais al Kindî  dilahirkan pada permulaan abad kesembilan hijriah atau sekitar tahun 185 H/809 (801 )M di  Kota Kufah, Iraq. Al Kindi berasal dari suku bangsawasan Arab dan memainkan peran utama  dalam dunia Islam. Ia diperkirakan wafat antara tahun 252-260 H/866-73 M.</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Menurut Wallace Provost dalam artikel on-line-nya, "God, Science, and Reason”, al-Kindi dan  pemikiran di masanya tidak melihat filsafat Plato dan Aristoteles sebagai sesuatu yang berbeda.</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Craig, Edward (ed.), Routledge's Encyclopedia of Islamic Philosophy, (rearranged into Islamic  version by Dr. Mulyadhi Kartanegara), Routledge, London and New York; 1998, p. 20.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Penyebutan "filsafat Arab” merupakan kesalahkaprahan karena kenyataannya filsafat Islam  berkembang di luar jazirah dan negara-negara Arab.(Lihat Ibrahim Dinani, Ma Jaraha-ye  Tafakkor-e Falsafi dar Jahan-e Islam atau The Adventure of Philosophical Thought in the Muslim  World, Tarh-e No, Tehran, 200, vol. 1, hlm 66). Hal itu, menurut penulis, mungkin diakibatkan  oleh banyak faktor; antara lain: pertama, karya-karya filsafat para filsuf non-Arab, terutama  Persia, ditulis dalam bahasa Arab; Kedua, fanatisme etnis sebagian besar penguasa di Jazirah  Arab yang cenderung menganggap Islam sebagai Arab dan sebaliknya. Sebenarnya sengketa  ini hingga sekarang masih ada. Salah satunya adalah sengketa nama untuk Teluk. Sejak lama  teluk yang menjadi pemisah antara Iran dan Jazirah Arab diberi nama Teluk Persia.Namun, belakangan negara-negara Arab bersikeras menyebutnya Teluk Arab. Sentimen ini diperparah oleh an-  alisis sebagian penulis orientalis yang menyebut Sunni, terutama Wahabi, sebagai Islam Arab sedangkan Syi'ah sebagai Islam Persia dan non Arab.</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Hoesin, O. A. Filsafat Islam. Jakarta: Bulan Bintang, 1996, hlm 106. J. S. Praja, Filsafat dan Metodologi Ilmu  dalam Islam. Jakarta: Penerbit Teraju, 2002; Sarton, Introduction to the History of Science. Baltimore, 1927.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Hoesin, O. A. Filsafat Islam. hlm 107.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Berasal dari kata kerja masyân yang berarti berjalan dan lalu-lalang.</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Muthahhari, Tema-tema Penting Filsafat Islam, Bandung: Yayasan Muthahhari/Mizan, 1993, hlm 29.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Yaitu aliran dalam ontologi yang berpandangan bahwa esensi mendahului eksistensi, dan bahwa  sesuatu yang nyata adalah yang mempunyai hakikat atau esensi. Salah satu alasannya, ialah ap-  abila wujud adalah asal, maka wujud pasti ada dalam realitas objektif, dan ia pasti mempunyai wujud,  dan wujud wujudnya itu pasti mempunyai wujud, dan begitulah seterusnya. Dualisme, yaitu aliran  dalam ontologi yang konon menganggap wujud dan esensi sebagai asal sekaligus. Para penganut  dualisme juga tidak berada dalam satu pandangan dan aliran. (Ridha ash-Shadr, al-Falsafah al-'Ulya,  Qom: The Center of Publication of the Office of Islamic Propagation, 1999, hlm 80).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Istilah Eksistensialisme terbagi empat macam: 1) Eksistensialisme Modern, yaitu aliran filsafat  yang memandang segala gejala dengan berpangkal pada eksistensi, dan bahwa eksistensi lebih  sejati dari esensi. Aliran ini berasal dari para filsuf Yunani dan berkembang di Eropa pada abad per-  tengahan melalui Soren Kierkegaard dan Friedrich Nietzsche; 2) Eksistensialisme Ateistik, yaitu  aliran yang dipelopori oleh Jean Paul Sartre yang menjadi cikal bakal Humanisme; 3) Eksistensial-  isme Peripateik. Ibn Sina menegaskan ashâlah al-wujûd dan memperlakukan wujud sebagai ragam  realitas yang berlainan; 4) Ekisistensialisme Shadra yang berporos pada wahdah al-wujûd wa katrah  al-maujûd. Hal inilah yang membedakan Mulla Sadra dengan Ibn Sina.</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Må ba'da ar-Rusydiyyah, (Le post-averroisme. Mollah Shadra, matre de la saesse  Trancendantale), (Beirut: al-Ghadeer, 2000), hlm 66.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Må ba'da ar-Rusydiyyah, hlm 61.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Mâ ba'da ar-Rusydiyyah, hlm 62. Padahal bantahan Ibn Rusyd, menuru Jalal al-din  Asytiani tidak sepenuhnya filsufis. (Lihat Jalal al-din Asytiani, Naqdi bar Tahafut Al-Falasifah, hlm  167, The Center of Publication of the Office of Islamic Propagation, Qom, 2000)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Må ba'da ar-Rusydiyyah, hlm 61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Må ba'da ar-Rusydiyyah, hlm 63.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Muthahhari, Muhadharât fil Falsafah al-Islamiyyah, 35, Qom: The Center of Publication of  the Office of Islam Propagation, 1987.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Ma ba'da ar-Rusydiyyah, hlm 67.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Mâ ba'da ar-Rusydiyyah, hlm 67.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Sarton, G, Introduction to the History of Science. (3 vols. in 5, laltimore: Published for the Carne-  gie Institution of Washington by Williams and Wilkins, 1927-1947), 1 p. 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Muthahhari, Muhadharat fi al-Falsafah al-Islamiyyah, Markaz al_nasyr al-Islami, Qom, 1987. hlm  16; (Lihat pula Yahya Yathrebi, Hekmat-e Eyhaq-e Sohrawardi, Bustan-e Kitab Sazman-e Tablighat-e Islami,  Qom, 2000, hlm 25).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Penyebutan “filsafat Islam' sebenarnya lebih didasarkan pada alasan geografis daripada alasan lainnya.</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Ibn Sina, al-Isyarât wa al-Tanbihật, (Beirut: Muasasah al-Ta'man, 1413 H/1992 M), hlm 109. Lihat  juga Oliver Leaman, Pengantar Filsafat Islam: Sebuah Pendekatan Tematis. (Bandung: Mizan, 2001), hlm 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M.M. Sharif (ed.). History of Muslim Philosophy. (Delhi: Low Prince Publication, 1995), hlm133.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Periksa Al-Ghazali, Tahâfut al-Falâsifah, (Mesir: Darul Ma'arif, 1972), Cet. V, hlm148.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Oliver Leaman, Pengantar Filsafat Islam, hlm 10.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Asytinai, Naqdi bar Tahafut al-Tahafut, Sazman-e Tabloghat-e Islami, Qom, 2000, hlm 39.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Oliver Leaman, Pengantar Filsafat Islam, hlm. 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Ibn Rusyd. Fashl al-Maqâl fi mà bayn al-Hikmat wa al-Syari'ah min al-Ittishâl. (Kairo: Dar al-Ma'arif,  1972), hlm. 67.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Henry Corbin, History of Islamic Philosophy, (London: Keagan Paul International Limited, 1983),  hlm. 209.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Ungkapan Nurcholish Madjid ini dikemukakan dalam Seminar "Renaisans Islam", Universitas Para-  madina, 11 April 2002. Pandangan ini dapat ditemukan juga dalam karya Nurcholish Madjid,  Islam Doktrin dan Peradaban : Sebuah Telaah kritis Tentang Masalah Keislaman, Kemanusiaan  dan Kemodernan, (Jakarta : Param adina, 1995), hlm. 219.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Hashem Razi , Hekmat e Khosrovâni, (Tehran, Iran: Behjat publications, 2000), hlm. 20.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Henry Corbin, History of Islamic Philosophy, hlm 209.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Hossein Ziai. Knowledge and Illumination: A Study of Suhrawardi Syeikh al-Isyraq.</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Suhrawardí, Majmû'ah Mushannafât /syraq. Tashhîh va Muqaddimah Henry Corbin, (Tehran: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Muthahhari, Maqalat-e Falsafi, 35, Qom: The Center of Publication of the Office of Islam  Propagation, 1987).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Sayyed Hossen Nashr, Three Muslim Sages. (Cambridge, Harvard University Press, 1964),  hlm 61–62. Lihat Juga Mircea Eliade, (ed.) The Encyclopedia of Religion, Vol. 13 (New York: Si-  mon and Schuster Macmillan, 1987), hlm 298.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Sadra, Al-Hikmat al-Muta'âliyyah fī al-Asfâr al-'Aqliyyah al-Arba'ah, (Beirut: Dar Ihya wa  Turâts al-'Arabi, 1981), Jilid 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Isu tentang ini dibahas pada Bab VI. Ringkasnya, konsep ashâlat al-wujûd sering diper-  tentangkan dengan konsep ashâlat al-mahiyyah, sebagaimana dianut oleh filsafat Isyraqiyyah  Suhrawardi. Diskusi yang sering dikemukakan di hauzah-hauzah Qom mengenai pertentangan  konsep Ashalat al-Wujud dengan ashâlat al-Mâhiyyah adalah pada contoh panasnya api. Para  penganut ashâlat al-wujûd mengatakan bahwa wujud-lah yang menyebabkan panasnya api, bukan  mâhiyyah. Namun, penganut ahalat al-mahiyyah mengatakan bahwa panasnya api disebabkan  mahiyyah bukan wujúd, sebab jika disebabkan wujud maka api yang ada dalam benak kita (yang  juga wujud) akan sama membakarnya dengan api yang ada di luar. Tetapi, pada kenyataannya tidak  demikian.</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Alparslan Acikgence, “Sistem Pemikiran Filsafat: Sebuah Model yang Islami", Jurnal al-Huda, Vol. I,  No. 2, 2000, hlm 73.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Alparslan Acikgence, "Sistem Pemikiran Filsafat", hlm 12—13. Lihat juga Fazlur Rahman, The  Philosophy of Mullâ Sadrâ, (Albany: State University of New York Press, 1975), hlm 7. Lihat juga  Toshihiko Izutsu dan Mehdi Mohaghegh, The Metaphysics of Sabzavari, terj. bahasa Inggris dari  Syarh-i Manzhûmah, karya Sabzivari, (New York: Caravan Books, 1977).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Må ba'da ar-Rusydiyyah, (Le post-averroisme. Mollah Shadra, matre de la saesse  Trancendantale), (Beirut: al-Ghadeer, 2000), hlm 61.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Nasiruddin Muhammad bin Muhammad bin al-Hasan Ath-Thúsi lahir di Thûs, Khorasan, pada  tanggal 11 Jumadil Awal, tahun 597 H. Ia adalah filsuf tersohor dan teolog terkemuka Syiah  dan dikenal luas oleh kalangan Sunni. Pandangan-pandangannya, sebelum Mulla Sadrâ, dianggap  sebagai cermin pemikiran keagamaan Syiah. Karyanya yang paling fenomenal adalah Tajrid al-  l'tigad. Karena kedekatan hubungannya dengan para tokoh Mu'tazilah, ia dianggap mengadopsi  pemikiran Mu'tazilah ke dalam kalam Syiah.</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'Abdillah Jamaluddin al-Miqdad bin Abdullah bin Muhammad bin Hasan bin Muhammad as-  Suyuri al-Hilli al-Asadi al-Gharawi dikenal dengan al-Fadhil as-Suyuri dan al-Fadhil al-Miqdad adalah  ulama yang paripurna karena menguasai ilmu-ilmu manqul dan ma'qul. Ia adalah mufassir, faqih  dan mutakallim. Karya-karyanya berlimpah, antara lain Syarh Nahj al-Mustarsyidin fi Ushul addin,  Kanz al-Irfan fi Fikih al-Qur'an, at-Tanqih ar-Ra'i' fi Syarh Mukhtashar asy-Syara'', Syarh al-Bab al-  Hadi Asyar, Syarh Mabadi' al-Ushul. Murid terpandai Muhammad bin Makki al-Amil asy-Syahid ats-  Tsani ini wafat pada tahun 826 H.</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Asyiani, Syarh-e Hal va Ara-ye Falsafiye Mulla Shadra, Jameeh Modarresin, Qom,  hlm. 15.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Asytiani, Syarh Ahwâl wa Aray-e falsafi Molla Sadra, second edition, (Qom: The center of  publication of the office of Islamic Propagation, 1378 H/1957M). hlm. 25.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Ridha Ash-Shadr, al-Falsafah al-'Ulya, (Qom: The Center of Publication of the Office of Islam Propagation,  2000), hlm. 32.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perlu dicatat bahwa keadaan stagnasi pasca Ibn Rusyd tidak begitu berlaku di dunia filsafat Syiah.</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Asytiani, Syarh Ahwa/ wa Aray-e falsafi Molla Sadra, second edition, (Qom: The center of  publication of the office of Islamic Propagation, 1378 H/1957M). hlm 27.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Moallemi, Hasti Syenasi, (Qom: Moasseseh Amuzesyi pezuhesyi Khomeini, Intisyarat-  e Muasseseh wa Pezuhesyi Khomeini, 1999), hlm 28.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lahir di kota Qumsyeh Propinsi Isfahan pada 1318 H. dan meninggal pada 1353 H. llâhî Qomsyei  adalah nama populernya. (Lihat Abdullah Ni'mah, falasifah asy-Syi'ah, hlm 153).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Abdullah Zonuzi adalah filsuf di Isfahan yang didaulat oleh Muhammad Husain Khan Marwi  dan Hakim Nuri untuk menjadi Guru Besar Filsafat di Tehran. Sejak itulah ia menjadi pelopor  mazhab Tehran yang menjadi pesaing mazhab Isfahan. Mulla Abdullah Zunuzi memulai studi  di Azerbaijan, kemudian melanjutkannya di karbala dan menjadi murid penulis Riyadh al-Ulama  dalam bidang fikih. Ia juga menetap selama beberapa tahun di Qom dan berguru kepada Mirza  Qommi, Guru Besar Hawzah Qom saat itu. Pada tahun 1237 ia berpindah ke Tehran dan menjadi  Guru Besar Filsafat di Madrasah Marwi. la wafat pada tahun 1257 ((Lihat Abdullah Ni'mah, falasifah  asy-Syi'ah, hlm. 140).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Mirza Abu al-Hasan Muhammad Jalweh lahir pada bulan Zulkaidah 1238 H Keluarganya berasal  dari daerah Na'in, salah satu kota di Iran. Kota ini melahirkan banyak ulama terkenal. Kakek Sayid  Abu al-Hasan Jalweh yang bernama Mirza Rafi'uddin Thabåthabat Na'ini (w, 1099 H) adalah salah  seorang ulama dari kota tersbut, demikian juga ayahnya, Muhammad Thabathabâ'i yang populer dengan  sebutan Mazhar, seorang ulama dan peneliti yang memiliki kemampuan menulis bait-bait puisi. Buku  berjudul Ahwal as-slâtîn as-sfawiyyah adalah karyanya yang paling monumental. Jalweh wafat  pada 1315 H/1806 m. (Henry Corbin, Histoire de la Philosophie /slamique, Tehran: Institut Francais  de Recherche en Iran, 1994, hlm. 495).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dalam Ma ba'da ar-Rusydiyyah, (Le post - averroisme. Mollah Shadra, matre de la saesse  Trancendantale), Beirut: al-Ghadeer, 2000, hlm 42.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Asytiani, Syarh Ahwâl wa Aray-e falsafi Molla Sadra, second edition, (Qom: The center of  publication of the office of Islamic Propagation, 1378 H/1957M). hlm 27.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Asghar Faqihi, Tarikh-e Mazhabi-ye Qom, Hekmat, tahun 1997, hlm 131.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Hosain Gharawi Isfahani adalah ulama yang mampu menyandingkan ilmu-ilmu naqli  dengan ilmu-ilmu agli. Ia dilahirkan di Najaf pada tahun 1296 H. Ayahnya adalah saudagar yang  religius di Kazhimayn. Ia memulai studi di kota kelahirannya selama 20 tahun, kemudian pindah ke  Najaf dan menjadi murid Akhund Kazhem Khorasani hingga wafat.</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Asghar Faqihi, Tarikh-e Mazhabi-ye Qom, Hekmat, tahun 1997, hlm 167.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Periode pertama hawzah Masyhad tidak khusus bagi kota ini, tetapi juga bagi kota Khurasan. Salah  satu alasannya bahwa periode ini dikaruniai masa kehadiran Imam Ridha as dan ia sendiri tidak  tinggal di satu kota saja. la dari Madinah sampai Khurasan melewati berbagai kota, dalam rangka  penyebaran ma'arif 'alawi (ilmu-ilmu Imam Ali as) dan salah satu yang dinukil di Naisyabur adalah  hadis "Mata Rantai Emas". Periode kedua, setelah kesyahidan Imam Ridha, bagi kaum Syiah di  Iran, ia disemayamkan di salah satu desa Thus, yaitu Sanabad. Syiah menjadikan tempat itu seba-  gai pusat keilmuan dan kebudayaan. Dengan membangun kelas-kelas pelajaran di samping pusara  Imam menambah sinar cahaya daerah itu. Periode ini mencakup abad ketiga sampai kesembilan  hijriyyah, di mana hidup orang-orang besar seperti Thusi dan Thabarasi (584 Q). Lihat Khamenei,  Gozoresyi az Sabiqeh-e Tarikhi wa Auzha-e Konuni Hawzah Ilmiyyah Mashad, ( Qom: Jameeh  Modarresin, 1992), hal 25-26.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 Mughinyah, Ma'a Ulama an-Najaf al-Asyraf, (Beirut, Dar al-Jawad, 1984), hlm 34.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Ni'mah, Falasifah al-Syiah, (Qom: Dar al-Kitab al-Islami, 1987), hlm 156.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www.adisheh-qom.org, diakses tanggal 10 Maret 2008, pukul 11.00 WIB.</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Asghar Faqihi, Tarikh-e Mazhabi-ye Qom, Hekmat, tahun 1997, hlm 131, 167.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Peristiwa ini mengakibatkan hawzah filsafat di Isfahan menjadi sepi serta menyebabkan merosotnya  ilmu-ilmu rasional di sana. Murid-murid Mir Damad hanya melanjutkan pemikiran filsufis di Isfahan  sampai abad ke-13.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Sajjadi, Farhang-e Falsafi-ye Mulla Shadra (Philosophical Glossary of Mullâ Sadrâ), Tehran: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Reza Niyazmand, Syi'eh dar Tarikhe-Iran, Hekayat-e Kalam-e Novin, Qom, 1383 HS/2002 M, hlm  127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Sayyed Mohsen Saleh, Jameeh Modarresin Hauzeh Ilmiyeh-ye Qom, Az z ta konun, (Markaze  Asnad-Engelab-e Islami, vol. II, 2005), hlm 258.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Reza Niyazmand, Syi'eh dar Tarikhe-Iran, hlm 129.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Sayyed Mohsen Saleh, Jameeh Modarresin Hauzeh Ilmiyeh-ye Qom, Az z ta Konun, (Markaze  Asnad-Engelab-e Islami, vol. II, 2005), hlm 258.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Hashem Razi, Hekmat e Khosrovani, (Tehran, Iran: Benjat publications, 2000), hlm 274. Mulla  berasal dari kata Maula yang berarti pemimpin, namun mengalami parsinisasi menjadi Mulla  sebagai panggilan khusus bagi ahli agama, semacam kyai.</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Yahya Yathrebi, Majara-ye Tafakkor e Falsafi, vol. 1, (Tehran: Danesh, 2004), hlm 86.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Yahya Yathrebi, Majara-ye Tafakkor-e Falsafi, vol. I, hlm 85.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Ridha al-Hakimi, Mazhab e Tafkik dar Falsafeh, (Daftar e Nasyr e Farhang e Islami.</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Jurnal Kitab-e Nagd, vol. 12 ( Qom: Markaz Intisyarat wa Tabligh, 2000), hlm 123.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Jurnal Kitab-e Naqd, vol. 12, (Qom: Markaz Intisyarat wa Tabligh, 2000) hlm 124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Karim Ha'iri Yazdi dilahirkan pada tahun 1276 H. (1858 M.) di desa Mehr-Jerd di Yazd. la  seorang ulama terbesar di Sentra Pendidikan Haji Mirza Muhammad Hassan, yang dikenal sebagai  Mirza Syirâzi di Samara, dan kemudian berperan serta di pusat-pusat pendidikan yang dipimpin  oleh almarhum Mirza Muhammad Taqi dan Sayyid Muhammad Fesyaraki. Pada 1316 H (1897 M)  ia pergi ke kota Arak atas undangan para pemimpin agama kota itu dan tinggal di sana selama  beberapa tahun. Ketika datang untuk menetap di Qom, ia meletakkan batu fondasi Sentra Pen-  didikan Agama itu di dekat makam suci Fatimah Maksumah, dan tidak lama kemudian ia berhasil  menarik perhatian berbagai perkumpulan ulama dunia ke Sentra ini. Dapatlah dikatakan bahwa  kepergiannya ke Qom mendirikan sentra ini membuka sebuah bab baru dalam perluasan kebudayaan  Islam di dunia Syi'ah. Kota Qom, yang telah menjadi pusat perhatian bagi para pemimpin Syi'ah  sejak permulaan Islam, baru saja akan menambah halaman baru yang cemerlang pada sejarahnya  yang membanggakan, dan ketika Boroujerdi bergabung ke kota itu, Qom menjadi poros utama semua  Sentra Pendidikan Islam.</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Shirkhani and Abbas Zare', Tahavvulate Hauzen-ye Ilmiyeh-ye Qom, (Qom: Entesharat Markaze  Asnad-e Enqqlab-e Islami, 2006), hlm 215.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Salah satu stoa filsafat di hawzah adalah Madrasah Faiziyyah. Madrasah ini dibangun pada masa  berkuasanya dinasti Shafawiyyah (tahun 939 H/1518 M). Lokasi yang sekarang menjadi taman  kolam, dan dulunya adalah ujung madrasah. Dibangun kamar berbentuk fan yang dinamakan  Masyriq asy-Syamsain (letak terbitnya dua matahari). Dinamakan "Masyriqusy Syamsain" dise-  babkan setiap pagi matahari terbit terlihat dari bagian timur kamar tersebut; sedangkan kubah  suci (di atas makam Sayyidah Ma'shûmah) tampak seperti matahari bersinar di selatan kamar  itu; di situlah masyriq-nya dua matahari. Ruang ini adalah lokasi riyâdhah (aktivitas ritual)  rohaniawan besar dan merupakan tempat yang sangat mulia. Di tempat itu pula, Mir Damad men-  capai penyingkapan (mukasyafât); Baha'i melakukan riyâdhah; Mir Fandaraski belajar ilmu dan  melakukan riyâdhah; Mulla Sadrâ menulis dan mengajar kitab al-Asfar al-Arba'ah; dan Hakim  Rabbani, Muhsin Faidh Kasyani, serta Abdur Raz a Lahiji juga belajar ilmu dan menghabiskan  hari-harinya di (ruang) madrasah itu. Lihat Ali Shirkhani dan Abbas Zare', Tahawulât-e Hauzen-ye  Ilmiyeh-ye Qom, ( Qom: Entesharat Markaze Asnad-e Enqqlab-e Islami, 2006), hlm 128.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Ridha Niyazmand, Syi'ah dar Tarikh Iran, (Tehran: Hikayat Qalam Newin, 1383 HS/1962 M), hlm.53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Shirkhani and Abbas Zare', Tahavvolat-e Hauzen-ye Ilmiyeh-ye Qom, (Qom: Entesharat  Markaze Asnad-e Enqqlab-e Islami, 2006), hlm 204.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Shirkhani and Abbas Zare', Tahavvolat-e Hauzen-ye Ilmiyeh-ye Qom, hlm 207.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Al-Khunsari, Raudhat al-Jannat, hlm. 542.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Muthahhari, Thabaqah ye Falasefeh Islami, Majmoeh Asar, vol. 14,(Qom: Intisyarat e Shadra, 2000),  hlm. 77.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Muthahhari, Asynâ'i bâ 'Ulûm e Islâmi, hlm 143.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adalah salah satu filsuf paling bersinar di abad terakhir yang menggabungkan ilmu-ilmu  rasional dan tekstual. la mempelajari filsafat di bawah bimbingan Hakim Kermansyahi dan  Hakim Asykewari. Setelah Syeikh Abd al-Karim Hâ'erî mendirikan hawzah Ilmiah Qom, ia hijrah  ke Qom. Di kota inilah ia menjadi Guru Besar Filsafat dan mencetak banyak ulama, arif, dan  filsuf kenamaan, antara lain Imam Khomeini. Di usia senja, ia menjadi salah satu marja' di Tehran  dan wafat pada 1394 H (Muthahhari, Thabagat e Falasefeh Islami, Thabaqeh Siyu Duwwum).</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Muthahhari, Asynâ'i bà 'Ulum e Islâmi, hlm 143.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Jatuhnya kota Baghdad pada tahun 1258 M ke tangan bangsa Mongol bukan saja mengakhiri khila  fah Abbasiyyah di sana, tetapi juga merupakan awal dari masa kemunduran politik dan peradaban  Islam, karena Baghdad sebagai pusat kebudayaan dan peradaban Islam yang sangat kaya  dengan khazanah ilmu pengetahuan itu ikut pula lenyap dibumihanguskan oleh pasukan Mongol  yang dipimpin Hulagu Khan tersebut.</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Al-Andalus (Arab: culisi al-andalus) adalah nama dari bagian Semenanjung Iberia (Spanyol dan  Portugal) yang diperintah oleh orang Islam, atau orang Moor, dalam berbagai waktu antara tahun  711 dan 1492. [1] Al-Andalus juga sering disebut Andalusia, namun penggunaan ini memiliki  keambiguan dengan wilayah administratif di Spanyol modern Andalusia. [wikipedia).</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Nasr Sevved Hossein. The Islamic Intellectual Tradition in Persia. London: Curzon Press, 1997.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bin al-Hosain Baha'ud-Din al-Amili, yang dikenal dengan al- al-Baha'i dilahirkan di  Baalbek pada tahun 953 dalam keluarga ulama. Penulis Zubdah al-Ahkam ini telah mencetak ban-  yak filsuf dan fukaha Syi'ah. Karyanya yang hingga kini menjadi rujukan dalam ushul fikh adalah  Zubdah al-Ushul. la wafat pada tahun 1031 H.</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Parviz Morewedge. Essays in Islamic Philosophy. Theology and Mysticism. (Binghamton, NY:</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Gholam Hosain Ibrahim Dinani, The Adventure of Philosophical Thought in the Muslim World, Tehran: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Roy Motahedeh, The Mantle of the Prophet, New York: Pantheon Books 1985, hlm 179.</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Setelah Khajeh Nashiruddin Thusi wafat, tidak terlihat sosok filsuf yang menonjol di hawzah-hawzah  ilmiyyah Irak, sehingga Akhund Mula Hosainqoli Hamadani yang sedang menggali ilmu di  hawzah hijrah ke Atabat (Irak), dan menyempurnakan ilmu rasionalnya di hawzah Karbala dan Najaf.</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Qom sekarang telah mengalami perluasan wilayah dan dijadikan sebagai propinsi yang inde-  penden oleh Khamene'i. Luas wilayah Qom yang kini telah menjadi propinsi itu sekitar 14, 631  kilometer. Di sebelah utara, Qom berbatasan dengan Tehran, di sebelah timur dengan Semnan,  dan di selatan dengan Isfahan. Kini, Qom terdiri dari satu kota (ibukota propinsi), tiga kecamatan  (kota kecil), dan empat desa. Jumlah penduduknya, sesuai data sensus tahun 2001, adalah 1.232.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Buku yang dikomentari Murtadha Mutahhari ini telah diterjemahkan ke sejumlah bahasa major  dunia.</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Wilayat al-Faqih adalah konsep tentang sistem pemerintahan faqih yang menggabungkan otoritas  ketuhanan (divine authority, masyru'iyyat) dengan keberterimaan publik (public acceptability,  maqbuliyyat) sebagai dasarnya. (Lihat Wilayah al-Faqih, Hadi Ma'refat, Sazman-e Tablighat, Qom,  1999, hlm 45–47).</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Sayyed Mohsen Saleh, Jameeh Modarresin Hauzeh Ilmiyeh-ye Qom, Az z ta konun, (Markaze  Asnad-Engelab-e Islami, vol. II, 2005), hlm. 259.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Sahifen-ye Nur, Sazmane- Tablighat, Qom, 1997, vol. 5, hlm 76.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Biografi Muthahhari bisa ditemukan di banyak buku, antara lain dalam Majmoeh Astar-e Syahid  Muthhari, jld 1, hlm 8—16.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www.hawzah.net. (diakses pada 14 Januari 2008)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meraih gelar sarjana di Georgetown University. Meraih Master dan Doktor di Universitas  Michigan dan Toronto dengan nilai tertinggi dan cumlaude. Disertasinya yang berjudul 'Ilmu  Hudhuri' telah menarik perhatian para pemikir dan intelektual Barat, dan menjadi buku rujukan  tentang filsafat Islam di Barat. Ia meraih gelar PhD dalam bidang Filsafat Analitik. Masa hidupnya  dihabiskan sebagai ilmuan, pengajar dan peneliti di sejumlah universitas dan lembaga-lembaga  keilmuan tradisional, antara lain Guru Besar Fakultas Teologi dan Filsafat Universitas Tehran sejak 1344  H.S. hingga 1348. Materimateri kuliah yang disampaikan antara lain filsafat Ibn Sina dan filsafat Mulla  Shadra; Guru besar Filsafat Islam di Sekolah Tinggi Sepah Salar yang diketuai oleh Muthadha  Muthahhari, seniornya di Hawzah; Staf Ahli di Pusat Penelitian Agama-agama Dunia Universitas  Harvard sejak 1969 sampai 1971; Guru Besar Filsafat Islam dan Sastra Parsi di Universitas  McGill sejak 1969 sampai 1972; Guru Besar Filsafat dan Fiqh Islam di Universitas Michigan  1971-1972; Guru Besar Sastra Parsi untuk program Pasca sarjana Universitas Toronto 1974-  1975; Guru Besar Filsafat Ibn Sina di Pontifical Institute Medieval Studies di bawah naungan Universitas Toronto; Guru Besar Filsafat Ketuhanan di Universitas  Georgetown pada 1979; Guru Besar Filsafat Etika di Universitas Toronto 1979 - 1980; Guru Besar dan  dosen terbang di sejumlah Perguruan Tinggi Eropa dan Amerika dan cabang-cabangnya, seperti New  York University, Oxford University, Montreal University, Anggota Lembaga Internasional Etika Global  dan aktif di bebagai seminar internasional dan lokal. Karya-karyanya banyak, antara lain: Heram-e Hasti  (Buku yang telah diterjemahkan ke beberapa bahasa ini adalah transkrip kuliah-kuliahnyia pada tahun  1359 Hsy. Buku ini bisa dianggap karyanya yang paling monumental); Agahi wa Guwahi (komentar  dan kritik atas Risalah fi At-Tashawwur wa At-tashdig karya Mulla Shadra, yang pertama kali dicetak di  Iran pada tahun 1360 H.Sy, kawushyha-ye Aql e Amali; Elm e Kulli), Metafisika ( berisikan pandangan  penulis tentang Metafisika. Pertama kali di cetak dan diterbitkan di Qom kemudian diterbitkan kembali  oleh Universitas Tehran pada tahun 1361 Hsy; Hekmat wa Hukumat(pandangan kritis terhadap konsep  Wilayat-e Faqih); Elm-e Huzhuri ( disertasi doktoralnya di Universitas New York pada 1978 dan telah  diterjemahkan ke dalam bahasa Inggris dan lainnya, termasuk Indonesia dan diterbitkan oleh Mizan  dengan pengantar sahabatnya, Syed Hossein Nasr). Biografi ini diambil dari pengantar buku Elm-ekulli,  Entesyarat-e Danesygah-e Tehran, 1998).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dikenal sebagai tokoh yang sangat ketat memperjuangan konsep  Wilayat-e Faqih sesuai dengan pandangan Khomeini. Hal inilah yang menjadi salah satu alasan bagi  kalangan liberal untuk menganggapnya sebagai pemikir yang kaku. Pandangan-pandangannya  tentang Welayat-e Faqih telah dibukukan dalam bentuk tanya jawab berseri berjudul Porsyesy-  ha va Pasukh-ha, terbitan Moasseseh Pezuhesyi va Amuzesy-l Imam Khomeini, Qom.</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ICAS adalah program pascasarjana yang berada di bawah Hawzah Ilmiyyah Qom yang didirikan  di sejumlah negara, merupakan salah satu hasil kiprah dan reformasi kurikulum Muhammad Taqi Mishbâh Yazdi. Sebagian besar dosennya merupakan alumnus The Imam Khomeini Education  and Reasearch Institute yang didirikan olehnya.</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Periksa www.cabas.org dan www.hawzah.ocm juga Brosur resmi The Imam Khomeini  Education and Reasearch Institute.</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Masyarakat Iran menggunakan kalender Hijriyyah Syamsiyyah.</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Ridha Shan'ati, Mishbah Dustan, Qom: Himaye Ghadir, 1383 HS/2001 M, hlm. 88.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Islami, Zendegi Nameh Muhammad Taqi Mishbâh Yazdi, Qom, Intisyarat Partu  Wilayat, 1382 HS/2000 M, hlm 20.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Akhundi adalah anak paman ibu.</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Islami, Zendegi Nameh, hlm. 21.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Islami, Zendegi Nameh. hlm. 22.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'Uzma Muhsin Thabâtaba'i Hakim (1306—1390 H/1884—1960 M).</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'Uzma Sayyid Abd al-Hadi Syirazi (1305—1382 H/1883—1961 M).</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Islami, Zendegi Nameh, hlm 23.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Islami, Zendegi Namen, hlm. 24.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Islami, Zendegi Nâmeh, hlm. 28.</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Muhammad Taqi Mishbâh Yazdi, Qom, 27 Juni 2007.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Mirsepah, Qom, 18 Juni 2007.</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Mirsepah, Qom, 18 Juni 2007.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Muhammad Taqi Mishbâh Yazdi, Qom, 27 Juni 2007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Muhammad Taqi Mishbâh Yazdi, Qom, 27 Juni 2007.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Muhammad Taqi Mishbâh Yazdi, Qom, 27 Juni 2007.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Pelajaran-pelajaran ini dipublikasikan dalam sebuah buku dengan judul yang sama.</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tanggal 10 Mei 2007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tanggal 07 Mei 2007.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tanggal 09 Mei 2007.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tanggal tanggal 08 Mei 2007.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Propaganda paham-paham tersebut mendapat dukungan negara-negara barat seperti AS  Mereka ingin menggantikan Islam dengan paham-paham seperti ini demi kepentingan mereka.</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tanggal 12 Mei 2007.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tanggal 10 Mei 2007.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Fayadhi, 20 Mei 2007.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Harian E'temad: 12/11/1383: hlm. 1; Harian Javan, 12/6/1384: HLM 2; Yusuf Shane'i,  Welayat-e Faqih, Jameeh Modarresin, Qom, 1987, hlm. 246 and 151).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Harian Kayhan: 7/4/1384: hlm 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Salah satu contoh adalah terbitnya buku Shi'a yang merupakan salah satu hasil usulan seor-  ang orientalis Barat bernama Kenneth Morgan dari Universitas Colgate. Morgan ingin menyuguhkan  agama-agama Timur kepada Barat dari sudut pandang tokoh-tokoh terkemuka agama dimaksud.</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Muhammad Taqi Mishbâh Yazdî, Âmûzesy-e Falsafeh.</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Muhammad Taqi Mishbâh Yazdí, 27 Juni 2007.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Islami, Zendegi Namen, hlm. 90.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Islami, Zendegi Namen, hlm. 21.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Syirvani dalam wawancara, 10 Juni 2007.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Pendapat ini berbeda atau malah kritis terhadap komentar yang dikemukakan salah satu murid  Yazdi, Ali Syirvani, dalam wawancara dengan penulis, yang mengatakan, "Jika terdapat tulisan-  tulisan pemikiran Muthahari dan Muhammad Taqi Mishbâh Yazdi, namun Anda cuma punya satu  kesempatan untuk membaca salah satunya, saya sarankan Anda untuk mengkaji tulisa-tulisan  Mutahhari saja. Namun jika memiliki kesempatan yang lebih, ada baiknya bila kedua-duanya  dibaca agar dapat saling melengkapi. Dalam masalah menjelaskan dan memberi pemahaman, jelas  Mutahhari tiada duanya. Tidak seperti Javadi Amoli, Muhammad Taqi Mishbâh Yazdi atau  Hasan Zadeh Amoli. Mereka semua belum menyamai ketokohan Mutahhari. Bahkan dalam  konteks kemampuan menjelaskan ini, Thabåthabâ'i juga tidak lebih unggul darinya. Di samping pi-  awai menulis, ia juga bagus dalam menjelaskan. Kata-kata Mutahhari di masanya akan senantiasa  bermakna sampai lima puluh tahun ke depan. Jika Mutahhari hari ini masih hidup, niscaya  lingkup aktivitasnya akan sangat luas sekali, dan kemampuannya melampaui segenap apa yang  dapat dicapai Muhammad Taqi Mishbâh Yazdî. Di era Mutahhari, Muhammad Taqi Mishbâh Yazdi  sama sekali tak akan mampu menggapai puncak kehebatan Mutahhari. Jika Mutahhari masih  hidup di masa Muhammad Taqi Mishbâh Yazdi sekarang, niscaya kami akan memilih Mutahhari  sebagai figur pemikir peringkat pertama. Sedangkan peringkat keduanya diduduki Muhammad Taqi  Mishbâh Yazdi dan Jawadi Amuli. Jika Mutahhari hari ini masih hidup, niscaya tidak seorang pun  yang mampu mengunggulinya, baik Muhammad Taqi Mishbåh, Jawadi Âmuli, Hasan Zadeh Amoli  maupun. Pada posisinya, menurut saya, Murtadha Mutahhari tiada tanding."</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Syirvani dalam wawancara dengan penulis.</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http://www.jalal-center.com (Diakses pada 1 Mei, 2008).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Nama Muthahhari tidak asing di Indonesia, terutama bagi cendekiawan dan kalangan terdidik  di Tanah Air. Murid terdekat Thabathaba'î dan Khomeini ini lahir pada tanggal 2 Februari 1920 di  Fariman, sebuah desa yang berjark 60 km dari kota suci Masyhad. Karya-karya Muthahhari-baik  hasil ceramah maupun tulisan—sangat banyak, mencapai lebih dari 200 karya dalam berbagai bidang,  seperti filsafat, kalam, sosiologi, sejarah, antropologi dan etika. Karya-karya Muthahhari telah  diterjemahkan ke berbagai bahasa, termasuk Indonesia, antara lain Adl e Ilahi (keadilan Ilahi), tema  dalam kalam dan Harakat va Zaman dalam filsafat (3 jilid). Seluruh karya Muthahhari telah dikum-  pulkan dalam sebuah ensiklopedi Muthhari lebih dari 20 jilid berjudul Majmo'eh Asar e Mothahhari  (seri karya Muthahhari).</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Jawadi Amuli dilahirkan di kota Amul dalam lingkungan keluarga intelektual dan relijius.</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Tidak tertutup kemungkinan, sikap low profile Jawadi Amulî menghadapi wacana dan pan-  dangan kaum liberal karena merasa kurang menguasainya. Namun, boleh jadi, sikap ini dipengaruhi  oleh kecenderungan mistisnya yang pada level tertentu memandangnya dalam pespektif perenial.</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wawanacara dengan penulis, DR. Hasan Moallemi sempat menceritakan kontroversi di  kalangan hawazah, terutama para ulama terkemuka, tentang sikap Muhammad Taqi Mishbâh  menghadapi kaum liberal. Sebagian ulama menyanyangkan sikap kerasnya</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Muhsin Labib, Ahamdinejad, David di Tengah Angkara Goliath, Jakarta: Hikmah, 2006, hal, 36.</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Beberapa karya Jawadi Amuli yang diterjemahkan ke bahasa Inggris, Arab juga Indonesia sangat  tidak memuaskan, karena alasan redaksi yang kaku. Hal ini dikeluhkan oleh Jawadi Amuli  sendiri.</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Bidayat al-Hikmah merupakan buku daras resmi studi filsafat untuk tingkat muqaddimat. Sedangkan  Nihayat al-Hikmah merupakan dasar resmi studi filsafat utuk tingkat suthuh. Kedua buku telah  diberi komentar oleh puluhan pemikir. Buku Ta liqah bar Nihayat al-Hikmah karya Muhammad  Taqi Mishbâh Yazdi dianggap sebagai salah komentar yang paling kritis. Kuliah-kuliah studi  naskah kedua buku tersebut kini telah direkam secara digital dan dapat didownload secara gratis dari  situs-situs hawzah dan lembaga-lembaga studi filsafat di hawzah ilmiyyah Qom.</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Asy-Syifa' karya Ibn Sina terdiri atas tiga bab utama.</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Simon Blackburn, "Philosophy", The Oxford Dictionary of Philosophy, Oxford: Oxford University  Press, 1994, hlm 76.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Lebih jauh, rujuk Falsafah-e 'Umůmi yâ Mâ Ba'da Thabi'ah, terjemahan Yahya Mahdawi atas  karya Paul Foulquie, Treité élémentaire de philosophie (Paris, 1951), jilid 3 (Metafisika), bab 6  (Masalah-masalah fundamental metafisika).</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85.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hlm 85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Bostock, Aristotle: Metaphysics Books Z and H. Oxford: Clarendon Press, 1994.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Naqdi bar kant</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Muhammad Taqi Mishbâh Yazdi, Amûzesy e Falsafeh, juz 1, Tehran: Muassasah Intisyarat Amir  Kabir, 1998, hlm 90-91.   </w:t>
      </w:r>
      <w:r>
        <w:rPr>
          <w:rFonts w:ascii="IRNazanin" w:hAnsi="IRNazanin" w:eastAsia="IRNazanin"/>
          <w:b w:val="false"/>
          <w:b w:val="false"/>
          <w:bCs w:val="false"/>
          <w:i w:val="false"/>
          <w:i w:val="false"/>
          <w:iCs w:val="false"/>
          <w:color w:val="333333"/>
          <w:sz w:val="20"/>
          <w:sz w:val="20"/>
          <w:szCs w:val="20"/>
          <w:rtl w:val="true"/>
        </w:rPr>
        <w:t>کند بنابرابن که فلسفه اولی با متافیزیک و موضوع ان را موجود مطلق نه مطلق موجود  بدانیم می توانیم آن را به این صورت تعریف کنیم علمی را که از احوال موجود مطلق بحت می کند با علمی که از احوال کلی وجود گفتگو می  با مجموعه فضایا و مسائلی که پیرامون موجود بما هو موجود مطرح می شود</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Pada era Islam, masalah-masalah metafisika diasimilasikan dengan tema-tema teologi yang kemudi-  an disebut "ketuhanan dalam arti luas" (</w:t>
      </w:r>
      <w:r>
        <w:rPr>
          <w:rFonts w:ascii="IRNazanin" w:hAnsi="IRNazanin" w:eastAsia="IRNazanin"/>
          <w:b w:val="false"/>
          <w:b w:val="false"/>
          <w:bCs w:val="false"/>
          <w:i w:val="false"/>
          <w:i w:val="false"/>
          <w:iCs w:val="false"/>
          <w:color w:val="333333"/>
          <w:sz w:val="20"/>
          <w:sz w:val="20"/>
          <w:szCs w:val="20"/>
          <w:rtl w:val="true"/>
        </w:rPr>
        <w:t>الالهیات بالمعنی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 Bahkan sesekali tema-tema lain  seperti Hari Kebangkitan dan sarana-sarana mencapai kebahagiaan manusia, termasuk kenabian dan  keimaman, ikut dilampirkan sebagaimana dapat disaksikan pada bagian yang membahas masalah  ketuhanan dalam buku asy-Syifa karya Ibn Sina. Jika semua masalah ini dianggap sebagai masalah  utama suatu ilmu, dan tidak terjadi pemaksaan atau penyimpangan dalam kaitan ini, maka subjek ilmu  ini diduga sangatlah luas. Menentukan satu subjek untuk beragam tema yang sama bukanlah perkara  mudah. Sudah banyak ditempuh upaya untuk menentukan subjek tersebut dan menjelaskan bahwa  semua predikat ini adalah ciri-khas esensialnya (essential properties/'awaridh dzâtiyyah), walau tidak  begitu berhasil. Dalam konteks di atas, muncul tiga alternatif. Pertama, segenap masalah teoretis  selain fisika dan matematika dipandang sebagai ilmu tunggal bersubjek tunggal. Kedua, tolok-ukur  dan kriteria koherensi dan kemanunggalannya adalah tujuan dan sasarannya. Ketiga, masing-masing  kelompok persoalan yang bersubjek tunggal dipandang sebagai satu ilmu, seperti soal-soal universal  keberadaan, yang dibicarakan dalam "filsafat pertama atau utama"—mengikuti salah satu makna khas  "filsafat". ( Muhammad Taqi Mishbâh Yazdi, Amûzesy-e Falsafeh, hlm 89-90).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Falsafeh, hlm 89.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90.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 e Falsafeh, Tehran: Muassasah Intisyarat Amir Kabir,  1998, hlmjuz 1, hlm 75.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Amûzesy-e Falsafeh, hlm 100.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90–91.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Falsafen, hlm 101.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Âmúzesye Falsafeh, hlm 101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Åmûzesy-e Falsafeh, hlm 102.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102.</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hlm 89, pelajaran ke-22.</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Syarh Nihâyat al-Hikmah, hlm 301—305.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Syarh Nihâyat al-Hikmah, hlm 188. Kkulli (konsep universal, univer-  salia) berbeda dengan kull (universal). 1) Kull (semua) sebagai 'semua' adalah entitas objekti  real (al-maujud al-khariji). Sedangkan kulli (sesuatu yang bersifat kesemuaan) sebagai sebuah kon-  sep universal adalah entitas subjektif (maujud dzihni); 2) Kuil adalah entitas gabungan dari  beberapa elemen dan bagian.</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Yazdí, "Pasdari az Sangarha-ye lydi'uluzhik" (artikel tentang dialektika), Dar Rah-e Haqq, Qom; 1982, hlm. 120.</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Penulis dalam sebuah diskusi dengan beberapa guru filsafat menawarkan penggantian istilah  ma'qûlat falsafiyyah dengan ma'qûlat wujudiyyah, karena pengertian filsafat tidak lagi dipahami se-  bagai metafsika dan ontologi lagi, namun sudah dianggap sebagai sebuah pola pendekatan. Se-  bagaimana lazim dipahami demikian di lembaga pendidikan non hauzah.</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Hal yang populer di kalangan tradisional, universalia dibagi ke dalam tiga kelompok, pertama, uni-  versalia primer, yang kemudian diderivasi lagi menjadi universalia sekunder logis dan universalia  sekunder ontologis, sebagaimana dilakukan para filsuf terdahulu. Muhammad Taqi Misbah  Yazdi nampaknya mulai melakukan perampingan, dengan membagi universalia ke dalam kategori  primer dan sekunder, yang kemudian dibagi lagi menjadi universalia sekunder logis dan universalia  ontologis.</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Yazdí, Âmûzesy-e Falsafeh, juz 1, hal 200—203.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Fana'ee Eshkawari, Secondary Intelligible (Ma'qol e Tsani), Qum: The Khomeini Education and  Reasearch Institute, 1997, hlm 15—16.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Falsaefh, juz 1, hlm 202–203. Universaliauni-  versalia logis memiliki ciri-ciri sebagai berikut: sebagian universalia logis bersifat konseptual murni.</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166.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menyebutkan ciri-ciri utama konsep-konsep universal yang  bertalian dengan wujud atau ma qûlât tsanawiyyah falsafiyyah. 1) la tidak bisa diperoleh tanpa  analisis rasional, dan ketika dipredikasikan atas maujud-maujud, maka ia akan mengungkap as-  pekaspek wujud dalam maujud-maujud tersebut. Pengertian 'sebab', misalnya, yang dilekatkan  pada api, tidak akan pernah mengindividuasi esensi khususnya, namun mampu mengun-  gkapkan salah satu model relasinya dengan panas; 2) la tidak memiliki jelmaan (manifestasi)  objektif, baik berupa substansi yang mandiri maupun berupa aksiden yang tidak mandiri, namun  ja eksis dalam realitas objektif sebagai predikat (shifah) yang bergantung pada yang dilekatinya  (maushûf); 3) la bukanlah entitas subjektif (maujûd dzihni) murni, sehingga tidak dapat digolongkan  dalam universalia-universalia logis (ma'qulât manthiqiyyah). Ia juga bukan forma langsung bagi  entitas-entitas objektif, sehingga tidak dapat dimasukkan dalam daftar universalia-universalia primer, 4)  la masuk dalam daftar masalahmasalah (hukum-hukum) umum dan terhimpun dalam hukum-hukum  tentang 'maujud sebagai maujud'; 5) la tidak mempunyai pengertian dan konsep parsial. (Muhammad  Taqi Mishbâh Yazdî, Âmûzesye Falsafeh, juz 1, hlm 167).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83; Mullâ Sadra, al-Mabda'wal-Ma'ad,  Tehran : Anjuman Falsafeye Syahensahi, 1354 HS/1973 M, hlm 90.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1, hlm 85.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Parvis Morewedge, The Metaphysica of Avicenna, London, Routledge and Kegan Paul; 1973, hlm  321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1, hlm 186—187.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Jaegwon Kim dan Earnest Sosa (ed), A Companion to Metaphysics, United Kingdom: Black-  well Ltd., 1995, hlm 373.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Andre Lalande, Vocabulaire Technique ef Critique de la Philosophie, terj. Parsi Gholam Reza, 2000,  hlm 564.</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Gerami, Falsafeh, Jameeh Modarresin, Qom, 2000, hlm 47.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Sadrâ, Al-Syawahid al-rububiyyah, 57.</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Disertasi Haidar Bagir (Lihat juga Ali Gerami, Falsafeh, Jameeh Modarresin, Qom, 2000, hlm. 86.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86.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Karya ini bisa dianggap sebagai bukti perubahan paradigma filsafat Thabathaba'i yang lebih modern  karena memberikan porsi yang proporsional untuk pembahasan epistemologi, yang berbeda dengan  Bidayat al-Hikmah dan Nihayat al-Hikmah. Karya tiga jilid ini telah dikomentari oleh Muthahhari dan  telah diterjemahkan ke bahasa Inggris, Arab dan beberapa bahasa dunia</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jld. 1. hlm. 35.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Mishbân Yazdi, Amûzesy-e Falsafeh, jld. 1. hlm 37.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bdk. Martin Heidegger, Sein und Zeit, Max Niemeyer, Tubingen; 1953, paragraph 9, hlm 42).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Sadra, al-Asfâr al-Arba'ah, vol. 6, hlm 151, Beirut: Dar at-Turats al-Arabi, 1981. M. Fana'ee  Eshkevari, Elm-e Huzhuri, hal 19, Qum: The Imam Khomeini Education and Research Institute, hlm.</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Sadrâ, al-Asfâr al-Arba'ah, vol. 3, hlm 285.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Ilmu dilihat dari perspektif prinsip hudhur (kehadiran) dapat diperlakukan sebagai maujud mujarrad,  dan karenanya dianggap sebagai bagian dari ontologi. Namun, bila dilihat dari perspektif produk  sensasi (ihsas), maka ia adalah bagian dari epsitemologi</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juz 1, Qom: Muassasah Intisyarat Amir Kabir,  1998, hal 84.</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Teheran: Muassasah Intisyarat Amir  Kabir, 1998, hlm 91.</w:t>
      </w:r>
    </w:p>
  </w:footnote>
  <w:footnote w:id="20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ندارد در درسهای گذشته مکررا گفته شد که مسائل فلسفی را باید با روش تعطی مورد بررسی قرار داد و روش تجربی در این زمینه   کارابی</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Falsafeh, hlm 85.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hlm 86.</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86.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Falsafeh, hlm 86.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Falsafen, hlm 87.</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Mishbân Yazdi, Amûzesy-e Falsafeh, hlm 87.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Syarh-e Nihayat al-Hikmah, Qom: Muaseseye Nashr  Islomi, 1415 H/1993 M, hlm 51.</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hlm 86–87</w:t>
      </w:r>
    </w:p>
  </w:footnote>
  <w:footnote w:id="21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دیگری مبادی تصوری که همان تعاریف و بیان ماهیت اشیاء مورد بحث است معمولا در خود علم و به صورت مقمه مطرح می شود ولی مبادی تصدیقی علوم مختلف اند و غالبا در علوم دیگری مورد بحث قرار میگیرند و جنانکه قبلا اشاره کردیم فلسفه هر علمی در واقع علم که عهده دار بیان و اثبات اصول و مبادی آن علم میباشد و سرانجام کلی ترین مبادی علوم در فلسفه اولی یا متافیزیک مورد بحث و بررسی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می شوند است</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hlm 88.</w:t>
      </w:r>
    </w:p>
  </w:footnote>
  <w:footnote w:id="21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هیج علم از جمله می توان از اصل علیت یاد کرد که در همه علوم تجربی مورد استناد دانشمندان می باشد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اساسا پزوهشهای علمی با   پذیرفتن قبلی این اصل انجام می گیرد زیرا محور آنها را کشف روابط علی و معلولی بین یدیدهها تشکیل میدهد ولی خود این اصل در  تجربی قابل اثبات نیست و بحث در باره آن در فلسفه صورت می پذیرد</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hlm 88–89.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89.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Falsafeh, hlm 46.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Sadra, al-Asfâr al-Arba'ah, vol. 1, hlm 151.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Mehdi Haeri Yazdi, Safa-e Nafs, Qom: Entesharat e Naqsy-e Jahan, 2000, hlm 64–65.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Moallemi, Ma'refat Syenasi az Didgah-e Hekmat-e Muta'aliyyah, Qom: Muaseseh  Pezuhesy wa Amuzesy-e Imam, 2001, hlm 23.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Sadra, al-Asfâr al-Arba'ah, vol. 3, hlm 285.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bersikeras menetapkan bahwa induk semua ilmu, baik filsafat maupun  lainnya bersumber dari ilmu badini. Sikap Ini mempertegas kecenderungan Paripatetisnya. Hal ini juga  memperjelas bahwa Muhammad Taqi Mishbâh Yazdi hanya memperlakukan ilmu hushûli sebagai  bidang filsafat.</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Para filsuf Barat mengikuti jejak Plato menambahkan kata 'muwajjah' (terjustifikasi) pada definisi  tersebut. Jika yang dimaksudkan dengannya mencakup batin dan lahir, di mana ke badîhî dan  badini termasuk ke dalamnya (hanya membayangkan subjek dan predikat cukup untuk dijadikan  dasar pembenaran), maka hal itu tidak bermasalah. Namun, kalau yang dimaksudkan adalah lahir  saja, maka hal tidak bisa diterima. Singkatnya, penggunaan terma tersebut meniscayakan 'daur' dan  tasalsul.</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84–85.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77.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Falsafen, hlm 85.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Sabzewari, Syarh al-Manzhumah: jil. 1, hlm 28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7—10.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107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Moallemi, Falsafeh Tathbiqi: hlm 117.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Hasan Zadeh, Ma'refat Shenasi: Moasseseh Pezuhesy va Amuzesy-e Imam Khomeini,  Qom, 1998, hlm 102.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Moallemi, Falsafeh Tathbiqi: Qom, hlm 126—127</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Falsafeh, juz, 1, hlm 87.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Mengenai wacananya tentang "intensionalias "di Pontifical Institute Toronto pada tahun 1975  –76, Prof. A.C. Pegis, ketika menafsirkan filsafat pengetahuan Aristotelian, membedakan dua  jenis perbuatan manusia: 'tindakan imanen' dan 'tindakan transitif. Ilustrasi yang diberikannya  untuk yang pertama adalah pengetahuan manusia yang hadir di dalam pikiran subjek yang  mengetahui, dan untuk yang kedua adalah tindakan yang benar-benar melalui pikiran dan menjadi  stabil secara mandiri, di antara objek-objek fisik eksternal di dunia eksternal seperti membangun  rumah, menulis buku, dan lain-lain. Atas dasar perbedaan ini tampaknya bisa diterima untuk  menurunkan dua jenis objek yang menyusun dan menentukan tindak pengetahuan kita. Kedua  jenis objek ini adalah objek imanen dan objek transitif pengetahuan kita.</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 Thomas , The Commentary on Aristotle's De Anima II, IV, hlm 303–305.</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 Thomas , Commentary on the Metaphysics of Aristotle, vol. 2, hlm 1648–80).</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Tentang persoalan perbedaan antara kausa efisien dan kausa final, St. Thomas menafsirkan  Aristoteles dengan cara begini: â€ kausa seperti itu (kausa efisien) diselidiki sebagai kausa  bagi proses penciptaan (generation) dan pemusnahan (corruption). Akan tetapi, kausa yang  lain (kausa final) diselidiki tidak semata-mata sebagai kausa bagi proses penciptaan dan  pemusnahan (kaun wa fasad), tetapi juga kausa untuk mengada (being) â€ dan selama tujuan itu  menggerakkan agen melalui niatnya ke arah itu, ia juga menjadi kausa bagi penciptaan dan  pemusnahan. Selama hal itu diarahkan kepada tujuannya melalui bentuk-bentunya, ia juga  merupakan kausa untuk mengada (Vol. 2, 1,17: Chlm 1648-80).</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Sadrâ, Al-Asfar al-Arba'ah, jilid 1 pasal 10, hlm 313—315.</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Hani Idris, Ma ba'da al-Rusydiyyah, Beirut: Dar al-Ghadir, 1408 H/1996 M, hlm 264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1 hlm 176.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Sadrâ, al-Asfâr al-Arba'ah, vol. 3, hlm 285.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Muassasah Intisyarat Amir Kabir,  1998, juz 1, hlm 176.</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176.</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tidak membawakan dalil lain, namun hanya menyebutkan:</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Prinsip menegaskan bahwa semua pengetahuan aposterior mesti berhenti pada induknya, yaitu  pengetahuan aprior. Bila tidak, maka akan memestikan tasalsul. (Lihat Muhammad Taqi Fa'ali,  Ulum e Payeh, 209, Daftar-e Tablighat, Qom, 2003, hlm 205).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Saat membahas masalah tolok ukur kebenaran ini, Muhammad Taqi Mishbâh Yazdi berusaha  untuk membuat irisan yang mempertemukan sudut dua mazhab epietemologi. Menurutnya, para  rasionalis berpendapat bahwa tolok-ukur mengenali kebenaran adalah 'watak-dasar atau fitrah  akal' (</w:t>
      </w:r>
      <w:r>
        <w:rPr>
          <w:rFonts w:ascii="IRNazanin" w:hAnsi="IRNazanin" w:eastAsia="IRNazanin"/>
          <w:b w:val="false"/>
          <w:b w:val="false"/>
          <w:bCs w:val="false"/>
          <w:i w:val="false"/>
          <w:i w:val="false"/>
          <w:iCs w:val="false"/>
          <w:color w:val="333333"/>
          <w:sz w:val="20"/>
          <w:sz w:val="20"/>
          <w:szCs w:val="20"/>
          <w:rtl w:val="true"/>
        </w:rPr>
        <w:t>فطرة العقل</w:t>
      </w:r>
      <w:r>
        <w:rPr>
          <w:rFonts w:eastAsia="IRNazanin" w:cs="IRNazanin"/>
          <w:b w:val="false"/>
          <w:bCs w:val="false"/>
          <w:i w:val="false"/>
          <w:iCs w:val="false"/>
          <w:color w:val="333333"/>
          <w:sz w:val="20"/>
          <w:szCs w:val="20"/>
        </w:rPr>
        <w:t>/fithrat al-'aq/). Mereka menganggap semua proposisi yang diturunkan dengan benar  dari proposisi-proposisi aprior, yang pada dasarnya merupakan bagian-bagian kecilnya, sebagai  kebenaran. Adapun proposisi-proposisi indrawi dan hasil pengalaman (experiential) dianggap sahih  sejauh sudah dibuktikan dengan dalil-dalil intelektual. Namun begitu, kita tidak melihat adanya  penjelasan tentang kesesuaian proposisi-proposisi aprior dan fitriah (innate) dengan realitas,  kecuali ujaran Descartes menyangkut kebijaksanaan dan kejujuran Tuhan dalam hal gagasan-  gagasan fitrah dan watak-asli_manusia. Muhammad Taqi Mishbâh Yazdi, Âmúzesy-e Falsafeh,  juz 1. hlm 87.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Falsafah, juz 1, hlm 184.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85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1, hlm 120.</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147.</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Yazdí, Amûzesye Falsafeh, juz 1, hlm 147—148.</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148.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148—149.</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112.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112—113.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212—213.</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1, hlm 213—214</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214.</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214.</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214–215.</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Para filsuf Muslim dan ahli logika memaknakan "tanpa pembuktian" yang terdapat diakhir definisi  pengetahuan badini dengan dua pengertian: 1) Tanpa pembuktian' ialah tanpa perlu"  pembuktian (M. R. Muzhaffar, al-Mantiq, hlm 16; 2) 'Tanpa pembuktian' ialah "tidak mungkin" dibuktik-  an. Dengan demikian, jika pengetahuan assentual badini hendak dibuktikan (dengan  pengetahuan assentual lainnya) niscaya berakhir pada dua implikasi absurd; sirklus dan tasalsul  (suksesi). Oleh karena itu, pengetahuan badini mustahil dibuktikan</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Amûzesy-e Falsafeh, hlm 18-20.</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Marx dan para pengikutnya menolak hukum non kontradiksi dengan beranggapan bahwa dalam  setiap gejala dan entitas terjadi kontradiksi. Namun, mereka salah memahami kontradiksi,  karena ternyata yang dianggap sebagai kontradiksi hanyalah adanya potensia dan aktus dalam  setiap entitas. (Baca Kontradiksi Mao dan Marx).</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Masalah kontradiksi atau inversi dan sarat-syaratnya akan dibahas secara rinci dalam logika. (Lihat  al-Bahadili, Muhadharat fil-Aqidah, Dar Al-a'lami li Al-  mathbu'at, Beirut, 1987, hlm 120).</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Lihat juga Anton Bakker, Ontologi Metafisika Umum, Filsafat Pengada dan Dasar-Dasar Kenyataan,  Kanisus Jakarta, 1992</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Masdar (mashdar) adalah kata yang berbentuk kata benda-kerja (verbal noun) yang mengandung arti keadaan atau kejadian dan netral dari sifat pasif (objek) atau aktif (subjek). Misalnya, masdar wa- jada adalah wujûd. Dalam tatabahasa Inggris, masdar biasa dipadankan dengan infinitive.</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219.</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Konsep subjek merupakan bagian dari konsep mâhiyyah karena ia bisa dipakai untuk menjawab  pertanyaan "apakah itu", sedangkan konsep predikat yang merupakan turunan konsep subjek  adalah bagian dari himpunan konsep filsufis karena ia dipakai untuk menjawab dan menyelidiki peri  ke-wujud-an atau ke-ada-an subjek.</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Proposisi selalu menuntut pemisahan dan penguraian subjek dan predikat suatu maujud nyata,  meskipun secara eksternal keduanya tak bisa dipisah-pisahkan. Misalnya, ketika kita katakan Muhammad maujud", seolah-olah kita memisahkan Muhammad dari kemaujudannya. Dan karena  sesungguhnya pemisahan itu mustahil terjadi, ia disebut sebagai tindakan respectival yang hanya  terjadi dalam alam mental manusia. Dengan demikian, predikat merupakan bentukan respectival dari  subjek</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Reza Shadr, al-Falsafah al-Ulya, Daftar-e Tablighat, 80.</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Istilah kemendasaran (</w:t>
      </w:r>
      <w:r>
        <w:rPr>
          <w:rFonts w:ascii="IRNazanin" w:hAnsi="IRNazanin" w:eastAsia="IRNazanin"/>
          <w:b w:val="false"/>
          <w:b w:val="false"/>
          <w:bCs w:val="false"/>
          <w:i w:val="false"/>
          <w:i w:val="false"/>
          <w:iCs w:val="false"/>
          <w:color w:val="333333"/>
          <w:sz w:val="20"/>
          <w:sz w:val="20"/>
          <w:szCs w:val="20"/>
          <w:rtl w:val="true"/>
        </w:rPr>
        <w:t>اصالة</w:t>
      </w:r>
      <w:r>
        <w:rPr>
          <w:rFonts w:eastAsia="IRNazanin" w:cs="IRNazanin"/>
          <w:b w:val="false"/>
          <w:bCs w:val="false"/>
          <w:i w:val="false"/>
          <w:iCs w:val="false"/>
          <w:color w:val="333333"/>
          <w:sz w:val="20"/>
          <w:szCs w:val="20"/>
        </w:rPr>
        <w:t>) secara harfiah berarti 'primer atau akar', lawan dari kata  'sekunder atau cabang' (</w:t>
      </w:r>
      <w:r>
        <w:rPr>
          <w:rFonts w:ascii="IRNazanin" w:hAnsi="IRNazanin" w:eastAsia="IRNazanin"/>
          <w:b w:val="false"/>
          <w:b w:val="false"/>
          <w:bCs w:val="false"/>
          <w:i w:val="false"/>
          <w:i w:val="false"/>
          <w:iCs w:val="false"/>
          <w:color w:val="333333"/>
          <w:sz w:val="20"/>
          <w:sz w:val="20"/>
          <w:szCs w:val="20"/>
          <w:rtl w:val="true"/>
        </w:rPr>
        <w:t>فرعیة</w:t>
      </w:r>
      <w:r>
        <w:rPr>
          <w:rFonts w:eastAsia="IRNazanin" w:cs="IRNazanin"/>
          <w:b w:val="false"/>
          <w:bCs w:val="false"/>
          <w:i w:val="false"/>
          <w:iCs w:val="false"/>
          <w:color w:val="333333"/>
          <w:sz w:val="20"/>
          <w:szCs w:val="20"/>
        </w:rPr>
        <w:t>). Akan tetapi, dalam filsafat, istilah ini digunakan sebagai lawan dari ikt-  ibari atau berkaitan dengan sudut-tinjauan akal (</w:t>
      </w:r>
      <w:r>
        <w:rPr>
          <w:rFonts w:ascii="IRNazanin" w:hAnsi="IRNazanin" w:eastAsia="IRNazanin"/>
          <w:b w:val="false"/>
          <w:b w:val="false"/>
          <w:bCs w:val="false"/>
          <w:i w:val="false"/>
          <w:i w:val="false"/>
          <w:iCs w:val="false"/>
          <w:color w:val="333333"/>
          <w:sz w:val="20"/>
          <w:sz w:val="20"/>
          <w:szCs w:val="20"/>
          <w:rtl w:val="true"/>
        </w:rPr>
        <w:t>اعتباری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respectival). Kedua istilah ini harus dipahami  dalam konteks yang berhubungan. Pada Pelajaran 15, sejumlah makna teknis istilah iktibari atau  respektival telah kita kemukakan. Menurut salah satu makna teknisnya, istilah wujud pun  dianggap sebagai konsep respektival. Namun demikian, istilah respektival yang dilawankan dengan  istilah mendasar atau fundamental (</w:t>
      </w:r>
      <w:r>
        <w:rPr>
          <w:rFonts w:ascii="IRNazanin" w:hAnsi="IRNazanin" w:eastAsia="IRNazanin"/>
          <w:b w:val="false"/>
          <w:b w:val="false"/>
          <w:bCs w:val="false"/>
          <w:i w:val="false"/>
          <w:i w:val="false"/>
          <w:iCs w:val="false"/>
          <w:color w:val="333333"/>
          <w:sz w:val="20"/>
          <w:sz w:val="20"/>
          <w:szCs w:val="20"/>
          <w:rtl w:val="true"/>
        </w:rPr>
        <w:t>اصیل</w:t>
      </w:r>
      <w:r>
        <w:rPr>
          <w:rFonts w:eastAsia="IRNazanin" w:cs="IRNazanin"/>
          <w:b w:val="false"/>
          <w:bCs w:val="false"/>
          <w:i w:val="false"/>
          <w:iCs w:val="false"/>
          <w:color w:val="333333"/>
          <w:sz w:val="20"/>
          <w:szCs w:val="20"/>
        </w:rPr>
        <w:t>) dalam kajian ontologi mempunyai makna yang berbeda  Karena itu, sifat respektival konsep wujud menurut istilah di atas tidak bertentangan dengan kaidah  kemendasaran wujud dan sifat respektival mâhiyyah dalam kajian ontologi. Maksud kedua istilah  yang bertentangan itu, mendasar dan respektival, dalam kajian ini terkait dengan pertanyaan  berikut: Manakah di antara keduanya, konsep mâhiyyah ataukah konsep wujud, yang pada dirinya  sendiri (dzâtan) merujuk kepada realitas objektif tanpa perantaraan (bentukan atau konsep mental)  filsufis yang rumit dan pelik?</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Sedikitnya, terdapat tiga aliran besar dalam metafisika Islam: Pertama, Esensialisme. Aliran ontologi ini berpandangan bahwa esensi mendahului eksistensi, dan sesuatu yang nyata mempunyai  hakikat atau esensi. Salah satu alasannya adalah, apabila wujud yang bersifat mendasar, niscaya ia  (wujud) eksis dalam realitas objektif, dan pasti mempunyai wujud, dan wujud dari wujudnya itu pasti  mempunyai wujud; begitu seterusnya. Suhrawardi dan para pengikut iluminasionisme (isyraqiyyah)  menganggap esensi atau quiditas sebagai sesuatu yang riil; sementara eksistensi merupakan sesuatu  yang bersifat memorial (dzihn) dan konstruktif. Menurut kaum iluminasionis, penyingkapan realitas dan  pencarian Tuhan tidak dapat dilakukan dan tak akan berhasil apabila hanya dengan mengandalkan  spekulasi rasional. Penyingkapan realitas, menurut iluniasionisme, harus disertai penyucian jiwa. Kata  al-isyraq' yang berarti pencahayaan (pencerahan), berkaitan dengan basis pemikiran aliran ini. Mulla  Sadrâ dan Thabåthaba'i telah mengajukan bantahan-bantahan jitu atas argumen-argumen kaum  esensialis, sebagaimana akan dijelaskan kemudian. Thabáthaba'i, Nihaîyat al-Hikmah, hlm 14-15;  Hani Idris, Må ba'da al-Rusydiyyah, Qum: Dar Al-Ghadeer, 2000. hlm 149; Mullâ Sadra, al-Asfâr al-  Araba'ah, juz, hlm 39-40). Kedua, Eksistensialisme. Ibn Sina dan Mulla Sadrâ menegaskan prinsip  ashalat al-wujúd (kesejatian wujud) dan ketidak-mendasaran esensi (mâhiyyah). Salah satu alasannya,  bila yang mendasar bukanlah wujud, lantas adakah yang mengeluarkan esensi dari kenetralannya,  selain wujud. Mereka menegaskan bahwa yang mempunyai realitas objektif (waq'' khârijſ) adalah  esksistensi, sedangkan esensi merupakan sesuatu yang subjektif, konstruktif, dan artifisial (i'tibârî).</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Sadrâ, al-Asfâr al-Arba'ah, juz 2, hlm 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Sadra, al-Asfâr al-Arba'ah, juz 8, hlm 85.</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Yang perlu dicatat adalah bahwa harus dibedakan antara eksistensialisme dalam ontologi Islam  dan eksistensialisme dalam pandangan para filsuf fenomenologi Barat. Eksistensialisme  Islam berbeda dengan eksistensialisme modern yang memandang segala gejala berpangkal  pada eksistensi, dan bahwa eksistensi mendahului esensi (pemahaman ini berasal dari para filsuf  Yunanidan berkembang di Eropa pada abad pertengahan melalui Soren Kierkegaard dan Friedrich  Nietszche, yang kemudian memunculkan eksistensialisme ateistik yang dipelopori Jean Paul Sartre  yang menjadi cikal bakal humanisme. Lihat, Donny Gahral Adian, Matinya Metafisika, Jakarta:</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Gholam Reza Fayyadhi, Ta ligeh bar Nihayah al-Hikmah, jilid 1, hlm 50—51, Instisyarat-e Moasseseh  Amuzesyi va Amuzesy-i-e Imam Khomeini, Qom, 1998.</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bin Zain ad-Din bin Ibrahim al-Ahsa'i al-Bahrani adalah tokoh terkemuka Syiah dalam 'irfan,  filsafat dan kalam. Selain itu ia juga ahli dalam kedokteran, matematika, kimia dan astronomi. la  juga seorang kontoversial karena melontarkan gagasan-gagasan filsafat dan teologi yang bertentan-  gan dengan mainstream ulama Syiah pada masanya.</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Menurut penulis, Muhammad Taqi Misbah Yazdî berpendapat demikian sebagai antisipasi terhadap  kritik atas pendapatnya yang menganggap ilmu hushuli sebagai gerbang pembahasan filsafat.</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Jawadi Amuli, Rahiq Makhtûm, Intisharat-e Islami Qom.</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Sajjadi, Philosophical Glossary of Mulla Shadra, hlm 20; Thabâthabâ'ſ, Nihayat al-Hikmah, hlm. 16.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Dalam wawancara dengan penulis, Fayyadhi berjanji akan menerbitkan buku kontroversial yang  isinya mendemonstrasikan argumen-argumen tentang rapuhnya prinsip ashâlat al-wujûd.</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Wahdat al-wujûd yang dicetuskan oleh Sadrâ juga tidaklah sama dengan monisme ad-Dawani la ber-  pendapat, "wujud sejati" hanya ada pada zat Allah. Sedangkan "maujud tak sejati" mencakup  makhluk-makhluk. Wahdah al-wujûd yang digagas oleh Mullâ Sadrâ adalah jenis monisme filsufis  (critical monism) yang didasarkan pada distingsi dan analisis serta mempertimbangkan kritik-kritik  logis paradoks-paradoks filsufis, sedemikian rupa sehingga ia 'kebal dari berbagai macam keberatan  dan sanggahan. Monisme Mulla Sadrâ bisa diharmoniskan dengan katsrah karena memang berbeda  dari aspek-aspek tertentu. Selanjutnya Haeri mengilustrasikan pandangan monisme filsufis Mullâ  Sadrá berupa piramida wujud (heram e hasti). Dengan kata lain, Mulla Sadrå, mengindentikkan  wahdah dengan wujud. Keduanya memiliki satu mishdâq (instanta). (Mulla Sadra, al-Hikmah al-  Muta'âliyyah fial-Asfâr al-Arba'ah al- Aqliyyah, Dar at-Turats al-Arabi, Beirut, 1981, vol. 3, hlm 304,  vol. 2, hlm 235, Sajjadi, Philosophical Glossray of Mulla Shadra, hlm 29.</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juz 1, hlm. 399—405.</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Sadrâ, al-Asfar al-Asba'ah, juz 1, bab "al-Safar al-Tsani", hlm 100; dan juz 2, "al-Safar al-Tsalits",  hlm 300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Arabi berpendapat bahwa hakikat wujud sejati dan “realitas" (wujud objektif, maujud) hanya  terbatas pada Allah. Sedangkan eksistensi maujud-maujud lain bersifat metaforis. Teori ini  dikenal dengan wahdah al-wujûd wal wujûd. Dengan kata lain, mereka menganggap wajib al-  wujûd sebagai satu satunya hakikat ke-ada-an" sekaligus realitas objektif dari ke-ada-an atau  “yang ada". Sedangkan selain Allah hanyalah wujud-wujud simbolis (artifisial). Bagi Ibn 'Arabi,  wujûd dan 'adam bukan suatu tambahan terhadap maujud (yang ada) dan ma'dum (yang tiada),  tetapi sama dengan maujud dan ma'dum itu sendiri. Ia menolak anggapan estimatif (wahm) bahwa  wujud dan adam adalah sifat yang melekat pada maujud dan ma'dûm. (Kausar Azhari Noer, Ibn Ar-  abi, 44, Jurnal Paramadina, 1995). Menurut Mehdi Haeri Yazdi, wahdat al-wujûd yang dilontarkan  oleh Ibn 'Arabi adalah gagasan yang tidak diasaskan pada prinsip filsufis dan ontologis, namun  didasarkan pada perenungan dan pengalaman spiritual. Karenanya, ia tidak dapat diperlakukan  sebagai sebuah gagasan filososfis yang valid dan kebal terhadap berbagai kritik. Salah satu ciri  khasnya berkontradiksi dengan semua pengertian katsrah (keragaman). (Mehdi Haeri, The Pyr-  amid of Existence, hlm 175, Cultural Studies anda Reseach Institute, Teheran, 1983; Ibn Turkah,  Tamhid al-Qawa'id, disunting Jalal al-din Asytiani, hlm 26. Abdullah Jawadi Âmuli, Tahrir Tamhid al-  Qawa'id, Daftar-e Tablighat, 2001, hlm 194). Wahdat al-wujûd yang diyakini para sufi menegaskan  bahwa_pada hakikatnya tidak ada suatu apapun kecuali eksistensi Sang Maha Esa. Selain zat-  Nya, semua adalah jelmaan (tajallſ) wujud Sang Maha Esa. Adalah wajar sekali, jika cinta sang sufi  bisa mengalir pula kepada setiap eksistensi selain-Nya. (Yathrebi, Theoritical Gnosis, hlm 46-51,  The center of Islamic Propagation, Qom, 1999; Yahya Yatsrebi, Theoritical Gnosis, hlm 46-47, The  center of Islamic Propagation, Qom, 1999).</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Al-Dawani berpendapat, "wujud sejati" hanya ada pada zat Allah. Sedangkan "maujud tak sejati"  mencakup makhluk-makhluk. Wahdat al-wujûd yang digagas oleh Mulla Sadrâ adalah jenis mon-  isme filsufis (critical monism) yang didasarkan pada distingsi dan analisis serta mempertimbangkan  kritik-kritik logis paradoks-paradoks filsufis, sedemikian rupa sehingga ia kebal dari berbagai  macam keberatan dan sanggahan. Monisme Mulla Sadrà bisa diharmoniskan dengan katsrah kar-  ena memang berbeda dari aspek-aspek tertentu. Selanjutnya Haeri mengilustrasikan pandangan  monisme filsufis Mulla Sadrâ berupa piramida wujud (heram e hasti). Dengan kata lain, Mulla Sadra,  mengindentikkan wahdah dengan wujud. Keduanya memiliki satu mishdâq (manifest). ( Mulla Sad-  râ, al-Asfâr al-Arba'ah, Dar at-Turats al-Arabi, Beirut, 1981, vol. 3, hlm 304; Sajjadi, Philosophical  Glossray of Mulla Shadra, hlm 29).</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Tentu saja, analogi tingkat-tingkat wujud dengan tingkat-tingkat cahaya ini sekadar untuk  memudahkan pemahaman, lantaran cahaya material bukanlah realitas yang sederhana (meski seba-  gian filsuf kuno membayangkannya sebagai aksiden yang sederhana). Di pihak lain, wujud memiliki  sejenis kegradualan yang khusus, yang berbeda dengan kegradualan umum.</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juz 1, hlm 400.</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1, hlm 399.</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1, hlm 400.</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Pernyataan Muhammad Taqi Misbah Yazdi tentang wahdat al-wujûd, sebagaimana disampaikan  oleh Hasan Molallemi, memancing reaksi keras dari para pemikir hawzah lainnya, seperti Jawadi Amuli  dan Hasan Zadeh Amuli, yang menganggap wahdat al-wujud sebagai saripati dari prinsip ketuhanan.</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Muhammad Taqi Mishbâh Yazdi, 20 Juni 2007.</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Muhammad Taqi Mishbâh Yazdi, 20 Juni 2007.</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Sadra, al-Asfâr al-Arba'ah, jil. 1, hlm 35, 68; dan jil. 3, hlm 14.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Paripatetisme menerapkan pembagian universalisa (univocal dan ekuivokal) ini pada esensi  maujud-maujud partikular, bukan esensi tunggal. Jadi, ketika warna hitam meningkat atau kian  menghitam pada entitas fisik, misalnya, maka tidak ada perbedaan dalam ke-hitam-annya. Yang terjadi  sebenarnya hanyalah munculnya spesies baru "hitam" yang menggantikan (meniadakan) spesies  "hitam" sebelumnya. Iluminasionisme menolak anggapan ini, karena esensi "kehitaman" memiliki  jenjang intensitas, sehingga hitam itu sendiri yang mengalami peningkatan dan pengentalan, bukan  pergantian atau mutasi eksistensial, sebagaimana dinyatakan Peripatetisme.</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Misbâh Yazdi, Amuzesy-e Falsafeh, jld. Hlm 85.</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Kritik Muhammad Taqi Misbah Yazdi atas penggunaan istilah-istilah yang sama oleh Mulla Sadra,  termasuk penggunaan istilah râbith yang lebih dulu digunakan dalam logika. Tentu kritik ini tidak me-  negasikan dukungannya terhadap maksud dan substansi gagasan Mulla Sadra saat membagi dua  pengertian wujûd.</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Sadra, al-Asfâr al-Arba'ah, jil. 1, hlm 35.</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Wujud ini berjenis dua: pertama, Maujud atau entitas bergantung yang posisinya berada di antara dua  sisi, yang juga disebut al-wujud al-maquli, seperti wujud relasi-relasi (al-idhafat wa an-nisab). Ke-  dua, Maujud bergantung yang hanya berada di satu sisi, yang juga disebut al-wujud al-ma'luli, seperti  wujud akibat bila dikaitkan dengan sebabnya. Menurut Thabathaba'i, demi bergantung pada wujud  mustaqil (independen), wujud dependen (wujûd râbith) tidak memerlukan adanya penghubungberupa  wujud ketiga. Artinya, terdapat suatu ikatan atau relasi di antara kedua wujud tersebut, namun tidak  berupa wujud lain yang menjadi medium. Seandainya hubungan wujud dependen dengan wujud  independen diperantarai wujud lain, maka ia (wujud ketiga yang diasumsikan sebagai perantara  atau medium tersebut), karena berupa wujud yang tidak mandiri, memerlukan wujud keempat  yang juga tidak mandiri sebagai penghubung, begitu seterusnya. Hubungan atau ar-rabth (bukan  wujud ketiga yang menjadi penghubung atau rabith) ada dalam dua wujud tersebut; mandiri  dan tak mandiri. ( Thabathaba'i, Nihâyat al-Hikmah, Jameeh Modarresin, 1997, Qom, hlm 38).</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Sebagaimana diketahui, terminologi rabith diambil dari kata rabth (kopula) yang menjadi  penghubung maudhu' (subjek) dan mahmul (predikat) dalam proposisi.</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Ta ligeh bar Nihâyat al-Hikmah, vol. 1, hlm 216, Muassseh  Pezuhesyi wa Amuzesyi-ye Imam Khomeini, Qom, 2002.</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Thabathabâ'i dan Jawadi Amoli menolak kopula dalam proposisi negatif, propsisi yang bermuatan  predikasi ontologis (haml awwall), dan proposisi ontologis sederhana (halliyyah basitah). Gholam  Husein Ibrahimi Dinani menolak anggapan ini. Menurutnya, wujud dalam ontologi Muhammad Taqi  Mishbâh Yazdi juga terbagi dalam dua jenis; wujûd rabith (eksistensi bergantung, tidak mandiri,  wujud aksidental) dan wujud mustaqil (eksistensi mandiri, wujud substansial). (Lihat Neyayesh-  e Faylasuf, Jameeh Modarresin, Qom, 2005, juz 3, hlm 54).</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Ta ligeh bar Nihâyat al-Hikmah, hlm 20.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Sabzewari, Mandzumah: hlm 8</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Ta ligeh bar Nihayat al-Hikmah, hlm 20.</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Misbâh Yazdí, Taligeh bar Nihayat al-Hikmah, hlm 21.</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Ta ligeh bar Nihayat al-Hikmah, hlm 21.</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 e Aqâ'ed, Sazman Tablighat Islam, Tehran; 1998, hlm 58.</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Aqâ'ed, hlm 72.</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73.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73.</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Agâ'ed, hlm 58–59.</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Agâ'ed, hlm 74.</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59.</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Menurut Mullâ Sadra, dalam hukum kausalitas (illiyyah), terdapat tiga sub hukum yang harus diperhatikan,  yaitu Hukum 'kebergantungan akibat (ma'lül) kepada sebab 'illah). Disebutkan bahwa ketergantungan  ini dalam kemenjadian (hudutsan) dan dalam kelestarian keberadaan (baqa'an). Akibat senantiasa  memerlukan akibat baik ketika 'menjadi' maupun ketika telah terjadi', karena wujud yang dimi-  likinya bukan sesuatu yang pasti dan dari dirinya sendiri. Artinya, menurut Mullâ Sadra, wujud  segala sesuatu yang mumkin bersifat fagri (tidak otonom). Wujudnya tidak lain hanyalah ketergantun-  gan kepada sebab sedemikian rupa, sehingga apabila hubungannya dengan sebab terputus, maka  seketika ia menjadi tiada. Hukum 'kemestian kausal dan efektual (adh-dharurah al-illiyyah wa al-  ma'luliyyah)'. Disebutkan dalam Shadraisme, bila sebab menjadi pasti, maka niscaya keberadaan  akibat pun mejadi pasti dan tidak akan pernah meleset. Artinya, bila sebab sempurna telah ada,  maka wujud akibatnya pun menjadi ada secara pasti. Dengan kata lain, apabila sebab tidaklah  pasti, maka akibatnya tidak akan pernah menjadi pasti. Hukum ini dikenal dengan istihalah imtina'  infikâk al-ma'lûl 'an illatihi al-tâmmah (Kemustahilan akan terlepasnya akibat dari sebabnya yang  sempurna) dan wujûb tarattub al-ma'lâl alâ al-'illah at-tâmmah (kepastian berlakunya wujud akibat  atas sebabnya yang sempurna). Kesejenisan (sinkhiyyah) antara sebab dan akibat. Sinkhiyyah adalah  terminologi yang mengandung artri kesesuaian (munasabah) antara akibat dan sebab. Dengan kata  lain, apa-apa yang berlaku pada akibat pastilah tidak bertentangan dengan apa-apa yang ada  pada wujud sebabnya. (Hasti Syenasi Eslami, The Imam Khomeini Education and Reasearch Insti-  tute, Qom, Iran, 1997, hlm 112). Menurut Mulla Sadrâ, sebab, berdasarkan eksistensinya terbagi dua;  1) Sebab sempurna ('illah tâmmah), yaitu sebab yang selamanya menjadi penyebab keberadaan  seluruh akibatnya, sehingga ia tidak ada, maka akibatnya pun seketika tidak ada. Keberadaan  kausa sempurna meniscayakan keberadaan akibatnya. Ketiadaannya juga meniscayakan ketiadaan  akibatnya; 2) Sebab tidak sempurna ('illah naqishah), yaitu sebab yang hanya menjadi sebab dalam  salah satu aspek keberadaan akibat keberadaan kausa tidak sempurna tidak meniscayakan  keberadaan akibatnya. Namun ketiadaannya meniscayakan ketiadaan akibatnya. ( Thabathaba T,  Nihâyat al-Hikmah, hlm 204; Lihat juga Reza Shadr, al-Falsafah al-'Ulya, The Center of Publication of  the Office of Islam Propagation, Qom, hlm 115).</w:t>
      </w:r>
    </w:p>
  </w:footnote>
  <w:footnote w:id="31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قابل از جمله می توان از اصل علیت باد کرد که در همه علوم تجربی مورد استناد دانشمندان می باشد و اساسا بزوهشهای علمی با پذیرفتن  قبلی این اصل انجام می گیرد زیرا محور آنها را کشف روابط علی و معلولی بین بدیدهها تشکیل میدهد ولی خود این اصل در هیج علم تجربی اثبات نیست و بحث در باره آن در فلسفه صورت می بذیرد</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74–75.</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Ma'arif-e Quran, juz, 1 hlm 174.</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Mishbân Yazdi, Amûzesy-e Aqâ'ed, hlm 75.</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60.</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Aqa'ed, hlm 76.</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76—77.</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77.</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Mishdag merupakan istilah penting dalam tradisi logika klasik dan filsafat Islam. Istilah Arab ini di-  gunakan sebagai bandingan langsung untuk istilah mafhum atau konsep. Maka, bila mafhum atau  konsep itu didefinisikan sebagai gambaran pengetahuan pada mental, mishdâq adalah apa saja  yang gambaran pengetahuan itu dapat diterapkan dan berlaku padanya. Menurut pengertian ini,  mishdag tidak selalu atau semuanya eksis di luar mental, yakni di alam eksternal yang konkret,  sebagaimana wujud Hasan atau Husain sebagai mishdâq dalam perbandingan mereka dengan  konsep manusia atau konsep anak. Melainkan juga dapat berada dalam satu lapisan) mental.</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77.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Yazdí, Âmûzesy-e Aqâ'ed, hlm 78.</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Yang dimaksudkkan 'illah (kausa) disini adalah illah failiyyah (efficient cause= sebab pelaku). Adapun  yang dimaksudkan dengan Kausa tunggal adalah suatu kausa yang didalam esensinya hanya ter-  dapat satu sisi saja. Sedangkan yang dimaksudkan dengan akibat tunggal adalah suatu akibat yang  bukan terbilang dari sisi keterbilangannya (katsir bimâ hua katsir ). Artinya suatu akibat yang dari  salah satu sisinya dapat dilihat sisi ketunggalannya. Lihat teks asli dalam nihayah: "Falau shadarat  an al-'illah wahidah...ma'âlil katsirah bimâ hiya katsirah mutabâyinah ghaira raji'ah ila jihath wahidah  biwajh min al-wujuh lazimahu...). Jadi, jelas bahwa yang dimaksudkan tunggal pada akibat disini  adalah sesuatu yang salah satu dari sisi-sisinya dapat dilihat sisi ketunggalannya (keesaannya).</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Yang dimaksudkan dengan basathah disini adalah basathah khârijiyyah saja, bukan basathah aqliyyah  ataupun basathah tahliliyyah. Dan yang dimaksudkan dengan wahdat (tunggal) disini adalah tung-  gal dalam kesinergian existensi, dan bukan wahdah syakhshiyyah (Lihat Thabâthabâ'ſ, Nihâyat al-  Hikmah, pasal ke-23, dari pembahasan ke-12).</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Thabâthaba', Nihâyat al-Hikmah, pasal ke-4 dari pembahasan yang keenam.</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Muhammad Taqi Misbah Yazdi, Ta ligeh bar Nihâyat al-Hikmah, Muassah Thariq al-Haq, Qom;  1405 H. hlm 244  </w:t>
      </w:r>
      <w:r>
        <w:rPr>
          <w:rFonts w:ascii="IRNazanin" w:hAnsi="IRNazanin" w:eastAsia="IRNazanin"/>
          <w:b w:val="false"/>
          <w:b w:val="false"/>
          <w:bCs w:val="false"/>
          <w:i w:val="false"/>
          <w:i w:val="false"/>
          <w:iCs w:val="false"/>
          <w:color w:val="333333"/>
          <w:sz w:val="20"/>
          <w:sz w:val="20"/>
          <w:szCs w:val="20"/>
          <w:rtl w:val="true"/>
        </w:rPr>
        <w:t>ویلاحظ علیه أخری أن مجری هذا البرهان هو الله البسیطة التی لیس لها الا نوع واحد من الکمال، فلا یصدر منه الا ما هو واجد لمرتبة  نازله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فالعقول العرضیة علی القول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مشمولة لهذه القاعدة بخلاف العقول الطولیة وبخلاف ذات الواجب تبارک وتعالی ، فإنها وإن  کانت بسیطة إلا أنها فی عین بساطتها واحدة لکمالات کثیرة علی نعت الجمعیة والوحدة ، فهذا البرهان لا ینفی صدور الکثیر منها لعدم منافاته لقاعدة  الکسانخ</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Karena alasan tersebut, Tuhan Maha Kuasa diyakini tidak memiliki mâhiyyah: “Dzat yang Nis-  caya-ada tidak memiliki mâhiyyah. Bahkan, berkenaan dengan hakikat objektif wujud, para  pendukung kemendasaran wujud menyatakan: "Wujud itu sendiri tidak memiliki mâhiyyah."  Atau terkadang dikatakan: "Wujud itu sendiri tidak memiliki form a intelektual."</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 Bartens, Kamus Filsafat Yogyakarta: Kanisius, 1998, hlm 297.</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Arsip wawancara penulis dengan Fayyadhi dan Syirwani. Yang menarik, Fayyadhi, salah satu murid  Muhammad Taqi Misbah Yazdí, malah menampilkan sejumlah keberatan terhadap pandangan wujud  dzihni bahkan terhadap isu utama dalam filsafat Sadrâ, bahwa wujud dzihnî dengan pendekatan dan  argumen-argumen pembuktiannya adalah wacana yang selaras dengan prinisp kesejatian mahiyyah  dan wujud (dualisme) yang dianutnya. Ringkasnya, segala sesuatu mempunyai keberadaan;  objektif dan subjektif. Hanya saja, bedanya, entitas objektif menyandang predikat-predikat mater-  ial, seperti es objektif yang dingin, sedangan es yang subjektif (yang eksis dalam benak) tidak dingin.</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Aradh (aksiden, sandangan) adalah makna yang disandang substansi.</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Pengertian maddah dalam ontologi berbeda dengan pengertian maddah dalamkosmologi dan  fisika. Maddah yang dimaksud disini adalah inti suatu entitas dalam representasinya, seperti benda  kayu dalam representasi kursi, benda katun dalam forma kemeja, dan sebagainya.</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Shurah (Forma, bentuk), adalah representasi khas sesuatu, seperti gambar (representasi) manusia,  pohon, dan sebagainya.</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Jism (body, al-jism), adalah entitas (sesuatu) yang terdiri dari benda dan forma.</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(an-nafs, ar-ruh, spirit), yakni entitas non-bendawi namun berhubungan (berkorelasi) dengan raga  material dan bekerja secara misterius.</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Akal (al-aql, intelek), yaitu substansi unik yang mempunyai kemampuan untuk memahami, baik  melalui medium benda maupun tidak.</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Uraian selanjutnya mengenai validitas dan legitimasi pembagian tersebut, merupakan hasil diskusi  penulis secara langsung dengan Muhammad Taqi Misbah Yazdi.</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Aksiden yang lazim disebut al-aradh tidaklah sama dengan al-aradhi (aksidentia). Keduanya ber-  beda. Aksiden tidak akan pernah menjadi substansi atau penyandang, karena ia pada dasarnya  adalah aksiden. Sedangkan aksidentia adalah entitas yang bisa menjadi substansi. Hewan, mis-  alnya, yang merupakan suatu aksidentia bagi manusia, namun manusia sendiri adalah sebuah  substansi. (Mulla Sadrâ, al-Asfâr al-Arba'ah, Dar at-Turats al-Arabi, Beirut, 1981, vol. 2, hlm 249).</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Amuzesy Falsafeh, hlm 176.</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Penulis.</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Muhammad Taqi Misbah Yazdî, hlm 478—479.Jse vs Lajmi.gw La Jonat abwled, úlobieletas chasi,  </w:t>
      </w:r>
      <w:r>
        <w:rPr>
          <w:rFonts w:ascii="IRNazanin" w:hAnsi="IRNazanin" w:eastAsia="IRNazanin"/>
          <w:b w:val="false"/>
          <w:b w:val="false"/>
          <w:bCs w:val="false"/>
          <w:i w:val="false"/>
          <w:i w:val="false"/>
          <w:iCs w:val="false"/>
          <w:color w:val="333333"/>
          <w:sz w:val="20"/>
          <w:sz w:val="20"/>
          <w:szCs w:val="20"/>
          <w:rtl w:val="true"/>
        </w:rPr>
        <w:t xml:space="preserve">بقاعدة الواحد التی مر الکلام فیها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أشرنا هناک انه یمکن ومن المتفق علیه بین الکل أن الصادر الأول هو أشرف العقول  أصالة الوجود، وکونه ذا مرائب طولیة، وأن الوجود کلما کان أقوی کان أبسط الروایات الواردة بشأن أول ما خلق الله تعالی، وقد استدلوا علی ذلک  الذات الأحدیة أبسطها وأشملها للکمالات الإمکانیة، ولا یمکن فرص تان له إثبات هذا المطلب من طریق أخر غیر تلک القاعدة، و هو یبنی علی  فی تلک المرئیة وأقرب إلی الأحد، فلا بد أن یکون أعلی المراتب الإمکانیة وأقربها إلی</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Muhammad Taqi Misbâh Yazdî, Ta ligeh bar Nihayat al-Hikmah, Muassah Thariq al-Haq, Qom;  1405 H. hlm 244,  </w:t>
      </w:r>
      <w:r>
        <w:rPr>
          <w:rFonts w:ascii="IRNazanin" w:hAnsi="IRNazanin" w:eastAsia="IRNazanin"/>
          <w:b w:val="false"/>
          <w:b w:val="false"/>
          <w:bCs w:val="false"/>
          <w:i w:val="false"/>
          <w:i w:val="false"/>
          <w:iCs w:val="false"/>
          <w:color w:val="333333"/>
          <w:sz w:val="20"/>
          <w:sz w:val="20"/>
          <w:szCs w:val="20"/>
          <w:rtl w:val="true"/>
        </w:rPr>
        <w:t>العناصر الذی هو فی جوف تلک الأفک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اتضح بفضل تقدم العلوم الطبیعیة بطائن ذلک الأصل وفساده من أصله، فانهار والذی دعاهم إلی هذه  علی عروشه فضلا عن تقوسه عل عاشر لصدور عالم  البناء بعد انهدام الأساس</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Thabâthabâ'ſ, Khodâ dar Falsafen, Jameeh Modarresin, Qom, 1997, hlm 51–53.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Asytiani, Syarh e Halva Ara-ye Falsafi Mulla Sadra, Daftar e Tablighat e Islami, Qom,  2004, hlm. 54.</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Ridha al-Shadr, al-Falsafah al-'Ulya, The Center of Publication of the Office of Islam  Propagation, Qom, hlm 202—206</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Sadra, al-Asfâr al-Arba'ah, vol. 3, 166, 167. Mungkin inilah yang bisa dieksplorasi dan dijadikan  sebagai titik temu dengan teori evolusi Darwin. Hanya saja, harus dibedakan bahwa gagasan 'gerak  substansi' bersifat ontologis, sedangkan teori evolusi Darwin bersifat zoologis dan fisiologis.</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Ta ligeh bar Nihâyat al-Hikmah, hlm 64, Jameeh Modarresin, Qom,  1997, halaman, 64.</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Arsip Wawancara dengan penulis.</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Ta ligeh bar Nihayat al-Hikmah, hlm 68.</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Yazdî, Maâref-Qorân, hlm 98.</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Teologi (bahasa Yunani Beos, theos, "Allah, Tuhan", + loyia, logia, "kata-kata," "ucapan," atau  "wacana") adalah wacana yang berdasarkan nalar mengenai agama, spiritualitas dan Tuhan (Lih.</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Amuzesy Falsafeh, hlm Juz 2, 154.</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 hlm 87.</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Aqaed , hlm 88.</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90.</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Berkenaan dengan peran Muhammad Taqi Misbah Yazdi dalam membangun pemikiran filsafat  dan teologi (yang pada umumnya, kedua bidang tersebut sering dipertentangkan satu sama lain),  Ali Syirvani mengatakan, "Yang dimaksud dengan] pertentangan antara filsafat dan teologi itu  adalah teologi Asy'ari dan teologi mayoritas Ahlussunnah. Itupun terjadi di masa sebelum Fakhrur-  razi. Benar, memang pernah terjadi pertentangan antara teologi dengan filsafat di masa dahulu,  khususnya sebelum era Khajeh Nasiruddin Thusi. Di masa Khaja dan selanjutnya, pembahasan  teologi telah mengalami perubahan ke arah pembahasan filsufis. Artinya, sebagian pembahasan  teologi terdapat dalam pembahasan filsafat."</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Yazdf, Masref-e Qorận, hlm 78, Daftar-e Entesharat-e Islami, Qom,1998,  Qom</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Asy-Syura, 11.</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Yazdí, Maâref-e Qor'ân, Mu'assasah al-Nasyr al-Islami, Qom hlm 37.</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al-Anbiya: 22</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al-Anbiya: 22. Qiyas ini terdiri dari dua unsur yang disebut dengan muqaddam dan tali. la  mempunyai beberapa bentuk, salah satunya ialah, jika tali (consecuent) itu benar maka muqaddam  (attesendent) benar juga, dan jika tali keliru, maka dengan sendirinya muqaddam keliru.</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yazdi.maaref-e qoran.hlm 87-94</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Al-Thur: 35.</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 At-Tafisr Al-Kabir, Dar Al-A'lami li Al-Mathbu'at, Beirut, 1989, hal 258.</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Hornby and E.C. Parnwell, Reader's Dictionary, Oxford Progressive English, hlm 347.</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 H. Thabathaba'i, Nihayat Al-Hikmah, Muassasah An-Nasyr Al-Islami, Qom, 1989, hal 32.</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Maaref-e Qorân, hlm 94.</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Âmúzesy-e Aqaed, hlm 56.</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56.</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Taqĩ Mishbah Yazdf, Maaref-e Qorlân, hlm 21.</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Sazman Tablighat Islam, Tehran, 1998, hlm 43 –44</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44-45.</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59.</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tulah fitrah Allah yang telah Dia ciptakan manusia atas dasar fitrah itu dan tidak mungkin  mengalami perubahan bagi Allah. (QS ar-Rum: 30).</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Mishbah Yazdf, Mairef-e Qorlân, hlm 30,</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45.</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60.</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61.</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Âmúzesye Aqâed, hlm 57.</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Agåed, hlm 62.</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190.</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Âmúzesy-e Aqåed, hlm 50.</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57.</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Kaum 'urafa' menggunakan istilah "Tauhid Tindakan" dengan pengertian ini.</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Atas dasar inilah al-Qur'an menisbahkan segenap pengaruh pelaku dan sebab natural ataupun non  natural (seperti malaikat, jin dan manusia) kepada Allah. Misalnya, al-Qur'an menisbahkanturunnya  hujan, tumbuhnya tumbuh-tumbuhan dan berbuahnya pepohonan kepada Allah. Banyak  ayatyang mendesak manusia agar mencermati penisbahan ini dan merenungkan hubungan ver-  tikal antarapengaruh Tuhan dan pengaruh sebab-sebab selain-Nya. Ia mengilustrasikan penjelasan  di atas dengan contoh sebagai berikut: seorang pegawai melakukan sebuah tindakan yang  diperintahkan oleh atasannya. Tentu, tindakan itu dinisbahkan kepada atasan tersebut, meski pada  saat yang sama dilakukan oleh pegawainya. Bahkan dalam pandangan umum manusia, penisbahan  tindakan pegawai itu kepada atasannya lebih akurat. Pelaku dalam tata cipta juga memiliki rangkai-  an mata rantai, yakni mengingat bahwa wujud setiap pelaku itu bergantung kepada kehendak Allah,  semisal bergantungnya wujud bayangan kepada diri empunya (kendati bagi Allahlah misal yang lebih  agung), maka pengaruhpengaruh sebab-akibat yang muncul dari setiap pelaku dan pemberi pengaruh  -pada mata rantai tertingginya-bergantung dan bernisbah kepada izin dan kehendak kausal Allah  SWT (là haula wa là quwwata illa bi Allâh al-'Aliyy al-'Azhîm; tiada daya dan kekuatan kecuali karena  Allah Yang Mahatinggi dan Mahaagung) (Lihat Muhammad Taqi Mishbâh Yazdi, Amûzesye Aqâed,  hlm 60).</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Pilar utama dalam silogisme adalah terma medium (al-had al-awsath), karena ia berperan  sebagai penghubung antara terma mayor dan terma minor sebelum mengantarkan pengguna silo-  gisme kepada konklusi yang diharapkan. Dalam silogisme, terma medium harus diasumsikan se-  bagai kausa keyakinan akan kebenaran konklusi. Artinya, ia harus diasumsikan sebagai sebab bagi  keyakinan akan adanya relasi antara terma mayor dan terma minor. Jika tidak, maka ia tidak perlu  dijadikan sebagai unsur dalam argumentasi. Karena itulah, terma medium disebut perantara bagi  pembuktian (wasitah fi al-itsbât), sebagai perantara atau media bagi pemberlakuan terma mayor  (hadd akbar) atas terma minor (hadd asghar). (Lihat Ra'id Al-Haydari, al-Muqarrar fi Syarh Manthiq  al-Mudjaffar, hlm 85–87).</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Al-Haydari, al-Muqarrar fi Syarh Manthiq al-Muzhaffar, 96—98.</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Mohsen Garawiyyah, Sairi dar Adelleh ye /sbat e Wujud e Khoda, 32.</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Sadra, al-Asfâr al-arba'ah, juz, 6, hlm 13, Mohsen Gharawiyan, Sayri dar adelleh e isbat e  wujud e Khoda, 34).</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2, hlm 329.</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2, hlm 332</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83.</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Yazdí, Âmúzesy-e Agåed, hal 52–53.</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65.</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81.</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66.</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83—84.</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90.</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Agâed, hlm 90–91.</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Falsafeh, juz 2, Teheran: Muassasah Intisyarat Amir  Kabir, 1998, hlm 408.</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75.</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92.</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92–93.</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Hosein Thabâtabâ', Nihayat al-Hikmah, hlm 190—192.</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93.</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410.</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1998, hlm. 93-94.</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Sazman Tablighat Islam, Tehran, 1998, hlm 86.</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Ma'arif Islamiyyah, al-Dar al-lislamiyyah, Qom, bag. 1 hlm 194.</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414.</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Agåed, hlm 77.</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Ma'arif-e Qor'an, hlm 194.</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Agâed, hlm 94–95.</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Ma'aref-e Qoran, hlm 101.</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97—98.</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Aqaed, hlm 81.</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98–99.</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Agâed, hlm 67–68.</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Aqaed, hlm 85.</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Âmüzesy-e Aqâed, hlm 85-86</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86.</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Aqâed, hlm 86.</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Âmúzesye Aqâed, hlm 69.</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Aqaed, hlm 87.</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Aqâed, hlm 69.</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Âmúzesy-e Aqâed, hlm 89.</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Aqâed, hlm 101.</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Yazdî, Âmûzesy-e Aqaed, hlm 101.</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Yazdí, Âmûzesy-e Aqâed, hlm 102,</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Dengan demikian, Muhammad Taqi Mishbâh Yazdi tidak lagi memasukkan pembahasan tentang  kenabian-lembaga mediasi Tuhan- sebagai sila tersendiri dalam struktur teologi yang  dibangunnya. ( Muhammad Taqi Mishbâh Yazdi, Maâref-e Qor'ân, Nishab al-Tauhid, hlm 164).</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Dengan demikian, dapat disimpulkan bahwa teologi atau llahiyat yang dimaksud oleh Muhammad Taqi  Misbah Yazdi adalah kalam yang selama ini diperlakukan sebagai bidang terpisah dengan filsafat.</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Al-Ankabut, ayat 61 dan 63, Luqman, ayat 25, Az-Zumar, ayat 38, Az-Zukhruf, ayat 9 dan 87.</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Ma'aref-e Qur'an, hlm 101</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Yazdí, Âmûzesy-e Agåed, hlm 83.</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Aqâed, hlm 100.</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Mishbah Yazdf-Ma'aref-e -Qorìân, hlm 101.</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Mishbah Yazdi, Mairefe Qorận, Intisyarate Hijrat, Qom, 1986, hlm 101. Dari  prisnsip at-tauhid fi al-rububiyyah, Muhammad Taqi Misbah Yazdi, memasuki prinsip kenabian  (nubuwwah) atau al-wilayah agar mencakup seluruh lembaga mediasi ilahi, yaitu nubuwwah  dan imâmah. Tentu, pembahasan tentang masalah tersebut sangat luas.</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Dengan memperhatikan konteksnya yang bervariasi, keadilan dapat dibagi menjadi tiga: 1) Keadilan takwini (determinik), yaitu bahwa Allah memberikan keberadaan kepada setiap yang berhak  dan patut untuk menjadi ada; 2) Keadilan tasyri'iy, yaitu bahwa Allah tidak memberikan perintah (taklif)  yang tidak mampu dilaksanakan; 3) Keadilan jaza'iy (sanksi) yaitu bahwa Allah memberikan sanksi  kepada manusia sesuai kadar keburukan dan bobot kebaikannya masing-masing, dan bahwa Allah  tidak akan memberikan sanksi sebelum menerangkan dan mengumumkan undang-undang-Nya.</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Sebelum menjelaskan prinsip rasionalitas husn wa qubh, Muhammad Tagi Mishbâh Yazdi menjelaskan  ragam pengertian yang digunakan di balik frase qubh dan husn. Hal itu, karena meski kebaikan dan  keburukan masing-masing mempunyai satu arti yang baku, namun standar untuk menentukan  sesuatu sebagai baik dan sesuatu lain sebagai buruk bisa saja berbeda mengikuti konteks yang  berbeda-beda sebagai berikut: Pertama, kebaikan dan keburukan sebagai kesesuaian dan ketidak  sesuaian dengan selera (cita rasa). Panorama yang indah, karena sesuai dengan cita rasa, adalah  baik. Sedangkan pemandangan yang menyeramkan, karena bertentangan dengan selera, dianggap  sebagai buruk. Kedua, kebaikan dan keburukan sebagai keselarasan dan ketidakselarasan dengan  kepentingan. Tujuan dan kepentingan bisa bersifat individual bisa pula bersifat komunal. Membunuh  musuh, misalnya, dianggap sebagai baik karena selaras dengan tujuan, namun buruk bagi teman  dan keluarga orang yang terbunuh, karena bertentangan dengan tujuan dan kepentingan personal  mereka. Keadilan karena memelihara ketertiban masyarakat dan kepentingan umum, adalah baik.</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Para filsuf Islam membagi akal menjadi dua: akal teoritis dan akal praktis. Sebagaimana dis-  ebutkan oleh al-Farabi dan diterangkan oleh as-Sabzawari, akal teoritis dan akal praktis bertu-  gas menalar, namun wilayah operasi akal teoritis adalah ilmu-ilmu murni yang tidak bertalian dengan  aplikasi atau tindakan, seperti bahwa Allah ada dan Esa", dan sebagainya. Sedangkan wilayah  operasi akal praktis adalah ilmu-ilmu yang berkaitan dengan aksi atau aplikasi, seperti bahwa  "bertawakkal adalah baik", dan sebagainya. Akal praktis inilah yang digunakan dalam akhlaq dan  irfan.</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Taqf Mishbah Yazdĩ, Ma-ref-e Qorlân, hlm 165.</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Luthf (anugerah) dari perbuatan Allah seperti mengutus Nabi, karena seandainya la tidak mengutus  Nabi, maka hal itu bertentangan dengan tujuan penciptaan, sebagaimana sudah diterangkan. Luthf  dari perbuatan manusia, berupa taklif kepada dirinya dengan mengenalkan diriNya kepada manusia  seperti mengikuti dan menaati para Rasul, dan berupa taklif kepada selain dirinya, seperti menugaskan  Nabi agar menyampaikan wahyu. Salah satu konsekuensi dari keyakinan akan rasionalitas baik dan  buruk adalah keyakinan akan "luthf", yaitu sesuatu yang membuat mukallaf (manusia) mendekati  ketaatan dan menghindari kemaksiatan. Luthf (anugerah) dari perbuatan Allah seperti mengutus Nabi,  karena seandainya la tidak mengutus Nabi, maka hal itu bertentangan dengan tujuan penciptaan,  sebagaimana sudah diterangkan. Luthf dari perbuatan manusia, berupa taklif kepada dirinya dengan  mengenalkan diri-Nya kepada manusia, seperti mengikuti dan menaati para Rasul, dan berupa taklif  kepada selain dirinya, seperti menugaskan Nabi agar menyampaikan wahyu.</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Âmûzesy-e Aqâed, hlm 187.</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Faris, al-Maqayis, juz 5, 63.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Faris, al-Maqayis, Daneshgah-e Tehran, 1978, juz 5, hlm 99.</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Yazdî, Âmûzesy-e Aqâed, hlm 151—156.</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Al-Shadûq, al-Tauhid, 380, Maktabat al-Mar'asyi, Qom, 1987, ke 74.</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berfirman "Dan tiadalah jiwa akan mati kecuali dengan izin Allah" (QS Ali-Imran, ayat  145). Dalam ayat 51 surah at-Taubah juga ditegaskan bahwa" Katakanlah tiada yang mengenai  (menimpa) kita kecuali apa yang telah ditetapkan (dituliskan) Allah atas (untuk) kita. Dialah Maula  kita, dan kepada Allah, hendaknya orang-orang mukmin bertawakkal". Ayat-ayat lain tentang dua  macam qadha' dan qadar takwini ilmi ini banyak ditemukan dalam al-Qur'an, seperti ayat 11 surah  Fathir dan ayat 22 dalam surah al-Hadid.</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al-Thalaq:3, al-Baqarah: 117, Fushshilat: 12, al-Qamar: 49, dan al-Hijr: 21.</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Al-Rahman: 26.</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Tema kontroversial ini dapat disimpulkan dalam pertanyaan sebagai berikut: 'apakah manusia mer-  deka (bebas) sepenuhnya bertindak dan memilih tujuan dan segala urusan hidupnya, ataukah ia  telah dipaksa dalam tindakan dan prilakunya dan bahwa ia hanyalah alat yang sangat bergantung  pada faktor-faktor lain?</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Yazdî, Âmûzesy-e Falsafeh, hlm 287.</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Sadrâ, al-Asfâr al-Arba'ah, juz 6, hlm 377–388; Thabâthabâ'ſ, Al-Mizan, juz 1, hlm. 100</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Âmûzesy-e Aqaed, hlm 164.</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Maksudnya, kebanyakan pengetahuan pasti manusia adalah pengetahuan hudhûrî dan syuhûdi, ter-  masuk di dalamnya ialah pengetahuan kita akan jiwa (nafs), perasaan, emosi dan keadaankeadaan  jiwa lainnya. Oleh karena itu, "aku" yang mengetahui, berpikir, dan berkehendak tidak akan  mengalami keraguan sedikit pun, sebagaimana keadaan atau rasa takut, cinta, benci, berpikir, dan  berkehendak tidak dapat diragukan faktanya.</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Amuzesye Falsafeh, jil.2, Pelajaran 44 and 49.</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Mishbah Yazdf, Mairef-e Qorận, hal 185.</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Taq7 Mishbah Yazdf, Mairef-e Qorận, hlm 187.</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Mishbah Yazdi, Mairef-e Qor'ân, hlm 165.</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mengutip sejumlah ayat suci al-Qur'an sebagai dalil pendukung, antara lain "Dan Aku tiup-  kan ke dalamnya dari ruh-Ku. (QS al-Hijr: 29; ash-Shâd: 72), "Apakah kalau kami sesat di muka bumi ini kami akan diciptakan kembali?" (QS as-Sajdah: 10), yakni manakala bagian-bagian tubuh  kami melebur di dalam tanah. Al-Qur'an menjawab: "Katakanlah sesungguhnya yang mematikan kalian  adalah malaikat maut yang diberikan tugas untuk itu pada kalian kemuian setelah itu kalian dikembalikan  pada Tuhan kalian." (QS as-Sajdah: 11), dan beberapa ayat lainnya,</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Sina, al-Syifa', al-llahiyat, makalah 9, bagian 7, Instisayat-e Bidar, Qom, 1987.</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Sadrâ, al-Asfâr al-Arba'ah, juz 9, hlm 165.</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Mullâ Sadrâ, al-Syawâhid al-Rubûbiyyah fi al-Manâhij al-Sulûkiyyah (Masyhad : Markaze Nasyr  Danesgahi, 1360) hlm 223</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Untuk membuktikan pandangannya ini Mulla Sadrâ mengemukakan berbagai bukti sebagai berikut :</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QS al-Baqarah: 68-73, 243, 259-260, QS Thaha: 55, QS Nuh: 18, QS ar-Rum: 25, QS al-A'raf:</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Wawancara dengan Muhammad Taqi Mishbâh Yazdi.</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Fa'ali, Ma'refat Shenasi Dini wa va Moaser, Moasseseh Pezuhesyi va  Amuzesyi-ye Imam Khomeini, Qom, 1999, hlm 8.</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46.</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Moallemi, Falsafeh Tathbiqi hlm 117.</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Hasan Zadeh, Ma'refat Shenasi. Moasseseh Pezuhesy va Amuzesy-e Imam Khomeini,  Qom, 1998, hlm 102.</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Moallemi, Falsafeh Tathbigi. Qom, hlm 126-127</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Amûzesy-e Falsafeh, hlm 18-20.</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Ta'liqat bar Nihayat al-Hikmah, hlm. 20</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Ta'liqat bar Nihayat al-Hikmah, hlm. 21.</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Mishbâh Yazdi, Ta'liqat bar Nihayat al-Hikmah,, hlm 21.</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Mishbah Yazdi, Ta'liqah ala Nihâyat al-Hikmah, hlm 20.</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Sabzewari, al-Mandzumah: hlm 8.</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Mishbah Yazdi, Ma’aref-e Qor'ân, hlm, 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image" Target="media/image4.png"/><Relationship Id="rId17" Type="http://schemas.openxmlformats.org/officeDocument/2006/relationships/image" Target="media/image4.png"/><Relationship Id="rId18" Type="http://schemas.openxmlformats.org/officeDocument/2006/relationships/footer" Target="footer9.xml"/><Relationship Id="rId19" Type="http://schemas.openxmlformats.org/officeDocument/2006/relationships/image" Target="media/image5.png"/><Relationship Id="rId20" Type="http://schemas.openxmlformats.org/officeDocument/2006/relationships/image" Target="media/image5.png"/><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55.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81303</Words>
  <Characters>536465</Characters>
  <CharactersWithSpaces>622635</CharactersWithSpaces>
  <Paragraphs>2689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2026-08-19T22:59:05Z</dcterms:created>
  <dc:creator>ghaemiyeh.com</dc:creator>
  <dc:description/>
  <dc:language>en-US</dc:language>
  <cp:lastModifiedBy/>
  <dcterms:modified xsi:type="dcterms:W3CDTF">2026-08-20T02:29:14Z</dcterms:modified>
  <cp:revision>1</cp:revision>
  <dc:subject/>
  <dc:title>Pemikiran Filsafat Studi atas Filsafat Pengetahuan Filsafat Wujud dan Filsafat</dc:title>
</cp:coreProperties>
</file>

<file path=docProps/custom.xml><?xml version="1.0" encoding="utf-8"?>
<Properties xmlns="http://schemas.openxmlformats.org/officeDocument/2006/custom-properties" xmlns:vt="http://schemas.openxmlformats.org/officeDocument/2006/docPropsVTypes"/>
</file>