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العشره فی احادیث الامام علی بن موسی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075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8077_653776707">
            <w:r>
              <w:rPr>
                <w:webHidden/>
                <w:rStyle w:val="IndexLink"/>
                <w:rtl w:val="true"/>
              </w:rPr>
              <w:t>الإهداء</w:t>
            </w:r>
            <w:r>
              <w:rPr>
                <w:rStyle w:val="IndexLink"/>
                <w:rtl w:val="true"/>
              </w:rPr>
              <w:tab/>
            </w:r>
            <w:r>
              <w:rPr>
                <w:rStyle w:val="IndexLink"/>
              </w:rPr>
              <w:t>4</w:t>
            </w:r>
          </w:hyperlink>
        </w:p>
        <w:p>
          <w:pPr>
            <w:pStyle w:val="Contents2"/>
            <w:tabs>
              <w:tab w:val="clear" w:pos="8743"/>
              <w:tab w:val="right" w:pos="9026" w:leader="dot"/>
            </w:tabs>
            <w:rPr/>
          </w:pPr>
          <w:hyperlink w:anchor="__RefHeading___Toc678079_653776707">
            <w:r>
              <w:rPr>
                <w:webHidden/>
                <w:rStyle w:val="IndexLink"/>
                <w:rtl w:val="true"/>
              </w:rPr>
              <w:t>التمهید</w:t>
            </w:r>
            <w:r>
              <w:rPr>
                <w:rStyle w:val="IndexLink"/>
                <w:rtl w:val="true"/>
              </w:rPr>
              <w:tab/>
            </w:r>
            <w:r>
              <w:rPr>
                <w:rStyle w:val="IndexLink"/>
              </w:rPr>
              <w:t>6</w:t>
            </w:r>
          </w:hyperlink>
        </w:p>
        <w:p>
          <w:pPr>
            <w:pStyle w:val="Contents2"/>
            <w:tabs>
              <w:tab w:val="clear" w:pos="8743"/>
              <w:tab w:val="right" w:pos="9026" w:leader="dot"/>
            </w:tabs>
            <w:rPr/>
          </w:pPr>
          <w:hyperlink w:anchor="__RefHeading___Toc678081_653776707">
            <w:r>
              <w:rPr>
                <w:webHidden/>
                <w:rStyle w:val="IndexLink"/>
                <w:rtl w:val="true"/>
              </w:rPr>
              <w:t xml:space="preserve">جعلنا هذه الروایات تحت بابین </w:t>
            </w:r>
            <w:r>
              <w:rPr>
                <w:rStyle w:val="IndexLink"/>
                <w:rtl w:val="true"/>
              </w:rPr>
              <w:t>:</w:t>
              <w:tab/>
            </w:r>
            <w:r>
              <w:rPr>
                <w:rStyle w:val="IndexLink"/>
              </w:rPr>
              <w:t>7</w:t>
            </w:r>
          </w:hyperlink>
        </w:p>
        <w:p>
          <w:pPr>
            <w:pStyle w:val="Contents2"/>
            <w:tabs>
              <w:tab w:val="clear" w:pos="8743"/>
              <w:tab w:val="right" w:pos="9026" w:leader="dot"/>
            </w:tabs>
            <w:rPr/>
          </w:pPr>
          <w:hyperlink w:anchor="__RefHeading___Toc678083_653776707">
            <w:r>
              <w:rPr>
                <w:webHidden/>
                <w:rStyle w:val="IndexLink"/>
                <w:rtl w:val="true"/>
              </w:rPr>
              <w:t xml:space="preserve">الباب الأول </w:t>
            </w:r>
            <w:r>
              <w:rPr>
                <w:rStyle w:val="IndexLink"/>
                <w:rtl w:val="true"/>
              </w:rPr>
              <w:t xml:space="preserve">: </w:t>
            </w:r>
            <w:r>
              <w:rPr>
                <w:rStyle w:val="IndexLink"/>
                <w:rtl w:val="true"/>
              </w:rPr>
              <w:t>الحقوق الواجبة والمستحبة فی العشرة</w:t>
            </w:r>
            <w:r>
              <w:rPr>
                <w:rStyle w:val="IndexLink"/>
                <w:rtl w:val="true"/>
              </w:rPr>
              <w:tab/>
            </w:r>
            <w:r>
              <w:rPr>
                <w:rStyle w:val="IndexLink"/>
              </w:rPr>
              <w:t>8</w:t>
            </w:r>
          </w:hyperlink>
        </w:p>
        <w:p>
          <w:pPr>
            <w:pStyle w:val="Contents3"/>
            <w:tabs>
              <w:tab w:val="clear" w:pos="8459"/>
              <w:tab w:val="right" w:pos="9026" w:leader="dot"/>
            </w:tabs>
            <w:rPr/>
          </w:pPr>
          <w:hyperlink w:anchor="__RefHeading___Toc678085_65377670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678087_653776707">
            <w:r>
              <w:rPr>
                <w:webHidden/>
                <w:rStyle w:val="IndexLink"/>
              </w:rPr>
              <w:t>1</w:t>
            </w:r>
            <w:r>
              <w:rPr>
                <w:rStyle w:val="IndexLink"/>
                <w:rtl w:val="true"/>
              </w:rPr>
              <w:t xml:space="preserve"> </w:t>
            </w:r>
            <w:r>
              <w:rPr>
                <w:rStyle w:val="IndexLink"/>
                <w:rtl w:val="true"/>
              </w:rPr>
              <w:t>ـ وجوب أداء حق المؤمن</w:t>
            </w:r>
            <w:r>
              <w:rPr>
                <w:rStyle w:val="IndexLink"/>
                <w:rtl w:val="true"/>
              </w:rPr>
              <w:tab/>
            </w:r>
            <w:r>
              <w:rPr>
                <w:rStyle w:val="IndexLink"/>
              </w:rPr>
              <w:t>8</w:t>
            </w:r>
          </w:hyperlink>
        </w:p>
        <w:p>
          <w:pPr>
            <w:pStyle w:val="Contents3"/>
            <w:tabs>
              <w:tab w:val="clear" w:pos="8459"/>
              <w:tab w:val="right" w:pos="9026" w:leader="dot"/>
            </w:tabs>
            <w:rPr/>
          </w:pPr>
          <w:hyperlink w:anchor="__RefHeading___Toc678089_653776707">
            <w:r>
              <w:rPr>
                <w:webHidden/>
                <w:rStyle w:val="IndexLink"/>
              </w:rPr>
              <w:t>2</w:t>
            </w:r>
            <w:r>
              <w:rPr>
                <w:rStyle w:val="IndexLink"/>
                <w:rtl w:val="true"/>
              </w:rPr>
              <w:t xml:space="preserve"> </w:t>
            </w:r>
            <w:r>
              <w:rPr>
                <w:rStyle w:val="IndexLink"/>
                <w:rtl w:val="true"/>
              </w:rPr>
              <w:t>ـ استحباب الألفة بالإخوان</w:t>
            </w:r>
            <w:r>
              <w:rPr>
                <w:rStyle w:val="IndexLink"/>
                <w:rtl w:val="true"/>
              </w:rPr>
              <w:tab/>
            </w:r>
            <w:r>
              <w:rPr>
                <w:rStyle w:val="IndexLink"/>
              </w:rPr>
              <w:t>9</w:t>
            </w:r>
          </w:hyperlink>
        </w:p>
        <w:p>
          <w:pPr>
            <w:pStyle w:val="Contents3"/>
            <w:tabs>
              <w:tab w:val="clear" w:pos="8459"/>
              <w:tab w:val="right" w:pos="9026" w:leader="dot"/>
            </w:tabs>
            <w:rPr/>
          </w:pPr>
          <w:hyperlink w:anchor="__RefHeading___Toc678091_653776707">
            <w:r>
              <w:rPr>
                <w:webHidden/>
                <w:rStyle w:val="IndexLink"/>
              </w:rPr>
              <w:t>3</w:t>
            </w:r>
            <w:r>
              <w:rPr>
                <w:rStyle w:val="IndexLink"/>
                <w:rtl w:val="true"/>
              </w:rPr>
              <w:t xml:space="preserve"> </w:t>
            </w:r>
            <w:r>
              <w:rPr>
                <w:rStyle w:val="IndexLink"/>
                <w:rtl w:val="true"/>
              </w:rPr>
              <w:t>ـ استحباب حسن الخلق مع الناس</w:t>
            </w:r>
            <w:r>
              <w:rPr>
                <w:rStyle w:val="IndexLink"/>
                <w:rtl w:val="true"/>
              </w:rPr>
              <w:tab/>
            </w:r>
            <w:r>
              <w:rPr>
                <w:rStyle w:val="IndexLink"/>
              </w:rPr>
              <w:t>9</w:t>
            </w:r>
          </w:hyperlink>
        </w:p>
        <w:p>
          <w:pPr>
            <w:pStyle w:val="Contents3"/>
            <w:tabs>
              <w:tab w:val="clear" w:pos="8459"/>
              <w:tab w:val="right" w:pos="9026" w:leader="dot"/>
            </w:tabs>
            <w:rPr/>
          </w:pPr>
          <w:hyperlink w:anchor="__RefHeading___Toc678093_653776707">
            <w:r>
              <w:rPr>
                <w:webHidden/>
                <w:rStyle w:val="IndexLink"/>
              </w:rPr>
              <w:t>4</w:t>
            </w:r>
            <w:r>
              <w:rPr>
                <w:rStyle w:val="IndexLink"/>
                <w:rtl w:val="true"/>
              </w:rPr>
              <w:t xml:space="preserve"> </w:t>
            </w:r>
            <w:r>
              <w:rPr>
                <w:rStyle w:val="IndexLink"/>
                <w:rtl w:val="true"/>
              </w:rPr>
              <w:t>ـ إستحباب التبسّم فی وجه المؤمن</w:t>
            </w:r>
            <w:r>
              <w:rPr>
                <w:rStyle w:val="IndexLink"/>
                <w:rtl w:val="true"/>
              </w:rPr>
              <w:tab/>
            </w:r>
            <w:r>
              <w:rPr>
                <w:rStyle w:val="IndexLink"/>
              </w:rPr>
              <w:t>11</w:t>
            </w:r>
          </w:hyperlink>
        </w:p>
        <w:p>
          <w:pPr>
            <w:pStyle w:val="Contents3"/>
            <w:tabs>
              <w:tab w:val="clear" w:pos="8459"/>
              <w:tab w:val="right" w:pos="9026" w:leader="dot"/>
            </w:tabs>
            <w:rPr/>
          </w:pPr>
          <w:hyperlink w:anchor="__RefHeading___Toc678095_653776707">
            <w:r>
              <w:rPr>
                <w:webHidden/>
                <w:rStyle w:val="IndexLink"/>
              </w:rPr>
              <w:t>5</w:t>
            </w:r>
            <w:r>
              <w:rPr>
                <w:rStyle w:val="IndexLink"/>
                <w:rtl w:val="true"/>
              </w:rPr>
              <w:t xml:space="preserve"> </w:t>
            </w:r>
            <w:r>
              <w:rPr>
                <w:rStyle w:val="IndexLink"/>
                <w:rtl w:val="true"/>
              </w:rPr>
              <w:t>ـ استحباب العفو عن الاخوان</w:t>
            </w:r>
            <w:r>
              <w:rPr>
                <w:rStyle w:val="IndexLink"/>
                <w:rtl w:val="true"/>
              </w:rPr>
              <w:tab/>
            </w:r>
            <w:r>
              <w:rPr>
                <w:rStyle w:val="IndexLink"/>
              </w:rPr>
              <w:t>11</w:t>
            </w:r>
          </w:hyperlink>
        </w:p>
        <w:p>
          <w:pPr>
            <w:pStyle w:val="Contents3"/>
            <w:tabs>
              <w:tab w:val="clear" w:pos="8459"/>
              <w:tab w:val="right" w:pos="9026" w:leader="dot"/>
            </w:tabs>
            <w:rPr/>
          </w:pPr>
          <w:hyperlink w:anchor="__RefHeading___Toc678097_653776707">
            <w:r>
              <w:rPr>
                <w:webHidden/>
                <w:rStyle w:val="IndexLink"/>
              </w:rPr>
              <w:t>6</w:t>
            </w:r>
            <w:r>
              <w:rPr>
                <w:rStyle w:val="IndexLink"/>
                <w:rtl w:val="true"/>
              </w:rPr>
              <w:t xml:space="preserve"> </w:t>
            </w:r>
            <w:r>
              <w:rPr>
                <w:rStyle w:val="IndexLink"/>
                <w:rtl w:val="true"/>
              </w:rPr>
              <w:t>ـ إستحباب العفو عمّن ظلمه</w:t>
            </w:r>
            <w:r>
              <w:rPr>
                <w:rStyle w:val="IndexLink"/>
                <w:rtl w:val="true"/>
              </w:rPr>
              <w:tab/>
            </w:r>
            <w:r>
              <w:rPr>
                <w:rStyle w:val="IndexLink"/>
              </w:rPr>
              <w:t>11</w:t>
            </w:r>
          </w:hyperlink>
        </w:p>
        <w:p>
          <w:pPr>
            <w:pStyle w:val="Contents3"/>
            <w:tabs>
              <w:tab w:val="clear" w:pos="8459"/>
              <w:tab w:val="right" w:pos="9026" w:leader="dot"/>
            </w:tabs>
            <w:rPr/>
          </w:pPr>
          <w:hyperlink w:anchor="__RefHeading___Toc678099_653776707">
            <w:r>
              <w:rPr>
                <w:webHidden/>
                <w:rStyle w:val="IndexLink"/>
              </w:rPr>
              <w:t>7</w:t>
            </w:r>
            <w:r>
              <w:rPr>
                <w:rStyle w:val="IndexLink"/>
                <w:rtl w:val="true"/>
              </w:rPr>
              <w:t xml:space="preserve"> </w:t>
            </w:r>
            <w:r>
              <w:rPr>
                <w:rStyle w:val="IndexLink"/>
                <w:rtl w:val="true"/>
              </w:rPr>
              <w:t>ـ إستحباب الأکل فی منزل الأخ المؤمن</w:t>
            </w:r>
            <w:r>
              <w:rPr>
                <w:rStyle w:val="IndexLink"/>
                <w:rtl w:val="true"/>
              </w:rPr>
              <w:tab/>
            </w:r>
            <w:r>
              <w:rPr>
                <w:rStyle w:val="IndexLink"/>
              </w:rPr>
              <w:t>12</w:t>
            </w:r>
          </w:hyperlink>
        </w:p>
        <w:p>
          <w:pPr>
            <w:pStyle w:val="Contents3"/>
            <w:tabs>
              <w:tab w:val="clear" w:pos="8459"/>
              <w:tab w:val="right" w:pos="9026" w:leader="dot"/>
            </w:tabs>
            <w:rPr/>
          </w:pPr>
          <w:hyperlink w:anchor="__RefHeading___Toc678101_653776707">
            <w:r>
              <w:rPr>
                <w:webHidden/>
                <w:rStyle w:val="IndexLink"/>
              </w:rPr>
              <w:t>8</w:t>
            </w:r>
            <w:r>
              <w:rPr>
                <w:rStyle w:val="IndexLink"/>
                <w:rtl w:val="true"/>
              </w:rPr>
              <w:t xml:space="preserve"> </w:t>
            </w:r>
            <w:r>
              <w:rPr>
                <w:rStyle w:val="IndexLink"/>
                <w:rtl w:val="true"/>
              </w:rPr>
              <w:t>ـ رعایة العدل والإنصاف مع الناس</w:t>
            </w:r>
            <w:r>
              <w:rPr>
                <w:rStyle w:val="IndexLink"/>
                <w:rtl w:val="true"/>
              </w:rPr>
              <w:tab/>
            </w:r>
            <w:r>
              <w:rPr>
                <w:rStyle w:val="IndexLink"/>
              </w:rPr>
              <w:t>12</w:t>
            </w:r>
          </w:hyperlink>
        </w:p>
        <w:p>
          <w:pPr>
            <w:pStyle w:val="Contents3"/>
            <w:tabs>
              <w:tab w:val="clear" w:pos="8459"/>
              <w:tab w:val="right" w:pos="9026" w:leader="dot"/>
            </w:tabs>
            <w:rPr/>
          </w:pPr>
          <w:hyperlink w:anchor="__RefHeading___Toc678103_653776707">
            <w:r>
              <w:rPr>
                <w:webHidden/>
                <w:rStyle w:val="IndexLink"/>
              </w:rPr>
              <w:t>9</w:t>
            </w:r>
            <w:r>
              <w:rPr>
                <w:rStyle w:val="IndexLink"/>
                <w:rtl w:val="true"/>
              </w:rPr>
              <w:t xml:space="preserve"> </w:t>
            </w:r>
            <w:r>
              <w:rPr>
                <w:rStyle w:val="IndexLink"/>
                <w:rtl w:val="true"/>
              </w:rPr>
              <w:t>ـ کتمان سرّ الإخوان</w:t>
            </w:r>
            <w:r>
              <w:rPr>
                <w:rStyle w:val="IndexLink"/>
                <w:rtl w:val="true"/>
              </w:rPr>
              <w:tab/>
            </w:r>
            <w:r>
              <w:rPr>
                <w:rStyle w:val="IndexLink"/>
              </w:rPr>
              <w:t>13</w:t>
            </w:r>
          </w:hyperlink>
        </w:p>
        <w:p>
          <w:pPr>
            <w:pStyle w:val="Contents3"/>
            <w:tabs>
              <w:tab w:val="clear" w:pos="8459"/>
              <w:tab w:val="right" w:pos="9026" w:leader="dot"/>
            </w:tabs>
            <w:rPr/>
          </w:pPr>
          <w:hyperlink w:anchor="__RefHeading___Toc678105_653776707">
            <w:r>
              <w:rPr>
                <w:webHidden/>
                <w:rStyle w:val="IndexLink"/>
              </w:rPr>
              <w:t>10</w:t>
            </w:r>
            <w:r>
              <w:rPr>
                <w:rStyle w:val="IndexLink"/>
                <w:rtl w:val="true"/>
              </w:rPr>
              <w:t xml:space="preserve"> </w:t>
            </w:r>
            <w:r>
              <w:rPr>
                <w:rStyle w:val="IndexLink"/>
                <w:rtl w:val="true"/>
              </w:rPr>
              <w:t>ـ أداء الأمانة إلی الإخوان</w:t>
            </w:r>
            <w:r>
              <w:rPr>
                <w:rStyle w:val="IndexLink"/>
                <w:rtl w:val="true"/>
              </w:rPr>
              <w:tab/>
            </w:r>
            <w:r>
              <w:rPr>
                <w:rStyle w:val="IndexLink"/>
              </w:rPr>
              <w:t>15</w:t>
            </w:r>
          </w:hyperlink>
        </w:p>
        <w:p>
          <w:pPr>
            <w:pStyle w:val="Contents3"/>
            <w:tabs>
              <w:tab w:val="clear" w:pos="8459"/>
              <w:tab w:val="right" w:pos="9026" w:leader="dot"/>
            </w:tabs>
            <w:rPr/>
          </w:pPr>
          <w:hyperlink w:anchor="__RefHeading___Toc678107_653776707">
            <w:r>
              <w:rPr>
                <w:webHidden/>
                <w:rStyle w:val="IndexLink"/>
              </w:rPr>
              <w:t>11</w:t>
            </w:r>
            <w:r>
              <w:rPr>
                <w:rStyle w:val="IndexLink"/>
                <w:rtl w:val="true"/>
              </w:rPr>
              <w:t xml:space="preserve"> </w:t>
            </w:r>
            <w:r>
              <w:rPr>
                <w:rStyle w:val="IndexLink"/>
                <w:rtl w:val="true"/>
              </w:rPr>
              <w:t>ـ المساوات فی التسلیم بین الغنی والفقیر</w:t>
            </w:r>
            <w:r>
              <w:rPr>
                <w:rStyle w:val="IndexLink"/>
                <w:rtl w:val="true"/>
              </w:rPr>
              <w:tab/>
            </w:r>
            <w:r>
              <w:rPr>
                <w:rStyle w:val="IndexLink"/>
              </w:rPr>
              <w:t>15</w:t>
            </w:r>
          </w:hyperlink>
        </w:p>
        <w:p>
          <w:pPr>
            <w:pStyle w:val="Contents3"/>
            <w:tabs>
              <w:tab w:val="clear" w:pos="8459"/>
              <w:tab w:val="right" w:pos="9026" w:leader="dot"/>
            </w:tabs>
            <w:rPr/>
          </w:pPr>
          <w:hyperlink w:anchor="__RefHeading___Toc678109_653776707">
            <w:r>
              <w:rPr>
                <w:webHidden/>
                <w:rStyle w:val="IndexLink"/>
              </w:rPr>
              <w:t>12</w:t>
            </w:r>
            <w:r>
              <w:rPr>
                <w:rStyle w:val="IndexLink"/>
                <w:rtl w:val="true"/>
              </w:rPr>
              <w:t xml:space="preserve"> </w:t>
            </w:r>
            <w:r>
              <w:rPr>
                <w:rStyle w:val="IndexLink"/>
                <w:rtl w:val="true"/>
              </w:rPr>
              <w:t>ـ استحباب التسلیم علی الصبیان</w:t>
            </w:r>
            <w:r>
              <w:rPr>
                <w:rStyle w:val="IndexLink"/>
                <w:rtl w:val="true"/>
              </w:rPr>
              <w:tab/>
            </w:r>
            <w:r>
              <w:rPr>
                <w:rStyle w:val="IndexLink"/>
              </w:rPr>
              <w:t>15</w:t>
            </w:r>
          </w:hyperlink>
        </w:p>
        <w:p>
          <w:pPr>
            <w:pStyle w:val="Contents3"/>
            <w:tabs>
              <w:tab w:val="clear" w:pos="8459"/>
              <w:tab w:val="right" w:pos="9026" w:leader="dot"/>
            </w:tabs>
            <w:rPr/>
          </w:pPr>
          <w:hyperlink w:anchor="__RefHeading___Toc678111_653776707">
            <w:r>
              <w:rPr>
                <w:webHidden/>
                <w:rStyle w:val="IndexLink"/>
              </w:rPr>
              <w:t>13</w:t>
            </w:r>
            <w:r>
              <w:rPr>
                <w:rStyle w:val="IndexLink"/>
                <w:rtl w:val="true"/>
              </w:rPr>
              <w:t xml:space="preserve"> </w:t>
            </w:r>
            <w:r>
              <w:rPr>
                <w:rStyle w:val="IndexLink"/>
                <w:rtl w:val="true"/>
              </w:rPr>
              <w:t>ـ التواضع أمام الناس</w:t>
            </w:r>
            <w:r>
              <w:rPr>
                <w:rStyle w:val="IndexLink"/>
                <w:rtl w:val="true"/>
              </w:rPr>
              <w:tab/>
            </w:r>
            <w:r>
              <w:rPr>
                <w:rStyle w:val="IndexLink"/>
              </w:rPr>
              <w:t>16</w:t>
            </w:r>
          </w:hyperlink>
        </w:p>
        <w:p>
          <w:pPr>
            <w:pStyle w:val="Contents3"/>
            <w:tabs>
              <w:tab w:val="clear" w:pos="8459"/>
              <w:tab w:val="right" w:pos="9026" w:leader="dot"/>
            </w:tabs>
            <w:rPr/>
          </w:pPr>
          <w:hyperlink w:anchor="__RefHeading___Toc678113_653776707">
            <w:r>
              <w:rPr>
                <w:webHidden/>
                <w:rStyle w:val="IndexLink"/>
              </w:rPr>
              <w:t>14</w:t>
            </w:r>
            <w:r>
              <w:rPr>
                <w:rStyle w:val="IndexLink"/>
                <w:rtl w:val="true"/>
              </w:rPr>
              <w:t xml:space="preserve"> </w:t>
            </w:r>
            <w:r>
              <w:rPr>
                <w:rStyle w:val="IndexLink"/>
                <w:rtl w:val="true"/>
              </w:rPr>
              <w:t>ـ المشورة مع الآخرین</w:t>
            </w:r>
            <w:r>
              <w:rPr>
                <w:rStyle w:val="IndexLink"/>
                <w:rtl w:val="true"/>
              </w:rPr>
              <w:tab/>
            </w:r>
            <w:r>
              <w:rPr>
                <w:rStyle w:val="IndexLink"/>
              </w:rPr>
              <w:t>16</w:t>
            </w:r>
          </w:hyperlink>
        </w:p>
        <w:p>
          <w:pPr>
            <w:pStyle w:val="Contents3"/>
            <w:tabs>
              <w:tab w:val="clear" w:pos="8459"/>
              <w:tab w:val="right" w:pos="9026" w:leader="dot"/>
            </w:tabs>
            <w:rPr/>
          </w:pPr>
          <w:hyperlink w:anchor="__RefHeading___Toc678115_653776707">
            <w:r>
              <w:rPr>
                <w:webHidden/>
                <w:rStyle w:val="IndexLink"/>
              </w:rPr>
              <w:t>15</w:t>
            </w:r>
            <w:r>
              <w:rPr>
                <w:rStyle w:val="IndexLink"/>
                <w:rtl w:val="true"/>
              </w:rPr>
              <w:t xml:space="preserve"> </w:t>
            </w:r>
            <w:r>
              <w:rPr>
                <w:rStyle w:val="IndexLink"/>
                <w:rtl w:val="true"/>
              </w:rPr>
              <w:t>ـ لزوم الوفاء بالعهد والوعد</w:t>
            </w:r>
            <w:r>
              <w:rPr>
                <w:rStyle w:val="IndexLink"/>
                <w:rtl w:val="true"/>
              </w:rPr>
              <w:tab/>
            </w:r>
            <w:r>
              <w:rPr>
                <w:rStyle w:val="IndexLink"/>
              </w:rPr>
              <w:t>17</w:t>
            </w:r>
          </w:hyperlink>
        </w:p>
        <w:p>
          <w:pPr>
            <w:pStyle w:val="Contents3"/>
            <w:tabs>
              <w:tab w:val="clear" w:pos="8459"/>
              <w:tab w:val="right" w:pos="9026" w:leader="dot"/>
            </w:tabs>
            <w:rPr/>
          </w:pPr>
          <w:hyperlink w:anchor="__RefHeading___Toc678117_653776707">
            <w:r>
              <w:rPr>
                <w:webHidden/>
                <w:rStyle w:val="IndexLink"/>
              </w:rPr>
              <w:t>16</w:t>
            </w:r>
            <w:r>
              <w:rPr>
                <w:rStyle w:val="IndexLink"/>
                <w:rtl w:val="true"/>
              </w:rPr>
              <w:t xml:space="preserve"> </w:t>
            </w:r>
            <w:r>
              <w:rPr>
                <w:rStyle w:val="IndexLink"/>
                <w:rtl w:val="true"/>
              </w:rPr>
              <w:t>ـ نصر المظلومین والضعفاء وإغاثتهم</w:t>
            </w:r>
            <w:r>
              <w:rPr>
                <w:rStyle w:val="IndexLink"/>
                <w:rtl w:val="true"/>
              </w:rPr>
              <w:tab/>
            </w:r>
            <w:r>
              <w:rPr>
                <w:rStyle w:val="IndexLink"/>
              </w:rPr>
              <w:t>18</w:t>
            </w:r>
          </w:hyperlink>
        </w:p>
        <w:p>
          <w:pPr>
            <w:pStyle w:val="Contents3"/>
            <w:tabs>
              <w:tab w:val="clear" w:pos="8459"/>
              <w:tab w:val="right" w:pos="9026" w:leader="dot"/>
            </w:tabs>
            <w:rPr/>
          </w:pPr>
          <w:hyperlink w:anchor="__RefHeading___Toc678119_653776707">
            <w:r>
              <w:rPr>
                <w:webHidden/>
                <w:rStyle w:val="IndexLink"/>
              </w:rPr>
              <w:t>17</w:t>
            </w:r>
            <w:r>
              <w:rPr>
                <w:rStyle w:val="IndexLink"/>
                <w:rtl w:val="true"/>
              </w:rPr>
              <w:t xml:space="preserve"> </w:t>
            </w:r>
            <w:r>
              <w:rPr>
                <w:rStyle w:val="IndexLink"/>
                <w:rtl w:val="true"/>
              </w:rPr>
              <w:t>ـ إستحباب الصمت السکوت إلا عن خیر</w:t>
            </w:r>
            <w:r>
              <w:rPr>
                <w:rStyle w:val="IndexLink"/>
                <w:rtl w:val="true"/>
              </w:rPr>
              <w:tab/>
            </w:r>
            <w:r>
              <w:rPr>
                <w:rStyle w:val="IndexLink"/>
              </w:rPr>
              <w:t>18</w:t>
            </w:r>
          </w:hyperlink>
        </w:p>
        <w:p>
          <w:pPr>
            <w:pStyle w:val="Contents3"/>
            <w:tabs>
              <w:tab w:val="clear" w:pos="8459"/>
              <w:tab w:val="right" w:pos="9026" w:leader="dot"/>
            </w:tabs>
            <w:rPr/>
          </w:pPr>
          <w:hyperlink w:anchor="__RefHeading___Toc678121_653776707">
            <w:r>
              <w:rPr>
                <w:webHidden/>
                <w:rStyle w:val="IndexLink"/>
              </w:rPr>
              <w:t>18</w:t>
            </w:r>
            <w:r>
              <w:rPr>
                <w:rStyle w:val="IndexLink"/>
                <w:rtl w:val="true"/>
              </w:rPr>
              <w:t xml:space="preserve"> </w:t>
            </w:r>
            <w:r>
              <w:rPr>
                <w:rStyle w:val="IndexLink"/>
                <w:rtl w:val="true"/>
              </w:rPr>
              <w:t>ـ وجوب حفظ اللسان عمّا لایجوز من الکلام</w:t>
            </w:r>
            <w:r>
              <w:rPr>
                <w:rStyle w:val="IndexLink"/>
                <w:rtl w:val="true"/>
              </w:rPr>
              <w:tab/>
            </w:r>
            <w:r>
              <w:rPr>
                <w:rStyle w:val="IndexLink"/>
              </w:rPr>
              <w:t>19</w:t>
            </w:r>
          </w:hyperlink>
        </w:p>
        <w:p>
          <w:pPr>
            <w:pStyle w:val="Contents3"/>
            <w:tabs>
              <w:tab w:val="clear" w:pos="8459"/>
              <w:tab w:val="right" w:pos="9026" w:leader="dot"/>
            </w:tabs>
            <w:rPr/>
          </w:pPr>
          <w:hyperlink w:anchor="__RefHeading___Toc678123_653776707">
            <w:r>
              <w:rPr>
                <w:webHidden/>
                <w:rStyle w:val="IndexLink"/>
              </w:rPr>
              <w:t>19</w:t>
            </w:r>
            <w:r>
              <w:rPr>
                <w:rStyle w:val="IndexLink"/>
                <w:rtl w:val="true"/>
              </w:rPr>
              <w:t xml:space="preserve"> </w:t>
            </w:r>
            <w:r>
              <w:rPr>
                <w:rStyle w:val="IndexLink"/>
                <w:rtl w:val="true"/>
              </w:rPr>
              <w:t>ـ آداب الضیافة</w:t>
            </w:r>
            <w:r>
              <w:rPr>
                <w:rStyle w:val="IndexLink"/>
                <w:rtl w:val="true"/>
              </w:rPr>
              <w:tab/>
            </w:r>
            <w:r>
              <w:rPr>
                <w:rStyle w:val="IndexLink"/>
              </w:rPr>
              <w:t>19</w:t>
            </w:r>
          </w:hyperlink>
        </w:p>
        <w:p>
          <w:pPr>
            <w:pStyle w:val="Contents3"/>
            <w:tabs>
              <w:tab w:val="clear" w:pos="8459"/>
              <w:tab w:val="right" w:pos="9026" w:leader="dot"/>
            </w:tabs>
            <w:rPr/>
          </w:pPr>
          <w:hyperlink w:anchor="__RefHeading___Toc678125_653776707">
            <w:r>
              <w:rPr>
                <w:webHidden/>
                <w:rStyle w:val="IndexLink"/>
              </w:rPr>
              <w:t>20</w:t>
            </w:r>
            <w:r>
              <w:rPr>
                <w:rStyle w:val="IndexLink"/>
                <w:rtl w:val="true"/>
              </w:rPr>
              <w:t xml:space="preserve"> </w:t>
            </w:r>
            <w:r>
              <w:rPr>
                <w:rStyle w:val="IndexLink"/>
                <w:rtl w:val="true"/>
              </w:rPr>
              <w:t>ـ المداراة مع المخالفین</w:t>
            </w:r>
            <w:r>
              <w:rPr>
                <w:rStyle w:val="IndexLink"/>
                <w:rtl w:val="true"/>
              </w:rPr>
              <w:tab/>
            </w:r>
            <w:r>
              <w:rPr>
                <w:rStyle w:val="IndexLink"/>
              </w:rPr>
              <w:t>19</w:t>
            </w:r>
          </w:hyperlink>
        </w:p>
        <w:p>
          <w:pPr>
            <w:pStyle w:val="Contents2"/>
            <w:tabs>
              <w:tab w:val="clear" w:pos="8743"/>
              <w:tab w:val="right" w:pos="9026" w:leader="dot"/>
            </w:tabs>
            <w:rPr/>
          </w:pPr>
          <w:hyperlink w:anchor="__RefHeading___Toc678127_653776707">
            <w:r>
              <w:rPr>
                <w:webHidden/>
                <w:rStyle w:val="IndexLink"/>
                <w:rtl w:val="true"/>
              </w:rPr>
              <w:t xml:space="preserve">الباب الثانی </w:t>
            </w:r>
            <w:r>
              <w:rPr>
                <w:rStyle w:val="IndexLink"/>
                <w:rtl w:val="true"/>
              </w:rPr>
              <w:t xml:space="preserve">: </w:t>
            </w:r>
            <w:r>
              <w:rPr>
                <w:rStyle w:val="IndexLink"/>
                <w:rtl w:val="true"/>
              </w:rPr>
              <w:t>الأمور المحرمة والمنهیة فی آداب العشرة</w:t>
            </w:r>
            <w:r>
              <w:rPr>
                <w:rStyle w:val="IndexLink"/>
                <w:rtl w:val="true"/>
              </w:rPr>
              <w:tab/>
            </w:r>
            <w:r>
              <w:rPr>
                <w:rStyle w:val="IndexLink"/>
              </w:rPr>
              <w:t>20</w:t>
            </w:r>
          </w:hyperlink>
        </w:p>
        <w:p>
          <w:pPr>
            <w:pStyle w:val="Contents3"/>
            <w:tabs>
              <w:tab w:val="clear" w:pos="8459"/>
              <w:tab w:val="right" w:pos="9026" w:leader="dot"/>
            </w:tabs>
            <w:rPr/>
          </w:pPr>
          <w:hyperlink w:anchor="__RefHeading___Toc678129_65377670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678131_653776707">
            <w:r>
              <w:rPr>
                <w:webHidden/>
                <w:rStyle w:val="IndexLink"/>
              </w:rPr>
              <w:t>1</w:t>
            </w:r>
            <w:r>
              <w:rPr>
                <w:rStyle w:val="IndexLink"/>
                <w:rtl w:val="true"/>
              </w:rPr>
              <w:t xml:space="preserve"> </w:t>
            </w:r>
            <w:r>
              <w:rPr>
                <w:rStyle w:val="IndexLink"/>
                <w:rtl w:val="true"/>
              </w:rPr>
              <w:t>ـ النهی عن غیبة المؤمن</w:t>
            </w:r>
            <w:r>
              <w:rPr>
                <w:rStyle w:val="IndexLink"/>
                <w:rtl w:val="true"/>
              </w:rPr>
              <w:tab/>
            </w:r>
            <w:r>
              <w:rPr>
                <w:rStyle w:val="IndexLink"/>
              </w:rPr>
              <w:t>20</w:t>
            </w:r>
          </w:hyperlink>
        </w:p>
        <w:p>
          <w:pPr>
            <w:pStyle w:val="Contents3"/>
            <w:tabs>
              <w:tab w:val="clear" w:pos="8459"/>
              <w:tab w:val="right" w:pos="9026" w:leader="dot"/>
            </w:tabs>
            <w:rPr/>
          </w:pPr>
          <w:hyperlink w:anchor="__RefHeading___Toc678133_653776707">
            <w:r>
              <w:rPr>
                <w:webHidden/>
                <w:rStyle w:val="IndexLink"/>
              </w:rPr>
              <w:t>2</w:t>
            </w:r>
            <w:r>
              <w:rPr>
                <w:rStyle w:val="IndexLink"/>
                <w:rtl w:val="true"/>
              </w:rPr>
              <w:t xml:space="preserve"> </w:t>
            </w:r>
            <w:r>
              <w:rPr>
                <w:rStyle w:val="IndexLink"/>
                <w:rtl w:val="true"/>
              </w:rPr>
              <w:t>ـ التحرز من بهتان المؤمن</w:t>
            </w:r>
            <w:r>
              <w:rPr>
                <w:rStyle w:val="IndexLink"/>
                <w:rtl w:val="true"/>
              </w:rPr>
              <w:tab/>
            </w:r>
            <w:r>
              <w:rPr>
                <w:rStyle w:val="IndexLink"/>
              </w:rPr>
              <w:t>23</w:t>
            </w:r>
          </w:hyperlink>
        </w:p>
        <w:p>
          <w:pPr>
            <w:pStyle w:val="Contents3"/>
            <w:tabs>
              <w:tab w:val="clear" w:pos="8459"/>
              <w:tab w:val="right" w:pos="9026" w:leader="dot"/>
            </w:tabs>
            <w:rPr/>
          </w:pPr>
          <w:hyperlink w:anchor="__RefHeading___Toc678135_653776707">
            <w:r>
              <w:rPr>
                <w:webHidden/>
                <w:rStyle w:val="IndexLink"/>
              </w:rPr>
              <w:t>3</w:t>
            </w:r>
            <w:r>
              <w:rPr>
                <w:rStyle w:val="IndexLink"/>
                <w:rtl w:val="true"/>
              </w:rPr>
              <w:t xml:space="preserve"> </w:t>
            </w:r>
            <w:r>
              <w:rPr>
                <w:rStyle w:val="IndexLink"/>
                <w:rtl w:val="true"/>
              </w:rPr>
              <w:t>ـ النهی عن التشاجر مع الآخرین</w:t>
            </w:r>
            <w:r>
              <w:rPr>
                <w:rStyle w:val="IndexLink"/>
                <w:rtl w:val="true"/>
              </w:rPr>
              <w:tab/>
            </w:r>
            <w:r>
              <w:rPr>
                <w:rStyle w:val="IndexLink"/>
              </w:rPr>
              <w:t>23</w:t>
            </w:r>
          </w:hyperlink>
        </w:p>
        <w:p>
          <w:pPr>
            <w:pStyle w:val="Contents3"/>
            <w:tabs>
              <w:tab w:val="clear" w:pos="8459"/>
              <w:tab w:val="right" w:pos="9026" w:leader="dot"/>
            </w:tabs>
            <w:rPr/>
          </w:pPr>
          <w:hyperlink w:anchor="__RefHeading___Toc678137_653776707">
            <w:r>
              <w:rPr>
                <w:webHidden/>
                <w:rStyle w:val="IndexLink"/>
              </w:rPr>
              <w:t>4</w:t>
            </w:r>
            <w:r>
              <w:rPr>
                <w:rStyle w:val="IndexLink"/>
                <w:rtl w:val="true"/>
              </w:rPr>
              <w:t xml:space="preserve"> </w:t>
            </w:r>
            <w:r>
              <w:rPr>
                <w:rStyle w:val="IndexLink"/>
                <w:rtl w:val="true"/>
              </w:rPr>
              <w:t>ـ عدم جواز حجب الأخ المؤمن</w:t>
            </w:r>
            <w:r>
              <w:rPr>
                <w:rStyle w:val="IndexLink"/>
                <w:rtl w:val="true"/>
              </w:rPr>
              <w:tab/>
            </w:r>
            <w:r>
              <w:rPr>
                <w:rStyle w:val="IndexLink"/>
              </w:rPr>
              <w:t>23</w:t>
            </w:r>
          </w:hyperlink>
        </w:p>
        <w:p>
          <w:pPr>
            <w:pStyle w:val="Contents3"/>
            <w:tabs>
              <w:tab w:val="clear" w:pos="8459"/>
              <w:tab w:val="right" w:pos="9026" w:leader="dot"/>
            </w:tabs>
            <w:rPr/>
          </w:pPr>
          <w:hyperlink w:anchor="__RefHeading___Toc678139_653776707">
            <w:r>
              <w:rPr>
                <w:webHidden/>
                <w:rStyle w:val="IndexLink"/>
              </w:rPr>
              <w:t>5</w:t>
            </w:r>
            <w:r>
              <w:rPr>
                <w:rStyle w:val="IndexLink"/>
                <w:rtl w:val="true"/>
              </w:rPr>
              <w:t xml:space="preserve"> </w:t>
            </w:r>
            <w:r>
              <w:rPr>
                <w:rStyle w:val="IndexLink"/>
                <w:rtl w:val="true"/>
              </w:rPr>
              <w:t>ـ عدم جواز إخافة المؤمن</w:t>
            </w:r>
            <w:r>
              <w:rPr>
                <w:rStyle w:val="IndexLink"/>
                <w:rtl w:val="true"/>
              </w:rPr>
              <w:tab/>
            </w:r>
            <w:r>
              <w:rPr>
                <w:rStyle w:val="IndexLink"/>
              </w:rPr>
              <w:t>25</w:t>
            </w:r>
          </w:hyperlink>
        </w:p>
        <w:p>
          <w:pPr>
            <w:pStyle w:val="Contents3"/>
            <w:tabs>
              <w:tab w:val="clear" w:pos="8459"/>
              <w:tab w:val="right" w:pos="9026" w:leader="dot"/>
            </w:tabs>
            <w:rPr/>
          </w:pPr>
          <w:hyperlink w:anchor="__RefHeading___Toc678141_653776707">
            <w:r>
              <w:rPr>
                <w:webHidden/>
                <w:rStyle w:val="IndexLink"/>
              </w:rPr>
              <w:t>6</w:t>
            </w:r>
            <w:r>
              <w:rPr>
                <w:rStyle w:val="IndexLink"/>
                <w:rtl w:val="true"/>
              </w:rPr>
              <w:t xml:space="preserve"> </w:t>
            </w:r>
            <w:r>
              <w:rPr>
                <w:rStyle w:val="IndexLink"/>
                <w:rtl w:val="true"/>
              </w:rPr>
              <w:t>ـ عدم جواز هجران المؤمن</w:t>
            </w:r>
            <w:r>
              <w:rPr>
                <w:rStyle w:val="IndexLink"/>
                <w:rtl w:val="true"/>
              </w:rPr>
              <w:tab/>
            </w:r>
            <w:r>
              <w:rPr>
                <w:rStyle w:val="IndexLink"/>
              </w:rPr>
              <w:t>25</w:t>
            </w:r>
          </w:hyperlink>
        </w:p>
        <w:p>
          <w:pPr>
            <w:pStyle w:val="Contents3"/>
            <w:tabs>
              <w:tab w:val="clear" w:pos="8459"/>
              <w:tab w:val="right" w:pos="9026" w:leader="dot"/>
            </w:tabs>
            <w:rPr/>
          </w:pPr>
          <w:hyperlink w:anchor="__RefHeading___Toc678143_653776707">
            <w:r>
              <w:rPr>
                <w:webHidden/>
                <w:rStyle w:val="IndexLink"/>
              </w:rPr>
              <w:t>7</w:t>
            </w:r>
            <w:r>
              <w:rPr>
                <w:rStyle w:val="IndexLink"/>
                <w:rtl w:val="true"/>
              </w:rPr>
              <w:t xml:space="preserve"> </w:t>
            </w:r>
            <w:r>
              <w:rPr>
                <w:rStyle w:val="IndexLink"/>
                <w:rtl w:val="true"/>
              </w:rPr>
              <w:t>ـ عدم جواز أهانة المؤمن أو الإستهزاء به</w:t>
            </w:r>
            <w:r>
              <w:rPr>
                <w:rStyle w:val="IndexLink"/>
                <w:rtl w:val="true"/>
              </w:rPr>
              <w:tab/>
            </w:r>
            <w:r>
              <w:rPr>
                <w:rStyle w:val="IndexLink"/>
              </w:rPr>
              <w:t>26</w:t>
            </w:r>
          </w:hyperlink>
        </w:p>
        <w:p>
          <w:pPr>
            <w:pStyle w:val="Contents3"/>
            <w:tabs>
              <w:tab w:val="clear" w:pos="8459"/>
              <w:tab w:val="right" w:pos="9026" w:leader="dot"/>
            </w:tabs>
            <w:rPr/>
          </w:pPr>
          <w:hyperlink w:anchor="__RefHeading___Toc678145_653776707">
            <w:r>
              <w:rPr>
                <w:webHidden/>
                <w:rStyle w:val="IndexLink"/>
              </w:rPr>
              <w:t>8</w:t>
            </w:r>
            <w:r>
              <w:rPr>
                <w:rStyle w:val="IndexLink"/>
                <w:rtl w:val="true"/>
              </w:rPr>
              <w:t xml:space="preserve"> </w:t>
            </w:r>
            <w:r>
              <w:rPr>
                <w:rStyle w:val="IndexLink"/>
                <w:rtl w:val="true"/>
              </w:rPr>
              <w:t>ـ حرمة المکر والخدیعة مع المؤمنین</w:t>
            </w:r>
            <w:r>
              <w:rPr>
                <w:rStyle w:val="IndexLink"/>
                <w:rtl w:val="true"/>
              </w:rPr>
              <w:tab/>
            </w:r>
            <w:r>
              <w:rPr>
                <w:rStyle w:val="IndexLink"/>
              </w:rPr>
              <w:t>27</w:t>
            </w:r>
          </w:hyperlink>
        </w:p>
        <w:p>
          <w:pPr>
            <w:pStyle w:val="Contents3"/>
            <w:tabs>
              <w:tab w:val="clear" w:pos="8459"/>
              <w:tab w:val="right" w:pos="9026" w:leader="dot"/>
            </w:tabs>
            <w:rPr/>
          </w:pPr>
          <w:hyperlink w:anchor="__RefHeading___Toc678147_653776707">
            <w:r>
              <w:rPr>
                <w:webHidden/>
                <w:rStyle w:val="IndexLink"/>
              </w:rPr>
              <w:t>9</w:t>
            </w:r>
            <w:r>
              <w:rPr>
                <w:rStyle w:val="IndexLink"/>
                <w:rtl w:val="true"/>
              </w:rPr>
              <w:t xml:space="preserve"> </w:t>
            </w:r>
            <w:r>
              <w:rPr>
                <w:rStyle w:val="IndexLink"/>
                <w:rtl w:val="true"/>
              </w:rPr>
              <w:t>ـ النهی عن الغمز واللمز</w:t>
            </w:r>
            <w:r>
              <w:rPr>
                <w:rStyle w:val="IndexLink"/>
                <w:rtl w:val="true"/>
              </w:rPr>
              <w:tab/>
            </w:r>
            <w:r>
              <w:rPr>
                <w:rStyle w:val="IndexLink"/>
              </w:rPr>
              <w:t>28</w:t>
            </w:r>
          </w:hyperlink>
        </w:p>
        <w:p>
          <w:pPr>
            <w:pStyle w:val="Contents3"/>
            <w:tabs>
              <w:tab w:val="clear" w:pos="8459"/>
              <w:tab w:val="right" w:pos="9026" w:leader="dot"/>
            </w:tabs>
            <w:rPr/>
          </w:pPr>
          <w:hyperlink w:anchor="__RefHeading___Toc678149_653776707">
            <w:r>
              <w:rPr>
                <w:webHidden/>
                <w:rStyle w:val="IndexLink"/>
              </w:rPr>
              <w:t>10</w:t>
            </w:r>
            <w:r>
              <w:rPr>
                <w:rStyle w:val="IndexLink"/>
                <w:rtl w:val="true"/>
              </w:rPr>
              <w:t xml:space="preserve"> </w:t>
            </w:r>
            <w:r>
              <w:rPr>
                <w:rStyle w:val="IndexLink"/>
                <w:rtl w:val="true"/>
              </w:rPr>
              <w:t>ـ النهی عن ظلم الآخرین</w:t>
            </w:r>
            <w:r>
              <w:rPr>
                <w:rStyle w:val="IndexLink"/>
                <w:rtl w:val="true"/>
              </w:rPr>
              <w:tab/>
            </w:r>
            <w:r>
              <w:rPr>
                <w:rStyle w:val="IndexLink"/>
              </w:rPr>
              <w:t>28</w:t>
            </w:r>
          </w:hyperlink>
        </w:p>
        <w:p>
          <w:pPr>
            <w:pStyle w:val="Contents3"/>
            <w:tabs>
              <w:tab w:val="clear" w:pos="8459"/>
              <w:tab w:val="right" w:pos="9026" w:leader="dot"/>
            </w:tabs>
            <w:rPr/>
          </w:pPr>
          <w:hyperlink w:anchor="__RefHeading___Toc678151_653776707">
            <w:r>
              <w:rPr>
                <w:webHidden/>
                <w:rStyle w:val="IndexLink"/>
              </w:rPr>
              <w:t>11</w:t>
            </w:r>
            <w:r>
              <w:rPr>
                <w:rStyle w:val="IndexLink"/>
                <w:rtl w:val="true"/>
              </w:rPr>
              <w:t xml:space="preserve"> </w:t>
            </w:r>
            <w:r>
              <w:rPr>
                <w:rStyle w:val="IndexLink"/>
                <w:rtl w:val="true"/>
              </w:rPr>
              <w:t>ـ التحرز عن مواضع التهمة</w:t>
            </w:r>
            <w:r>
              <w:rPr>
                <w:rStyle w:val="IndexLink"/>
                <w:rtl w:val="true"/>
              </w:rPr>
              <w:tab/>
            </w:r>
            <w:r>
              <w:rPr>
                <w:rStyle w:val="IndexLink"/>
              </w:rPr>
              <w:t>28</w:t>
            </w:r>
          </w:hyperlink>
        </w:p>
        <w:p>
          <w:pPr>
            <w:pStyle w:val="Contents3"/>
            <w:tabs>
              <w:tab w:val="clear" w:pos="8459"/>
              <w:tab w:val="right" w:pos="9026" w:leader="dot"/>
            </w:tabs>
            <w:rPr/>
          </w:pPr>
          <w:hyperlink w:anchor="__RefHeading___Toc678153_653776707">
            <w:r>
              <w:rPr>
                <w:webHidden/>
                <w:rStyle w:val="IndexLink"/>
              </w:rPr>
              <w:t>12</w:t>
            </w:r>
            <w:r>
              <w:rPr>
                <w:rStyle w:val="IndexLink"/>
                <w:rtl w:val="true"/>
              </w:rPr>
              <w:t xml:space="preserve"> </w:t>
            </w:r>
            <w:r>
              <w:rPr>
                <w:rStyle w:val="IndexLink"/>
                <w:rtl w:val="true"/>
              </w:rPr>
              <w:t>ـ النهی عن رد الکرامة</w:t>
            </w:r>
            <w:r>
              <w:rPr>
                <w:rStyle w:val="IndexLink"/>
                <w:rtl w:val="true"/>
              </w:rPr>
              <w:tab/>
            </w:r>
            <w:r>
              <w:rPr>
                <w:rStyle w:val="IndexLink"/>
              </w:rPr>
              <w:t>29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20_60478"/>
      <w:bookmarkStart w:id="1" w:name="pg6420_60478"/>
      <w:bookmarkEnd w:id="1"/>
    </w:p>
    <w:p>
      <w:pPr>
        <w:pStyle w:val="Heading2"/>
        <w:numPr>
          <w:ilvl w:val="1"/>
          <w:numId w:val="1"/>
        </w:numPr>
        <w:rPr/>
      </w:pPr>
      <w:bookmarkStart w:id="2" w:name="pg6420_60478"/>
      <w:bookmarkStart w:id="3" w:name="__RefHeading___Toc678075_65377670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مروجی طبسی، م‍ح‍م‍دج‍واد،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آداب‌العشره فی احادیث‌الامام علی‌بن‌موسی‌الرضا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مروجی‌طبسی؛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زائرین غیر ایرانی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انتشارت قدس رضوی‏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‫978-600-299-209-3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م‍وس‍ی‏</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آداب معاشرت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معاشرت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امور زائرین غیرایرانی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انتشاراتی قدس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م۴۵آ۴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۳۹۹۴۵۶۳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8077_653776707"/>
      <w:bookmarkStart w:id="6" w:name="_Toc2"/>
      <w:bookmarkEnd w:id="5"/>
      <w:r>
        <w:rPr>
          <w:rtl w:val="true"/>
        </w:rPr>
        <w:t>الإهداء</w:t>
      </w:r>
      <w:bookmarkEnd w:id="6"/>
    </w:p>
    <w:p>
      <w:pPr>
        <w:pStyle w:val="BookText"/>
        <w:rPr/>
      </w:pPr>
      <w:r>
        <w:rPr>
          <w:rFonts w:ascii="IRNazanin" w:hAnsi="IRNazanin" w:eastAsia="IRNazanin"/>
          <w:color w:val="111111"/>
          <w:sz w:val="28"/>
          <w:sz w:val="28"/>
          <w:szCs w:val="28"/>
          <w:rtl w:val="true"/>
          <w:lang w:bidi="fa-IR"/>
        </w:rPr>
        <w:t>إلی سلیل المصطفی</w:t>
      </w:r>
    </w:p>
    <w:p>
      <w:pPr>
        <w:pStyle w:val="BookText"/>
        <w:rPr/>
      </w:pPr>
      <w:r>
        <w:rPr>
          <w:rFonts w:ascii="IRNazanin" w:hAnsi="IRNazanin" w:eastAsia="IRNazanin"/>
          <w:color w:val="111111"/>
          <w:sz w:val="28"/>
          <w:sz w:val="28"/>
          <w:szCs w:val="28"/>
          <w:rtl w:val="true"/>
          <w:lang w:bidi="fa-IR"/>
        </w:rPr>
        <w:t>وحبیب المرتضی</w:t>
      </w:r>
    </w:p>
    <w:p>
      <w:pPr>
        <w:pStyle w:val="BookText"/>
        <w:rPr/>
      </w:pPr>
      <w:r>
        <w:rPr>
          <w:rFonts w:ascii="IRNazanin" w:hAnsi="IRNazanin" w:eastAsia="IRNazanin"/>
          <w:color w:val="111111"/>
          <w:sz w:val="28"/>
          <w:sz w:val="28"/>
          <w:szCs w:val="28"/>
          <w:rtl w:val="true"/>
          <w:lang w:bidi="fa-IR"/>
        </w:rPr>
        <w:t>ومن بیمینه رزق الوری</w:t>
      </w:r>
    </w:p>
    <w:p>
      <w:pPr>
        <w:pStyle w:val="BookText"/>
        <w:rPr/>
      </w:pPr>
      <w:r>
        <w:rPr>
          <w:rFonts w:ascii="IRNazanin" w:hAnsi="IRNazanin" w:eastAsia="IRNazanin"/>
          <w:color w:val="111111"/>
          <w:sz w:val="28"/>
          <w:sz w:val="28"/>
          <w:szCs w:val="28"/>
          <w:rtl w:val="true"/>
          <w:lang w:bidi="fa-IR"/>
        </w:rPr>
        <w:t>أمین الله فی ارضه</w:t>
      </w:r>
    </w:p>
    <w:p>
      <w:pPr>
        <w:pStyle w:val="BookText"/>
        <w:rPr/>
      </w:pPr>
      <w:r>
        <w:rPr>
          <w:rFonts w:ascii="IRNazanin" w:hAnsi="IRNazanin" w:eastAsia="IRNazanin"/>
          <w:color w:val="111111"/>
          <w:sz w:val="28"/>
          <w:sz w:val="28"/>
          <w:szCs w:val="28"/>
          <w:rtl w:val="true"/>
          <w:lang w:bidi="fa-IR"/>
        </w:rPr>
        <w:t>وحجته علی عباده</w:t>
      </w:r>
    </w:p>
    <w:p>
      <w:pPr>
        <w:pStyle w:val="BookText"/>
        <w:rPr/>
      </w:pPr>
      <w:r>
        <w:rPr>
          <w:rFonts w:ascii="IRNazanin" w:hAnsi="IRNazanin" w:eastAsia="IRNazanin"/>
          <w:color w:val="111111"/>
          <w:sz w:val="28"/>
          <w:sz w:val="28"/>
          <w:szCs w:val="28"/>
          <w:rtl w:val="true"/>
          <w:lang w:bidi="fa-IR"/>
        </w:rPr>
        <w:t>الامام علی بن موسی الرضا علیه آلاف التحیة والثناء أهدی هذا الکتاب</w:t>
      </w:r>
    </w:p>
    <w:p>
      <w:pPr>
        <w:pStyle w:val="BookText"/>
        <w:rPr/>
      </w:pPr>
      <w:r>
        <w:rPr>
          <w:rFonts w:ascii="IRNazanin" w:hAnsi="IRNazanin" w:eastAsia="IRNazanin"/>
          <w:color w:val="111111"/>
          <w:sz w:val="28"/>
          <w:sz w:val="28"/>
          <w:szCs w:val="28"/>
          <w:rtl w:val="true"/>
          <w:lang w:bidi="fa-IR"/>
        </w:rPr>
        <w:t>سیدی فتفضّل علیّ بالقبول</w:t>
      </w:r>
    </w:p>
    <w:p>
      <w:pPr>
        <w:pStyle w:val="BookText"/>
        <w:rPr/>
      </w:pPr>
      <w:r>
        <w:rPr>
          <w:rFonts w:ascii="IRNazanin" w:hAnsi="IRNazanin" w:eastAsia="IRNazanin"/>
          <w:color w:val="111111"/>
          <w:sz w:val="28"/>
          <w:sz w:val="28"/>
          <w:szCs w:val="28"/>
          <w:rtl w:val="true"/>
          <w:lang w:bidi="fa-IR"/>
        </w:rPr>
        <w:t>عبدک الراجی شفاعتک</w:t>
      </w:r>
    </w:p>
    <w:p>
      <w:pPr>
        <w:pStyle w:val="BookText"/>
        <w:rPr/>
      </w:pPr>
      <w:r>
        <w:rPr>
          <w:rFonts w:ascii="IRNazanin" w:hAnsi="IRNazanin" w:eastAsia="IRNazanin"/>
          <w:color w:val="111111"/>
          <w:sz w:val="28"/>
          <w:sz w:val="28"/>
          <w:szCs w:val="28"/>
          <w:rtl w:val="true"/>
          <w:lang w:bidi="fa-IR"/>
        </w:rPr>
        <w:t>محمد جواد الطبسی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7" w:name="pg6420_60480"/>
    </w:p>
    <w:p>
      <w:pPr>
        <w:pStyle w:val="Heading2"/>
        <w:numPr>
          <w:ilvl w:val="1"/>
          <w:numId w:val="1"/>
        </w:numPr>
        <w:rPr/>
      </w:pPr>
      <w:bookmarkStart w:id="8" w:name="__RefHeading___Toc678079_653776707"/>
      <w:bookmarkStart w:id="9" w:name="_Toc3"/>
      <w:bookmarkEnd w:id="7"/>
      <w:bookmarkEnd w:id="8"/>
      <w:r>
        <w:rPr>
          <w:rtl w:val="true"/>
        </w:rPr>
        <w:t>التمهید</w:t>
      </w:r>
      <w:bookmarkEnd w:id="9"/>
    </w:p>
    <w:p>
      <w:pPr>
        <w:pStyle w:val="BookText"/>
        <w:rPr/>
      </w:pPr>
      <w:r>
        <w:rPr>
          <w:rFonts w:ascii="IRNazanin" w:hAnsi="IRNazanin" w:eastAsia="IRNazanin"/>
          <w:color w:val="111111"/>
          <w:sz w:val="28"/>
          <w:sz w:val="28"/>
          <w:szCs w:val="28"/>
          <w:rtl w:val="true"/>
          <w:lang w:bidi="fa-IR"/>
        </w:rPr>
        <w:t>الحمد لله رب العالمین حمداً وافراً لآلائه وشکراً دائماً لنعمائه ، ثم الصلاة  والسلام علی خیر الانام وعلی آله الطبیبن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نشکر الله جلّ وعلا کما أوجب الشکر علینا فی کتابه العزیز  لتفضّله نعمة آل البیت علی الأمة الاسلامیة بل علی البشر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بسبب إتصالهم بالفیض الالهی قدّموا أروع الأفکار وأتقنها  وأحسنها لهدایة الانسان منها تَخَلُّف الإنسان بالأوصاف الحسنة والأخلاق  الجمیلة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الذین قام بهذه الرسالة الإلهیة ثامن الحجج الإمام علی بن موسی  الرضا علیه‌السلام ولقد أثر عنه علیه‌السلام أحادیث کثیرة فی الآداب  والسنن الأخلاقیة وکیفیة معاشرة الناس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ودوّنت هذه الاحادیث فی الجوامع الحدیثیة بالأسانید المتصلة إلیه  علیه‌السلام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ونقلت هذه الأحادیث بعضها عنه علیه‌السلام وبعضها الآخر عنه عن  آبائه الکرام عن علی عن رسول الله صلی‌الله‌علیه‌وآله‌وسلم وقد انتخبنا  فی هذا المختصر ماورد عنه فی مجال آداب العشرة مع المؤمنین</w:t>
      </w:r>
      <w:r>
        <w:rPr>
          <w:rFonts w:eastAsia="IRNazanin" w:cs="IRNazanin"/>
          <w:color w:val="111111"/>
          <w:sz w:val="28"/>
          <w:szCs w:val="28"/>
          <w:rtl w:val="true"/>
          <w:lang w:bidi="fa-IR"/>
        </w:rPr>
        <w:t xml:space="preserve">. </w:t>
      </w:r>
      <w:bookmarkStart w:id="10" w:name="pg6420_60481"/>
    </w:p>
    <w:p>
      <w:pPr>
        <w:pStyle w:val="Heading2"/>
        <w:numPr>
          <w:ilvl w:val="1"/>
          <w:numId w:val="1"/>
        </w:numPr>
        <w:rPr/>
      </w:pPr>
      <w:bookmarkStart w:id="11" w:name="__RefHeading___Toc678081_653776707"/>
      <w:bookmarkStart w:id="12" w:name="_Toc4"/>
      <w:bookmarkEnd w:id="10"/>
      <w:bookmarkEnd w:id="11"/>
      <w:r>
        <w:rPr>
          <w:rtl w:val="true"/>
        </w:rPr>
        <w:t xml:space="preserve">جعلنا هذه الروایات تحت بابین </w:t>
      </w:r>
      <w:r>
        <w:rPr>
          <w:rtl w:val="true"/>
        </w:rPr>
        <w:t>:</w:t>
      </w:r>
      <w:bookmarkEnd w:id="12"/>
    </w:p>
    <w:p>
      <w:pPr>
        <w:pStyle w:val="BookText"/>
        <w:rPr/>
      </w:pPr>
      <w:r>
        <w:rPr>
          <w:rFonts w:ascii="IRNazanin" w:hAnsi="IRNazanin" w:eastAsia="IRNazanin"/>
          <w:color w:val="111111"/>
          <w:sz w:val="28"/>
          <w:sz w:val="28"/>
          <w:szCs w:val="28"/>
          <w:rtl w:val="true"/>
          <w:lang w:bidi="fa-IR"/>
        </w:rPr>
        <w:t>باب الأول ماورد عنه علیه‌السلام فی الآداب الواجبة والمستحبة فی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عنه علیه‌السلام فی الأمور المحرمة والمنهیة فی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ختاماً أرجو الله سبحانه وتعالی أن یرزقنی شفاعتهم یوم لا ینفع مالٌ و بنون إلا من اتی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محمد جواد المروجی الطبسی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bookmarkStart w:id="13" w:name="pg6420_60482"/>
    </w:p>
    <w:p>
      <w:pPr>
        <w:pStyle w:val="Heading2"/>
        <w:numPr>
          <w:ilvl w:val="1"/>
          <w:numId w:val="1"/>
        </w:numPr>
        <w:rPr/>
      </w:pPr>
      <w:bookmarkStart w:id="14" w:name="__RefHeading___Toc678083_653776707"/>
      <w:bookmarkStart w:id="15" w:name="_Toc5"/>
      <w:bookmarkEnd w:id="13"/>
      <w:bookmarkEnd w:id="14"/>
      <w:r>
        <w:rPr>
          <w:rtl w:val="true"/>
        </w:rPr>
        <w:t xml:space="preserve">الباب الأول </w:t>
      </w:r>
      <w:r>
        <w:rPr>
          <w:rtl w:val="true"/>
        </w:rPr>
        <w:t xml:space="preserve">: </w:t>
      </w:r>
      <w:r>
        <w:rPr>
          <w:rtl w:val="true"/>
        </w:rPr>
        <w:t>الحقوق الواجبة والمستحبة فی العشرة</w:t>
      </w:r>
      <w:bookmarkEnd w:id="15"/>
    </w:p>
    <w:p>
      <w:pPr>
        <w:pStyle w:val="Heading3"/>
        <w:numPr>
          <w:ilvl w:val="2"/>
          <w:numId w:val="1"/>
        </w:numPr>
        <w:rPr/>
      </w:pPr>
      <w:bookmarkStart w:id="16" w:name="__RefHeading___Toc678085_653776707"/>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ورد عن الامام علی بن موسی الرضا علیه‌السلام عشرات الأحادیث فی  الألفة بالإخوان وزیارتهم والتبسّم فی وجوههم ، وأداء حقوقهم ، و ضیافتهم ورعایة العدل والإنصاف معهم ، وأداء الأمانة إلیهم ، وکتمان  سرِّهم ونصر ضُعفائهم إلی غیر ذلک من المواضیع کما سیوافیک فی هذا  الباب</w:t>
      </w:r>
      <w:r>
        <w:rPr>
          <w:rFonts w:eastAsia="IRNazanin" w:cs="IRNazanin"/>
          <w:color w:val="111111"/>
          <w:sz w:val="28"/>
          <w:szCs w:val="28"/>
          <w:rtl w:val="true"/>
          <w:lang w:bidi="fa-IR"/>
        </w:rPr>
        <w:t>.</w:t>
      </w:r>
    </w:p>
    <w:p>
      <w:pPr>
        <w:pStyle w:val="Heading3"/>
        <w:numPr>
          <w:ilvl w:val="2"/>
          <w:numId w:val="1"/>
        </w:numPr>
        <w:rPr/>
      </w:pPr>
      <w:bookmarkStart w:id="18" w:name="__RefHeading___Toc678087_653776707"/>
      <w:bookmarkStart w:id="19" w:name="_Toc7"/>
      <w:bookmarkEnd w:id="18"/>
      <w:r>
        <w:rPr/>
        <w:t>1</w:t>
      </w:r>
      <w:r>
        <w:rPr>
          <w:rtl w:val="true"/>
        </w:rPr>
        <w:t xml:space="preserve"> </w:t>
      </w:r>
      <w:r>
        <w:rPr>
          <w:rtl w:val="true"/>
        </w:rPr>
        <w:t>ـ وجوب أداء حق المؤمن</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شیخ الصدوق فی العیون عن جعفر بن نعیم بن شاذان ، عن  أحد بن إدریس عن ابراهیم بن هاشم، عن ابراهیم بن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الرضا علیه‌السلام جفا أحداً بکلمة قط ولا رأیته  قطع علی أحد کلامه حتی یفرغ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وماردّ أحداً عن حاجة  یقدر علیها ، ولا مدّ رجله بین یدی جلیس 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اتکأ بین  یدی جلیس له قط ، ولا رأیته شتم أحداً من موالیه وممالیکه قط ، ولا  رأیته تفل قط ، ولا رأیته تقهقه فی ضحکه قط بل کان ضحکه  التبسم</w:t>
      </w:r>
      <w:r>
        <w:rPr>
          <w:rFonts w:eastAsia="IRNazanin" w:cs="IRNazanin"/>
          <w:color w:val="111111"/>
          <w:sz w:val="28"/>
          <w:szCs w:val="28"/>
          <w:rtl w:val="true"/>
          <w:lang w:bidi="fa-IR"/>
        </w:rPr>
        <w:t>.</w:t>
      </w:r>
      <w:r>
        <w:rPr>
          <w:rStyle w:val="FootnoteAnchor"/>
          <w:rtl w:val="true"/>
        </w:rPr>
        <w:footnoteReference w:id="2"/>
      </w:r>
      <w:bookmarkStart w:id="20" w:name="pg6420_60483"/>
    </w:p>
    <w:p>
      <w:pPr>
        <w:pStyle w:val="Heading3"/>
        <w:numPr>
          <w:ilvl w:val="2"/>
          <w:numId w:val="1"/>
        </w:numPr>
        <w:rPr/>
      </w:pPr>
      <w:bookmarkStart w:id="21" w:name="__RefHeading___Toc678089_653776707"/>
      <w:bookmarkStart w:id="22" w:name="_Toc8"/>
      <w:bookmarkEnd w:id="20"/>
      <w:bookmarkEnd w:id="21"/>
      <w:r>
        <w:rPr/>
        <w:t>2</w:t>
      </w:r>
      <w:r>
        <w:rPr>
          <w:rtl w:val="true"/>
        </w:rPr>
        <w:t xml:space="preserve"> </w:t>
      </w:r>
      <w:r>
        <w:rPr>
          <w:rtl w:val="true"/>
        </w:rPr>
        <w:t>ـ استحباب الألفة بالإخوان</w:t>
      </w:r>
      <w:bookmarkEnd w:id="22"/>
    </w:p>
    <w:p>
      <w:pPr>
        <w:pStyle w:val="BookText"/>
        <w:rPr/>
      </w:pPr>
      <w:r>
        <w:rPr>
          <w:rFonts w:ascii="IRNazanin" w:hAnsi="IRNazanin" w:eastAsia="IRNazanin"/>
          <w:color w:val="111111"/>
          <w:sz w:val="28"/>
          <w:sz w:val="28"/>
          <w:szCs w:val="28"/>
          <w:rtl w:val="true"/>
          <w:lang w:bidi="fa-IR"/>
        </w:rPr>
        <w:t xml:space="preserve">عنه أیضاً فی ثواب الإعمال بسنده عن محمد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استفاد أخاً فی الله استفاد بیتاً فی الجنة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78091_653776707"/>
      <w:bookmarkStart w:id="24" w:name="_Toc9"/>
      <w:bookmarkEnd w:id="23"/>
      <w:r>
        <w:rPr/>
        <w:t>3</w:t>
      </w:r>
      <w:r>
        <w:rPr>
          <w:rtl w:val="true"/>
        </w:rPr>
        <w:t xml:space="preserve"> </w:t>
      </w:r>
      <w:r>
        <w:rPr>
          <w:rtl w:val="true"/>
        </w:rPr>
        <w:t>ـ استحباب حسن الخلق مع الناس</w:t>
      </w:r>
      <w:bookmarkEnd w:id="24"/>
    </w:p>
    <w:p>
      <w:pPr>
        <w:pStyle w:val="BookText"/>
        <w:rPr/>
      </w:pPr>
      <w:r>
        <w:rPr>
          <w:rFonts w:ascii="IRNazanin" w:hAnsi="IRNazanin" w:eastAsia="IRNazanin"/>
          <w:color w:val="111111"/>
          <w:sz w:val="28"/>
          <w:sz w:val="28"/>
          <w:szCs w:val="28"/>
          <w:rtl w:val="true"/>
          <w:lang w:bidi="fa-IR"/>
        </w:rPr>
        <w:t xml:space="preserve">روی الحر العاملی ـ ره ـ عن العیون بسنده عن الرضا علیه‌السلام ،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بحسن الخلق  فإن حسن الخلق فی الجنة لا محالة وإیاکم وسوء الخق فإن سوء الخلق فی  النار لا محالة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الوسائل أیضاً بنفس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السیء یفسد العمل کما یفسد الخلّ العسل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بنفس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لینال بحسن خلقه درجة الصائم القائم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بنفس الإسناد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أثقل فی المیزان عن حسن الخلق</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أکملکم ایماناً  أحسنکم خلقاً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وفیه أیضا بالإسناد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خیر  قرین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عن علی بن أبی طالب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صلی‌الله‌علیه‌وآله‌وسلم ما أکثر مما یدخل به الجنة؟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الله  وحسن الخلق</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أقربکم منّی مجلساً یوم القیامة أحسنکم خلقاً وخیرکم لأهله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المتقدم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ایماناً أحسنهم خلقاً وألطفهم بأهله وأنا  ألطفکم بأهلی</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أمالی الطوسی بسنده عن عبدالعظیم الحسنی ،  عن محمد بن علی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لن تَسَعوا الناس بأموالکم فسعونی بطلاقة الوجه و حسن اللقاء ، فإنی سمعت رسول الله صلی‌الله‌علیه‌وآله‌وسلم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لن تسعوا الناس بأموالکم فسعوهم بأخلاقکم</w:t>
      </w:r>
      <w:r>
        <w:rPr>
          <w:rFonts w:eastAsia="IRNazanin" w:cs="IRNazanin"/>
          <w:color w:val="111111"/>
          <w:sz w:val="28"/>
          <w:szCs w:val="28"/>
          <w:rtl w:val="true"/>
          <w:lang w:bidi="fa-IR"/>
        </w:rPr>
        <w:t>.</w:t>
      </w:r>
      <w:r>
        <w:rPr>
          <w:rStyle w:val="FootnoteAnchor"/>
          <w:rtl w:val="true"/>
        </w:rPr>
        <w:footnoteReference w:id="13"/>
      </w:r>
      <w:bookmarkStart w:id="25" w:name="pg6420_60485"/>
    </w:p>
    <w:p>
      <w:pPr>
        <w:pStyle w:val="Heading3"/>
        <w:numPr>
          <w:ilvl w:val="2"/>
          <w:numId w:val="1"/>
        </w:numPr>
        <w:rPr/>
      </w:pPr>
      <w:bookmarkStart w:id="26" w:name="__RefHeading___Toc678093_653776707"/>
      <w:bookmarkStart w:id="27" w:name="_Toc10"/>
      <w:bookmarkEnd w:id="25"/>
      <w:bookmarkEnd w:id="26"/>
      <w:r>
        <w:rPr/>
        <w:t>4</w:t>
      </w:r>
      <w:r>
        <w:rPr>
          <w:rtl w:val="true"/>
        </w:rPr>
        <w:t xml:space="preserve"> </w:t>
      </w:r>
      <w:r>
        <w:rPr>
          <w:rtl w:val="true"/>
        </w:rPr>
        <w:t>ـ إستحباب التبسّم فی وجه المؤمن</w:t>
      </w:r>
      <w:bookmarkEnd w:id="27"/>
    </w:p>
    <w:p>
      <w:pPr>
        <w:pStyle w:val="BookText"/>
        <w:rPr/>
      </w:pPr>
      <w:r>
        <w:rPr>
          <w:rFonts w:ascii="IRNazanin" w:hAnsi="IRNazanin" w:eastAsia="IRNazanin"/>
          <w:color w:val="111111"/>
          <w:sz w:val="28"/>
          <w:sz w:val="28"/>
          <w:szCs w:val="28"/>
          <w:rtl w:val="true"/>
          <w:lang w:bidi="fa-IR"/>
        </w:rPr>
        <w:t xml:space="preserve">وفی الوسائل عن کتاب الإخوان باسناده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فی حاجة ومسح وجهه بماء الورد ولم یرهق وجهه قتر ولا ذلة ، و من شرب من سؤر أخیه المؤمن یرید به التواضع أدخله الله الجنّة ألبتة ، و من تبسّم فی وجه أخیه المؤمن کتب الله له حسنة ومن کتب اله له حسنة  لم یعذّبه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78095_653776707"/>
      <w:bookmarkStart w:id="29" w:name="_Toc11"/>
      <w:bookmarkEnd w:id="28"/>
      <w:r>
        <w:rPr/>
        <w:t>5</w:t>
      </w:r>
      <w:r>
        <w:rPr>
          <w:rtl w:val="true"/>
        </w:rPr>
        <w:t xml:space="preserve"> </w:t>
      </w:r>
      <w:r>
        <w:rPr>
          <w:rtl w:val="true"/>
        </w:rPr>
        <w:t>ـ استحباب العفو عن الاخوان</w:t>
      </w:r>
      <w:bookmarkEnd w:id="29"/>
    </w:p>
    <w:p>
      <w:pPr>
        <w:pStyle w:val="BookText"/>
        <w:rPr/>
      </w:pPr>
      <w:r>
        <w:rPr>
          <w:rFonts w:ascii="IRNazanin" w:hAnsi="IRNazanin" w:eastAsia="IRNazanin"/>
          <w:color w:val="111111"/>
          <w:sz w:val="28"/>
          <w:sz w:val="28"/>
          <w:szCs w:val="28"/>
          <w:rtl w:val="true"/>
          <w:lang w:bidi="fa-IR"/>
        </w:rPr>
        <w:t xml:space="preserve">روی الکلینی عن العدة عن احمد بن أبی عبدالله عن إبن فضال ، قال  سمعت أبا الحسن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التفّت فئتان قط إلا نصر أعظمها  عفواً</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30" w:name="__RefHeading___Toc678097_653776707"/>
      <w:bookmarkStart w:id="31" w:name="_Toc12"/>
      <w:bookmarkEnd w:id="30"/>
      <w:r>
        <w:rPr/>
        <w:t>6</w:t>
      </w:r>
      <w:r>
        <w:rPr>
          <w:rtl w:val="true"/>
        </w:rPr>
        <w:t xml:space="preserve"> </w:t>
      </w:r>
      <w:r>
        <w:rPr>
          <w:rtl w:val="true"/>
        </w:rPr>
        <w:t>ـ إستحباب العفو عمّن ظلمه</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الطوسی فی الامالی بسنده عن محمد بن علی بن الحسین بن زید بن  علی ، عن علی بن موسی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الاخلاق فإن ربی بعثنی بها ، و إن مکارم الأخلاق أن یعفوا الرجل عمّن ظلمه ویُعطی من حرمه ویصل  من قطعه وأن یعود من لایعوده</w:t>
      </w:r>
      <w:r>
        <w:rPr>
          <w:rFonts w:eastAsia="IRNazanin" w:cs="IRNazanin"/>
          <w:color w:val="111111"/>
          <w:sz w:val="28"/>
          <w:szCs w:val="28"/>
          <w:rtl w:val="true"/>
          <w:lang w:bidi="fa-IR"/>
        </w:rPr>
        <w:t>.</w:t>
      </w:r>
      <w:r>
        <w:rPr>
          <w:rStyle w:val="FootnoteAnchor"/>
          <w:rtl w:val="true"/>
        </w:rPr>
        <w:footnoteReference w:id="16"/>
      </w:r>
      <w:bookmarkStart w:id="32" w:name="pg6420_60486"/>
    </w:p>
    <w:p>
      <w:pPr>
        <w:pStyle w:val="Heading3"/>
        <w:numPr>
          <w:ilvl w:val="2"/>
          <w:numId w:val="1"/>
        </w:numPr>
        <w:rPr/>
      </w:pPr>
      <w:bookmarkStart w:id="33" w:name="__RefHeading___Toc678099_653776707"/>
      <w:bookmarkStart w:id="34" w:name="_Toc13"/>
      <w:bookmarkEnd w:id="32"/>
      <w:bookmarkEnd w:id="33"/>
      <w:r>
        <w:rPr/>
        <w:t>7</w:t>
      </w:r>
      <w:r>
        <w:rPr>
          <w:rtl w:val="true"/>
        </w:rPr>
        <w:t xml:space="preserve"> </w:t>
      </w:r>
      <w:r>
        <w:rPr>
          <w:rtl w:val="true"/>
        </w:rPr>
        <w:t>ـ إستحباب الأکل فی منزل الأخ المؤمن</w:t>
      </w:r>
      <w:bookmarkEnd w:id="34"/>
    </w:p>
    <w:p>
      <w:pPr>
        <w:pStyle w:val="BookText"/>
        <w:rPr/>
      </w:pPr>
      <w:r>
        <w:rPr>
          <w:rFonts w:ascii="IRNazanin" w:hAnsi="IRNazanin" w:eastAsia="IRNazanin"/>
          <w:color w:val="111111"/>
          <w:sz w:val="28"/>
          <w:sz w:val="28"/>
          <w:szCs w:val="28"/>
          <w:rtl w:val="true"/>
          <w:lang w:bidi="fa-IR"/>
        </w:rPr>
        <w:t xml:space="preserve">روی البرقی فی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یاسر الخادم عن أبی الحسن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یاکل من طعام الناس لیاکلوا من طعامه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السخی یاکل من طعام الناس لیاکلوا من طعامه و البخیل لایاکل من طعام الناس لئلا یاکلوا من طعامه</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5" w:name="__RefHeading___Toc678101_653776707"/>
      <w:bookmarkStart w:id="36" w:name="_Toc14"/>
      <w:bookmarkEnd w:id="35"/>
      <w:r>
        <w:rPr/>
        <w:t>8</w:t>
      </w:r>
      <w:r>
        <w:rPr>
          <w:rtl w:val="true"/>
        </w:rPr>
        <w:t xml:space="preserve"> </w:t>
      </w:r>
      <w:r>
        <w:rPr>
          <w:rtl w:val="true"/>
        </w:rPr>
        <w:t>ـ رعایة العدل والإنصاف مع الناس</w:t>
      </w:r>
      <w:bookmarkEnd w:id="36"/>
    </w:p>
    <w:p>
      <w:pPr>
        <w:pStyle w:val="BookText"/>
        <w:rPr/>
      </w:pPr>
      <w:r>
        <w:rPr>
          <w:rFonts w:ascii="IRNazanin" w:hAnsi="IRNazanin" w:eastAsia="IRNazanin"/>
          <w:color w:val="111111"/>
          <w:sz w:val="28"/>
          <w:sz w:val="28"/>
          <w:szCs w:val="28"/>
          <w:rtl w:val="true"/>
          <w:lang w:bidi="fa-IR"/>
        </w:rPr>
        <w:t>روی الصدوق فی العیون عن أبی عبدوس عن أبی قتیبة ، عن الفضل  عن الرضا علیه‌السلام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إستعمال العدل والإحسان مؤذّن یداوم النعمة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الامالی للطوسی عن أبی الفضل عن محمد بن جعفر الرزار، عن جده  محمد بن عیسی القیسی عن محمد بن الفضیل الصیرفی عن الرضا عن آبائه  عن أمیرالمؤمنین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للنبی صلی الله علیه وآله و سلم علّمنی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لا یحال بینه وبین الجنّة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 ولا تسأل الناس شیئاً وارضی للناس ما  ترضی لنفسک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37" w:name="pg6420_60487"/>
    </w:p>
    <w:p>
      <w:pPr>
        <w:pStyle w:val="Heading3"/>
        <w:numPr>
          <w:ilvl w:val="2"/>
          <w:numId w:val="1"/>
        </w:numPr>
        <w:rPr/>
      </w:pPr>
      <w:bookmarkStart w:id="38" w:name="__RefHeading___Toc678103_653776707"/>
      <w:bookmarkStart w:id="39" w:name="_Toc15"/>
      <w:bookmarkEnd w:id="37"/>
      <w:bookmarkEnd w:id="38"/>
      <w:r>
        <w:rPr/>
        <w:t>9</w:t>
      </w:r>
      <w:r>
        <w:rPr>
          <w:rtl w:val="true"/>
        </w:rPr>
        <w:t xml:space="preserve"> </w:t>
      </w:r>
      <w:r>
        <w:rPr>
          <w:rtl w:val="true"/>
        </w:rPr>
        <w:t>ـ کتمان سرّ الإخوان</w:t>
      </w:r>
      <w:bookmarkEnd w:id="39"/>
    </w:p>
    <w:p>
      <w:pPr>
        <w:pStyle w:val="BookText"/>
        <w:rPr/>
      </w:pPr>
      <w:r>
        <w:rPr>
          <w:rFonts w:ascii="IRNazanin" w:hAnsi="IRNazanin" w:eastAsia="IRNazanin"/>
          <w:color w:val="111111"/>
          <w:sz w:val="28"/>
          <w:sz w:val="28"/>
          <w:szCs w:val="28"/>
          <w:rtl w:val="true"/>
          <w:lang w:bidi="fa-IR"/>
        </w:rPr>
        <w:t xml:space="preserve">وفی الخصال والعیون عن أحمد بن أدریس عن الأشعری ، عن سهل ، عن  الحارث بن الدلهات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المؤمن مومناً  حتی یکون فیه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ربه وسنّة من نبیه وسنّة  من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فالسنة من ربه کتمان سرّه قال الله عز وجل عالم الغیب ، فلا یظهر علی  غیبه أحداً إلا من ارتضی من رسول</w:t>
      </w:r>
      <w:r>
        <w:rPr>
          <w:rStyle w:val="FootnoteAnchor"/>
          <w:rtl w:val="true"/>
        </w:rPr>
        <w:footnoteReference w:id="21"/>
      </w:r>
      <w:r>
        <w:rPr>
          <w:rFonts w:ascii="IRNazanin" w:hAnsi="IRNazanin" w:eastAsia="IRNazanin"/>
          <w:color w:val="111111"/>
          <w:sz w:val="28"/>
          <w:sz w:val="28"/>
          <w:szCs w:val="28"/>
          <w:rtl w:val="true"/>
          <w:lang w:bidi="fa-IR"/>
        </w:rPr>
        <w:t xml:space="preserve">وأمّا السنة من نبیه فمداراة الناس ،  فان الله عز وجل أمر نبیه بمداراة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العفو وأمر بالمعروف  وأعرض عن الجاهلین</w:t>
      </w:r>
      <w:r>
        <w:rPr>
          <w:rStyle w:val="FootnoteAnchor"/>
          <w:rtl w:val="true"/>
        </w:rPr>
        <w:footnoteReference w:id="22"/>
      </w:r>
      <w:r>
        <w:rPr>
          <w:rFonts w:ascii="IRNazanin" w:hAnsi="IRNazanin" w:eastAsia="IRNazanin"/>
          <w:color w:val="111111"/>
          <w:sz w:val="28"/>
          <w:sz w:val="28"/>
          <w:szCs w:val="28"/>
          <w:rtl w:val="true"/>
          <w:lang w:bidi="fa-IR"/>
        </w:rPr>
        <w:t>وأمّا السنة من ولیّه فالصبر علی البأساء والضراء  ، فإنّ الله عز وجل یقول والصابرین فی البأساء والضرّاء</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وفی العیون عن ابن المتوکل وابن عصام والمکتب والوراق والدقاق جمیعاً  عن الکلینی عن علی بن ابراهیم العلوی عن موسی بن محمد المحاربی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المأمون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أحسن ما رویته فی  کتمان السرّ ، فقال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لأنسی السر کیلا اذیعه</w:t>
      </w:r>
    </w:p>
    <w:p>
      <w:pPr>
        <w:pStyle w:val="BookText"/>
        <w:rPr/>
      </w:pPr>
      <w:r>
        <w:rPr>
          <w:rFonts w:ascii="IRNazanin" w:hAnsi="IRNazanin" w:eastAsia="IRNazanin"/>
          <w:color w:val="111111"/>
          <w:sz w:val="28"/>
          <w:sz w:val="28"/>
          <w:szCs w:val="28"/>
          <w:rtl w:val="true"/>
          <w:lang w:bidi="fa-IR"/>
        </w:rPr>
        <w:t>فیا من رأی سراً یصان بأن ینسی</w:t>
      </w:r>
    </w:p>
    <w:p>
      <w:pPr>
        <w:pStyle w:val="BookText"/>
        <w:rPr/>
      </w:pPr>
      <w:r>
        <w:rPr>
          <w:rFonts w:ascii="IRNazanin" w:hAnsi="IRNazanin" w:eastAsia="IRNazanin"/>
          <w:color w:val="111111"/>
          <w:sz w:val="28"/>
          <w:sz w:val="28"/>
          <w:szCs w:val="28"/>
          <w:rtl w:val="true"/>
          <w:lang w:bidi="fa-IR"/>
        </w:rPr>
        <w:t>مخافة أن یجری ببالی ذکره</w:t>
      </w:r>
    </w:p>
    <w:p>
      <w:pPr>
        <w:pStyle w:val="BookText"/>
        <w:rPr/>
      </w:pPr>
      <w:r>
        <w:rPr>
          <w:rFonts w:ascii="IRNazanin" w:hAnsi="IRNazanin" w:eastAsia="IRNazanin"/>
          <w:color w:val="111111"/>
          <w:sz w:val="28"/>
          <w:sz w:val="28"/>
          <w:szCs w:val="28"/>
          <w:rtl w:val="true"/>
          <w:lang w:bidi="fa-IR"/>
        </w:rPr>
        <w:t>فینبده قلبی إلی ملتوی الحشا</w:t>
      </w:r>
    </w:p>
    <w:p>
      <w:pPr>
        <w:pStyle w:val="BookText"/>
        <w:rPr/>
      </w:pPr>
      <w:r>
        <w:rPr>
          <w:rFonts w:ascii="IRNazanin" w:hAnsi="IRNazanin" w:eastAsia="IRNazanin"/>
          <w:color w:val="111111"/>
          <w:sz w:val="28"/>
          <w:sz w:val="28"/>
          <w:szCs w:val="28"/>
          <w:rtl w:val="true"/>
          <w:lang w:bidi="fa-IR"/>
        </w:rPr>
        <w:t>فیوشک من لم یفش سراً وجال فی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خواطره لا یطیق له حبا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وفی الکافی عن محمد بن یحیی أحمد بن محمد ، عن ابن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علیه‌السلام عن مسئلة ، فأبی وأمسک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أعطیناکم کلّما تریدون کان شراً لکم وأخذ برقبة صاحبکم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الله أسَرّها إلی جبرئیل وأسَرّها جبرئیل  إلی محمد صلی‌الله‌علیه‌وآله‌وسلم وأسرّها محمد إلی علی علیه‌السلام و أسرّها علی علیه‌السلام إلی من شاء ، ثم أنتم تذیعون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أمسک حرفاً سمعه؟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قال أبوجعفر علیه‌السلام فی حکمة آل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مالکاً  لنفسه مقبلاً علی شأنه عارفاً بأهل زمانه فاتّقوا الله ولا تذیعوا حدیثنا ، فلو  أن الله یدافع عن أولیائه وینتقم لأولیائه من اعدائه ، أما رأیت ما صنع الله  بآل برمک؟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انتقم الله لأبی الحسن علیه‌السلام وقد کان بنو الأشعث علی خطر  عظیم ، فدفع الله عنهم بولایتهم لأبی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بالعراق تریدون أعمال  هؤلاء الفراعنة وما أمهل الله لهم فعلیکم بتقوی الله ولا تَغُرّنکم الحیاة  الدنیا ولا تغتروا بمن قد أمهل له فکأن الأمر قد وصل إلیکم</w:t>
      </w:r>
      <w:r>
        <w:rPr>
          <w:rFonts w:eastAsia="IRNazanin" w:cs="IRNazanin"/>
          <w:color w:val="111111"/>
          <w:sz w:val="28"/>
          <w:szCs w:val="28"/>
          <w:rtl w:val="true"/>
          <w:lang w:bidi="fa-IR"/>
        </w:rPr>
        <w:t xml:space="preserve">. </w:t>
      </w:r>
      <w:bookmarkStart w:id="40" w:name="pg6420_60489"/>
    </w:p>
    <w:p>
      <w:pPr>
        <w:pStyle w:val="Heading3"/>
        <w:numPr>
          <w:ilvl w:val="2"/>
          <w:numId w:val="1"/>
        </w:numPr>
        <w:rPr/>
      </w:pPr>
      <w:bookmarkStart w:id="41" w:name="__RefHeading___Toc678105_653776707"/>
      <w:bookmarkStart w:id="42" w:name="_Toc16"/>
      <w:bookmarkEnd w:id="40"/>
      <w:bookmarkEnd w:id="41"/>
      <w:r>
        <w:rPr/>
        <w:t>10</w:t>
      </w:r>
      <w:r>
        <w:rPr>
          <w:rtl w:val="true"/>
        </w:rPr>
        <w:t xml:space="preserve"> </w:t>
      </w:r>
      <w:r>
        <w:rPr>
          <w:rtl w:val="true"/>
        </w:rPr>
        <w:t>ـ أداء الأمانة إلی الإخوان</w:t>
      </w:r>
      <w:bookmarkEnd w:id="42"/>
    </w:p>
    <w:p>
      <w:pPr>
        <w:pStyle w:val="BookText"/>
        <w:rPr/>
      </w:pPr>
      <w:r>
        <w:rPr>
          <w:rFonts w:ascii="IRNazanin" w:hAnsi="IRNazanin" w:eastAsia="IRNazanin"/>
          <w:color w:val="111111"/>
          <w:sz w:val="28"/>
          <w:sz w:val="28"/>
          <w:szCs w:val="28"/>
          <w:rtl w:val="true"/>
          <w:lang w:bidi="fa-IR"/>
        </w:rPr>
        <w:t xml:space="preserve">وفی عیون أخبار الرضا علیه‌السلام عنه عن آبائه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 لاتزال أمتی بخیر ما تحابوا وتهادوا و أدّوا الأمانة واجتنبوا الحرام وقرّوا الضیف وأقاموا الصلاة وآتوا الزکاة ،  فإذا لم یفعلوا ذلک ابتلوا بالقحط والسنین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678107_653776707"/>
      <w:bookmarkStart w:id="44" w:name="_Toc17"/>
      <w:bookmarkEnd w:id="43"/>
      <w:r>
        <w:rPr/>
        <w:t>11</w:t>
      </w:r>
      <w:r>
        <w:rPr>
          <w:rtl w:val="true"/>
        </w:rPr>
        <w:t xml:space="preserve"> </w:t>
      </w:r>
      <w:r>
        <w:rPr>
          <w:rtl w:val="true"/>
        </w:rPr>
        <w:t>ـ المساوات فی التسلیم بین الغنی والفقیر</w:t>
      </w:r>
      <w:bookmarkEnd w:id="44"/>
    </w:p>
    <w:p>
      <w:pPr>
        <w:pStyle w:val="BookText"/>
        <w:rPr/>
      </w:pPr>
      <w:r>
        <w:rPr>
          <w:rFonts w:ascii="IRNazanin" w:hAnsi="IRNazanin" w:eastAsia="IRNazanin"/>
          <w:color w:val="111111"/>
          <w:sz w:val="28"/>
          <w:sz w:val="28"/>
          <w:szCs w:val="28"/>
          <w:rtl w:val="true"/>
          <w:lang w:bidi="fa-IR"/>
        </w:rPr>
        <w:t xml:space="preserve">روی الحر العاملی فی الوسائل عن عیون الاخبار والمجالس بسنده عن  فضل بن کثیر عن علی بن موسی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فقیراً  مسلماً فسلَّم علیه خلاف سلامه عن الغنی لقی الله عز وجل یوم القیامة  وهو علیه غضبان</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5" w:name="__RefHeading___Toc678109_653776707"/>
      <w:bookmarkStart w:id="46" w:name="_Toc18"/>
      <w:bookmarkEnd w:id="45"/>
      <w:r>
        <w:rPr/>
        <w:t>12</w:t>
      </w:r>
      <w:r>
        <w:rPr>
          <w:rtl w:val="true"/>
        </w:rPr>
        <w:t xml:space="preserve"> </w:t>
      </w:r>
      <w:r>
        <w:rPr>
          <w:rtl w:val="true"/>
        </w:rPr>
        <w:t>ـ استحباب التسلیم علی الصبیان</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الصدوق عن المظفر بن جعفر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هلال ، عن  علی بن موسی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لا أدعهنّ حتی الممات ، الأکل علی الحضیض  مع العبید ، ورکوبی الحمار مؤکفاً وحلبی العتر بیدی ولبس الصوف ، و التسلیم علی الصبیان لتکون سنّة من بعدی</w:t>
      </w:r>
      <w:r>
        <w:rPr>
          <w:rFonts w:eastAsia="IRNazanin" w:cs="IRNazanin"/>
          <w:color w:val="111111"/>
          <w:sz w:val="28"/>
          <w:szCs w:val="28"/>
          <w:rtl w:val="true"/>
          <w:lang w:bidi="fa-IR"/>
        </w:rPr>
        <w:t>.</w:t>
      </w:r>
      <w:r>
        <w:rPr>
          <w:rStyle w:val="FootnoteAnchor"/>
          <w:rtl w:val="true"/>
        </w:rPr>
        <w:footnoteReference w:id="28"/>
      </w:r>
      <w:bookmarkStart w:id="47" w:name="pg6420_60490"/>
    </w:p>
    <w:p>
      <w:pPr>
        <w:pStyle w:val="Heading3"/>
        <w:numPr>
          <w:ilvl w:val="2"/>
          <w:numId w:val="1"/>
        </w:numPr>
        <w:rPr/>
      </w:pPr>
      <w:bookmarkStart w:id="48" w:name="__RefHeading___Toc678111_653776707"/>
      <w:bookmarkStart w:id="49" w:name="_Toc19"/>
      <w:bookmarkEnd w:id="47"/>
      <w:bookmarkEnd w:id="48"/>
      <w:r>
        <w:rPr/>
        <w:t>13</w:t>
      </w:r>
      <w:r>
        <w:rPr>
          <w:rtl w:val="true"/>
        </w:rPr>
        <w:t xml:space="preserve"> </w:t>
      </w:r>
      <w:r>
        <w:rPr>
          <w:rtl w:val="true"/>
        </w:rPr>
        <w:t>ـ التواضع أمام الناس</w:t>
      </w:r>
      <w:bookmarkEnd w:id="49"/>
    </w:p>
    <w:p>
      <w:pPr>
        <w:pStyle w:val="BookText"/>
        <w:rPr/>
      </w:pPr>
      <w:r>
        <w:rPr>
          <w:rFonts w:ascii="IRNazanin" w:hAnsi="IRNazanin" w:eastAsia="IRNazanin"/>
          <w:color w:val="111111"/>
          <w:sz w:val="28"/>
          <w:sz w:val="28"/>
          <w:szCs w:val="28"/>
          <w:rtl w:val="true"/>
          <w:lang w:bidi="fa-IR"/>
        </w:rPr>
        <w:t xml:space="preserve">روی الصدوق فی العیون والطوسی فی الأمالی ، عن ابن إدریس ،  عن أبیه ، عن سهل عن الحسن بن علی بن النعمان ، عن ابن أسباط عن  ابن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فقلت له جعلت فداک ما حدّ  التوکل؟</w:t>
      </w:r>
    </w:p>
    <w:p>
      <w:pPr>
        <w:pStyle w:val="BookText"/>
        <w:rPr/>
      </w:pP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تخاف مع الله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التواضع؟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تعطی الناس من نفسک ما تحبّ أن یعطوک مثله</w:t>
      </w:r>
      <w:r>
        <w:rPr>
          <w:rStyle w:val="FootnoteAnchor"/>
          <w:rtl w:val="true"/>
        </w:rPr>
        <w:footnoteReference w:id="29"/>
      </w:r>
    </w:p>
    <w:p>
      <w:pPr>
        <w:pStyle w:val="Heading3"/>
        <w:numPr>
          <w:ilvl w:val="2"/>
          <w:numId w:val="1"/>
        </w:numPr>
        <w:rPr/>
      </w:pPr>
      <w:bookmarkStart w:id="50" w:name="__RefHeading___Toc678113_653776707"/>
      <w:bookmarkStart w:id="51" w:name="_Toc20"/>
      <w:bookmarkEnd w:id="50"/>
      <w:r>
        <w:rPr/>
        <w:t>14</w:t>
      </w:r>
      <w:r>
        <w:rPr>
          <w:rtl w:val="true"/>
        </w:rPr>
        <w:t xml:space="preserve"> </w:t>
      </w:r>
      <w:r>
        <w:rPr>
          <w:rtl w:val="true"/>
        </w:rPr>
        <w:t>ـ المشورة مع الآخرین</w:t>
      </w:r>
      <w:bookmarkEnd w:id="51"/>
    </w:p>
    <w:p>
      <w:pPr>
        <w:pStyle w:val="BookText"/>
        <w:rPr/>
      </w:pPr>
      <w:r>
        <w:rPr>
          <w:rFonts w:ascii="IRNazanin" w:hAnsi="IRNazanin" w:eastAsia="IRNazanin"/>
          <w:color w:val="111111"/>
          <w:sz w:val="28"/>
          <w:sz w:val="28"/>
          <w:szCs w:val="28"/>
          <w:rtl w:val="true"/>
          <w:lang w:bidi="fa-IR"/>
        </w:rPr>
        <w:t xml:space="preserve">روی البرقی فی المحاسن عن معمّر بن خلاد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مولی لأبی الحسن  الرضا علیه‌السلام یقال له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برجل له فضل وأمانة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أشیر علیک؟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المغضب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صلی‌الله‌علیه‌وآله‌وسلم کان یشیر  أصحابه ثم یعزم علی ما یرید الله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وفیه أیضاً عن ابن أسباط ،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الحسن  الرضا علیه‌السلام فذکرنا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عقله لایوازن به العقول وربما  شاور الأَسوَد من سودانه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مثل هذا؟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تبارک وتعالی ، ربما فتح علی لسانه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ربما أشاروا علیه بالشیء فیعمل به من الضیعة والبستان</w:t>
      </w:r>
      <w:r>
        <w:rPr>
          <w:rFonts w:eastAsia="IRNazanin" w:cs="IRNazanin"/>
          <w:color w:val="111111"/>
          <w:sz w:val="28"/>
          <w:szCs w:val="28"/>
          <w:rtl w:val="true"/>
          <w:lang w:bidi="fa-IR"/>
        </w:rPr>
        <w:t>.</w:t>
      </w:r>
      <w:r>
        <w:rPr>
          <w:rStyle w:val="FootnoteAnchor"/>
          <w:rtl w:val="true"/>
        </w:rPr>
        <w:footnoteReference w:id="31"/>
      </w:r>
      <w:bookmarkStart w:id="52" w:name="pg6420_60491"/>
    </w:p>
    <w:p>
      <w:pPr>
        <w:pStyle w:val="BookText"/>
        <w:rPr/>
      </w:pPr>
      <w:bookmarkEnd w:id="52"/>
      <w:r>
        <w:rPr>
          <w:rFonts w:ascii="IRNazanin" w:hAnsi="IRNazanin" w:eastAsia="IRNazanin"/>
          <w:color w:val="111111"/>
          <w:sz w:val="28"/>
          <w:sz w:val="28"/>
          <w:szCs w:val="28"/>
          <w:rtl w:val="true"/>
          <w:lang w:bidi="fa-IR"/>
        </w:rPr>
        <w:t xml:space="preserve">وروی الصدوق فی العیون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کانت لهم مشورة  فحضر معهم من إسمه محمد أو حامد أو محمود ، أو أحمد ، فأدخلوه فی  مشورتهم إلّا خیر لهم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وفی العیون أیضاً باسناد التمیمی عن الرضا علیه‌السلام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غش المسلمین فی مشورة فقد  برئت منه</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53" w:name="__RefHeading___Toc678115_653776707"/>
      <w:bookmarkStart w:id="54" w:name="_Toc21"/>
      <w:bookmarkEnd w:id="53"/>
      <w:r>
        <w:rPr/>
        <w:t>15</w:t>
      </w:r>
      <w:r>
        <w:rPr>
          <w:rtl w:val="true"/>
        </w:rPr>
        <w:t xml:space="preserve"> </w:t>
      </w:r>
      <w:r>
        <w:rPr>
          <w:rtl w:val="true"/>
        </w:rPr>
        <w:t>ـ لزوم الوفاء بالعهد والوعد</w:t>
      </w:r>
      <w:bookmarkEnd w:id="54"/>
    </w:p>
    <w:p>
      <w:pPr>
        <w:pStyle w:val="BookText"/>
        <w:rPr/>
      </w:pPr>
      <w:r>
        <w:rPr>
          <w:rFonts w:ascii="IRNazanin" w:hAnsi="IRNazanin" w:eastAsia="IRNazanin"/>
          <w:color w:val="111111"/>
          <w:sz w:val="28"/>
          <w:sz w:val="28"/>
          <w:szCs w:val="28"/>
          <w:rtl w:val="true"/>
          <w:lang w:bidi="fa-IR"/>
        </w:rPr>
        <w:t xml:space="preserve">روی الصدوق فی الخصال عن أحمد بن إبراهیم بن بکر ، عن زید بن محمد  البغدادی عن عبدالله بن احمد بن عامر ، عن أبیه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وحدثهم فلم یکذبهم ووعدهم فلم یخلفهم فهو ممّن  کملت مروءته وظهرت عدالته ووجبت اخوّته وحرمت غیبته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وروی أیضاً فی العیون والعلل عن سعد بن یزید ، عن ابن أشیم ،  عن الجعفری عن الرضا علیه‌السلام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سمّی إسماعیل صادق الوعد؟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لا أدری؟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رجلاً فجلس له حولاً ینتظره</w:t>
      </w:r>
      <w:r>
        <w:rPr>
          <w:rFonts w:eastAsia="IRNazanin" w:cs="IRNazanin"/>
          <w:color w:val="111111"/>
          <w:sz w:val="28"/>
          <w:szCs w:val="28"/>
          <w:rtl w:val="true"/>
          <w:lang w:bidi="fa-IR"/>
        </w:rPr>
        <w:t>.</w:t>
      </w:r>
      <w:r>
        <w:rPr>
          <w:rStyle w:val="FootnoteAnchor"/>
          <w:rtl w:val="true"/>
        </w:rPr>
        <w:footnoteReference w:id="35"/>
      </w:r>
      <w:bookmarkStart w:id="55" w:name="pg6420_60492"/>
    </w:p>
    <w:p>
      <w:pPr>
        <w:pStyle w:val="BookText"/>
        <w:rPr/>
      </w:pPr>
      <w:bookmarkEnd w:id="55"/>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داود بن سلیمان  عن الرضا عن آبائه ، عن علی علیهم‌السلام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المؤمن نذر لا  کفارة 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وفی مشکوة الأنوار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نری ما  وعدنا علینا دیناً کما صنع رسول الله صلی‌الله‌علیه‌وآله‌وسلم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678117_653776707"/>
      <w:bookmarkStart w:id="57" w:name="_Toc22"/>
      <w:bookmarkEnd w:id="56"/>
      <w:r>
        <w:rPr/>
        <w:t>16</w:t>
      </w:r>
      <w:r>
        <w:rPr>
          <w:rtl w:val="true"/>
        </w:rPr>
        <w:t xml:space="preserve"> </w:t>
      </w:r>
      <w:r>
        <w:rPr>
          <w:rtl w:val="true"/>
        </w:rPr>
        <w:t>ـ نصر المظلومین والضعفاء وإغاثتهم</w:t>
      </w:r>
      <w:bookmarkEnd w:id="57"/>
    </w:p>
    <w:p>
      <w:pPr>
        <w:pStyle w:val="BookText"/>
        <w:rPr/>
      </w:pPr>
      <w:r>
        <w:rPr>
          <w:rFonts w:ascii="IRNazanin" w:hAnsi="IRNazanin" w:eastAsia="IRNazanin"/>
          <w:color w:val="111111"/>
          <w:sz w:val="28"/>
          <w:sz w:val="28"/>
          <w:szCs w:val="28"/>
          <w:rtl w:val="true"/>
          <w:lang w:bidi="fa-IR"/>
        </w:rPr>
        <w:t xml:space="preserve">روی الصدوق فی معانی الأخبار والعیون عن علی عن أبیه عن داود بن  سلیمان عن الرضا ، عن أبیه عن الصادق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داود، أن العبد من عبادی لیاتینی بالحسنة فأدخله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یارب وما تلک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یفرج عن المؤمن کربة ولو بتمرة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داود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لمن عرفک أن لا ینقطع رجاؤه منک</w:t>
      </w:r>
      <w:r>
        <w:rPr>
          <w:rStyle w:val="FootnoteAnchor"/>
          <w:rtl w:val="true"/>
        </w:rPr>
        <w:footnoteReference w:id="38"/>
      </w:r>
    </w:p>
    <w:p>
      <w:pPr>
        <w:pStyle w:val="Heading3"/>
        <w:numPr>
          <w:ilvl w:val="2"/>
          <w:numId w:val="1"/>
        </w:numPr>
        <w:rPr/>
      </w:pPr>
      <w:bookmarkStart w:id="58" w:name="__RefHeading___Toc678119_653776707"/>
      <w:bookmarkStart w:id="59" w:name="_Toc23"/>
      <w:bookmarkEnd w:id="58"/>
      <w:r>
        <w:rPr/>
        <w:t>17</w:t>
      </w:r>
      <w:r>
        <w:rPr>
          <w:rtl w:val="true"/>
        </w:rPr>
        <w:t xml:space="preserve"> </w:t>
      </w:r>
      <w:r>
        <w:rPr>
          <w:rtl w:val="true"/>
        </w:rPr>
        <w:t>ـ إستحباب الصمت السکوت إلا عن خیر</w:t>
      </w:r>
      <w:bookmarkEnd w:id="5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الخصال وعیون اخبار الرضا بسنده ، عن أحمد بن محمد بن أبی نصر  البزنطی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الفقه العلم  والحلم والصمت ، إن الصمت باب من أبواب الحکمة ، إن الصمت  یکسب المحبة ، إنّه دلیل علی کل خیر</w:t>
      </w:r>
      <w:r>
        <w:rPr>
          <w:rStyle w:val="FootnoteAnchor"/>
          <w:rtl w:val="true"/>
        </w:rPr>
        <w:footnoteReference w:id="39"/>
      </w:r>
      <w:bookmarkStart w:id="60" w:name="pg6420_60493"/>
    </w:p>
    <w:p>
      <w:pPr>
        <w:pStyle w:val="Heading3"/>
        <w:numPr>
          <w:ilvl w:val="2"/>
          <w:numId w:val="1"/>
        </w:numPr>
        <w:rPr/>
      </w:pPr>
      <w:bookmarkStart w:id="61" w:name="__RefHeading___Toc678121_653776707"/>
      <w:bookmarkStart w:id="62" w:name="_Toc24"/>
      <w:bookmarkEnd w:id="60"/>
      <w:bookmarkEnd w:id="61"/>
      <w:r>
        <w:rPr/>
        <w:t>18</w:t>
      </w:r>
      <w:r>
        <w:rPr>
          <w:rtl w:val="true"/>
        </w:rPr>
        <w:t xml:space="preserve"> </w:t>
      </w:r>
      <w:r>
        <w:rPr>
          <w:rtl w:val="true"/>
        </w:rPr>
        <w:t>ـ وجوب حفظ اللسان عمّا لایجوز من الکلام</w:t>
      </w:r>
      <w:bookmarkEnd w:id="62"/>
    </w:p>
    <w:p>
      <w:pPr>
        <w:pStyle w:val="BookText"/>
        <w:rPr/>
      </w:pPr>
      <w:r>
        <w:rPr>
          <w:rFonts w:ascii="IRNazanin" w:hAnsi="IRNazanin" w:eastAsia="IRNazanin"/>
          <w:color w:val="111111"/>
          <w:sz w:val="28"/>
          <w:sz w:val="28"/>
          <w:szCs w:val="28"/>
          <w:rtl w:val="true"/>
          <w:lang w:bidi="fa-IR"/>
        </w:rPr>
        <w:t xml:space="preserve">وفی ثواب الأعمال ، بسنده عن معمّر بن خلاد ، عن أبی الحسن الرضا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المؤمن فی حفظ لسانه</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3" w:name="__RefHeading___Toc678123_653776707"/>
      <w:bookmarkStart w:id="64" w:name="_Toc25"/>
      <w:bookmarkEnd w:id="63"/>
      <w:r>
        <w:rPr/>
        <w:t>19</w:t>
      </w:r>
      <w:r>
        <w:rPr>
          <w:rtl w:val="true"/>
        </w:rPr>
        <w:t xml:space="preserve"> </w:t>
      </w:r>
      <w:r>
        <w:rPr>
          <w:rtl w:val="true"/>
        </w:rPr>
        <w:t>ـ آداب الضیافة</w:t>
      </w:r>
      <w:bookmarkEnd w:id="64"/>
    </w:p>
    <w:p>
      <w:pPr>
        <w:pStyle w:val="BookText"/>
        <w:rPr/>
      </w:pPr>
      <w:r>
        <w:rPr>
          <w:rFonts w:ascii="IRNazanin" w:hAnsi="IRNazanin" w:eastAsia="IRNazanin"/>
          <w:color w:val="111111"/>
          <w:sz w:val="28"/>
          <w:sz w:val="28"/>
          <w:szCs w:val="28"/>
          <w:rtl w:val="true"/>
          <w:lang w:bidi="fa-IR"/>
        </w:rPr>
        <w:t xml:space="preserve">روی الصدوق فی العیون عن محمد بن محمد بن الحسین البغدادی ، عن  محمد بن عنبسه عن دارم ونعیم بن صالح الطبری عن الرضا عن آبائه  علیهم‌السلام ، عن أمیرالمؤمنین علیه‌السلام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الضیف أن نمشی معه فتخرجه من حریمک إلی  الباب</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وفیه أیضاً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رجل أمیرالمؤمنین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 علی أن تضمن 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هنّ یا أمیرالمؤمنین؟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علیّ شیئاً من خارج ولا تدّخر  علی شیئاً فی البیت ، ولا تجحف بالعیال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 ، فأجابه أمیر المؤمنین علیه‌السلام</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5" w:name="__RefHeading___Toc678125_653776707"/>
      <w:bookmarkStart w:id="66" w:name="_Toc26"/>
      <w:bookmarkEnd w:id="65"/>
      <w:r>
        <w:rPr/>
        <w:t>20</w:t>
      </w:r>
      <w:r>
        <w:rPr>
          <w:rtl w:val="true"/>
        </w:rPr>
        <w:t xml:space="preserve"> </w:t>
      </w:r>
      <w:r>
        <w:rPr>
          <w:rtl w:val="true"/>
        </w:rPr>
        <w:t>ـ المداراة مع المخالفین</w:t>
      </w:r>
      <w:bookmarkEnd w:id="6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العیون فیما کتب الرضا علیه‌السلام للمأمون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قتل أحد  من الکفار والنصاب فی دار التقیة الا قاتل او ساعٍ فی الفساد وذلک اذا لم </w:t>
      </w:r>
      <w:bookmarkStart w:id="67" w:name="pg6420_60494"/>
    </w:p>
    <w:p>
      <w:pPr>
        <w:pStyle w:val="BookText"/>
        <w:rPr/>
      </w:pPr>
      <w:bookmarkEnd w:id="67"/>
      <w:r>
        <w:rPr>
          <w:rFonts w:ascii="IRNazanin" w:hAnsi="IRNazanin" w:eastAsia="IRNazanin"/>
          <w:color w:val="111111"/>
          <w:sz w:val="28"/>
          <w:sz w:val="28"/>
          <w:szCs w:val="28"/>
          <w:rtl w:val="true"/>
          <w:lang w:bidi="fa-IR"/>
        </w:rPr>
        <w:t>تخف علی نفسک وعلی اصحابک والتقیة فی الدار التقیة واجبة ولا حنث  علی من خلف تقیة یدفع بها ظلماً عن نفسه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وفی جامع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إسلام لمن لا ورع له ، ولا ایمان لمن لا تقیة له</w:t>
      </w:r>
      <w:r>
        <w:rPr>
          <w:rFonts w:eastAsia="IRNazanin" w:cs="IRNazanin"/>
          <w:color w:val="111111"/>
          <w:sz w:val="28"/>
          <w:szCs w:val="28"/>
          <w:rtl w:val="true"/>
          <w:lang w:bidi="fa-IR"/>
        </w:rPr>
        <w:t>.</w:t>
      </w:r>
      <w:r>
        <w:rPr>
          <w:rStyle w:val="FootnoteAnchor"/>
          <w:rtl w:val="true"/>
        </w:rPr>
        <w:footnoteReference w:id="44"/>
      </w:r>
    </w:p>
    <w:p>
      <w:pPr>
        <w:pStyle w:val="Heading2"/>
        <w:numPr>
          <w:ilvl w:val="1"/>
          <w:numId w:val="1"/>
        </w:numPr>
        <w:rPr/>
      </w:pPr>
      <w:bookmarkStart w:id="68" w:name="__RefHeading___Toc678127_653776707"/>
      <w:bookmarkStart w:id="69" w:name="_Toc27"/>
      <w:bookmarkEnd w:id="68"/>
      <w:r>
        <w:rPr>
          <w:rtl w:val="true"/>
        </w:rPr>
        <w:t xml:space="preserve">الباب الثانی </w:t>
      </w:r>
      <w:r>
        <w:rPr>
          <w:rtl w:val="true"/>
        </w:rPr>
        <w:t xml:space="preserve">: </w:t>
      </w:r>
      <w:r>
        <w:rPr>
          <w:rtl w:val="true"/>
        </w:rPr>
        <w:t>الأمور المحرمة والمنهیة فی آداب العشرة</w:t>
      </w:r>
      <w:bookmarkEnd w:id="69"/>
    </w:p>
    <w:p>
      <w:pPr>
        <w:pStyle w:val="Heading3"/>
        <w:numPr>
          <w:ilvl w:val="2"/>
          <w:numId w:val="1"/>
        </w:numPr>
        <w:rPr/>
      </w:pPr>
      <w:bookmarkStart w:id="70" w:name="__RefHeading___Toc678129_653776707"/>
      <w:bookmarkStart w:id="71" w:name="_Toc28"/>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أمّا المناهی الصادرة عن الإمام الرضا علیه‌السلام فی آداب العشرة مع  الإخوان فکثیرة أیضاً فقد ورد عنه النهی عن غیبة المؤمن أو التشاجر معه  أو البهتان علیه ، أو المکر به أو غشه وهجرانه ، أو إخافته وإهانته أو  الإستهزاء به إلی غیر ذلک کما سیوافیک فی هذا الباب</w:t>
      </w:r>
      <w:r>
        <w:rPr>
          <w:rFonts w:eastAsia="IRNazanin" w:cs="IRNazanin"/>
          <w:color w:val="111111"/>
          <w:sz w:val="28"/>
          <w:szCs w:val="28"/>
          <w:rtl w:val="true"/>
          <w:lang w:bidi="fa-IR"/>
        </w:rPr>
        <w:t>.</w:t>
      </w:r>
    </w:p>
    <w:p>
      <w:pPr>
        <w:pStyle w:val="Heading3"/>
        <w:numPr>
          <w:ilvl w:val="2"/>
          <w:numId w:val="1"/>
        </w:numPr>
        <w:rPr/>
      </w:pPr>
      <w:bookmarkStart w:id="72" w:name="__RefHeading___Toc678131_653776707"/>
      <w:bookmarkStart w:id="73" w:name="_Toc29"/>
      <w:bookmarkEnd w:id="72"/>
      <w:r>
        <w:rPr/>
        <w:t>1</w:t>
      </w:r>
      <w:r>
        <w:rPr>
          <w:rtl w:val="true"/>
        </w:rPr>
        <w:t xml:space="preserve"> </w:t>
      </w:r>
      <w:r>
        <w:rPr>
          <w:rtl w:val="true"/>
        </w:rPr>
        <w:t>ـ النهی عن غیبة المؤمن</w:t>
      </w:r>
      <w:bookmarkEnd w:id="73"/>
    </w:p>
    <w:p>
      <w:pPr>
        <w:pStyle w:val="BookText"/>
        <w:rPr/>
      </w:pPr>
      <w:r>
        <w:rPr>
          <w:rFonts w:ascii="IRNazanin" w:hAnsi="IRNazanin" w:eastAsia="IRNazanin"/>
          <w:color w:val="111111"/>
          <w:sz w:val="28"/>
          <w:sz w:val="28"/>
          <w:szCs w:val="28"/>
          <w:rtl w:val="true"/>
          <w:lang w:bidi="fa-IR"/>
        </w:rPr>
        <w:t xml:space="preserve">ورد النهی فی القرآن الکریم عن غیبة المؤمن 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ولایعتب  بعضکم بعضاً أیحب أحدکم أن یاکل لحم أخیه میتاً فکرهتموه</w:t>
      </w:r>
      <w:r>
        <w:rPr>
          <w:rStyle w:val="FootnoteAnchor"/>
          <w:rtl w:val="true"/>
        </w:rPr>
        <w:footnoteReference w:id="4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أیضاً فی الأحادیث الإسلامیة ما یؤکد هذا النهی منه ما ورد عن  الرضا علیه‌السلام کما فی الأمالی والعیون عن تمیم القریشی عن أحمد  الأنصاری ، عن الهروی ، عن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إلی نبی  من أنبیائه إذا أصبحت ، فأول شیء یستقبلک فکله ، والثانی فاکتمه  والثالث فاقبله والرابع فلا تؤیسه والخامس فاهرب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فلمّا أصبح مضی فاستقبله جبل أسود عظیم فوقف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ربی  عزوجل أن أکل هذا وبقی متحیراً ثم رجع إلی نفسه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جل  جلاله لا یأمرنی إلا بما اطیق فمشی إلیه لیاکله ، فلماّ دنا منه صَفّر حتی  أنتهی إلیه فوجده لقمه فأکلها ، فوجدها أطیب شیء أکله ، ثم مضی فوجد  طستاً من ذهب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أکتم هذا فحفرله وجعله فیه وألقی علیه  التراب ، ثم مضی فالتفت فاذا الطست 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ما أمرنی  ربی عز وجل ، فمضی فإذا هو بطیر وخلفه بازی فطاف الطیر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عز وجل أن أقبل هذا ففتح کمّه ، فدخل الطیر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البازی أخذت صیدی وأنا خلفه منذ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عز وجل  أمرنی أن لا أویس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من فخذه قطعة فألقاها إلیه ثم مضی ، فلمّا  مضی إذا هو بلحم میتة منتن مدود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أهرب من هذا  فهرب منه ورجع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 فی المنام کأنه قدقیل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فعلت ما أمرت به فهل تدری  ماذا کان؟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الجبل فهو الغضب ، إن العبد إذا غضب لم یرنفسه  وجهل قدره من عظم الغضب ، فإذا حفظ نفسه وعرف قدره ومسکن  غضبه کانت عاقبته کاللقمة الطیبة التی أکلتها ، وأمّا الطست فهو العمل  الصالح إذا کتمه العبد وأخفاه أبی الله عز وجل إلاّ أن یظهره لیزیّنه به مع  ما یدّخر له من ثواب الآخرة وأمّا الطیر فهو الرجل الذی یاتیک بنصیحة  فاقبله واقبل نصیحته ، وأّما البازی ،فهو الرجل الذی یاتیک فی حاجة  فلا تؤیسه وأمّا اللحم المنتن فهی الغیبة فاهرب منها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وفی معانی الأخبار عن ابن خالد عن الرضا عن أبیه عن الصادق صلوات  الله علیهم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وتعالی لیبغض البیت اللحم واللحم 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أصحابه یابن رسول الله إنا لنحب اللحم ولاتخلو بیوتنا  منه فکیف ذلک؟</w:t>
      </w:r>
    </w:p>
    <w:p>
      <w:pPr>
        <w:pStyle w:val="BookText"/>
        <w:rPr/>
      </w:pPr>
      <w:r>
        <w:rPr>
          <w:rFonts w:ascii="IRNazanin" w:hAnsi="IRNazanin" w:eastAsia="IRNazanin"/>
          <w:color w:val="111111"/>
          <w:sz w:val="28"/>
          <w:sz w:val="28"/>
          <w:szCs w:val="28"/>
          <w:rtl w:val="true"/>
          <w:lang w:bidi="fa-IR"/>
        </w:rPr>
        <w:t xml:space="preserve">فقال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 إنّما البیت اللحم  البیت الذی یؤکل فیه لحوم الناس بالغیبة ، وأمّا اللحم السمین فهو المتجبر  المتکبر المختال فی مشیته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وفی الخصال بسنده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یظلمهم وحدثهم فلم  یکذبهم ووعدهم فلم یخلفهم ، فهو مّمن کملت مروّته وظهرت عدالته و وجبت أخوته وحرّمت غیبته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وفی صحیفة الرضا عنه عن آبائه عن علی بن الحسین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 عن اعراض المسلمین أقال الله تعالی عترته یوم القیامة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وفیه أیضاً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والغیبة فإنها إدام الکلاب</w:t>
      </w:r>
      <w:r>
        <w:rPr>
          <w:rFonts w:eastAsia="IRNazanin" w:cs="IRNazanin"/>
          <w:color w:val="111111"/>
          <w:sz w:val="28"/>
          <w:szCs w:val="28"/>
          <w:rtl w:val="true"/>
          <w:lang w:bidi="fa-IR"/>
        </w:rPr>
        <w:t>.</w:t>
      </w:r>
      <w:r>
        <w:rPr>
          <w:rStyle w:val="FootnoteAnchor"/>
          <w:rtl w:val="true"/>
        </w:rPr>
        <w:footnoteReference w:id="5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ألقی جلباء الحیاء فلا  غیبة له</w:t>
      </w:r>
      <w:r>
        <w:rPr>
          <w:rFonts w:eastAsia="IRNazanin" w:cs="IRNazanin"/>
          <w:color w:val="111111"/>
          <w:sz w:val="28"/>
          <w:szCs w:val="28"/>
          <w:rtl w:val="true"/>
          <w:lang w:bidi="fa-IR"/>
        </w:rPr>
        <w:t>.</w:t>
      </w:r>
      <w:r>
        <w:rPr>
          <w:rStyle w:val="FootnoteAnchor"/>
          <w:rtl w:val="true"/>
        </w:rPr>
        <w:footnoteReference w:id="51"/>
      </w:r>
      <w:bookmarkStart w:id="74" w:name="pg6420_60497"/>
    </w:p>
    <w:p>
      <w:pPr>
        <w:pStyle w:val="Heading3"/>
        <w:numPr>
          <w:ilvl w:val="2"/>
          <w:numId w:val="1"/>
        </w:numPr>
        <w:rPr/>
      </w:pPr>
      <w:bookmarkStart w:id="75" w:name="__RefHeading___Toc678133_653776707"/>
      <w:bookmarkStart w:id="76" w:name="_Toc30"/>
      <w:bookmarkEnd w:id="74"/>
      <w:bookmarkEnd w:id="75"/>
      <w:r>
        <w:rPr/>
        <w:t>2</w:t>
      </w:r>
      <w:r>
        <w:rPr>
          <w:rtl w:val="true"/>
        </w:rPr>
        <w:t xml:space="preserve"> </w:t>
      </w:r>
      <w:r>
        <w:rPr>
          <w:rtl w:val="true"/>
        </w:rPr>
        <w:t>ـ التحرز من بهتان المؤمن</w:t>
      </w:r>
      <w:bookmarkEnd w:id="76"/>
    </w:p>
    <w:p>
      <w:pPr>
        <w:pStyle w:val="BookText"/>
        <w:rPr/>
      </w:pPr>
      <w:r>
        <w:rPr>
          <w:rFonts w:ascii="IRNazanin" w:hAnsi="IRNazanin" w:eastAsia="IRNazanin"/>
          <w:color w:val="111111"/>
          <w:sz w:val="28"/>
          <w:sz w:val="28"/>
          <w:szCs w:val="28"/>
          <w:rtl w:val="true"/>
          <w:lang w:bidi="fa-IR"/>
        </w:rPr>
        <w:t xml:space="preserve">وفی العیون عن الرضا علیه‌السلام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 مؤمناً أو مؤمنة أو قال  فیه ما لیس فیه أقامه الله تعالی یوم القیامة علی تلّ من نار حتی یخرج ممّا  قال فیه</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7" w:name="__RefHeading___Toc678135_653776707"/>
      <w:bookmarkStart w:id="78" w:name="_Toc31"/>
      <w:bookmarkEnd w:id="77"/>
      <w:r>
        <w:rPr/>
        <w:t>3</w:t>
      </w:r>
      <w:r>
        <w:rPr>
          <w:rtl w:val="true"/>
        </w:rPr>
        <w:t xml:space="preserve"> </w:t>
      </w:r>
      <w:r>
        <w:rPr>
          <w:rtl w:val="true"/>
        </w:rPr>
        <w:t>ـ النهی عن التشاجر مع الآخرین</w:t>
      </w:r>
      <w:bookmarkEnd w:id="78"/>
    </w:p>
    <w:p>
      <w:pPr>
        <w:pStyle w:val="BookText"/>
        <w:rPr/>
      </w:pPr>
      <w:r>
        <w:rPr>
          <w:rFonts w:ascii="IRNazanin" w:hAnsi="IRNazanin" w:eastAsia="IRNazanin"/>
          <w:color w:val="111111"/>
          <w:sz w:val="28"/>
          <w:sz w:val="28"/>
          <w:szCs w:val="28"/>
          <w:rtl w:val="true"/>
          <w:lang w:bidi="fa-IR"/>
        </w:rPr>
        <w:t xml:space="preserve">وفی آمالی عن جماعة عن أبی المفضل عن محمد بن حمد بن نعقل ، عن  محمد بن الحسن الوشاء ، عن أبیه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ومشاجرة الناس ، فإنها  تظهر الغرّة وتدفن العزّة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678137_653776707"/>
      <w:bookmarkStart w:id="80" w:name="_Toc32"/>
      <w:bookmarkEnd w:id="79"/>
      <w:r>
        <w:rPr/>
        <w:t>4</w:t>
      </w:r>
      <w:r>
        <w:rPr>
          <w:rtl w:val="true"/>
        </w:rPr>
        <w:t xml:space="preserve"> </w:t>
      </w:r>
      <w:r>
        <w:rPr>
          <w:rtl w:val="true"/>
        </w:rPr>
        <w:t>ـ عدم جواز حجب الأخ المؤمن</w:t>
      </w:r>
      <w:bookmarkEnd w:id="80"/>
    </w:p>
    <w:p>
      <w:pPr>
        <w:pStyle w:val="BookText"/>
        <w:rPr/>
      </w:pPr>
      <w:r>
        <w:rPr>
          <w:rFonts w:ascii="IRNazanin" w:hAnsi="IRNazanin" w:eastAsia="IRNazanin"/>
          <w:color w:val="111111"/>
          <w:sz w:val="28"/>
          <w:sz w:val="28"/>
          <w:szCs w:val="28"/>
          <w:rtl w:val="true"/>
          <w:lang w:bidi="fa-IR"/>
        </w:rPr>
        <w:t xml:space="preserve">وفی عدّة الداعی عن عبد المؤمن الأنصاری ، عن أبی الحسن  موسی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لأبیه وأمه ، ملعون  ملعون من اتهم أخاه ، ملعون ملعون من غش أخاه ، ملعون ملعون من لم  ینصح أخاه ، ملعون ملعون من احتجب عن أخیه ، ملعون ملعون من  اغتاب أخاه</w:t>
      </w:r>
      <w:r>
        <w:rPr>
          <w:rFonts w:eastAsia="IRNazanin" w:cs="IRNazanin"/>
          <w:color w:val="111111"/>
          <w:sz w:val="28"/>
          <w:szCs w:val="28"/>
          <w:rtl w:val="true"/>
          <w:lang w:bidi="fa-IR"/>
        </w:rPr>
        <w:t>.</w:t>
      </w:r>
      <w:r>
        <w:rPr>
          <w:rStyle w:val="FootnoteAnchor"/>
          <w:rtl w:val="true"/>
        </w:rPr>
        <w:footnoteReference w:id="5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فی الکافی عن علی بن محمد ، عن ابن أبی جمهور ، عن أحمد  بن الحسین ، عن أبیه ، عن إسماعیل بن محمد ، عن محمد بن سنان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الرضا علیه‌السلام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إنه کان فی زمن  بنی اسرائیل أربعة نفر من المؤمنین فأتی واحد منهم الثلاثة وهم مجتمعون  فی منزل أحدهم فی مناظرة بینهم فقرع الباب ، فخرج إلیه الغلام ، فقال إین  مولاک؟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فی البیت ، فرجع الرجل ودخل الغلام إلی  مولاه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الذی قرع الباب؟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فی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ولم یکترث ولم  یلم غلامه ولا اغتم أحد منهم لرجوعه عن الباب وأقبلوا فی حدیثهم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من الغد بکرّ إلیهم الرجل فأصابهم وقد خرجوا یریدون ضیعة  لبعضهم فسلّم علیهم وقال أنا معکم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ولم یعتذروا إلیه  وکان الرجل محتاجاً ضعیف الحال ، فلمّا کانوا فی بعض الطریق إذا غمامة  قد أظلّتهم فظنوا أنه مطر ، فبادروا ، فلمّا استوت الغمامة علی رؤوسهم  إذا مناد ینادی من جوف الغمامة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النار خذیهم وأنا جبرئیل رسول  الله فإذا نار من جوف الغمامة قد اختطفت الثلاثة نفر وبقی الرجل  مرعوباً یعجب بما نزل بالقوم ولا یدری ما السبب ، فرجع إلی المدینة  فلقی یوشع بن نون فأخبره الخبر وما أری وماسمع فقال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سخط علیهم بعد أن کان عنهم راضیا وذلک بفعلهم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فعلهم بی؟ فحدّثه یوشع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أجلهم فی حل وأعفو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قبل لنفعهم ، وأمّا الساعة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وعسی أن ینفعهم من بعد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یکون المراد به 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البرزخ أو القیامة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bookmarkStart w:id="81" w:name="pg6420_60499"/>
    </w:p>
    <w:p>
      <w:pPr>
        <w:pStyle w:val="Heading3"/>
        <w:numPr>
          <w:ilvl w:val="2"/>
          <w:numId w:val="1"/>
        </w:numPr>
        <w:rPr/>
      </w:pPr>
      <w:bookmarkStart w:id="82" w:name="__RefHeading___Toc678139_653776707"/>
      <w:bookmarkStart w:id="83" w:name="_Toc33"/>
      <w:bookmarkEnd w:id="81"/>
      <w:bookmarkEnd w:id="82"/>
      <w:r>
        <w:rPr/>
        <w:t>5</w:t>
      </w:r>
      <w:r>
        <w:rPr>
          <w:rtl w:val="true"/>
        </w:rPr>
        <w:t xml:space="preserve"> </w:t>
      </w:r>
      <w:r>
        <w:rPr>
          <w:rtl w:val="true"/>
        </w:rPr>
        <w:t>ـ عدم جواز إخافة المؤمن</w:t>
      </w:r>
      <w:bookmarkEnd w:id="83"/>
    </w:p>
    <w:p>
      <w:pPr>
        <w:pStyle w:val="BookText"/>
        <w:rPr/>
      </w:pPr>
      <w:r>
        <w:rPr>
          <w:rFonts w:ascii="IRNazanin" w:hAnsi="IRNazanin" w:eastAsia="IRNazanin"/>
          <w:color w:val="111111"/>
          <w:sz w:val="28"/>
          <w:sz w:val="28"/>
          <w:szCs w:val="28"/>
          <w:rtl w:val="true"/>
          <w:lang w:bidi="fa-IR"/>
        </w:rPr>
        <w:t>وفی العیون عن أحمد بن الحسین بن یوسف ، عن علی بن محمد بن  عنبسه ، عن بکر بن أحمد بن محمد بن إبراهیم عن فاطمة بنت الرضا ،  عن أبیها ، عن آبائه عن الصادق علیهم‌السلام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لمسلم أن یروع مسلماً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وفی صحیفة الرضا عنه علیه‌السلام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عن رسول الله صلی‌الله‌علیه‌وآله‌وسلم  کتابین کتاب الله عزّ وجل وکتاباً فی قراب سیفی ، قیل یا أمیرالمؤمنین  وما الکتاب الذی فی قراب سیفک؟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غیر قاتله أو ضرب غیر ضاربه فعلیه لعنة الله</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84" w:name="__RefHeading___Toc678141_653776707"/>
      <w:bookmarkStart w:id="85" w:name="_Toc34"/>
      <w:bookmarkEnd w:id="84"/>
      <w:r>
        <w:rPr/>
        <w:t>6</w:t>
      </w:r>
      <w:r>
        <w:rPr>
          <w:rtl w:val="true"/>
        </w:rPr>
        <w:t xml:space="preserve"> </w:t>
      </w:r>
      <w:r>
        <w:rPr>
          <w:rtl w:val="true"/>
        </w:rPr>
        <w:t>ـ عدم جواز هجران المؤمن</w:t>
      </w:r>
      <w:bookmarkEnd w:id="8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العیون أیضاً بالإسناد إلی دارم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لیلة من شهر رمضان یغّل المردة من الشیاطین  ویغفر فی کل لیلة سبعین ألفاً ، فإذا کان لیلة القدر غفر الله بمثل ما غفر  فی رجب وشعبان وشهر رمضان إلی ذلک الیوم رجل بینه وبین أخیه  شحناء فیقول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هؤلاء حتی یصطلحوا</w:t>
      </w:r>
      <w:r>
        <w:rPr>
          <w:rFonts w:eastAsia="IRNazanin" w:cs="IRNazanin"/>
          <w:color w:val="111111"/>
          <w:sz w:val="28"/>
          <w:szCs w:val="28"/>
          <w:rtl w:val="true"/>
          <w:lang w:bidi="fa-IR"/>
        </w:rPr>
        <w:t>.</w:t>
      </w:r>
      <w:r>
        <w:rPr>
          <w:rStyle w:val="FootnoteAnchor"/>
          <w:rtl w:val="true"/>
        </w:rPr>
        <w:footnoteReference w:id="58"/>
      </w:r>
      <w:bookmarkStart w:id="86" w:name="pg6420_60500"/>
    </w:p>
    <w:p>
      <w:pPr>
        <w:pStyle w:val="Heading3"/>
        <w:numPr>
          <w:ilvl w:val="2"/>
          <w:numId w:val="1"/>
        </w:numPr>
        <w:rPr/>
      </w:pPr>
      <w:bookmarkStart w:id="87" w:name="__RefHeading___Toc678143_653776707"/>
      <w:bookmarkStart w:id="88" w:name="_Toc35"/>
      <w:bookmarkEnd w:id="86"/>
      <w:bookmarkEnd w:id="87"/>
      <w:r>
        <w:rPr/>
        <w:t>7</w:t>
      </w:r>
      <w:r>
        <w:rPr>
          <w:rtl w:val="true"/>
        </w:rPr>
        <w:t xml:space="preserve"> </w:t>
      </w:r>
      <w:r>
        <w:rPr>
          <w:rtl w:val="true"/>
        </w:rPr>
        <w:t>ـ عدم جواز أهانة المؤمن أو الإستهزاء به</w:t>
      </w:r>
      <w:bookmarkEnd w:id="88"/>
    </w:p>
    <w:p>
      <w:pPr>
        <w:pStyle w:val="BookText"/>
        <w:rPr/>
      </w:pPr>
      <w:r>
        <w:rPr>
          <w:rFonts w:ascii="IRNazanin" w:hAnsi="IRNazanin" w:eastAsia="IRNazanin"/>
          <w:color w:val="111111"/>
          <w:sz w:val="28"/>
          <w:sz w:val="28"/>
          <w:szCs w:val="28"/>
          <w:rtl w:val="true"/>
          <w:lang w:bidi="fa-IR"/>
        </w:rPr>
        <w:t xml:space="preserve">وعن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مؤمناً أو حقّره لفقره وقلة ذات یده  شهره الله یوم القیامة ثم یفضحه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وعنه أیضاً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مؤمناً أو حقّره لفقره وقلة ذات یده شهره الله علی  جسر جهنم یوم القیامة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وفی العیون عن البیهقی عن الصولی عن محمد بن یحیی بن أحمد بن أبی  عباد عن عمّه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علیه‌السلام یوماً ینشد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لمن  هذا أعزّ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لعراقی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فیه أبو العتاهیة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اسمه ودع عنک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ولاتنابزوا  بالألقاب ، ولعلّ الرجل یکره هذا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قلت والعتاهیة هو الأحمق کما قال الجوهری عن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عتاهیة وهو الأحمق</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ولّما کان هذا اللقب من الألقاب الذمیمة نهی الإمام عن التفوه به حفظاً  علی کرامه الرجل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اسم أبی العتاهیة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القاسم بن سوید بن کیسان</w:t>
      </w:r>
      <w:r>
        <w:rPr>
          <w:rFonts w:eastAsia="IRNazanin" w:cs="IRNazanin"/>
          <w:color w:val="111111"/>
          <w:sz w:val="28"/>
          <w:szCs w:val="28"/>
          <w:rtl w:val="true"/>
          <w:lang w:bidi="fa-IR"/>
        </w:rPr>
        <w:t>.</w:t>
      </w:r>
      <w:r>
        <w:rPr>
          <w:rStyle w:val="FootnoteAnchor"/>
          <w:rtl w:val="true"/>
        </w:rPr>
        <w:footnoteReference w:id="63"/>
      </w:r>
      <w:bookmarkStart w:id="89" w:name="pg6420_60501"/>
    </w:p>
    <w:p>
      <w:pPr>
        <w:pStyle w:val="BookText"/>
        <w:rPr/>
      </w:pPr>
      <w:bookmarkEnd w:id="89"/>
      <w:r>
        <w:rPr>
          <w:rFonts w:ascii="IRNazanin" w:hAnsi="IRNazanin" w:eastAsia="IRNazanin"/>
          <w:color w:val="111111"/>
          <w:sz w:val="28"/>
          <w:sz w:val="28"/>
          <w:szCs w:val="28"/>
          <w:rtl w:val="true"/>
          <w:lang w:bidi="fa-IR"/>
        </w:rPr>
        <w:t xml:space="preserve">وأمّا الأبیات التی أنشدها الإمام علی بن موسی الرضا علیه‌السلام  کما یلی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کلّنا نأمل مداً فی الأجل</w:t>
      </w:r>
    </w:p>
    <w:p>
      <w:pPr>
        <w:pStyle w:val="BookText"/>
        <w:rPr/>
      </w:pPr>
      <w:r>
        <w:rPr>
          <w:rFonts w:ascii="IRNazanin" w:hAnsi="IRNazanin" w:eastAsia="IRNazanin"/>
          <w:color w:val="111111"/>
          <w:sz w:val="28"/>
          <w:sz w:val="28"/>
          <w:szCs w:val="28"/>
          <w:rtl w:val="true"/>
          <w:lang w:bidi="fa-IR"/>
        </w:rPr>
        <w:t>والمنایا هنّ آفات الأمل</w:t>
      </w:r>
    </w:p>
    <w:p>
      <w:pPr>
        <w:pStyle w:val="BookText"/>
        <w:rPr/>
      </w:pPr>
      <w:r>
        <w:rPr>
          <w:rFonts w:ascii="IRNazanin" w:hAnsi="IRNazanin" w:eastAsia="IRNazanin"/>
          <w:color w:val="111111"/>
          <w:sz w:val="28"/>
          <w:sz w:val="28"/>
          <w:szCs w:val="28"/>
          <w:rtl w:val="true"/>
          <w:lang w:bidi="fa-IR"/>
        </w:rPr>
        <w:t>لا تغرنک أباطیل المنی</w:t>
      </w:r>
    </w:p>
    <w:p>
      <w:pPr>
        <w:pStyle w:val="BookText"/>
        <w:rPr/>
      </w:pPr>
      <w:r>
        <w:rPr>
          <w:rFonts w:ascii="IRNazanin" w:hAnsi="IRNazanin" w:eastAsia="IRNazanin"/>
          <w:color w:val="111111"/>
          <w:sz w:val="28"/>
          <w:sz w:val="28"/>
          <w:szCs w:val="28"/>
          <w:rtl w:val="true"/>
          <w:lang w:bidi="fa-IR"/>
        </w:rPr>
        <w:t>والزم القصد ودع عنک العلل</w:t>
      </w:r>
    </w:p>
    <w:p>
      <w:pPr>
        <w:pStyle w:val="BookText"/>
        <w:rPr/>
      </w:pPr>
      <w:r>
        <w:rPr>
          <w:rFonts w:ascii="IRNazanin" w:hAnsi="IRNazanin" w:eastAsia="IRNazanin"/>
          <w:color w:val="111111"/>
          <w:sz w:val="28"/>
          <w:sz w:val="28"/>
          <w:szCs w:val="28"/>
          <w:rtl w:val="true"/>
          <w:lang w:bidi="fa-IR"/>
        </w:rPr>
        <w:t>إنما الدنیا کظلّ زائل</w:t>
      </w:r>
    </w:p>
    <w:p>
      <w:pPr>
        <w:pStyle w:val="BookText"/>
        <w:rPr/>
      </w:pPr>
      <w:r>
        <w:rPr>
          <w:rFonts w:ascii="IRNazanin" w:hAnsi="IRNazanin" w:eastAsia="IRNazanin"/>
          <w:color w:val="111111"/>
          <w:sz w:val="28"/>
          <w:sz w:val="28"/>
          <w:szCs w:val="28"/>
          <w:rtl w:val="true"/>
          <w:lang w:bidi="fa-IR"/>
        </w:rPr>
        <w:t>حل فیه راکب ثم رحل</w:t>
      </w:r>
      <w:r>
        <w:rPr>
          <w:rStyle w:val="FootnoteAnchor"/>
          <w:rtl w:val="true"/>
        </w:rPr>
        <w:footnoteReference w:id="64"/>
      </w:r>
    </w:p>
    <w:p>
      <w:pPr>
        <w:pStyle w:val="Heading3"/>
        <w:numPr>
          <w:ilvl w:val="2"/>
          <w:numId w:val="1"/>
        </w:numPr>
        <w:rPr/>
      </w:pPr>
      <w:bookmarkStart w:id="90" w:name="__RefHeading___Toc678145_653776707"/>
      <w:bookmarkStart w:id="91" w:name="_Toc36"/>
      <w:bookmarkEnd w:id="90"/>
      <w:r>
        <w:rPr/>
        <w:t>8</w:t>
      </w:r>
      <w:r>
        <w:rPr>
          <w:rtl w:val="true"/>
        </w:rPr>
        <w:t xml:space="preserve"> </w:t>
      </w:r>
      <w:r>
        <w:rPr>
          <w:rtl w:val="true"/>
        </w:rPr>
        <w:t>ـ حرمة المکر والخدیعة مع المؤمنین</w:t>
      </w:r>
      <w:bookmarkEnd w:id="91"/>
    </w:p>
    <w:p>
      <w:pPr>
        <w:pStyle w:val="BookText"/>
        <w:rPr/>
      </w:pPr>
      <w:r>
        <w:rPr>
          <w:rFonts w:ascii="IRNazanin" w:hAnsi="IRNazanin" w:eastAsia="IRNazanin"/>
          <w:color w:val="111111"/>
          <w:sz w:val="28"/>
          <w:sz w:val="28"/>
          <w:szCs w:val="28"/>
          <w:rtl w:val="true"/>
          <w:lang w:bidi="fa-IR"/>
        </w:rPr>
        <w:t xml:space="preserve">روی الصدوق فی العیون والأمالی عن ماجیلویه عن علی عن أبیه عن  ابن معید ، عن ابن خالد 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مسلماً فلا یمکر ولا  یخدع ، فإنّی سمعت جبرئیل علیه‌السلام یقول إن الکر والخدیعة فی النار  ثم قال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منّا من غش مسلماً ولیس منا من خان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الروح الأمین عزل علیّ من عند رب  العالمین ، فقال یا محمّد علیک بحسن الخلق فإن سوء الخلق یذهب بخیر  الدنیا والآخرة وإن أشبهکم بی أحسنکم خلقاً</w:t>
      </w:r>
      <w:r>
        <w:rPr>
          <w:rFonts w:eastAsia="IRNazanin" w:cs="IRNazanin"/>
          <w:color w:val="111111"/>
          <w:sz w:val="28"/>
          <w:szCs w:val="28"/>
          <w:rtl w:val="true"/>
          <w:lang w:bidi="fa-IR"/>
        </w:rPr>
        <w:t>.</w:t>
      </w:r>
      <w:r>
        <w:rPr>
          <w:rStyle w:val="FootnoteAnchor"/>
          <w:rtl w:val="true"/>
        </w:rPr>
        <w:footnoteReference w:id="6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غش مسلماً أو ضره أو ماکره</w:t>
      </w:r>
      <w:r>
        <w:rPr>
          <w:rFonts w:eastAsia="IRNazanin" w:cs="IRNazanin"/>
          <w:color w:val="111111"/>
          <w:sz w:val="28"/>
          <w:szCs w:val="28"/>
          <w:rtl w:val="true"/>
          <w:lang w:bidi="fa-IR"/>
        </w:rPr>
        <w:t>.</w:t>
      </w:r>
      <w:r>
        <w:rPr>
          <w:rStyle w:val="FootnoteAnchor"/>
          <w:rtl w:val="true"/>
        </w:rPr>
        <w:footnoteReference w:id="66"/>
      </w:r>
      <w:bookmarkStart w:id="92" w:name="pg6420_60502"/>
    </w:p>
    <w:p>
      <w:pPr>
        <w:pStyle w:val="Heading3"/>
        <w:numPr>
          <w:ilvl w:val="2"/>
          <w:numId w:val="1"/>
        </w:numPr>
        <w:rPr/>
      </w:pPr>
      <w:bookmarkStart w:id="93" w:name="__RefHeading___Toc678147_653776707"/>
      <w:bookmarkStart w:id="94" w:name="_Toc37"/>
      <w:bookmarkEnd w:id="92"/>
      <w:bookmarkEnd w:id="93"/>
      <w:r>
        <w:rPr/>
        <w:t>9</w:t>
      </w:r>
      <w:r>
        <w:rPr>
          <w:rtl w:val="true"/>
        </w:rPr>
        <w:t xml:space="preserve"> </w:t>
      </w:r>
      <w:r>
        <w:rPr>
          <w:rtl w:val="true"/>
        </w:rPr>
        <w:t>ـ النهی عن الغمز واللمز</w:t>
      </w:r>
      <w:bookmarkEnd w:id="94"/>
    </w:p>
    <w:p>
      <w:pPr>
        <w:pStyle w:val="BookText"/>
        <w:rPr/>
      </w:pPr>
      <w:r>
        <w:rPr>
          <w:rFonts w:ascii="IRNazanin" w:hAnsi="IRNazanin" w:eastAsia="IRNazanin"/>
          <w:color w:val="111111"/>
          <w:sz w:val="28"/>
          <w:sz w:val="28"/>
          <w:szCs w:val="28"/>
          <w:rtl w:val="true"/>
          <w:lang w:bidi="fa-IR"/>
        </w:rPr>
        <w:t xml:space="preserve">وفی صحیفة الرضا علیه‌السلام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موسی بن عمران علیه‌السلام سأل ربّه ورفع  یدیه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أین ذهبت أوذیت فأوحی الله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موسی إن  فی عسکرک غمازاً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دلّنی علیه ، فأوحی الله تعالی إلیه  إنّی أبغض الغمّاز فکیف أغمز</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95" w:name="__RefHeading___Toc678149_653776707"/>
      <w:bookmarkStart w:id="96" w:name="_Toc38"/>
      <w:bookmarkEnd w:id="95"/>
      <w:r>
        <w:rPr/>
        <w:t>10</w:t>
      </w:r>
      <w:r>
        <w:rPr>
          <w:rtl w:val="true"/>
        </w:rPr>
        <w:t xml:space="preserve"> </w:t>
      </w:r>
      <w:r>
        <w:rPr>
          <w:rtl w:val="true"/>
        </w:rPr>
        <w:t>ـ النهی عن ظلم الآخرین</w:t>
      </w:r>
      <w:bookmarkEnd w:id="96"/>
    </w:p>
    <w:p>
      <w:pPr>
        <w:pStyle w:val="BookText"/>
        <w:rPr/>
      </w:pPr>
      <w:r>
        <w:rPr>
          <w:rFonts w:ascii="IRNazanin" w:hAnsi="IRNazanin" w:eastAsia="IRNazanin"/>
          <w:color w:val="111111"/>
          <w:sz w:val="28"/>
          <w:sz w:val="28"/>
          <w:szCs w:val="28"/>
          <w:rtl w:val="true"/>
          <w:lang w:bidi="fa-IR"/>
        </w:rPr>
        <w:t xml:space="preserve">وفی صحیفة الرضا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والظلم فإنه یخرب قلوبکم</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97" w:name="__RefHeading___Toc678151_653776707"/>
      <w:bookmarkStart w:id="98" w:name="_Toc39"/>
      <w:bookmarkEnd w:id="97"/>
      <w:r>
        <w:rPr/>
        <w:t>11</w:t>
      </w:r>
      <w:r>
        <w:rPr>
          <w:rtl w:val="true"/>
        </w:rPr>
        <w:t xml:space="preserve"> </w:t>
      </w:r>
      <w:r>
        <w:rPr>
          <w:rtl w:val="true"/>
        </w:rPr>
        <w:t>ـ التحرز عن مواضع التهمة</w:t>
      </w:r>
      <w:bookmarkEnd w:id="9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من عرض نفسه للتهمة فلا یلومنّ من أساء الظن به</w:t>
      </w:r>
      <w:r>
        <w:rPr>
          <w:rFonts w:eastAsia="IRNazanin" w:cs="IRNazanin"/>
          <w:color w:val="111111"/>
          <w:sz w:val="28"/>
          <w:szCs w:val="28"/>
          <w:rtl w:val="true"/>
          <w:lang w:bidi="fa-IR"/>
        </w:rPr>
        <w:t>.</w:t>
      </w:r>
      <w:r>
        <w:rPr>
          <w:rStyle w:val="FootnoteAnchor"/>
          <w:rtl w:val="true"/>
        </w:rPr>
        <w:footnoteReference w:id="69"/>
      </w:r>
      <w:bookmarkStart w:id="99" w:name="pg6420_60503"/>
    </w:p>
    <w:p>
      <w:pPr>
        <w:pStyle w:val="Heading3"/>
        <w:numPr>
          <w:ilvl w:val="2"/>
          <w:numId w:val="1"/>
        </w:numPr>
        <w:rPr/>
      </w:pPr>
      <w:bookmarkStart w:id="100" w:name="__RefHeading___Toc678153_653776707"/>
      <w:bookmarkStart w:id="101" w:name="_Toc40"/>
      <w:bookmarkEnd w:id="99"/>
      <w:bookmarkEnd w:id="100"/>
      <w:r>
        <w:rPr/>
        <w:t>12</w:t>
      </w:r>
      <w:r>
        <w:rPr>
          <w:rtl w:val="true"/>
        </w:rPr>
        <w:t xml:space="preserve"> </w:t>
      </w:r>
      <w:r>
        <w:rPr>
          <w:rtl w:val="true"/>
        </w:rPr>
        <w:t>ـ النهی عن رد الکرامة</w:t>
      </w:r>
      <w:bookmarkEnd w:id="101"/>
    </w:p>
    <w:p>
      <w:pPr>
        <w:pStyle w:val="BookText"/>
        <w:rPr/>
      </w:pPr>
      <w:r>
        <w:rPr>
          <w:rFonts w:ascii="IRNazanin" w:hAnsi="IRNazanin" w:eastAsia="IRNazanin"/>
          <w:color w:val="111111"/>
          <w:sz w:val="28"/>
          <w:sz w:val="28"/>
          <w:szCs w:val="28"/>
          <w:rtl w:val="true"/>
          <w:lang w:bidi="fa-IR"/>
        </w:rPr>
        <w:t xml:space="preserve">إن من أخلاق المؤمن یقبل هدیة الأخ المؤمن ولایردّ ذلک وقد عبّر  فی بعض الأحادیث بأنه لا یرد الکرامة إلّا حمار ، وفسّر ذلک بالطیب أو  توسعة المجلس والدعوة علی الجلوس علی الوسادة فمن رد ذلک فقد ردّ  الکرامة وعلیه أن نراعی هذه الصفة الحسنة إلّا أن یمنعنا مانع کالمرض أو  لمحاذیر أخری وإلیک بعض الأحادیث المرویة فی هذا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معانی الأخبار ، عن سعد عن ابن عیسی عن البجلی ،  عن ابن اسباط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أمیرالمؤمنین علیه‌السلام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یأبی الکرامة إلاّ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مامعنی ذلک؟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التوسعة فی المجلس والطیب یعرض علیه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عن ابن الولید ، عن  الصفّار ، عن ابن عیسی ، عن ابن فضال ، عن علی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لایأبی الکرامة إلاّ 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الکرامة؟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الطیب وما یکرم به الرجل  الرجل</w:t>
      </w:r>
      <w:r>
        <w:rPr>
          <w:rFonts w:eastAsia="IRNazanin" w:cs="IRNazanin"/>
          <w:color w:val="111111"/>
          <w:sz w:val="28"/>
          <w:szCs w:val="28"/>
          <w:rtl w:val="true"/>
          <w:lang w:bidi="fa-IR"/>
        </w:rPr>
        <w:t>.</w:t>
      </w:r>
      <w:r>
        <w:rPr>
          <w:rStyle w:val="FootnoteAnchor"/>
          <w:rtl w:val="true"/>
        </w:rPr>
        <w:footnoteReference w:id="7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أیضاً عن سعد عن البرقی عن علی بن میّسر ، عن أبی زید المکی  قال سمعت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یأبی الکرامة إلا حماراً یعنی  بذلک فی الطیب والتوسعة فی المجلس والوسادة</w:t>
      </w:r>
      <w:r>
        <w:rPr>
          <w:rFonts w:eastAsia="IRNazanin" w:cs="IRNazanin"/>
          <w:color w:val="111111"/>
          <w:sz w:val="28"/>
          <w:szCs w:val="28"/>
          <w:rtl w:val="true"/>
          <w:lang w:bidi="fa-IR"/>
        </w:rPr>
        <w:t>.</w:t>
      </w:r>
      <w:r>
        <w:rPr>
          <w:rStyle w:val="FootnoteAnchor"/>
          <w:rtl w:val="true"/>
        </w:rPr>
        <w:footnoteReference w:id="7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الامام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الاعمال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عیون أخبار الرضا</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صحیفة الرضا </w:t>
      </w:r>
      <w:r>
        <w:rPr>
          <w:rFonts w:eastAsia="IRNazanin" w:cs="IRNazanin"/>
          <w:b w:val="false"/>
          <w:bCs w:val="false"/>
          <w:i w:val="false"/>
          <w:iCs w:val="false"/>
          <w:color w:val="333333"/>
          <w:sz w:val="20"/>
          <w:szCs w:val="20"/>
        </w:rPr>
        <w:t>67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507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نفس المصدر</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13/153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أمالی الطوسی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أمالی الطوسی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 العقول ص </w:t>
      </w:r>
      <w:r>
        <w:rPr>
          <w:rFonts w:eastAsia="IRNazanin" w:cs="IRNazanin"/>
          <w:b w:val="false"/>
          <w:bCs w:val="false"/>
          <w:i w:val="false"/>
          <w:iCs w:val="false"/>
          <w:color w:val="333333"/>
          <w:sz w:val="20"/>
          <w:szCs w:val="20"/>
        </w:rPr>
        <w:t>470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الجن الآیة </w:t>
      </w:r>
      <w:r>
        <w:rPr>
          <w:rFonts w:eastAsia="IRNazanin" w:cs="IRNazanin"/>
          <w:b w:val="false"/>
          <w:bCs w:val="false"/>
          <w:i w:val="false"/>
          <w:iCs w:val="false"/>
          <w:color w:val="333333"/>
          <w:sz w:val="20"/>
          <w:szCs w:val="20"/>
        </w:rPr>
        <w:t>26</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الاعراف آلایة </w:t>
      </w:r>
      <w:r>
        <w:rPr>
          <w:rFonts w:eastAsia="IRNazanin" w:cs="IRNazanin"/>
          <w:b w:val="false"/>
          <w:bCs w:val="false"/>
          <w:i w:val="false"/>
          <w:iCs w:val="false"/>
          <w:color w:val="333333"/>
          <w:sz w:val="20"/>
          <w:szCs w:val="20"/>
        </w:rPr>
        <w:t>199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البقرة ص الآیة </w:t>
      </w:r>
      <w:r>
        <w:rPr>
          <w:rFonts w:eastAsia="IRNazanin" w:cs="IRNazanin"/>
          <w:b w:val="false"/>
          <w:bCs w:val="false"/>
          <w:i w:val="false"/>
          <w:iCs w:val="false"/>
          <w:color w:val="333333"/>
          <w:sz w:val="20"/>
          <w:szCs w:val="20"/>
        </w:rPr>
        <w:t>177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تحف العقول ص </w:t>
      </w:r>
      <w:r>
        <w:rPr>
          <w:rFonts w:eastAsia="IRNazanin" w:cs="IRNazanin"/>
          <w:b w:val="false"/>
          <w:bCs w:val="false"/>
          <w:i w:val="false"/>
          <w:iCs w:val="false"/>
          <w:color w:val="333333"/>
          <w:sz w:val="20"/>
          <w:szCs w:val="20"/>
        </w:rPr>
        <w:t>465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الشعیة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441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المحاسن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المحاسن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ثواب الأعمال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سورة الحجرات الآیة </w:t>
      </w:r>
      <w:r>
        <w:rPr>
          <w:rFonts w:eastAsia="IRNazanin" w:cs="IRNazanin"/>
          <w:b w:val="false"/>
          <w:bCs w:val="false"/>
          <w:i w:val="false"/>
          <w:iCs w:val="false"/>
          <w:color w:val="333333"/>
          <w:sz w:val="20"/>
          <w:szCs w:val="20"/>
        </w:rPr>
        <w:t>12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الأخبار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2</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صحیفة الرضا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نفس المصدر</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عدة الداعی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الامام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2239</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مجمع البحرین ص </w:t>
      </w:r>
      <w:r>
        <w:rPr>
          <w:rFonts w:eastAsia="IRNazanin" w:cs="IRNazanin"/>
          <w:b w:val="false"/>
          <w:bCs w:val="false"/>
          <w:i w:val="false"/>
          <w:iCs w:val="false"/>
          <w:color w:val="333333"/>
          <w:sz w:val="20"/>
          <w:szCs w:val="20"/>
        </w:rPr>
        <w:t>524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صحیفة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نفس المصدر ص </w:t>
      </w:r>
      <w:r>
        <w:rPr>
          <w:rFonts w:eastAsia="IRNazanin" w:cs="IRNazanin"/>
          <w:b w:val="false"/>
          <w:bCs w:val="false"/>
          <w:i w:val="false"/>
          <w:iCs w:val="false"/>
          <w:color w:val="333333"/>
          <w:sz w:val="20"/>
          <w:szCs w:val="20"/>
        </w:rPr>
        <w:t>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معانی الاخبار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image" Target="media/image2.jpeg"/><Relationship Id="rId33" Type="http://schemas.openxmlformats.org/officeDocument/2006/relationships/image" Target="media/image2.jpeg"/><Relationship Id="rId34" Type="http://schemas.openxmlformats.org/officeDocument/2006/relationships/footer" Target="footer27.xml"/><Relationship Id="rId35" Type="http://schemas.openxmlformats.org/officeDocument/2006/relationships/footnotes" Target="footnotes.xml"/><Relationship Id="rId36" Type="http://schemas.openxmlformats.org/officeDocument/2006/relationships/numbering" Target="numbering.xml"/><Relationship Id="rId37" Type="http://schemas.openxmlformats.org/officeDocument/2006/relationships/fontTable" Target="fontTable.xml"/><Relationship Id="rId38" Type="http://schemas.openxmlformats.org/officeDocument/2006/relationships/settings" Target="settings.xml"/><Relationship Id="rId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Pages>
  <Words>5346</Words>
  <Characters>20324</Characters>
  <CharactersWithSpaces>25629</CharactersWithSpaces>
  <Paragraphs>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2026-08-19T22:58:27Z</dcterms:created>
  <dc:creator>ghaemiyeh.com</dc:creator>
  <dc:description/>
  <dc:language>en-US</dc:language>
  <cp:lastModifiedBy/>
  <dcterms:modified xsi:type="dcterms:W3CDTF">2026-08-20T02:28:28Z</dcterms:modified>
  <cp:revision>1</cp:revision>
  <dc:subject/>
  <dc:title>آداب العشره فی احادیث الامام علی بن موسی الرضا علیه السلام</dc:title>
</cp:coreProperties>
</file>

<file path=docProps/custom.xml><?xml version="1.0" encoding="utf-8"?>
<Properties xmlns="http://schemas.openxmlformats.org/officeDocument/2006/custom-properties" xmlns:vt="http://schemas.openxmlformats.org/officeDocument/2006/docPropsVTypes"/>
</file>