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آیة الوضوء و اشکالیة الدلالة بین القراءة و النحو الماثور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2054_23700411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72056_23700411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72058_237004111">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972060_237004111">
            <w:r>
              <w:rPr>
                <w:webHidden/>
                <w:rStyle w:val="IndexLink"/>
                <w:rtl w:val="true"/>
              </w:rPr>
              <w:t>القُرّاء وآیة الوضوء</w:t>
            </w:r>
            <w:r>
              <w:rPr>
                <w:rStyle w:val="IndexLink"/>
                <w:rtl w:val="true"/>
              </w:rPr>
              <w:tab/>
            </w:r>
            <w:r>
              <w:rPr>
                <w:rStyle w:val="IndexLink"/>
              </w:rPr>
              <w:t>43</w:t>
            </w:r>
          </w:hyperlink>
        </w:p>
        <w:p>
          <w:pPr>
            <w:pStyle w:val="Contents3"/>
            <w:tabs>
              <w:tab w:val="clear" w:pos="8459"/>
              <w:tab w:val="right" w:pos="9026" w:leader="dot"/>
            </w:tabs>
            <w:rPr/>
          </w:pPr>
          <w:hyperlink w:anchor="__RefHeading___Toc972062_237004111">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972064_237004111">
            <w:r>
              <w:rPr>
                <w:webHidden/>
                <w:rStyle w:val="IndexLink"/>
                <w:rtl w:val="true"/>
              </w:rPr>
              <w:t>القرّاء بالجرِّ</w:t>
            </w:r>
            <w:r>
              <w:rPr>
                <w:rStyle w:val="IndexLink"/>
                <w:rtl w:val="true"/>
              </w:rPr>
              <w:tab/>
            </w:r>
            <w:r>
              <w:rPr>
                <w:rStyle w:val="IndexLink"/>
              </w:rPr>
              <w:t>49</w:t>
            </w:r>
          </w:hyperlink>
        </w:p>
        <w:p>
          <w:pPr>
            <w:pStyle w:val="Contents4"/>
            <w:tabs>
              <w:tab w:val="clear" w:pos="8176"/>
              <w:tab w:val="right" w:pos="9026" w:leader="dot"/>
            </w:tabs>
            <w:rPr/>
          </w:pPr>
          <w:hyperlink w:anchor="__RefHeading___Toc972066_237004111">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972068_237004111">
            <w:r>
              <w:rPr>
                <w:webHidden/>
                <w:rStyle w:val="IndexLink"/>
              </w:rPr>
              <w:t>1</w:t>
            </w:r>
            <w:r>
              <w:rPr>
                <w:rStyle w:val="IndexLink"/>
                <w:rtl w:val="true"/>
              </w:rPr>
              <w:t xml:space="preserve"> - </w:t>
            </w:r>
            <w:r>
              <w:rPr>
                <w:rStyle w:val="IndexLink"/>
                <w:rtl w:val="true"/>
              </w:rPr>
              <w:t>ابن کثیر المکّیّ</w:t>
            </w:r>
            <w:r>
              <w:rPr>
                <w:rStyle w:val="IndexLink"/>
                <w:rtl w:val="true"/>
              </w:rPr>
              <w:t>:</w:t>
              <w:tab/>
            </w:r>
            <w:r>
              <w:rPr>
                <w:rStyle w:val="IndexLink"/>
              </w:rPr>
              <w:t>49</w:t>
            </w:r>
          </w:hyperlink>
        </w:p>
        <w:p>
          <w:pPr>
            <w:pStyle w:val="Contents4"/>
            <w:tabs>
              <w:tab w:val="clear" w:pos="8176"/>
              <w:tab w:val="right" w:pos="9026" w:leader="dot"/>
            </w:tabs>
            <w:rPr/>
          </w:pPr>
          <w:hyperlink w:anchor="__RefHeading___Toc972070_237004111">
            <w:r>
              <w:rPr>
                <w:webHidden/>
                <w:rStyle w:val="IndexLink"/>
              </w:rPr>
              <w:t>2</w:t>
            </w:r>
            <w:r>
              <w:rPr>
                <w:rStyle w:val="IndexLink"/>
                <w:rtl w:val="true"/>
              </w:rPr>
              <w:t xml:space="preserve"> - </w:t>
            </w:r>
            <w:r>
              <w:rPr>
                <w:rStyle w:val="IndexLink"/>
                <w:rtl w:val="true"/>
              </w:rPr>
              <w:t>أبو جعفر المدنیّ</w:t>
            </w:r>
            <w:r>
              <w:rPr>
                <w:rStyle w:val="IndexLink"/>
                <w:rtl w:val="true"/>
              </w:rPr>
              <w:t>:</w:t>
              <w:tab/>
            </w:r>
            <w:r>
              <w:rPr>
                <w:rStyle w:val="IndexLink"/>
              </w:rPr>
              <w:t>51</w:t>
            </w:r>
          </w:hyperlink>
        </w:p>
        <w:p>
          <w:pPr>
            <w:pStyle w:val="Contents4"/>
            <w:tabs>
              <w:tab w:val="clear" w:pos="8176"/>
              <w:tab w:val="right" w:pos="9026" w:leader="dot"/>
            </w:tabs>
            <w:rPr/>
          </w:pPr>
          <w:hyperlink w:anchor="__RefHeading___Toc972072_237004111">
            <w:r>
              <w:rPr>
                <w:webHidden/>
                <w:rStyle w:val="IndexLink"/>
              </w:rPr>
              <w:t>3</w:t>
            </w:r>
            <w:r>
              <w:rPr>
                <w:rStyle w:val="IndexLink"/>
                <w:rtl w:val="true"/>
              </w:rPr>
              <w:t xml:space="preserve"> - </w:t>
            </w:r>
            <w:r>
              <w:rPr>
                <w:rStyle w:val="IndexLink"/>
                <w:rtl w:val="true"/>
              </w:rPr>
              <w:t>أبو عمرو بن العَلاء</w:t>
            </w:r>
            <w:r>
              <w:rPr>
                <w:rStyle w:val="IndexLink"/>
                <w:rtl w:val="true"/>
              </w:rPr>
              <w:t>:</w:t>
              <w:tab/>
            </w:r>
            <w:r>
              <w:rPr>
                <w:rStyle w:val="IndexLink"/>
              </w:rPr>
              <w:t>52</w:t>
            </w:r>
          </w:hyperlink>
        </w:p>
        <w:p>
          <w:pPr>
            <w:pStyle w:val="Contents4"/>
            <w:tabs>
              <w:tab w:val="clear" w:pos="8176"/>
              <w:tab w:val="right" w:pos="9026" w:leader="dot"/>
            </w:tabs>
            <w:rPr/>
          </w:pPr>
          <w:hyperlink w:anchor="__RefHeading___Toc972074_237004111">
            <w:r>
              <w:rPr>
                <w:webHidden/>
                <w:rStyle w:val="IndexLink"/>
              </w:rPr>
              <w:t>4</w:t>
            </w:r>
            <w:r>
              <w:rPr>
                <w:rStyle w:val="IndexLink"/>
                <w:rtl w:val="true"/>
              </w:rPr>
              <w:t xml:space="preserve"> - </w:t>
            </w:r>
            <w:r>
              <w:rPr>
                <w:rStyle w:val="IndexLink"/>
                <w:rtl w:val="true"/>
              </w:rPr>
              <w:t>حمزة</w:t>
            </w:r>
            <w:r>
              <w:rPr>
                <w:rStyle w:val="IndexLink"/>
                <w:rtl w:val="true"/>
              </w:rPr>
              <w:t>:</w:t>
              <w:tab/>
            </w:r>
            <w:r>
              <w:rPr>
                <w:rStyle w:val="IndexLink"/>
              </w:rPr>
              <w:t>53</w:t>
            </w:r>
          </w:hyperlink>
        </w:p>
        <w:p>
          <w:pPr>
            <w:pStyle w:val="Contents4"/>
            <w:tabs>
              <w:tab w:val="clear" w:pos="8176"/>
              <w:tab w:val="right" w:pos="9026" w:leader="dot"/>
            </w:tabs>
            <w:rPr/>
          </w:pPr>
          <w:hyperlink w:anchor="__RefHeading___Toc972076_237004111">
            <w:r>
              <w:rPr>
                <w:webHidden/>
                <w:rStyle w:val="IndexLink"/>
              </w:rPr>
              <w:t>5</w:t>
            </w:r>
            <w:r>
              <w:rPr>
                <w:rStyle w:val="IndexLink"/>
                <w:rtl w:val="true"/>
              </w:rPr>
              <w:t xml:space="preserve"> - </w:t>
            </w:r>
            <w:r>
              <w:rPr>
                <w:rStyle w:val="IndexLink"/>
                <w:rtl w:val="true"/>
              </w:rPr>
              <w:t xml:space="preserve">عاصم بن أبی النجود </w:t>
            </w:r>
            <w:r>
              <w:rPr>
                <w:rStyle w:val="IndexLink"/>
                <w:rtl w:val="true"/>
              </w:rPr>
              <w:t xml:space="preserve">= </w:t>
            </w:r>
            <w:r>
              <w:rPr>
                <w:rStyle w:val="IndexLink"/>
                <w:rtl w:val="true"/>
              </w:rPr>
              <w:t>بروایة أبی بکر</w:t>
            </w:r>
            <w:r>
              <w:rPr>
                <w:rStyle w:val="IndexLink"/>
                <w:rtl w:val="true"/>
              </w:rPr>
              <w:t>:</w:t>
              <w:tab/>
            </w:r>
            <w:r>
              <w:rPr>
                <w:rStyle w:val="IndexLink"/>
              </w:rPr>
              <w:t>55</w:t>
            </w:r>
          </w:hyperlink>
        </w:p>
        <w:p>
          <w:pPr>
            <w:pStyle w:val="Contents3"/>
            <w:tabs>
              <w:tab w:val="clear" w:pos="8459"/>
              <w:tab w:val="right" w:pos="9026" w:leader="dot"/>
            </w:tabs>
            <w:rPr/>
          </w:pPr>
          <w:hyperlink w:anchor="__RefHeading___Toc972078_237004111">
            <w:r>
              <w:rPr>
                <w:webHidden/>
                <w:rStyle w:val="IndexLink"/>
                <w:rtl w:val="true"/>
              </w:rPr>
              <w:t>آلْقرّاءِ بالنَّصْب</w:t>
            </w:r>
            <w:r>
              <w:rPr>
                <w:rStyle w:val="IndexLink"/>
                <w:rtl w:val="true"/>
              </w:rPr>
              <w:tab/>
            </w:r>
            <w:r>
              <w:rPr>
                <w:rStyle w:val="IndexLink"/>
              </w:rPr>
              <w:t>57</w:t>
            </w:r>
          </w:hyperlink>
        </w:p>
        <w:p>
          <w:pPr>
            <w:pStyle w:val="Contents4"/>
            <w:tabs>
              <w:tab w:val="clear" w:pos="8176"/>
              <w:tab w:val="right" w:pos="9026" w:leader="dot"/>
            </w:tabs>
            <w:rPr/>
          </w:pPr>
          <w:hyperlink w:anchor="__RefHeading___Toc972080_237004111">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972082_237004111">
            <w:r>
              <w:rPr>
                <w:webHidden/>
                <w:rStyle w:val="IndexLink"/>
              </w:rPr>
              <w:t>1</w:t>
            </w:r>
            <w:r>
              <w:rPr>
                <w:rStyle w:val="IndexLink"/>
                <w:rtl w:val="true"/>
              </w:rPr>
              <w:t xml:space="preserve"> - </w:t>
            </w:r>
            <w:r>
              <w:rPr>
                <w:rStyle w:val="IndexLink"/>
                <w:rtl w:val="true"/>
              </w:rPr>
              <w:t>ابن عامر</w:t>
            </w:r>
            <w:r>
              <w:rPr>
                <w:rStyle w:val="IndexLink"/>
                <w:rtl w:val="true"/>
              </w:rPr>
              <w:t>:</w:t>
              <w:tab/>
            </w:r>
            <w:r>
              <w:rPr>
                <w:rStyle w:val="IndexLink"/>
              </w:rPr>
              <w:t>57</w:t>
            </w:r>
          </w:hyperlink>
        </w:p>
        <w:p>
          <w:pPr>
            <w:pStyle w:val="Contents4"/>
            <w:tabs>
              <w:tab w:val="clear" w:pos="8176"/>
              <w:tab w:val="right" w:pos="9026" w:leader="dot"/>
            </w:tabs>
            <w:rPr/>
          </w:pPr>
          <w:hyperlink w:anchor="__RefHeading___Toc972084_237004111">
            <w:r>
              <w:rPr>
                <w:webHidden/>
                <w:rStyle w:val="IndexLink"/>
              </w:rPr>
              <w:t>2</w:t>
            </w:r>
            <w:r>
              <w:rPr>
                <w:rStyle w:val="IndexLink"/>
                <w:rtl w:val="true"/>
              </w:rPr>
              <w:t xml:space="preserve"> - </w:t>
            </w:r>
            <w:r>
              <w:rPr>
                <w:rStyle w:val="IndexLink"/>
                <w:rtl w:val="true"/>
              </w:rPr>
              <w:t>عاصم بروایة حفص</w:t>
            </w:r>
            <w:r>
              <w:rPr>
                <w:rStyle w:val="IndexLink"/>
                <w:rtl w:val="true"/>
              </w:rPr>
              <w:t>:</w:t>
              <w:tab/>
            </w:r>
            <w:r>
              <w:rPr>
                <w:rStyle w:val="IndexLink"/>
              </w:rPr>
              <w:t>59</w:t>
            </w:r>
          </w:hyperlink>
        </w:p>
        <w:p>
          <w:pPr>
            <w:pStyle w:val="Contents4"/>
            <w:tabs>
              <w:tab w:val="clear" w:pos="8176"/>
              <w:tab w:val="right" w:pos="9026" w:leader="dot"/>
            </w:tabs>
            <w:rPr/>
          </w:pPr>
          <w:hyperlink w:anchor="__RefHeading___Toc972086_237004111">
            <w:r>
              <w:rPr>
                <w:webHidden/>
                <w:rStyle w:val="IndexLink"/>
              </w:rPr>
              <w:t>3</w:t>
            </w:r>
            <w:r>
              <w:rPr>
                <w:rStyle w:val="IndexLink"/>
                <w:rtl w:val="true"/>
              </w:rPr>
              <w:t xml:space="preserve"> - </w:t>
            </w:r>
            <w:r>
              <w:rPr>
                <w:rStyle w:val="IndexLink"/>
                <w:rtl w:val="true"/>
              </w:rPr>
              <w:t>نافع المدنیّ</w:t>
            </w:r>
            <w:r>
              <w:rPr>
                <w:rStyle w:val="IndexLink"/>
                <w:rtl w:val="true"/>
              </w:rPr>
              <w:t>:</w:t>
              <w:tab/>
            </w:r>
            <w:r>
              <w:rPr>
                <w:rStyle w:val="IndexLink"/>
              </w:rPr>
              <w:t>60</w:t>
            </w:r>
          </w:hyperlink>
        </w:p>
        <w:p>
          <w:pPr>
            <w:pStyle w:val="Contents4"/>
            <w:tabs>
              <w:tab w:val="clear" w:pos="8176"/>
              <w:tab w:val="right" w:pos="9026" w:leader="dot"/>
            </w:tabs>
            <w:rPr/>
          </w:pPr>
          <w:hyperlink w:anchor="__RefHeading___Toc972088_237004111">
            <w:r>
              <w:rPr>
                <w:webHidden/>
                <w:rStyle w:val="IndexLink"/>
              </w:rPr>
              <w:t>4</w:t>
            </w:r>
            <w:r>
              <w:rPr>
                <w:rStyle w:val="IndexLink"/>
                <w:rtl w:val="true"/>
              </w:rPr>
              <w:t xml:space="preserve"> - </w:t>
            </w:r>
            <w:r>
              <w:rPr>
                <w:rStyle w:val="IndexLink"/>
                <w:rtl w:val="true"/>
              </w:rPr>
              <w:t>الکسائیّ</w:t>
            </w:r>
            <w:r>
              <w:rPr>
                <w:rStyle w:val="IndexLink"/>
                <w:rtl w:val="true"/>
              </w:rPr>
              <w:t>:</w:t>
              <w:tab/>
            </w:r>
            <w:r>
              <w:rPr>
                <w:rStyle w:val="IndexLink"/>
              </w:rPr>
              <w:t>62</w:t>
            </w:r>
          </w:hyperlink>
        </w:p>
        <w:p>
          <w:pPr>
            <w:pStyle w:val="Contents4"/>
            <w:tabs>
              <w:tab w:val="clear" w:pos="8176"/>
              <w:tab w:val="right" w:pos="9026" w:leader="dot"/>
            </w:tabs>
            <w:rPr/>
          </w:pPr>
          <w:hyperlink w:anchor="__RefHeading___Toc972090_237004111">
            <w:r>
              <w:rPr>
                <w:webHidden/>
                <w:rStyle w:val="IndexLink"/>
              </w:rPr>
              <w:t>5</w:t>
            </w:r>
            <w:r>
              <w:rPr>
                <w:rStyle w:val="IndexLink"/>
                <w:rtl w:val="true"/>
              </w:rPr>
              <w:t xml:space="preserve"> - </w:t>
            </w:r>
            <w:r>
              <w:rPr>
                <w:rStyle w:val="IndexLink"/>
                <w:rtl w:val="true"/>
              </w:rPr>
              <w:t>الحضرمیّ</w:t>
            </w:r>
            <w:r>
              <w:rPr>
                <w:rStyle w:val="IndexLink"/>
                <w:rtl w:val="true"/>
              </w:rPr>
              <w:t>:</w:t>
              <w:tab/>
            </w:r>
            <w:r>
              <w:rPr>
                <w:rStyle w:val="IndexLink"/>
              </w:rPr>
              <w:t>63</w:t>
            </w:r>
          </w:hyperlink>
        </w:p>
        <w:p>
          <w:pPr>
            <w:pStyle w:val="Contents4"/>
            <w:tabs>
              <w:tab w:val="clear" w:pos="8176"/>
              <w:tab w:val="right" w:pos="9026" w:leader="dot"/>
            </w:tabs>
            <w:rPr/>
          </w:pPr>
          <w:hyperlink w:anchor="__RefHeading___Toc972092_237004111">
            <w:r>
              <w:rPr>
                <w:webHidden/>
                <w:rStyle w:val="IndexLink"/>
              </w:rPr>
              <w:t>6</w:t>
            </w:r>
            <w:r>
              <w:rPr>
                <w:rStyle w:val="IndexLink"/>
                <w:rtl w:val="true"/>
              </w:rPr>
              <w:t xml:space="preserve"> - </w:t>
            </w:r>
            <w:r>
              <w:rPr>
                <w:rStyle w:val="IndexLink"/>
                <w:rtl w:val="true"/>
              </w:rPr>
              <w:t>الأعمش</w:t>
            </w:r>
            <w:r>
              <w:rPr>
                <w:rStyle w:val="IndexLink"/>
                <w:rtl w:val="true"/>
              </w:rPr>
              <w:tab/>
            </w:r>
            <w:r>
              <w:rPr>
                <w:rStyle w:val="IndexLink"/>
              </w:rPr>
              <w:t>65</w:t>
            </w:r>
          </w:hyperlink>
        </w:p>
        <w:p>
          <w:pPr>
            <w:pStyle w:val="Contents2"/>
            <w:tabs>
              <w:tab w:val="clear" w:pos="8743"/>
              <w:tab w:val="right" w:pos="9026" w:leader="dot"/>
            </w:tabs>
            <w:rPr/>
          </w:pPr>
          <w:hyperlink w:anchor="__RefHeading___Toc972094_237004111">
            <w:r>
              <w:rPr>
                <w:webHidden/>
                <w:rStyle w:val="IndexLink"/>
                <w:rtl w:val="true"/>
              </w:rPr>
              <w:t>الفَصْلُ الأوّلُ</w:t>
            </w:r>
            <w:r>
              <w:rPr>
                <w:rStyle w:val="IndexLink"/>
                <w:rtl w:val="true"/>
              </w:rPr>
              <w:t xml:space="preserve">: </w:t>
            </w:r>
            <w:r>
              <w:rPr>
                <w:rStyle w:val="IndexLink"/>
                <w:rtl w:val="true"/>
              </w:rPr>
              <w:t>فِیْ قِراءَةِ الْجَرِّ</w:t>
            </w:r>
            <w:r>
              <w:rPr>
                <w:rStyle w:val="IndexLink"/>
                <w:rtl w:val="true"/>
              </w:rPr>
              <w:tab/>
            </w:r>
            <w:r>
              <w:rPr>
                <w:rStyle w:val="IndexLink"/>
              </w:rPr>
              <w:t>67</w:t>
            </w:r>
          </w:hyperlink>
        </w:p>
        <w:p>
          <w:pPr>
            <w:pStyle w:val="Contents3"/>
            <w:tabs>
              <w:tab w:val="clear" w:pos="8459"/>
              <w:tab w:val="right" w:pos="9026" w:leader="dot"/>
            </w:tabs>
            <w:rPr/>
          </w:pPr>
          <w:hyperlink w:anchor="__RefHeading___Toc972096_237004111">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972098_237004111">
            <w:r>
              <w:rPr>
                <w:webHidden/>
                <w:rStyle w:val="IndexLink"/>
              </w:rPr>
              <w:t>1</w:t>
            </w:r>
            <w:r>
              <w:rPr>
                <w:rStyle w:val="IndexLink"/>
                <w:rtl w:val="true"/>
              </w:rPr>
              <w:t xml:space="preserve"> - </w:t>
            </w:r>
            <w:r>
              <w:rPr>
                <w:rStyle w:val="IndexLink"/>
                <w:rtl w:val="true"/>
              </w:rPr>
              <w:t xml:space="preserve">الضحّاک </w:t>
            </w:r>
            <w:r>
              <w:rPr>
                <w:rStyle w:val="IndexLink"/>
                <w:rtl w:val="true"/>
              </w:rPr>
              <w:t>(</w:t>
            </w:r>
            <w:r>
              <w:rPr>
                <w:rStyle w:val="IndexLink"/>
                <w:rtl w:val="true"/>
              </w:rPr>
              <w:t xml:space="preserve">ت </w:t>
            </w:r>
            <w:r>
              <w:rPr>
                <w:rStyle w:val="IndexLink"/>
              </w:rPr>
              <w:t>105</w:t>
            </w:r>
            <w:r>
              <w:rPr>
                <w:rStyle w:val="IndexLink"/>
                <w:rtl w:val="true"/>
              </w:rPr>
              <w:t xml:space="preserve"> </w:t>
            </w:r>
            <w:r>
              <w:rPr>
                <w:rStyle w:val="IndexLink"/>
                <w:rtl w:val="true"/>
              </w:rPr>
              <w:t xml:space="preserve">ه </w:t>
            </w:r>
            <w:r>
              <w:rPr>
                <w:rStyle w:val="IndexLink"/>
                <w:rtl w:val="true"/>
              </w:rPr>
              <w:t>)</w:t>
              <w:tab/>
            </w:r>
            <w:r>
              <w:rPr>
                <w:rStyle w:val="IndexLink"/>
              </w:rPr>
              <w:t>69</w:t>
            </w:r>
          </w:hyperlink>
        </w:p>
        <w:p>
          <w:pPr>
            <w:pStyle w:val="Contents3"/>
            <w:tabs>
              <w:tab w:val="clear" w:pos="8459"/>
              <w:tab w:val="right" w:pos="9026" w:leader="dot"/>
            </w:tabs>
            <w:rPr/>
          </w:pPr>
          <w:hyperlink w:anchor="__RefHeading___Toc972100_237004111">
            <w:r>
              <w:rPr>
                <w:webHidden/>
                <w:rStyle w:val="IndexLink"/>
              </w:rPr>
              <w:t>2</w:t>
            </w:r>
            <w:r>
              <w:rPr>
                <w:rStyle w:val="IndexLink"/>
                <w:rtl w:val="true"/>
              </w:rPr>
              <w:t xml:space="preserve"> - </w:t>
            </w:r>
            <w:r>
              <w:rPr>
                <w:rStyle w:val="IndexLink"/>
                <w:rtl w:val="true"/>
              </w:rPr>
              <w:t xml:space="preserve">الحسن البصریّ </w:t>
            </w:r>
            <w:r>
              <w:rPr>
                <w:rStyle w:val="IndexLink"/>
                <w:rtl w:val="true"/>
              </w:rPr>
              <w:t>(</w:t>
            </w:r>
            <w:r>
              <w:rPr>
                <w:rStyle w:val="IndexLink"/>
                <w:rtl w:val="true"/>
              </w:rPr>
              <w:t xml:space="preserve">ت </w:t>
            </w:r>
            <w:r>
              <w:rPr>
                <w:rStyle w:val="IndexLink"/>
              </w:rPr>
              <w:t>110</w:t>
            </w:r>
            <w:r>
              <w:rPr>
                <w:rStyle w:val="IndexLink"/>
                <w:rtl w:val="true"/>
              </w:rPr>
              <w:t xml:space="preserve"> </w:t>
            </w:r>
            <w:r>
              <w:rPr>
                <w:rStyle w:val="IndexLink"/>
                <w:rtl w:val="true"/>
              </w:rPr>
              <w:t xml:space="preserve">ه </w:t>
            </w:r>
            <w:r>
              <w:rPr>
                <w:rStyle w:val="IndexLink"/>
                <w:rtl w:val="true"/>
              </w:rPr>
              <w:t>)</w:t>
              <w:tab/>
            </w:r>
            <w:r>
              <w:rPr>
                <w:rStyle w:val="IndexLink"/>
              </w:rPr>
              <w:t>69</w:t>
            </w:r>
          </w:hyperlink>
        </w:p>
        <w:p>
          <w:pPr>
            <w:pStyle w:val="Contents3"/>
            <w:tabs>
              <w:tab w:val="clear" w:pos="8459"/>
              <w:tab w:val="right" w:pos="9026" w:leader="dot"/>
            </w:tabs>
            <w:rPr/>
          </w:pPr>
          <w:hyperlink w:anchor="__RefHeading___Toc972102_237004111">
            <w:r>
              <w:rPr>
                <w:webHidden/>
                <w:rStyle w:val="IndexLink"/>
              </w:rPr>
              <w:t>3</w:t>
            </w:r>
            <w:r>
              <w:rPr>
                <w:rStyle w:val="IndexLink"/>
                <w:rtl w:val="true"/>
              </w:rPr>
              <w:t xml:space="preserve"> - </w:t>
            </w:r>
            <w:r>
              <w:rPr>
                <w:rStyle w:val="IndexLink"/>
                <w:rtl w:val="true"/>
              </w:rPr>
              <w:t xml:space="preserve">الشافعیّ </w:t>
            </w:r>
            <w:r>
              <w:rPr>
                <w:rStyle w:val="IndexLink"/>
                <w:rtl w:val="true"/>
              </w:rPr>
              <w:t>(</w:t>
            </w:r>
            <w:r>
              <w:rPr>
                <w:rStyle w:val="IndexLink"/>
                <w:rtl w:val="true"/>
              </w:rPr>
              <w:t xml:space="preserve">ت </w:t>
            </w:r>
            <w:r>
              <w:rPr>
                <w:rStyle w:val="IndexLink"/>
              </w:rPr>
              <w:t>204</w:t>
            </w:r>
            <w:r>
              <w:rPr>
                <w:rStyle w:val="IndexLink"/>
                <w:rtl w:val="true"/>
              </w:rPr>
              <w:t xml:space="preserve"> </w:t>
            </w:r>
            <w:r>
              <w:rPr>
                <w:rStyle w:val="IndexLink"/>
                <w:rtl w:val="true"/>
              </w:rPr>
              <w:t xml:space="preserve">ه </w:t>
            </w:r>
            <w:r>
              <w:rPr>
                <w:rStyle w:val="IndexLink"/>
                <w:rtl w:val="true"/>
              </w:rPr>
              <w:t>)</w:t>
              <w:tab/>
            </w:r>
            <w:r>
              <w:rPr>
                <w:rStyle w:val="IndexLink"/>
              </w:rPr>
              <w:t>70</w:t>
            </w:r>
          </w:hyperlink>
        </w:p>
        <w:p>
          <w:pPr>
            <w:pStyle w:val="Contents3"/>
            <w:tabs>
              <w:tab w:val="clear" w:pos="8459"/>
              <w:tab w:val="right" w:pos="9026" w:leader="dot"/>
            </w:tabs>
            <w:rPr/>
          </w:pPr>
          <w:hyperlink w:anchor="__RefHeading___Toc972104_237004111">
            <w:r>
              <w:rPr>
                <w:webHidden/>
                <w:rStyle w:val="IndexLink"/>
              </w:rPr>
              <w:t>4</w:t>
            </w:r>
            <w:r>
              <w:rPr>
                <w:rStyle w:val="IndexLink"/>
                <w:rtl w:val="true"/>
              </w:rPr>
              <w:t xml:space="preserve"> - </w:t>
            </w:r>
            <w:r>
              <w:rPr>
                <w:rStyle w:val="IndexLink"/>
                <w:rtl w:val="true"/>
              </w:rPr>
              <w:t xml:space="preserve">أبو زکریّا الفرّاء </w:t>
            </w:r>
            <w:r>
              <w:rPr>
                <w:rStyle w:val="IndexLink"/>
                <w:rtl w:val="true"/>
              </w:rPr>
              <w:t>(</w:t>
            </w:r>
            <w:r>
              <w:rPr>
                <w:rStyle w:val="IndexLink"/>
                <w:rtl w:val="true"/>
              </w:rPr>
              <w:t xml:space="preserve">ت </w:t>
            </w:r>
            <w:r>
              <w:rPr>
                <w:rStyle w:val="IndexLink"/>
              </w:rPr>
              <w:t>207</w:t>
            </w:r>
            <w:r>
              <w:rPr>
                <w:rStyle w:val="IndexLink"/>
                <w:rtl w:val="true"/>
              </w:rPr>
              <w:t xml:space="preserve"> </w:t>
            </w:r>
            <w:r>
              <w:rPr>
                <w:rStyle w:val="IndexLink"/>
                <w:rtl w:val="true"/>
              </w:rPr>
              <w:t xml:space="preserve">ه </w:t>
            </w:r>
            <w:r>
              <w:rPr>
                <w:rStyle w:val="IndexLink"/>
                <w:rtl w:val="true"/>
              </w:rPr>
              <w:t>)</w:t>
              <w:tab/>
            </w:r>
            <w:r>
              <w:rPr>
                <w:rStyle w:val="IndexLink"/>
              </w:rPr>
              <w:t>71</w:t>
            </w:r>
          </w:hyperlink>
        </w:p>
        <w:p>
          <w:pPr>
            <w:pStyle w:val="Contents3"/>
            <w:tabs>
              <w:tab w:val="clear" w:pos="8459"/>
              <w:tab w:val="right" w:pos="9026" w:leader="dot"/>
            </w:tabs>
            <w:rPr/>
          </w:pPr>
          <w:hyperlink w:anchor="__RefHeading___Toc972106_237004111">
            <w:r>
              <w:rPr>
                <w:webHidden/>
                <w:rStyle w:val="IndexLink"/>
              </w:rPr>
              <w:t>5</w:t>
            </w:r>
            <w:r>
              <w:rPr>
                <w:rStyle w:val="IndexLink"/>
                <w:rtl w:val="true"/>
              </w:rPr>
              <w:t xml:space="preserve"> - </w:t>
            </w:r>
            <w:r>
              <w:rPr>
                <w:rStyle w:val="IndexLink"/>
                <w:rtl w:val="true"/>
              </w:rPr>
              <w:t xml:space="preserve">أبو عبیدة معمر بن المثنّی </w:t>
            </w:r>
            <w:r>
              <w:rPr>
                <w:rStyle w:val="IndexLink"/>
                <w:rtl w:val="true"/>
              </w:rPr>
              <w:t>(</w:t>
            </w:r>
            <w:r>
              <w:rPr>
                <w:rStyle w:val="IndexLink"/>
                <w:rtl w:val="true"/>
              </w:rPr>
              <w:t xml:space="preserve">ت </w:t>
            </w:r>
            <w:r>
              <w:rPr>
                <w:rStyle w:val="IndexLink"/>
              </w:rPr>
              <w:t>210</w:t>
            </w:r>
            <w:r>
              <w:rPr>
                <w:rStyle w:val="IndexLink"/>
                <w:rtl w:val="true"/>
              </w:rPr>
              <w:t xml:space="preserve"> </w:t>
            </w:r>
            <w:r>
              <w:rPr>
                <w:rStyle w:val="IndexLink"/>
                <w:rtl w:val="true"/>
              </w:rPr>
              <w:t xml:space="preserve">ه </w:t>
            </w:r>
            <w:r>
              <w:rPr>
                <w:rStyle w:val="IndexLink"/>
                <w:rtl w:val="true"/>
              </w:rPr>
              <w:t>)</w:t>
              <w:tab/>
            </w:r>
            <w:r>
              <w:rPr>
                <w:rStyle w:val="IndexLink"/>
              </w:rPr>
              <w:t>72</w:t>
            </w:r>
          </w:hyperlink>
        </w:p>
        <w:p>
          <w:pPr>
            <w:pStyle w:val="Contents3"/>
            <w:tabs>
              <w:tab w:val="clear" w:pos="8459"/>
              <w:tab w:val="right" w:pos="9026" w:leader="dot"/>
            </w:tabs>
            <w:rPr/>
          </w:pPr>
          <w:hyperlink w:anchor="__RefHeading___Toc972108_237004111">
            <w:r>
              <w:rPr>
                <w:webHidden/>
                <w:rStyle w:val="IndexLink"/>
              </w:rPr>
              <w:t>6</w:t>
            </w:r>
            <w:r>
              <w:rPr>
                <w:rStyle w:val="IndexLink"/>
                <w:rtl w:val="true"/>
              </w:rPr>
              <w:t xml:space="preserve"> - </w:t>
            </w:r>
            <w:r>
              <w:rPr>
                <w:rStyle w:val="IndexLink"/>
                <w:rtl w:val="true"/>
              </w:rPr>
              <w:t xml:space="preserve">الأخفش الاوسط البلخیّ سعید بن مسعدة المجاشعیّ </w:t>
            </w:r>
            <w:r>
              <w:rPr>
                <w:rStyle w:val="IndexLink"/>
                <w:rtl w:val="true"/>
              </w:rPr>
              <w:t>(</w:t>
            </w:r>
            <w:r>
              <w:rPr>
                <w:rStyle w:val="IndexLink"/>
                <w:rtl w:val="true"/>
              </w:rPr>
              <w:t xml:space="preserve">ت </w:t>
            </w:r>
            <w:r>
              <w:rPr>
                <w:rStyle w:val="IndexLink"/>
              </w:rPr>
              <w:t>215</w:t>
            </w:r>
            <w:r>
              <w:rPr>
                <w:rStyle w:val="IndexLink"/>
                <w:rtl w:val="true"/>
              </w:rPr>
              <w:t xml:space="preserve"> </w:t>
            </w:r>
            <w:r>
              <w:rPr>
                <w:rStyle w:val="IndexLink"/>
                <w:rtl w:val="true"/>
              </w:rPr>
              <w:t xml:space="preserve">ه </w:t>
            </w:r>
            <w:r>
              <w:rPr>
                <w:rStyle w:val="IndexLink"/>
                <w:rtl w:val="true"/>
              </w:rPr>
              <w:t>)</w:t>
              <w:tab/>
            </w:r>
            <w:r>
              <w:rPr>
                <w:rStyle w:val="IndexLink"/>
              </w:rPr>
              <w:t>73</w:t>
            </w:r>
          </w:hyperlink>
        </w:p>
        <w:p>
          <w:pPr>
            <w:pStyle w:val="Contents3"/>
            <w:tabs>
              <w:tab w:val="clear" w:pos="8459"/>
              <w:tab w:val="right" w:pos="9026" w:leader="dot"/>
            </w:tabs>
            <w:rPr/>
          </w:pPr>
          <w:hyperlink w:anchor="__RefHeading___Toc972110_237004111">
            <w:r>
              <w:rPr>
                <w:webHidden/>
                <w:rStyle w:val="IndexLink"/>
              </w:rPr>
              <w:t>7</w:t>
            </w:r>
            <w:r>
              <w:rPr>
                <w:rStyle w:val="IndexLink"/>
                <w:rtl w:val="true"/>
              </w:rPr>
              <w:t xml:space="preserve"> - </w:t>
            </w:r>
            <w:r>
              <w:rPr>
                <w:rStyle w:val="IndexLink"/>
                <w:rtl w:val="true"/>
              </w:rPr>
              <w:t xml:space="preserve">المحاسبیّ </w:t>
            </w:r>
            <w:r>
              <w:rPr>
                <w:rStyle w:val="IndexLink"/>
                <w:rtl w:val="true"/>
              </w:rPr>
              <w:t>(</w:t>
            </w:r>
            <w:r>
              <w:rPr>
                <w:rStyle w:val="IndexLink"/>
                <w:rtl w:val="true"/>
              </w:rPr>
              <w:t xml:space="preserve">ت </w:t>
            </w:r>
            <w:r>
              <w:rPr>
                <w:rStyle w:val="IndexLink"/>
              </w:rPr>
              <w:t>243</w:t>
            </w:r>
            <w:r>
              <w:rPr>
                <w:rStyle w:val="IndexLink"/>
                <w:rtl w:val="true"/>
              </w:rPr>
              <w:t xml:space="preserve"> </w:t>
            </w:r>
            <w:r>
              <w:rPr>
                <w:rStyle w:val="IndexLink"/>
                <w:rtl w:val="true"/>
              </w:rPr>
              <w:t xml:space="preserve">ه </w:t>
            </w:r>
            <w:r>
              <w:rPr>
                <w:rStyle w:val="IndexLink"/>
                <w:rtl w:val="true"/>
              </w:rPr>
              <w:t>)</w:t>
              <w:tab/>
            </w:r>
            <w:r>
              <w:rPr>
                <w:rStyle w:val="IndexLink"/>
              </w:rPr>
              <w:t>78</w:t>
            </w:r>
          </w:hyperlink>
        </w:p>
        <w:p>
          <w:pPr>
            <w:pStyle w:val="Contents3"/>
            <w:tabs>
              <w:tab w:val="clear" w:pos="8459"/>
              <w:tab w:val="right" w:pos="9026" w:leader="dot"/>
            </w:tabs>
            <w:rPr/>
          </w:pPr>
          <w:hyperlink w:anchor="__RefHeading___Toc972112_237004111">
            <w:r>
              <w:rPr>
                <w:webHidden/>
                <w:rStyle w:val="IndexLink"/>
              </w:rPr>
              <w:t>8</w:t>
            </w:r>
            <w:r>
              <w:rPr>
                <w:rStyle w:val="IndexLink"/>
                <w:rtl w:val="true"/>
              </w:rPr>
              <w:t xml:space="preserve"> - </w:t>
            </w:r>
            <w:r>
              <w:rPr>
                <w:rStyle w:val="IndexLink"/>
                <w:rtl w:val="true"/>
              </w:rPr>
              <w:t xml:space="preserve">هود بن الُمحکّم الهوّاریّ </w:t>
            </w:r>
            <w:r>
              <w:rPr>
                <w:rStyle w:val="IndexLink"/>
                <w:rtl w:val="true"/>
              </w:rPr>
              <w:t>(</w:t>
            </w:r>
            <w:r>
              <w:rPr>
                <w:rStyle w:val="IndexLink"/>
                <w:rtl w:val="true"/>
              </w:rPr>
              <w:t>من علماء القرن الثالث الهجری</w:t>
            </w:r>
            <w:r>
              <w:rPr>
                <w:rStyle w:val="IndexLink"/>
                <w:rtl w:val="true"/>
              </w:rPr>
              <w:t>)</w:t>
              <w:tab/>
            </w:r>
            <w:r>
              <w:rPr>
                <w:rStyle w:val="IndexLink"/>
              </w:rPr>
              <w:t>79</w:t>
            </w:r>
          </w:hyperlink>
        </w:p>
        <w:p>
          <w:pPr>
            <w:pStyle w:val="Contents3"/>
            <w:tabs>
              <w:tab w:val="clear" w:pos="8459"/>
              <w:tab w:val="right" w:pos="9026" w:leader="dot"/>
            </w:tabs>
            <w:rPr/>
          </w:pPr>
          <w:hyperlink w:anchor="__RefHeading___Toc972114_237004111">
            <w:r>
              <w:rPr>
                <w:webHidden/>
                <w:rStyle w:val="IndexLink"/>
              </w:rPr>
              <w:t>9</w:t>
            </w:r>
            <w:r>
              <w:rPr>
                <w:rStyle w:val="IndexLink"/>
                <w:rtl w:val="true"/>
              </w:rPr>
              <w:t xml:space="preserve"> - </w:t>
            </w:r>
            <w:r>
              <w:rPr>
                <w:rStyle w:val="IndexLink"/>
                <w:rtl w:val="true"/>
              </w:rPr>
              <w:t>محمّد بن یوسف الوهبیّ الإباضیّ المصعبیّ</w:t>
            </w:r>
            <w:r>
              <w:rPr>
                <w:rStyle w:val="IndexLink"/>
                <w:rtl w:val="true"/>
              </w:rPr>
              <w:tab/>
            </w:r>
            <w:r>
              <w:rPr>
                <w:rStyle w:val="IndexLink"/>
              </w:rPr>
              <w:t>79</w:t>
            </w:r>
          </w:hyperlink>
        </w:p>
        <w:p>
          <w:pPr>
            <w:pStyle w:val="Contents3"/>
            <w:tabs>
              <w:tab w:val="clear" w:pos="8459"/>
              <w:tab w:val="right" w:pos="9026" w:leader="dot"/>
            </w:tabs>
            <w:rPr/>
          </w:pPr>
          <w:hyperlink w:anchor="__RefHeading___Toc972116_237004111">
            <w:r>
              <w:rPr>
                <w:webHidden/>
                <w:rStyle w:val="IndexLink"/>
              </w:rPr>
              <w:t>10</w:t>
            </w:r>
            <w:r>
              <w:rPr>
                <w:rStyle w:val="IndexLink"/>
                <w:rtl w:val="true"/>
              </w:rPr>
              <w:t xml:space="preserve"> - </w:t>
            </w:r>
            <w:r>
              <w:rPr>
                <w:rStyle w:val="IndexLink"/>
                <w:rtl w:val="true"/>
              </w:rPr>
              <w:t xml:space="preserve">عبداللّه بن محمد بن وهب الدینوری </w:t>
            </w:r>
            <w:r>
              <w:rPr>
                <w:rStyle w:val="IndexLink"/>
                <w:rtl w:val="true"/>
              </w:rPr>
              <w:t>(</w:t>
            </w:r>
            <w:r>
              <w:rPr>
                <w:rStyle w:val="IndexLink"/>
                <w:rtl w:val="true"/>
              </w:rPr>
              <w:t xml:space="preserve">ت </w:t>
            </w:r>
            <w:r>
              <w:rPr>
                <w:rStyle w:val="IndexLink"/>
              </w:rPr>
              <w:t>308</w:t>
            </w:r>
            <w:r>
              <w:rPr>
                <w:rStyle w:val="IndexLink"/>
                <w:rtl w:val="true"/>
              </w:rPr>
              <w:t xml:space="preserve"> </w:t>
            </w:r>
            <w:r>
              <w:rPr>
                <w:rStyle w:val="IndexLink"/>
                <w:rtl w:val="true"/>
              </w:rPr>
              <w:t xml:space="preserve">ه </w:t>
            </w:r>
            <w:r>
              <w:rPr>
                <w:rStyle w:val="IndexLink"/>
                <w:rtl w:val="true"/>
              </w:rPr>
              <w:t>)</w:t>
              <w:tab/>
            </w:r>
            <w:r>
              <w:rPr>
                <w:rStyle w:val="IndexLink"/>
              </w:rPr>
              <w:t>84</w:t>
            </w:r>
          </w:hyperlink>
        </w:p>
        <w:p>
          <w:pPr>
            <w:pStyle w:val="Contents3"/>
            <w:tabs>
              <w:tab w:val="clear" w:pos="8459"/>
              <w:tab w:val="right" w:pos="9026" w:leader="dot"/>
            </w:tabs>
            <w:rPr/>
          </w:pPr>
          <w:hyperlink w:anchor="__RefHeading___Toc972118_237004111">
            <w:r>
              <w:rPr>
                <w:webHidden/>
                <w:rStyle w:val="IndexLink"/>
              </w:rPr>
              <w:t>11</w:t>
            </w:r>
            <w:r>
              <w:rPr>
                <w:rStyle w:val="IndexLink"/>
                <w:rtl w:val="true"/>
              </w:rPr>
              <w:t xml:space="preserve"> - </w:t>
            </w:r>
            <w:r>
              <w:rPr>
                <w:rStyle w:val="IndexLink"/>
                <w:rtl w:val="true"/>
              </w:rPr>
              <w:t xml:space="preserve">ابن جریر الطبریّ </w:t>
            </w:r>
            <w:r>
              <w:rPr>
                <w:rStyle w:val="IndexLink"/>
                <w:rtl w:val="true"/>
              </w:rPr>
              <w:t>(</w:t>
            </w:r>
            <w:r>
              <w:rPr>
                <w:rStyle w:val="IndexLink"/>
                <w:rtl w:val="true"/>
              </w:rPr>
              <w:t xml:space="preserve">ت </w:t>
            </w:r>
            <w:r>
              <w:rPr>
                <w:rStyle w:val="IndexLink"/>
              </w:rPr>
              <w:t>310</w:t>
            </w:r>
            <w:r>
              <w:rPr>
                <w:rStyle w:val="IndexLink"/>
                <w:rtl w:val="true"/>
              </w:rPr>
              <w:t xml:space="preserve"> </w:t>
            </w:r>
            <w:r>
              <w:rPr>
                <w:rStyle w:val="IndexLink"/>
                <w:rtl w:val="true"/>
              </w:rPr>
              <w:t xml:space="preserve">ه </w:t>
            </w:r>
            <w:r>
              <w:rPr>
                <w:rStyle w:val="IndexLink"/>
                <w:rtl w:val="true"/>
              </w:rPr>
              <w:t>)</w:t>
              <w:tab/>
            </w:r>
            <w:r>
              <w:rPr>
                <w:rStyle w:val="IndexLink"/>
              </w:rPr>
              <w:t>84</w:t>
            </w:r>
          </w:hyperlink>
        </w:p>
        <w:p>
          <w:pPr>
            <w:pStyle w:val="Contents3"/>
            <w:tabs>
              <w:tab w:val="clear" w:pos="8459"/>
              <w:tab w:val="right" w:pos="9026" w:leader="dot"/>
            </w:tabs>
            <w:rPr/>
          </w:pPr>
          <w:hyperlink w:anchor="__RefHeading___Toc972120_237004111">
            <w:r>
              <w:rPr>
                <w:webHidden/>
                <w:rStyle w:val="IndexLink"/>
              </w:rPr>
              <w:t>12</w:t>
            </w:r>
            <w:r>
              <w:rPr>
                <w:rStyle w:val="IndexLink"/>
                <w:rtl w:val="true"/>
              </w:rPr>
              <w:t xml:space="preserve"> - </w:t>
            </w:r>
            <w:r>
              <w:rPr>
                <w:rStyle w:val="IndexLink"/>
                <w:rtl w:val="true"/>
              </w:rPr>
              <w:t xml:space="preserve">الزجّاج </w:t>
            </w:r>
            <w:r>
              <w:rPr>
                <w:rStyle w:val="IndexLink"/>
                <w:rtl w:val="true"/>
              </w:rPr>
              <w:t>(</w:t>
            </w:r>
            <w:r>
              <w:rPr>
                <w:rStyle w:val="IndexLink"/>
                <w:rtl w:val="true"/>
              </w:rPr>
              <w:t xml:space="preserve">ت </w:t>
            </w:r>
            <w:r>
              <w:rPr>
                <w:rStyle w:val="IndexLink"/>
              </w:rPr>
              <w:t>311</w:t>
            </w:r>
            <w:r>
              <w:rPr>
                <w:rStyle w:val="IndexLink"/>
                <w:rtl w:val="true"/>
              </w:rPr>
              <w:t xml:space="preserve"> </w:t>
            </w:r>
            <w:r>
              <w:rPr>
                <w:rStyle w:val="IndexLink"/>
                <w:rtl w:val="true"/>
              </w:rPr>
              <w:t xml:space="preserve">ه </w:t>
            </w:r>
            <w:r>
              <w:rPr>
                <w:rStyle w:val="IndexLink"/>
                <w:rtl w:val="true"/>
              </w:rPr>
              <w:t>)</w:t>
              <w:tab/>
            </w:r>
            <w:r>
              <w:rPr>
                <w:rStyle w:val="IndexLink"/>
              </w:rPr>
              <w:t>87</w:t>
            </w:r>
          </w:hyperlink>
        </w:p>
        <w:p>
          <w:pPr>
            <w:pStyle w:val="Contents3"/>
            <w:tabs>
              <w:tab w:val="clear" w:pos="8459"/>
              <w:tab w:val="right" w:pos="9026" w:leader="dot"/>
            </w:tabs>
            <w:rPr/>
          </w:pPr>
          <w:hyperlink w:anchor="__RefHeading___Toc972122_237004111">
            <w:r>
              <w:rPr>
                <w:webHidden/>
                <w:rStyle w:val="IndexLink"/>
              </w:rPr>
              <w:t>13</w:t>
            </w:r>
            <w:r>
              <w:rPr>
                <w:rStyle w:val="IndexLink"/>
                <w:rtl w:val="true"/>
              </w:rPr>
              <w:t xml:space="preserve"> - </w:t>
            </w:r>
            <w:r>
              <w:rPr>
                <w:rStyle w:val="IndexLink"/>
                <w:rtl w:val="true"/>
              </w:rPr>
              <w:t xml:space="preserve">العیّاشیّ السمرقندیّ </w:t>
            </w:r>
            <w:r>
              <w:rPr>
                <w:rStyle w:val="IndexLink"/>
                <w:rtl w:val="true"/>
              </w:rPr>
              <w:t>(</w:t>
            </w:r>
            <w:r>
              <w:rPr>
                <w:rStyle w:val="IndexLink"/>
                <w:rtl w:val="true"/>
              </w:rPr>
              <w:t xml:space="preserve">ت </w:t>
            </w:r>
            <w:r>
              <w:rPr>
                <w:rStyle w:val="IndexLink"/>
              </w:rPr>
              <w:t>320</w:t>
            </w:r>
            <w:r>
              <w:rPr>
                <w:rStyle w:val="IndexLink"/>
                <w:rtl w:val="true"/>
              </w:rPr>
              <w:t xml:space="preserve"> </w:t>
            </w:r>
            <w:r>
              <w:rPr>
                <w:rStyle w:val="IndexLink"/>
                <w:rtl w:val="true"/>
              </w:rPr>
              <w:t xml:space="preserve">ه </w:t>
            </w:r>
            <w:r>
              <w:rPr>
                <w:rStyle w:val="IndexLink"/>
                <w:rtl w:val="true"/>
              </w:rPr>
              <w:t>)</w:t>
              <w:tab/>
            </w:r>
            <w:r>
              <w:rPr>
                <w:rStyle w:val="IndexLink"/>
              </w:rPr>
              <w:t>91</w:t>
            </w:r>
          </w:hyperlink>
        </w:p>
        <w:p>
          <w:pPr>
            <w:pStyle w:val="Contents3"/>
            <w:tabs>
              <w:tab w:val="clear" w:pos="8459"/>
              <w:tab w:val="right" w:pos="9026" w:leader="dot"/>
            </w:tabs>
            <w:rPr/>
          </w:pPr>
          <w:hyperlink w:anchor="__RefHeading___Toc972124_237004111">
            <w:r>
              <w:rPr>
                <w:webHidden/>
                <w:rStyle w:val="IndexLink"/>
              </w:rPr>
              <w:t>14</w:t>
            </w:r>
            <w:r>
              <w:rPr>
                <w:rStyle w:val="IndexLink"/>
                <w:rtl w:val="true"/>
              </w:rPr>
              <w:t xml:space="preserve"> - </w:t>
            </w:r>
            <w:r>
              <w:rPr>
                <w:rStyle w:val="IndexLink"/>
                <w:rtl w:val="true"/>
              </w:rPr>
              <w:t xml:space="preserve">البغدادیّ </w:t>
            </w:r>
            <w:r>
              <w:rPr>
                <w:rStyle w:val="IndexLink"/>
                <w:rtl w:val="true"/>
              </w:rPr>
              <w:t>(</w:t>
            </w:r>
            <w:r>
              <w:rPr>
                <w:rStyle w:val="IndexLink"/>
                <w:rtl w:val="true"/>
              </w:rPr>
              <w:t xml:space="preserve">ت </w:t>
            </w:r>
            <w:r>
              <w:rPr>
                <w:rStyle w:val="IndexLink"/>
              </w:rPr>
              <w:t>324</w:t>
            </w:r>
            <w:r>
              <w:rPr>
                <w:rStyle w:val="IndexLink"/>
                <w:rtl w:val="true"/>
              </w:rPr>
              <w:t xml:space="preserve"> </w:t>
            </w:r>
            <w:r>
              <w:rPr>
                <w:rStyle w:val="IndexLink"/>
                <w:rtl w:val="true"/>
              </w:rPr>
              <w:t xml:space="preserve">ه </w:t>
            </w:r>
            <w:r>
              <w:rPr>
                <w:rStyle w:val="IndexLink"/>
                <w:rtl w:val="true"/>
              </w:rPr>
              <w:t>)</w:t>
              <w:tab/>
            </w:r>
            <w:r>
              <w:rPr>
                <w:rStyle w:val="IndexLink"/>
              </w:rPr>
              <w:t>91</w:t>
            </w:r>
          </w:hyperlink>
        </w:p>
        <w:p>
          <w:pPr>
            <w:pStyle w:val="Contents3"/>
            <w:tabs>
              <w:tab w:val="clear" w:pos="8459"/>
              <w:tab w:val="right" w:pos="9026" w:leader="dot"/>
            </w:tabs>
            <w:rPr/>
          </w:pPr>
          <w:hyperlink w:anchor="__RefHeading___Toc972126_237004111">
            <w:r>
              <w:rPr>
                <w:webHidden/>
                <w:rStyle w:val="IndexLink"/>
              </w:rPr>
              <w:t>15</w:t>
            </w:r>
            <w:r>
              <w:rPr>
                <w:rStyle w:val="IndexLink"/>
                <w:rtl w:val="true"/>
              </w:rPr>
              <w:t xml:space="preserve"> - </w:t>
            </w:r>
            <w:r>
              <w:rPr>
                <w:rStyle w:val="IndexLink"/>
                <w:rtl w:val="true"/>
              </w:rPr>
              <w:t xml:space="preserve">أبو منصور الماتریدیّ </w:t>
            </w:r>
            <w:r>
              <w:rPr>
                <w:rStyle w:val="IndexLink"/>
                <w:rtl w:val="true"/>
              </w:rPr>
              <w:t>(</w:t>
            </w:r>
            <w:r>
              <w:rPr>
                <w:rStyle w:val="IndexLink"/>
                <w:rtl w:val="true"/>
              </w:rPr>
              <w:t xml:space="preserve">ت </w:t>
            </w:r>
            <w:r>
              <w:rPr>
                <w:rStyle w:val="IndexLink"/>
              </w:rPr>
              <w:t>333</w:t>
            </w:r>
            <w:r>
              <w:rPr>
                <w:rStyle w:val="IndexLink"/>
                <w:rtl w:val="true"/>
              </w:rPr>
              <w:t xml:space="preserve"> </w:t>
            </w:r>
            <w:r>
              <w:rPr>
                <w:rStyle w:val="IndexLink"/>
                <w:rtl w:val="true"/>
              </w:rPr>
              <w:t xml:space="preserve">ه </w:t>
            </w:r>
            <w:r>
              <w:rPr>
                <w:rStyle w:val="IndexLink"/>
                <w:rtl w:val="true"/>
              </w:rPr>
              <w:t>)</w:t>
              <w:tab/>
            </w:r>
            <w:r>
              <w:rPr>
                <w:rStyle w:val="IndexLink"/>
              </w:rPr>
              <w:t>92</w:t>
            </w:r>
          </w:hyperlink>
        </w:p>
        <w:p>
          <w:pPr>
            <w:pStyle w:val="Contents3"/>
            <w:tabs>
              <w:tab w:val="clear" w:pos="8459"/>
              <w:tab w:val="right" w:pos="9026" w:leader="dot"/>
            </w:tabs>
            <w:rPr/>
          </w:pPr>
          <w:hyperlink w:anchor="__RefHeading___Toc972128_237004111">
            <w:r>
              <w:rPr>
                <w:webHidden/>
                <w:rStyle w:val="IndexLink"/>
              </w:rPr>
              <w:t>16</w:t>
            </w:r>
            <w:r>
              <w:rPr>
                <w:rStyle w:val="IndexLink"/>
                <w:rtl w:val="true"/>
              </w:rPr>
              <w:t xml:space="preserve"> - </w:t>
            </w:r>
            <w:r>
              <w:rPr>
                <w:rStyle w:val="IndexLink"/>
                <w:rtl w:val="true"/>
              </w:rPr>
              <w:t xml:space="preserve">الفضل بن شاذان النیسابوری </w:t>
            </w:r>
            <w:r>
              <w:rPr>
                <w:rStyle w:val="IndexLink"/>
                <w:rtl w:val="true"/>
              </w:rPr>
              <w:t>(</w:t>
            </w:r>
            <w:r>
              <w:rPr>
                <w:rStyle w:val="IndexLink"/>
                <w:rtl w:val="true"/>
              </w:rPr>
              <w:t xml:space="preserve">ت </w:t>
            </w:r>
            <w:r>
              <w:rPr>
                <w:rStyle w:val="IndexLink"/>
              </w:rPr>
              <w:t>260</w:t>
            </w:r>
            <w:r>
              <w:rPr>
                <w:rStyle w:val="IndexLink"/>
                <w:rtl w:val="true"/>
              </w:rPr>
              <w:t xml:space="preserve"> </w:t>
            </w:r>
            <w:r>
              <w:rPr>
                <w:rStyle w:val="IndexLink"/>
                <w:rtl w:val="true"/>
              </w:rPr>
              <w:t xml:space="preserve">ه </w:t>
            </w:r>
            <w:r>
              <w:rPr>
                <w:rStyle w:val="IndexLink"/>
                <w:rtl w:val="true"/>
              </w:rPr>
              <w:t>)</w:t>
              <w:tab/>
            </w:r>
            <w:r>
              <w:rPr>
                <w:rStyle w:val="IndexLink"/>
              </w:rPr>
              <w:t>93</w:t>
            </w:r>
          </w:hyperlink>
        </w:p>
        <w:p>
          <w:pPr>
            <w:pStyle w:val="Contents3"/>
            <w:tabs>
              <w:tab w:val="clear" w:pos="8459"/>
              <w:tab w:val="right" w:pos="9026" w:leader="dot"/>
            </w:tabs>
            <w:rPr/>
          </w:pPr>
          <w:hyperlink w:anchor="__RefHeading___Toc972130_237004111">
            <w:r>
              <w:rPr>
                <w:webHidden/>
                <w:rStyle w:val="IndexLink"/>
              </w:rPr>
              <w:t>17</w:t>
            </w:r>
            <w:r>
              <w:rPr>
                <w:rStyle w:val="IndexLink"/>
                <w:rtl w:val="true"/>
              </w:rPr>
              <w:t xml:space="preserve"> - </w:t>
            </w:r>
            <w:r>
              <w:rPr>
                <w:rStyle w:val="IndexLink"/>
                <w:rtl w:val="true"/>
              </w:rPr>
              <w:t xml:space="preserve">الجصّاص </w:t>
            </w:r>
            <w:r>
              <w:rPr>
                <w:rStyle w:val="IndexLink"/>
                <w:rtl w:val="true"/>
              </w:rPr>
              <w:t>(</w:t>
            </w:r>
            <w:r>
              <w:rPr>
                <w:rStyle w:val="IndexLink"/>
                <w:rtl w:val="true"/>
              </w:rPr>
              <w:t xml:space="preserve">ت </w:t>
            </w:r>
            <w:r>
              <w:rPr>
                <w:rStyle w:val="IndexLink"/>
              </w:rPr>
              <w:t>270</w:t>
            </w:r>
            <w:r>
              <w:rPr>
                <w:rStyle w:val="IndexLink"/>
                <w:rtl w:val="true"/>
              </w:rPr>
              <w:t xml:space="preserve"> </w:t>
            </w:r>
            <w:r>
              <w:rPr>
                <w:rStyle w:val="IndexLink"/>
                <w:rtl w:val="true"/>
              </w:rPr>
              <w:t xml:space="preserve">ه </w:t>
            </w:r>
            <w:r>
              <w:rPr>
                <w:rStyle w:val="IndexLink"/>
                <w:rtl w:val="true"/>
              </w:rPr>
              <w:t>)</w:t>
              <w:tab/>
            </w:r>
            <w:r>
              <w:rPr>
                <w:rStyle w:val="IndexLink"/>
              </w:rPr>
              <w:t>94</w:t>
            </w:r>
          </w:hyperlink>
        </w:p>
        <w:p>
          <w:pPr>
            <w:pStyle w:val="Contents3"/>
            <w:tabs>
              <w:tab w:val="clear" w:pos="8459"/>
              <w:tab w:val="right" w:pos="9026" w:leader="dot"/>
            </w:tabs>
            <w:rPr/>
          </w:pPr>
          <w:hyperlink w:anchor="__RefHeading___Toc972132_237004111">
            <w:r>
              <w:rPr>
                <w:webHidden/>
                <w:rStyle w:val="IndexLink"/>
              </w:rPr>
              <w:t>18</w:t>
            </w:r>
            <w:r>
              <w:rPr>
                <w:rStyle w:val="IndexLink"/>
                <w:rtl w:val="true"/>
              </w:rPr>
              <w:t xml:space="preserve"> - </w:t>
            </w:r>
            <w:r>
              <w:rPr>
                <w:rStyle w:val="IndexLink"/>
                <w:rtl w:val="true"/>
              </w:rPr>
              <w:t xml:space="preserve">أبو جعفر أحمد بن محمّد بن إسماعیل النحّاس </w:t>
            </w:r>
            <w:r>
              <w:rPr>
                <w:rStyle w:val="IndexLink"/>
                <w:rtl w:val="true"/>
              </w:rPr>
              <w:t>(</w:t>
            </w:r>
            <w:r>
              <w:rPr>
                <w:rStyle w:val="IndexLink"/>
                <w:rtl w:val="true"/>
              </w:rPr>
              <w:t xml:space="preserve">ت </w:t>
            </w:r>
            <w:r>
              <w:rPr>
                <w:rStyle w:val="IndexLink"/>
              </w:rPr>
              <w:t>328</w:t>
            </w:r>
            <w:r>
              <w:rPr>
                <w:rStyle w:val="IndexLink"/>
                <w:rtl w:val="true"/>
              </w:rPr>
              <w:t xml:space="preserve"> </w:t>
            </w:r>
            <w:r>
              <w:rPr>
                <w:rStyle w:val="IndexLink"/>
                <w:rtl w:val="true"/>
              </w:rPr>
              <w:t xml:space="preserve">ه </w:t>
            </w:r>
            <w:r>
              <w:rPr>
                <w:rStyle w:val="IndexLink"/>
                <w:rtl w:val="true"/>
              </w:rPr>
              <w:t>)</w:t>
              <w:tab/>
            </w:r>
            <w:r>
              <w:rPr>
                <w:rStyle w:val="IndexLink"/>
              </w:rPr>
              <w:t>98</w:t>
            </w:r>
          </w:hyperlink>
        </w:p>
        <w:p>
          <w:pPr>
            <w:pStyle w:val="Contents3"/>
            <w:tabs>
              <w:tab w:val="clear" w:pos="8459"/>
              <w:tab w:val="right" w:pos="9026" w:leader="dot"/>
            </w:tabs>
            <w:rPr/>
          </w:pPr>
          <w:hyperlink w:anchor="__RefHeading___Toc972134_237004111">
            <w:r>
              <w:rPr>
                <w:webHidden/>
                <w:rStyle w:val="IndexLink"/>
              </w:rPr>
              <w:t>19</w:t>
            </w:r>
            <w:r>
              <w:rPr>
                <w:rStyle w:val="IndexLink"/>
                <w:rtl w:val="true"/>
              </w:rPr>
              <w:t xml:space="preserve"> - </w:t>
            </w:r>
            <w:r>
              <w:rPr>
                <w:rStyle w:val="IndexLink"/>
                <w:rtl w:val="true"/>
              </w:rPr>
              <w:t xml:space="preserve">الأزهری أبو منصور </w:t>
            </w:r>
            <w:r>
              <w:rPr>
                <w:rStyle w:val="IndexLink"/>
                <w:rtl w:val="true"/>
              </w:rPr>
              <w:t>(</w:t>
            </w:r>
            <w:r>
              <w:rPr>
                <w:rStyle w:val="IndexLink"/>
                <w:rtl w:val="true"/>
              </w:rPr>
              <w:t xml:space="preserve">ت </w:t>
            </w:r>
            <w:r>
              <w:rPr>
                <w:rStyle w:val="IndexLink"/>
              </w:rPr>
              <w:t>370</w:t>
            </w:r>
            <w:r>
              <w:rPr>
                <w:rStyle w:val="IndexLink"/>
                <w:rtl w:val="true"/>
              </w:rPr>
              <w:t xml:space="preserve"> </w:t>
            </w:r>
            <w:r>
              <w:rPr>
                <w:rStyle w:val="IndexLink"/>
                <w:rtl w:val="true"/>
              </w:rPr>
              <w:t xml:space="preserve">ه </w:t>
            </w:r>
            <w:r>
              <w:rPr>
                <w:rStyle w:val="IndexLink"/>
                <w:rtl w:val="true"/>
              </w:rPr>
              <w:t>)</w:t>
              <w:tab/>
            </w:r>
            <w:r>
              <w:rPr>
                <w:rStyle w:val="IndexLink"/>
              </w:rPr>
              <w:t>100</w:t>
            </w:r>
          </w:hyperlink>
        </w:p>
        <w:p>
          <w:pPr>
            <w:pStyle w:val="Contents3"/>
            <w:tabs>
              <w:tab w:val="clear" w:pos="8459"/>
              <w:tab w:val="right" w:pos="9026" w:leader="dot"/>
            </w:tabs>
            <w:rPr/>
          </w:pPr>
          <w:hyperlink w:anchor="__RefHeading___Toc972136_237004111">
            <w:r>
              <w:rPr>
                <w:webHidden/>
                <w:rStyle w:val="IndexLink"/>
              </w:rPr>
              <w:t>20</w:t>
            </w:r>
            <w:r>
              <w:rPr>
                <w:rStyle w:val="IndexLink"/>
                <w:rtl w:val="true"/>
              </w:rPr>
              <w:t xml:space="preserve"> - </w:t>
            </w:r>
            <w:r>
              <w:rPr>
                <w:rStyle w:val="IndexLink"/>
                <w:rtl w:val="true"/>
              </w:rPr>
              <w:t xml:space="preserve">ابن خالویه </w:t>
            </w:r>
            <w:r>
              <w:rPr>
                <w:rStyle w:val="IndexLink"/>
                <w:rtl w:val="true"/>
              </w:rPr>
              <w:t>(</w:t>
            </w:r>
            <w:r>
              <w:rPr>
                <w:rStyle w:val="IndexLink"/>
                <w:rtl w:val="true"/>
              </w:rPr>
              <w:t xml:space="preserve">ت </w:t>
            </w:r>
            <w:r>
              <w:rPr>
                <w:rStyle w:val="IndexLink"/>
              </w:rPr>
              <w:t>370</w:t>
            </w:r>
            <w:r>
              <w:rPr>
                <w:rStyle w:val="IndexLink"/>
                <w:rtl w:val="true"/>
              </w:rPr>
              <w:t xml:space="preserve"> </w:t>
            </w:r>
            <w:r>
              <w:rPr>
                <w:rStyle w:val="IndexLink"/>
                <w:rtl w:val="true"/>
              </w:rPr>
              <w:t xml:space="preserve">ه </w:t>
            </w:r>
            <w:r>
              <w:rPr>
                <w:rStyle w:val="IndexLink"/>
                <w:rtl w:val="true"/>
              </w:rPr>
              <w:t>)</w:t>
              <w:tab/>
            </w:r>
            <w:r>
              <w:rPr>
                <w:rStyle w:val="IndexLink"/>
              </w:rPr>
              <w:t>102</w:t>
            </w:r>
          </w:hyperlink>
        </w:p>
        <w:p>
          <w:pPr>
            <w:pStyle w:val="Contents3"/>
            <w:tabs>
              <w:tab w:val="clear" w:pos="8459"/>
              <w:tab w:val="right" w:pos="9026" w:leader="dot"/>
            </w:tabs>
            <w:rPr/>
          </w:pPr>
          <w:hyperlink w:anchor="__RefHeading___Toc972138_237004111">
            <w:r>
              <w:rPr>
                <w:webHidden/>
                <w:rStyle w:val="IndexLink"/>
              </w:rPr>
              <w:t>21</w:t>
            </w:r>
            <w:r>
              <w:rPr>
                <w:rStyle w:val="IndexLink"/>
                <w:rtl w:val="true"/>
              </w:rPr>
              <w:t xml:space="preserve"> - </w:t>
            </w:r>
            <w:r>
              <w:rPr>
                <w:rStyle w:val="IndexLink"/>
                <w:rtl w:val="true"/>
              </w:rPr>
              <w:t xml:space="preserve">السمرقندیّ </w:t>
            </w:r>
            <w:r>
              <w:rPr>
                <w:rStyle w:val="IndexLink"/>
                <w:rtl w:val="true"/>
              </w:rPr>
              <w:t>(</w:t>
            </w:r>
            <w:r>
              <w:rPr>
                <w:rStyle w:val="IndexLink"/>
                <w:rtl w:val="true"/>
              </w:rPr>
              <w:t xml:space="preserve">ت </w:t>
            </w:r>
            <w:r>
              <w:rPr>
                <w:rStyle w:val="IndexLink"/>
              </w:rPr>
              <w:t>373</w:t>
            </w:r>
            <w:r>
              <w:rPr>
                <w:rStyle w:val="IndexLink"/>
                <w:rtl w:val="true"/>
              </w:rPr>
              <w:t xml:space="preserve"> </w:t>
            </w:r>
            <w:r>
              <w:rPr>
                <w:rStyle w:val="IndexLink"/>
                <w:rtl w:val="true"/>
              </w:rPr>
              <w:t xml:space="preserve">ه </w:t>
            </w:r>
            <w:r>
              <w:rPr>
                <w:rStyle w:val="IndexLink"/>
                <w:rtl w:val="true"/>
              </w:rPr>
              <w:t>)</w:t>
              <w:tab/>
            </w:r>
            <w:r>
              <w:rPr>
                <w:rStyle w:val="IndexLink"/>
              </w:rPr>
              <w:t>103</w:t>
            </w:r>
          </w:hyperlink>
        </w:p>
        <w:p>
          <w:pPr>
            <w:pStyle w:val="Contents3"/>
            <w:tabs>
              <w:tab w:val="clear" w:pos="8459"/>
              <w:tab w:val="right" w:pos="9026" w:leader="dot"/>
            </w:tabs>
            <w:rPr/>
          </w:pPr>
          <w:hyperlink w:anchor="__RefHeading___Toc972140_237004111">
            <w:r>
              <w:rPr>
                <w:webHidden/>
                <w:rStyle w:val="IndexLink"/>
              </w:rPr>
              <w:t>22</w:t>
            </w:r>
            <w:r>
              <w:rPr>
                <w:rStyle w:val="IndexLink"/>
                <w:rtl w:val="true"/>
              </w:rPr>
              <w:t xml:space="preserve"> - </w:t>
            </w:r>
            <w:r>
              <w:rPr>
                <w:rStyle w:val="IndexLink"/>
                <w:rtl w:val="true"/>
              </w:rPr>
              <w:t xml:space="preserve">أبو علی الفارسیّ </w:t>
            </w:r>
            <w:r>
              <w:rPr>
                <w:rStyle w:val="IndexLink"/>
                <w:rtl w:val="true"/>
              </w:rPr>
              <w:t>(</w:t>
            </w:r>
            <w:r>
              <w:rPr>
                <w:rStyle w:val="IndexLink"/>
                <w:rtl w:val="true"/>
              </w:rPr>
              <w:t xml:space="preserve">ت </w:t>
            </w:r>
            <w:r>
              <w:rPr>
                <w:rStyle w:val="IndexLink"/>
              </w:rPr>
              <w:t>377</w:t>
            </w:r>
            <w:r>
              <w:rPr>
                <w:rStyle w:val="IndexLink"/>
                <w:rtl w:val="true"/>
              </w:rPr>
              <w:t xml:space="preserve"> </w:t>
            </w:r>
            <w:r>
              <w:rPr>
                <w:rStyle w:val="IndexLink"/>
                <w:rtl w:val="true"/>
              </w:rPr>
              <w:t xml:space="preserve">ه </w:t>
            </w:r>
            <w:r>
              <w:rPr>
                <w:rStyle w:val="IndexLink"/>
                <w:rtl w:val="true"/>
              </w:rPr>
              <w:t>)</w:t>
              <w:tab/>
            </w:r>
            <w:r>
              <w:rPr>
                <w:rStyle w:val="IndexLink"/>
              </w:rPr>
              <w:t>103</w:t>
            </w:r>
          </w:hyperlink>
        </w:p>
        <w:p>
          <w:pPr>
            <w:pStyle w:val="Contents3"/>
            <w:tabs>
              <w:tab w:val="clear" w:pos="8459"/>
              <w:tab w:val="right" w:pos="9026" w:leader="dot"/>
            </w:tabs>
            <w:rPr/>
          </w:pPr>
          <w:hyperlink w:anchor="__RefHeading___Toc972142_237004111">
            <w:r>
              <w:rPr>
                <w:webHidden/>
                <w:rStyle w:val="IndexLink"/>
              </w:rPr>
              <w:t>23</w:t>
            </w:r>
            <w:r>
              <w:rPr>
                <w:rStyle w:val="IndexLink"/>
                <w:rtl w:val="true"/>
              </w:rPr>
              <w:t xml:space="preserve"> - </w:t>
            </w:r>
            <w:r>
              <w:rPr>
                <w:rStyle w:val="IndexLink"/>
                <w:rtl w:val="true"/>
              </w:rPr>
              <w:t xml:space="preserve">مکّیّ بن أبی طالب القیسیّ </w:t>
            </w:r>
            <w:r>
              <w:rPr>
                <w:rStyle w:val="IndexLink"/>
                <w:rtl w:val="true"/>
              </w:rPr>
              <w:t>(</w:t>
            </w:r>
            <w:r>
              <w:rPr>
                <w:rStyle w:val="IndexLink"/>
                <w:rtl w:val="true"/>
              </w:rPr>
              <w:t xml:space="preserve">ت </w:t>
            </w:r>
            <w:r>
              <w:rPr>
                <w:rStyle w:val="IndexLink"/>
              </w:rPr>
              <w:t>386</w:t>
            </w:r>
            <w:r>
              <w:rPr>
                <w:rStyle w:val="IndexLink"/>
                <w:rtl w:val="true"/>
              </w:rPr>
              <w:t xml:space="preserve"> </w:t>
            </w:r>
            <w:r>
              <w:rPr>
                <w:rStyle w:val="IndexLink"/>
                <w:rtl w:val="true"/>
              </w:rPr>
              <w:t xml:space="preserve">ه </w:t>
            </w:r>
            <w:r>
              <w:rPr>
                <w:rStyle w:val="IndexLink"/>
                <w:rtl w:val="true"/>
              </w:rPr>
              <w:t>)</w:t>
              <w:tab/>
            </w:r>
            <w:r>
              <w:rPr>
                <w:rStyle w:val="IndexLink"/>
              </w:rPr>
              <w:t>106</w:t>
            </w:r>
          </w:hyperlink>
        </w:p>
        <w:p>
          <w:pPr>
            <w:pStyle w:val="Contents3"/>
            <w:tabs>
              <w:tab w:val="clear" w:pos="8459"/>
              <w:tab w:val="right" w:pos="9026" w:leader="dot"/>
            </w:tabs>
            <w:rPr/>
          </w:pPr>
          <w:hyperlink w:anchor="__RefHeading___Toc972144_237004111">
            <w:r>
              <w:rPr>
                <w:webHidden/>
                <w:rStyle w:val="IndexLink"/>
              </w:rPr>
              <w:t>24</w:t>
            </w:r>
            <w:r>
              <w:rPr>
                <w:rStyle w:val="IndexLink"/>
                <w:rtl w:val="true"/>
              </w:rPr>
              <w:t xml:space="preserve"> - </w:t>
            </w:r>
            <w:r>
              <w:rPr>
                <w:rStyle w:val="IndexLink"/>
                <w:rtl w:val="true"/>
              </w:rPr>
              <w:t xml:space="preserve">أحمد بن محمد الهروی صاحب الأزهری </w:t>
            </w:r>
            <w:r>
              <w:rPr>
                <w:rStyle w:val="IndexLink"/>
                <w:rtl w:val="true"/>
              </w:rPr>
              <w:t>(</w:t>
            </w:r>
            <w:r>
              <w:rPr>
                <w:rStyle w:val="IndexLink"/>
                <w:rtl w:val="true"/>
              </w:rPr>
              <w:t xml:space="preserve">ت </w:t>
            </w:r>
            <w:r>
              <w:rPr>
                <w:rStyle w:val="IndexLink"/>
              </w:rPr>
              <w:t>401</w:t>
            </w:r>
            <w:r>
              <w:rPr>
                <w:rStyle w:val="IndexLink"/>
                <w:rtl w:val="true"/>
              </w:rPr>
              <w:t xml:space="preserve"> </w:t>
            </w:r>
            <w:r>
              <w:rPr>
                <w:rStyle w:val="IndexLink"/>
                <w:rtl w:val="true"/>
              </w:rPr>
              <w:t xml:space="preserve">ه </w:t>
            </w:r>
            <w:r>
              <w:rPr>
                <w:rStyle w:val="IndexLink"/>
                <w:rtl w:val="true"/>
              </w:rPr>
              <w:t>)</w:t>
              <w:tab/>
            </w:r>
            <w:r>
              <w:rPr>
                <w:rStyle w:val="IndexLink"/>
              </w:rPr>
              <w:t>108</w:t>
            </w:r>
          </w:hyperlink>
        </w:p>
        <w:p>
          <w:pPr>
            <w:pStyle w:val="Contents3"/>
            <w:tabs>
              <w:tab w:val="clear" w:pos="8459"/>
              <w:tab w:val="right" w:pos="9026" w:leader="dot"/>
            </w:tabs>
            <w:rPr/>
          </w:pPr>
          <w:hyperlink w:anchor="__RefHeading___Toc972146_237004111">
            <w:r>
              <w:rPr>
                <w:webHidden/>
                <w:rStyle w:val="IndexLink"/>
              </w:rPr>
              <w:t>25</w:t>
            </w:r>
            <w:r>
              <w:rPr>
                <w:rStyle w:val="IndexLink"/>
                <w:rtl w:val="true"/>
              </w:rPr>
              <w:t xml:space="preserve"> - </w:t>
            </w:r>
            <w:r>
              <w:rPr>
                <w:rStyle w:val="IndexLink"/>
                <w:rtl w:val="true"/>
              </w:rPr>
              <w:t xml:space="preserve">ابن زنجلة </w:t>
            </w:r>
            <w:r>
              <w:rPr>
                <w:rStyle w:val="IndexLink"/>
                <w:rtl w:val="true"/>
              </w:rPr>
              <w:t>(</w:t>
            </w:r>
            <w:r>
              <w:rPr>
                <w:rStyle w:val="IndexLink"/>
                <w:rtl w:val="true"/>
              </w:rPr>
              <w:t xml:space="preserve">ت </w:t>
            </w:r>
            <w:r>
              <w:rPr>
                <w:rStyle w:val="IndexLink"/>
              </w:rPr>
              <w:t>403</w:t>
            </w:r>
            <w:r>
              <w:rPr>
                <w:rStyle w:val="IndexLink"/>
                <w:rtl w:val="true"/>
              </w:rPr>
              <w:t xml:space="preserve"> </w:t>
            </w:r>
            <w:r>
              <w:rPr>
                <w:rStyle w:val="IndexLink"/>
                <w:rtl w:val="true"/>
              </w:rPr>
              <w:t xml:space="preserve">ه </w:t>
            </w:r>
            <w:r>
              <w:rPr>
                <w:rStyle w:val="IndexLink"/>
                <w:rtl w:val="true"/>
              </w:rPr>
              <w:t>)</w:t>
              <w:tab/>
            </w:r>
            <w:r>
              <w:rPr>
                <w:rStyle w:val="IndexLink"/>
              </w:rPr>
              <w:t>108</w:t>
            </w:r>
          </w:hyperlink>
        </w:p>
        <w:p>
          <w:pPr>
            <w:pStyle w:val="Contents3"/>
            <w:tabs>
              <w:tab w:val="clear" w:pos="8459"/>
              <w:tab w:val="right" w:pos="9026" w:leader="dot"/>
            </w:tabs>
            <w:rPr/>
          </w:pPr>
          <w:hyperlink w:anchor="__RefHeading___Toc972148_237004111">
            <w:r>
              <w:rPr>
                <w:webHidden/>
                <w:rStyle w:val="IndexLink"/>
              </w:rPr>
              <w:t>26</w:t>
            </w:r>
            <w:r>
              <w:rPr>
                <w:rStyle w:val="IndexLink"/>
                <w:rtl w:val="true"/>
              </w:rPr>
              <w:t xml:space="preserve"> - </w:t>
            </w:r>
            <w:r>
              <w:rPr>
                <w:rStyle w:val="IndexLink"/>
                <w:rtl w:val="true"/>
              </w:rPr>
              <w:t xml:space="preserve">الثعلبیّ </w:t>
            </w:r>
            <w:r>
              <w:rPr>
                <w:rStyle w:val="IndexLink"/>
                <w:rtl w:val="true"/>
              </w:rPr>
              <w:t>(</w:t>
            </w:r>
            <w:r>
              <w:rPr>
                <w:rStyle w:val="IndexLink"/>
                <w:rtl w:val="true"/>
              </w:rPr>
              <w:t xml:space="preserve">ت </w:t>
            </w:r>
            <w:r>
              <w:rPr>
                <w:rStyle w:val="IndexLink"/>
              </w:rPr>
              <w:t>427</w:t>
            </w:r>
            <w:r>
              <w:rPr>
                <w:rStyle w:val="IndexLink"/>
                <w:rtl w:val="true"/>
              </w:rPr>
              <w:t xml:space="preserve"> </w:t>
            </w:r>
            <w:r>
              <w:rPr>
                <w:rStyle w:val="IndexLink"/>
                <w:rtl w:val="true"/>
              </w:rPr>
              <w:t xml:space="preserve">ه </w:t>
            </w:r>
            <w:r>
              <w:rPr>
                <w:rStyle w:val="IndexLink"/>
                <w:rtl w:val="true"/>
              </w:rPr>
              <w:t>)</w:t>
              <w:tab/>
            </w:r>
            <w:r>
              <w:rPr>
                <w:rStyle w:val="IndexLink"/>
              </w:rPr>
              <w:t>111</w:t>
            </w:r>
          </w:hyperlink>
        </w:p>
        <w:p>
          <w:pPr>
            <w:pStyle w:val="Contents3"/>
            <w:tabs>
              <w:tab w:val="clear" w:pos="8459"/>
              <w:tab w:val="right" w:pos="9026" w:leader="dot"/>
            </w:tabs>
            <w:rPr/>
          </w:pPr>
          <w:hyperlink w:anchor="__RefHeading___Toc972150_237004111">
            <w:r>
              <w:rPr>
                <w:webHidden/>
                <w:rStyle w:val="IndexLink"/>
              </w:rPr>
              <w:t>27</w:t>
            </w:r>
            <w:r>
              <w:rPr>
                <w:rStyle w:val="IndexLink"/>
                <w:rtl w:val="true"/>
              </w:rPr>
              <w:t xml:space="preserve"> - </w:t>
            </w:r>
            <w:r>
              <w:rPr>
                <w:rStyle w:val="IndexLink"/>
                <w:rtl w:val="true"/>
              </w:rPr>
              <w:t xml:space="preserve">الشریف المرتضی علیّ بن الحسین علم الهدی رحمه الله </w:t>
            </w:r>
            <w:r>
              <w:rPr>
                <w:rStyle w:val="IndexLink"/>
                <w:rtl w:val="true"/>
              </w:rPr>
              <w:t>(</w:t>
            </w:r>
            <w:r>
              <w:rPr>
                <w:rStyle w:val="IndexLink"/>
                <w:rtl w:val="true"/>
              </w:rPr>
              <w:t xml:space="preserve">ت </w:t>
            </w:r>
            <w:r>
              <w:rPr>
                <w:rStyle w:val="IndexLink"/>
              </w:rPr>
              <w:t>436</w:t>
            </w:r>
            <w:r>
              <w:rPr>
                <w:rStyle w:val="IndexLink"/>
                <w:rtl w:val="true"/>
              </w:rPr>
              <w:t xml:space="preserve"> </w:t>
            </w:r>
            <w:r>
              <w:rPr>
                <w:rStyle w:val="IndexLink"/>
                <w:rtl w:val="true"/>
              </w:rPr>
              <w:t xml:space="preserve">ه </w:t>
            </w:r>
            <w:r>
              <w:rPr>
                <w:rStyle w:val="IndexLink"/>
                <w:rtl w:val="true"/>
              </w:rPr>
              <w:t>)</w:t>
              <w:tab/>
            </w:r>
            <w:r>
              <w:rPr>
                <w:rStyle w:val="IndexLink"/>
              </w:rPr>
              <w:t>116</w:t>
            </w:r>
          </w:hyperlink>
        </w:p>
        <w:p>
          <w:pPr>
            <w:pStyle w:val="Contents3"/>
            <w:tabs>
              <w:tab w:val="clear" w:pos="8459"/>
              <w:tab w:val="right" w:pos="9026" w:leader="dot"/>
            </w:tabs>
            <w:rPr/>
          </w:pPr>
          <w:hyperlink w:anchor="__RefHeading___Toc972152_237004111">
            <w:r>
              <w:rPr>
                <w:webHidden/>
                <w:rStyle w:val="IndexLink"/>
              </w:rPr>
              <w:t>28</w:t>
            </w:r>
            <w:r>
              <w:rPr>
                <w:rStyle w:val="IndexLink"/>
                <w:rtl w:val="true"/>
              </w:rPr>
              <w:t xml:space="preserve"> - </w:t>
            </w:r>
            <w:r>
              <w:rPr>
                <w:rStyle w:val="IndexLink"/>
                <w:rtl w:val="true"/>
              </w:rPr>
              <w:t xml:space="preserve">ابن سِیْدَة الأندلسیّ </w:t>
            </w:r>
            <w:r>
              <w:rPr>
                <w:rStyle w:val="IndexLink"/>
                <w:rtl w:val="true"/>
              </w:rPr>
              <w:t>(</w:t>
            </w:r>
            <w:r>
              <w:rPr>
                <w:rStyle w:val="IndexLink"/>
                <w:rtl w:val="true"/>
              </w:rPr>
              <w:t xml:space="preserve">ت </w:t>
            </w:r>
            <w:r>
              <w:rPr>
                <w:rStyle w:val="IndexLink"/>
              </w:rPr>
              <w:t>458</w:t>
            </w:r>
            <w:r>
              <w:rPr>
                <w:rStyle w:val="IndexLink"/>
                <w:rtl w:val="true"/>
              </w:rPr>
              <w:t xml:space="preserve"> </w:t>
            </w:r>
            <w:r>
              <w:rPr>
                <w:rStyle w:val="IndexLink"/>
                <w:rtl w:val="true"/>
              </w:rPr>
              <w:t xml:space="preserve">ه </w:t>
            </w:r>
            <w:r>
              <w:rPr>
                <w:rStyle w:val="IndexLink"/>
                <w:rtl w:val="true"/>
              </w:rPr>
              <w:t>)</w:t>
              <w:tab/>
            </w:r>
            <w:r>
              <w:rPr>
                <w:rStyle w:val="IndexLink"/>
              </w:rPr>
              <w:t>118</w:t>
            </w:r>
          </w:hyperlink>
        </w:p>
        <w:p>
          <w:pPr>
            <w:pStyle w:val="Contents3"/>
            <w:tabs>
              <w:tab w:val="clear" w:pos="8459"/>
              <w:tab w:val="right" w:pos="9026" w:leader="dot"/>
            </w:tabs>
            <w:rPr/>
          </w:pPr>
          <w:hyperlink w:anchor="__RefHeading___Toc972154_237004111">
            <w:r>
              <w:rPr>
                <w:webHidden/>
                <w:rStyle w:val="IndexLink"/>
              </w:rPr>
              <w:t>29</w:t>
            </w:r>
            <w:r>
              <w:rPr>
                <w:rStyle w:val="IndexLink"/>
                <w:rtl w:val="true"/>
              </w:rPr>
              <w:t xml:space="preserve"> - </w:t>
            </w:r>
            <w:r>
              <w:rPr>
                <w:rStyle w:val="IndexLink"/>
                <w:rtl w:val="true"/>
              </w:rPr>
              <w:t xml:space="preserve">الشیخ أبو جعفر محمّد بن الحسن الطوسیّ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 xml:space="preserve">ه </w:t>
            </w:r>
            <w:r>
              <w:rPr>
                <w:rStyle w:val="IndexLink"/>
                <w:rtl w:val="true"/>
              </w:rPr>
              <w:t>)</w:t>
              <w:tab/>
            </w:r>
            <w:r>
              <w:rPr>
                <w:rStyle w:val="IndexLink"/>
              </w:rPr>
              <w:t>119</w:t>
            </w:r>
          </w:hyperlink>
        </w:p>
        <w:p>
          <w:pPr>
            <w:pStyle w:val="Contents3"/>
            <w:tabs>
              <w:tab w:val="clear" w:pos="8459"/>
              <w:tab w:val="right" w:pos="9026" w:leader="dot"/>
            </w:tabs>
            <w:rPr/>
          </w:pPr>
          <w:hyperlink w:anchor="__RefHeading___Toc972156_237004111">
            <w:r>
              <w:rPr>
                <w:webHidden/>
                <w:rStyle w:val="IndexLink"/>
              </w:rPr>
              <w:t>30</w:t>
            </w:r>
            <w:r>
              <w:rPr>
                <w:rStyle w:val="IndexLink"/>
                <w:rtl w:val="true"/>
              </w:rPr>
              <w:t xml:space="preserve"> - </w:t>
            </w:r>
            <w:r>
              <w:rPr>
                <w:rStyle w:val="IndexLink"/>
                <w:rtl w:val="true"/>
              </w:rPr>
              <w:t xml:space="preserve">ابن عبدالبرّ </w:t>
            </w:r>
            <w:r>
              <w:rPr>
                <w:rStyle w:val="IndexLink"/>
                <w:rtl w:val="true"/>
              </w:rPr>
              <w:t>(</w:t>
            </w:r>
            <w:r>
              <w:rPr>
                <w:rStyle w:val="IndexLink"/>
                <w:rtl w:val="true"/>
              </w:rPr>
              <w:t xml:space="preserve">ت </w:t>
            </w:r>
            <w:r>
              <w:rPr>
                <w:rStyle w:val="IndexLink"/>
              </w:rPr>
              <w:t>463</w:t>
            </w:r>
            <w:r>
              <w:rPr>
                <w:rStyle w:val="IndexLink"/>
                <w:rtl w:val="true"/>
              </w:rPr>
              <w:t xml:space="preserve"> </w:t>
            </w:r>
            <w:r>
              <w:rPr>
                <w:rStyle w:val="IndexLink"/>
                <w:rtl w:val="true"/>
              </w:rPr>
              <w:t xml:space="preserve">ه </w:t>
            </w:r>
            <w:r>
              <w:rPr>
                <w:rStyle w:val="IndexLink"/>
                <w:rtl w:val="true"/>
              </w:rPr>
              <w:t>)</w:t>
              <w:tab/>
            </w:r>
            <w:r>
              <w:rPr>
                <w:rStyle w:val="IndexLink"/>
              </w:rPr>
              <w:t>124</w:t>
            </w:r>
          </w:hyperlink>
        </w:p>
        <w:p>
          <w:pPr>
            <w:pStyle w:val="Contents3"/>
            <w:tabs>
              <w:tab w:val="clear" w:pos="8459"/>
              <w:tab w:val="right" w:pos="9026" w:leader="dot"/>
            </w:tabs>
            <w:rPr/>
          </w:pPr>
          <w:hyperlink w:anchor="__RefHeading___Toc972158_237004111">
            <w:r>
              <w:rPr>
                <w:webHidden/>
                <w:rStyle w:val="IndexLink"/>
              </w:rPr>
              <w:t>31</w:t>
            </w:r>
            <w:r>
              <w:rPr>
                <w:rStyle w:val="IndexLink"/>
                <w:rtl w:val="true"/>
              </w:rPr>
              <w:t xml:space="preserve"> - </w:t>
            </w:r>
            <w:r>
              <w:rPr>
                <w:rStyle w:val="IndexLink"/>
                <w:rtl w:val="true"/>
              </w:rPr>
              <w:t xml:space="preserve">الواحدیّ النیسابوریّ </w:t>
            </w:r>
            <w:r>
              <w:rPr>
                <w:rStyle w:val="IndexLink"/>
                <w:rtl w:val="true"/>
              </w:rPr>
              <w:t>(</w:t>
            </w:r>
            <w:r>
              <w:rPr>
                <w:rStyle w:val="IndexLink"/>
                <w:rtl w:val="true"/>
              </w:rPr>
              <w:t xml:space="preserve">ت </w:t>
            </w:r>
            <w:r>
              <w:rPr>
                <w:rStyle w:val="IndexLink"/>
              </w:rPr>
              <w:t>468</w:t>
            </w:r>
            <w:r>
              <w:rPr>
                <w:rStyle w:val="IndexLink"/>
                <w:rtl w:val="true"/>
              </w:rPr>
              <w:t xml:space="preserve"> </w:t>
            </w:r>
            <w:r>
              <w:rPr>
                <w:rStyle w:val="IndexLink"/>
                <w:rtl w:val="true"/>
              </w:rPr>
              <w:t xml:space="preserve">ه </w:t>
            </w:r>
            <w:r>
              <w:rPr>
                <w:rStyle w:val="IndexLink"/>
                <w:rtl w:val="true"/>
              </w:rPr>
              <w:t>)</w:t>
              <w:tab/>
            </w:r>
            <w:r>
              <w:rPr>
                <w:rStyle w:val="IndexLink"/>
              </w:rPr>
              <w:t>127</w:t>
            </w:r>
          </w:hyperlink>
        </w:p>
        <w:p>
          <w:pPr>
            <w:pStyle w:val="Contents3"/>
            <w:tabs>
              <w:tab w:val="clear" w:pos="8459"/>
              <w:tab w:val="right" w:pos="9026" w:leader="dot"/>
            </w:tabs>
            <w:rPr/>
          </w:pPr>
          <w:hyperlink w:anchor="__RefHeading___Toc972160_237004111">
            <w:r>
              <w:rPr>
                <w:webHidden/>
                <w:rStyle w:val="IndexLink"/>
              </w:rPr>
              <w:t>32</w:t>
            </w:r>
            <w:r>
              <w:rPr>
                <w:rStyle w:val="IndexLink"/>
                <w:rtl w:val="true"/>
              </w:rPr>
              <w:t xml:space="preserve"> - </w:t>
            </w:r>
            <w:r>
              <w:rPr>
                <w:rStyle w:val="IndexLink"/>
                <w:rtl w:val="true"/>
              </w:rPr>
              <w:t xml:space="preserve">أبو المعالی الجوینیّ </w:t>
            </w:r>
            <w:r>
              <w:rPr>
                <w:rStyle w:val="IndexLink"/>
                <w:rtl w:val="true"/>
              </w:rPr>
              <w:t>(</w:t>
            </w:r>
            <w:r>
              <w:rPr>
                <w:rStyle w:val="IndexLink"/>
                <w:rtl w:val="true"/>
              </w:rPr>
              <w:t xml:space="preserve">ت </w:t>
            </w:r>
            <w:r>
              <w:rPr>
                <w:rStyle w:val="IndexLink"/>
              </w:rPr>
              <w:t>478</w:t>
            </w:r>
            <w:r>
              <w:rPr>
                <w:rStyle w:val="IndexLink"/>
                <w:rtl w:val="true"/>
              </w:rPr>
              <w:t xml:space="preserve"> </w:t>
            </w:r>
            <w:r>
              <w:rPr>
                <w:rStyle w:val="IndexLink"/>
                <w:rtl w:val="true"/>
              </w:rPr>
              <w:t xml:space="preserve">ه </w:t>
            </w:r>
            <w:r>
              <w:rPr>
                <w:rStyle w:val="IndexLink"/>
                <w:rtl w:val="true"/>
              </w:rPr>
              <w:t>)</w:t>
              <w:tab/>
            </w:r>
            <w:r>
              <w:rPr>
                <w:rStyle w:val="IndexLink"/>
              </w:rPr>
              <w:t>130</w:t>
            </w:r>
          </w:hyperlink>
        </w:p>
        <w:p>
          <w:pPr>
            <w:pStyle w:val="Contents3"/>
            <w:tabs>
              <w:tab w:val="clear" w:pos="8459"/>
              <w:tab w:val="right" w:pos="9026" w:leader="dot"/>
            </w:tabs>
            <w:rPr/>
          </w:pPr>
          <w:hyperlink w:anchor="__RefHeading___Toc972162_237004111">
            <w:r>
              <w:rPr>
                <w:webHidden/>
                <w:rStyle w:val="IndexLink"/>
              </w:rPr>
              <w:t>33</w:t>
            </w:r>
            <w:r>
              <w:rPr>
                <w:rStyle w:val="IndexLink"/>
                <w:rtl w:val="true"/>
              </w:rPr>
              <w:t xml:space="preserve"> - </w:t>
            </w:r>
            <w:r>
              <w:rPr>
                <w:rStyle w:val="IndexLink"/>
                <w:rtl w:val="true"/>
              </w:rPr>
              <w:t xml:space="preserve">السرخسیّ </w:t>
            </w:r>
            <w:r>
              <w:rPr>
                <w:rStyle w:val="IndexLink"/>
                <w:rtl w:val="true"/>
              </w:rPr>
              <w:t>(</w:t>
            </w:r>
            <w:r>
              <w:rPr>
                <w:rStyle w:val="IndexLink"/>
                <w:rtl w:val="true"/>
              </w:rPr>
              <w:t xml:space="preserve">ت </w:t>
            </w:r>
            <w:r>
              <w:rPr>
                <w:rStyle w:val="IndexLink"/>
              </w:rPr>
              <w:t>486</w:t>
            </w:r>
            <w:r>
              <w:rPr>
                <w:rStyle w:val="IndexLink"/>
                <w:rtl w:val="true"/>
              </w:rPr>
              <w:t xml:space="preserve"> </w:t>
            </w:r>
            <w:r>
              <w:rPr>
                <w:rStyle w:val="IndexLink"/>
                <w:rtl w:val="true"/>
              </w:rPr>
              <w:t xml:space="preserve">ه </w:t>
            </w:r>
            <w:r>
              <w:rPr>
                <w:rStyle w:val="IndexLink"/>
                <w:rtl w:val="true"/>
              </w:rPr>
              <w:t>)</w:t>
              <w:tab/>
            </w:r>
            <w:r>
              <w:rPr>
                <w:rStyle w:val="IndexLink"/>
              </w:rPr>
              <w:t>133</w:t>
            </w:r>
          </w:hyperlink>
        </w:p>
        <w:p>
          <w:pPr>
            <w:pStyle w:val="Contents3"/>
            <w:tabs>
              <w:tab w:val="clear" w:pos="8459"/>
              <w:tab w:val="right" w:pos="9026" w:leader="dot"/>
            </w:tabs>
            <w:rPr/>
          </w:pPr>
          <w:hyperlink w:anchor="__RefHeading___Toc972164_237004111">
            <w:r>
              <w:rPr>
                <w:webHidden/>
                <w:rStyle w:val="IndexLink"/>
              </w:rPr>
              <w:t>34</w:t>
            </w:r>
            <w:r>
              <w:rPr>
                <w:rStyle w:val="IndexLink"/>
                <w:rtl w:val="true"/>
              </w:rPr>
              <w:t xml:space="preserve"> - </w:t>
            </w:r>
            <w:r>
              <w:rPr>
                <w:rStyle w:val="IndexLink"/>
                <w:rtl w:val="true"/>
              </w:rPr>
              <w:t xml:space="preserve">أبو المظفّر السَّمْعانیّ </w:t>
            </w:r>
            <w:r>
              <w:rPr>
                <w:rStyle w:val="IndexLink"/>
                <w:rtl w:val="true"/>
              </w:rPr>
              <w:t>(</w:t>
            </w:r>
            <w:r>
              <w:rPr>
                <w:rStyle w:val="IndexLink"/>
                <w:rtl w:val="true"/>
              </w:rPr>
              <w:t xml:space="preserve">ت </w:t>
            </w:r>
            <w:r>
              <w:rPr>
                <w:rStyle w:val="IndexLink"/>
              </w:rPr>
              <w:t>489</w:t>
            </w:r>
            <w:r>
              <w:rPr>
                <w:rStyle w:val="IndexLink"/>
                <w:rtl w:val="true"/>
              </w:rPr>
              <w:t xml:space="preserve"> </w:t>
            </w:r>
            <w:r>
              <w:rPr>
                <w:rStyle w:val="IndexLink"/>
                <w:rtl w:val="true"/>
              </w:rPr>
              <w:t xml:space="preserve">ه </w:t>
            </w:r>
            <w:r>
              <w:rPr>
                <w:rStyle w:val="IndexLink"/>
                <w:rtl w:val="true"/>
              </w:rPr>
              <w:t>)</w:t>
              <w:tab/>
            </w:r>
            <w:r>
              <w:rPr>
                <w:rStyle w:val="IndexLink"/>
              </w:rPr>
              <w:t>134</w:t>
            </w:r>
          </w:hyperlink>
        </w:p>
        <w:p>
          <w:pPr>
            <w:pStyle w:val="Contents3"/>
            <w:tabs>
              <w:tab w:val="clear" w:pos="8459"/>
              <w:tab w:val="right" w:pos="9026" w:leader="dot"/>
            </w:tabs>
            <w:rPr/>
          </w:pPr>
          <w:hyperlink w:anchor="__RefHeading___Toc972166_237004111">
            <w:r>
              <w:rPr>
                <w:webHidden/>
                <w:rStyle w:val="IndexLink"/>
              </w:rPr>
              <w:t>35</w:t>
            </w:r>
            <w:r>
              <w:rPr>
                <w:rStyle w:val="IndexLink"/>
                <w:rtl w:val="true"/>
              </w:rPr>
              <w:t xml:space="preserve"> - </w:t>
            </w:r>
            <w:r>
              <w:rPr>
                <w:rStyle w:val="IndexLink"/>
                <w:rtl w:val="true"/>
              </w:rPr>
              <w:t xml:space="preserve">البزدویّ </w:t>
            </w:r>
            <w:r>
              <w:rPr>
                <w:rStyle w:val="IndexLink"/>
                <w:rtl w:val="true"/>
              </w:rPr>
              <w:t>(</w:t>
            </w:r>
            <w:r>
              <w:rPr>
                <w:rStyle w:val="IndexLink"/>
                <w:rtl w:val="true"/>
              </w:rPr>
              <w:t xml:space="preserve">ت </w:t>
            </w:r>
            <w:r>
              <w:rPr>
                <w:rStyle w:val="IndexLink"/>
              </w:rPr>
              <w:t>493</w:t>
            </w:r>
            <w:r>
              <w:rPr>
                <w:rStyle w:val="IndexLink"/>
                <w:rtl w:val="true"/>
              </w:rPr>
              <w:t xml:space="preserve"> </w:t>
            </w:r>
            <w:r>
              <w:rPr>
                <w:rStyle w:val="IndexLink"/>
                <w:rtl w:val="true"/>
              </w:rPr>
              <w:t xml:space="preserve">ه </w:t>
            </w:r>
            <w:r>
              <w:rPr>
                <w:rStyle w:val="IndexLink"/>
                <w:rtl w:val="true"/>
              </w:rPr>
              <w:t>)</w:t>
              <w:tab/>
            </w:r>
            <w:r>
              <w:rPr>
                <w:rStyle w:val="IndexLink"/>
              </w:rPr>
              <w:t>135</w:t>
            </w:r>
          </w:hyperlink>
        </w:p>
        <w:p>
          <w:pPr>
            <w:pStyle w:val="Contents3"/>
            <w:tabs>
              <w:tab w:val="clear" w:pos="8459"/>
              <w:tab w:val="right" w:pos="9026" w:leader="dot"/>
            </w:tabs>
            <w:rPr/>
          </w:pPr>
          <w:hyperlink w:anchor="__RefHeading___Toc972168_237004111">
            <w:r>
              <w:rPr>
                <w:webHidden/>
                <w:rStyle w:val="IndexLink"/>
              </w:rPr>
              <w:t>36</w:t>
            </w:r>
            <w:r>
              <w:rPr>
                <w:rStyle w:val="IndexLink"/>
                <w:rtl w:val="true"/>
              </w:rPr>
              <w:t xml:space="preserve"> - </w:t>
            </w:r>
            <w:r>
              <w:rPr>
                <w:rStyle w:val="IndexLink"/>
                <w:rtl w:val="true"/>
              </w:rPr>
              <w:t xml:space="preserve">عماد الدین الکِیا الهَرَّاس الطبریّ </w:t>
            </w:r>
            <w:r>
              <w:rPr>
                <w:rStyle w:val="IndexLink"/>
                <w:rtl w:val="true"/>
              </w:rPr>
              <w:t>(</w:t>
            </w:r>
            <w:r>
              <w:rPr>
                <w:rStyle w:val="IndexLink"/>
                <w:rtl w:val="true"/>
              </w:rPr>
              <w:t xml:space="preserve">ت </w:t>
            </w:r>
            <w:r>
              <w:rPr>
                <w:rStyle w:val="IndexLink"/>
              </w:rPr>
              <w:t>504</w:t>
            </w:r>
            <w:r>
              <w:rPr>
                <w:rStyle w:val="IndexLink"/>
                <w:rtl w:val="true"/>
              </w:rPr>
              <w:t xml:space="preserve"> </w:t>
            </w:r>
            <w:r>
              <w:rPr>
                <w:rStyle w:val="IndexLink"/>
                <w:rtl w:val="true"/>
              </w:rPr>
              <w:t xml:space="preserve">ه </w:t>
            </w:r>
            <w:r>
              <w:rPr>
                <w:rStyle w:val="IndexLink"/>
                <w:rtl w:val="true"/>
              </w:rPr>
              <w:t>)</w:t>
              <w:tab/>
            </w:r>
            <w:r>
              <w:rPr>
                <w:rStyle w:val="IndexLink"/>
              </w:rPr>
              <w:t>135</w:t>
            </w:r>
          </w:hyperlink>
        </w:p>
        <w:p>
          <w:pPr>
            <w:pStyle w:val="Contents3"/>
            <w:tabs>
              <w:tab w:val="clear" w:pos="8459"/>
              <w:tab w:val="right" w:pos="9026" w:leader="dot"/>
            </w:tabs>
            <w:rPr/>
          </w:pPr>
          <w:hyperlink w:anchor="__RefHeading___Toc972170_237004111">
            <w:r>
              <w:rPr>
                <w:webHidden/>
                <w:rStyle w:val="IndexLink"/>
              </w:rPr>
              <w:t>37</w:t>
            </w:r>
            <w:r>
              <w:rPr>
                <w:rStyle w:val="IndexLink"/>
                <w:rtl w:val="true"/>
              </w:rPr>
              <w:t xml:space="preserve"> - </w:t>
            </w:r>
            <w:r>
              <w:rPr>
                <w:rStyle w:val="IndexLink"/>
                <w:rtl w:val="true"/>
              </w:rPr>
              <w:t xml:space="preserve">الغزالیّ الطوسیّ </w:t>
            </w:r>
            <w:r>
              <w:rPr>
                <w:rStyle w:val="IndexLink"/>
                <w:rtl w:val="true"/>
              </w:rPr>
              <w:t>(</w:t>
            </w:r>
            <w:r>
              <w:rPr>
                <w:rStyle w:val="IndexLink"/>
                <w:rtl w:val="true"/>
              </w:rPr>
              <w:t xml:space="preserve">ت </w:t>
            </w:r>
            <w:r>
              <w:rPr>
                <w:rStyle w:val="IndexLink"/>
              </w:rPr>
              <w:t>505</w:t>
            </w:r>
            <w:r>
              <w:rPr>
                <w:rStyle w:val="IndexLink"/>
                <w:rtl w:val="true"/>
              </w:rPr>
              <w:t xml:space="preserve"> </w:t>
            </w:r>
            <w:r>
              <w:rPr>
                <w:rStyle w:val="IndexLink"/>
                <w:rtl w:val="true"/>
              </w:rPr>
              <w:t xml:space="preserve">ه </w:t>
            </w:r>
            <w:r>
              <w:rPr>
                <w:rStyle w:val="IndexLink"/>
                <w:rtl w:val="true"/>
              </w:rPr>
              <w:t>)</w:t>
              <w:tab/>
            </w:r>
            <w:r>
              <w:rPr>
                <w:rStyle w:val="IndexLink"/>
              </w:rPr>
              <w:t>138</w:t>
            </w:r>
          </w:hyperlink>
        </w:p>
        <w:p>
          <w:pPr>
            <w:pStyle w:val="Contents3"/>
            <w:tabs>
              <w:tab w:val="clear" w:pos="8459"/>
              <w:tab w:val="right" w:pos="9026" w:leader="dot"/>
            </w:tabs>
            <w:rPr/>
          </w:pPr>
          <w:hyperlink w:anchor="__RefHeading___Toc972172_237004111">
            <w:r>
              <w:rPr>
                <w:webHidden/>
                <w:rStyle w:val="IndexLink"/>
              </w:rPr>
              <w:t>38</w:t>
            </w:r>
            <w:r>
              <w:rPr>
                <w:rStyle w:val="IndexLink"/>
                <w:rtl w:val="true"/>
              </w:rPr>
              <w:t xml:space="preserve"> - </w:t>
            </w:r>
            <w:r>
              <w:rPr>
                <w:rStyle w:val="IndexLink"/>
                <w:rtl w:val="true"/>
              </w:rPr>
              <w:t xml:space="preserve">البغویّ </w:t>
            </w:r>
            <w:r>
              <w:rPr>
                <w:rStyle w:val="IndexLink"/>
                <w:rtl w:val="true"/>
              </w:rPr>
              <w:t>(</w:t>
            </w:r>
            <w:r>
              <w:rPr>
                <w:rStyle w:val="IndexLink"/>
                <w:rtl w:val="true"/>
              </w:rPr>
              <w:t xml:space="preserve">ت </w:t>
            </w:r>
            <w:r>
              <w:rPr>
                <w:rStyle w:val="IndexLink"/>
              </w:rPr>
              <w:t>510</w:t>
            </w:r>
            <w:r>
              <w:rPr>
                <w:rStyle w:val="IndexLink"/>
                <w:rtl w:val="true"/>
              </w:rPr>
              <w:t xml:space="preserve"> </w:t>
            </w:r>
            <w:r>
              <w:rPr>
                <w:rStyle w:val="IndexLink"/>
                <w:rtl w:val="true"/>
              </w:rPr>
              <w:t xml:space="preserve">أو </w:t>
            </w:r>
            <w:r>
              <w:rPr>
                <w:rStyle w:val="IndexLink"/>
              </w:rPr>
              <w:t>516</w:t>
            </w:r>
            <w:r>
              <w:rPr>
                <w:rStyle w:val="IndexLink"/>
                <w:rtl w:val="true"/>
              </w:rPr>
              <w:t xml:space="preserve"> </w:t>
            </w:r>
            <w:r>
              <w:rPr>
                <w:rStyle w:val="IndexLink"/>
                <w:rtl w:val="true"/>
              </w:rPr>
              <w:t xml:space="preserve">ه </w:t>
            </w:r>
            <w:r>
              <w:rPr>
                <w:rStyle w:val="IndexLink"/>
                <w:rtl w:val="true"/>
              </w:rPr>
              <w:t>)</w:t>
              <w:tab/>
            </w:r>
            <w:r>
              <w:rPr>
                <w:rStyle w:val="IndexLink"/>
              </w:rPr>
              <w:t>140</w:t>
            </w:r>
          </w:hyperlink>
        </w:p>
        <w:p>
          <w:pPr>
            <w:pStyle w:val="Contents3"/>
            <w:tabs>
              <w:tab w:val="clear" w:pos="8459"/>
              <w:tab w:val="right" w:pos="9026" w:leader="dot"/>
            </w:tabs>
            <w:rPr/>
          </w:pPr>
          <w:hyperlink w:anchor="__RefHeading___Toc972174_237004111">
            <w:r>
              <w:rPr>
                <w:webHidden/>
                <w:rStyle w:val="IndexLink"/>
              </w:rPr>
              <w:t>39</w:t>
            </w:r>
            <w:r>
              <w:rPr>
                <w:rStyle w:val="IndexLink"/>
                <w:rtl w:val="true"/>
              </w:rPr>
              <w:t xml:space="preserve"> - </w:t>
            </w:r>
            <w:r>
              <w:rPr>
                <w:rStyle w:val="IndexLink"/>
                <w:rtl w:val="true"/>
              </w:rPr>
              <w:t xml:space="preserve">المیبدی، أبو الفضل، رشید الدین </w:t>
            </w:r>
            <w:r>
              <w:rPr>
                <w:rStyle w:val="IndexLink"/>
                <w:rtl w:val="true"/>
              </w:rPr>
              <w:t>(</w:t>
            </w:r>
            <w:r>
              <w:rPr>
                <w:rStyle w:val="IndexLink"/>
                <w:rtl w:val="true"/>
              </w:rPr>
              <w:t xml:space="preserve">ت </w:t>
            </w:r>
            <w:r>
              <w:rPr>
                <w:rStyle w:val="IndexLink"/>
              </w:rPr>
              <w:t>520</w:t>
            </w:r>
            <w:r>
              <w:rPr>
                <w:rStyle w:val="IndexLink"/>
                <w:rtl w:val="true"/>
              </w:rPr>
              <w:t xml:space="preserve"> </w:t>
            </w:r>
            <w:r>
              <w:rPr>
                <w:rStyle w:val="IndexLink"/>
                <w:rtl w:val="true"/>
              </w:rPr>
              <w:t xml:space="preserve">ه </w:t>
            </w:r>
            <w:r>
              <w:rPr>
                <w:rStyle w:val="IndexLink"/>
                <w:rtl w:val="true"/>
              </w:rPr>
              <w:t>)</w:t>
              <w:tab/>
            </w:r>
            <w:r>
              <w:rPr>
                <w:rStyle w:val="IndexLink"/>
              </w:rPr>
              <w:t>143</w:t>
            </w:r>
          </w:hyperlink>
        </w:p>
        <w:p>
          <w:pPr>
            <w:pStyle w:val="Contents3"/>
            <w:tabs>
              <w:tab w:val="clear" w:pos="8459"/>
              <w:tab w:val="right" w:pos="9026" w:leader="dot"/>
            </w:tabs>
            <w:rPr/>
          </w:pPr>
          <w:hyperlink w:anchor="__RefHeading___Toc972176_237004111">
            <w:r>
              <w:rPr>
                <w:webHidden/>
                <w:rStyle w:val="IndexLink"/>
              </w:rPr>
              <w:t>40</w:t>
            </w:r>
            <w:r>
              <w:rPr>
                <w:rStyle w:val="IndexLink"/>
                <w:rtl w:val="true"/>
              </w:rPr>
              <w:t xml:space="preserve"> - </w:t>
            </w:r>
            <w:r>
              <w:rPr>
                <w:rStyle w:val="IndexLink"/>
                <w:rtl w:val="true"/>
              </w:rPr>
              <w:t xml:space="preserve">الشیّخ، أبو الفتوح الرّازی </w:t>
            </w:r>
            <w:r>
              <w:rPr>
                <w:rStyle w:val="IndexLink"/>
                <w:rtl w:val="true"/>
              </w:rPr>
              <w:t>(</w:t>
            </w:r>
            <w:r>
              <w:rPr>
                <w:rStyle w:val="IndexLink"/>
                <w:rtl w:val="true"/>
              </w:rPr>
              <w:t>من علماء القرن السّادس</w:t>
            </w:r>
            <w:r>
              <w:rPr>
                <w:rStyle w:val="IndexLink"/>
                <w:rtl w:val="true"/>
              </w:rPr>
              <w:t>)</w:t>
              <w:tab/>
            </w:r>
            <w:r>
              <w:rPr>
                <w:rStyle w:val="IndexLink"/>
              </w:rPr>
              <w:t>143</w:t>
            </w:r>
          </w:hyperlink>
        </w:p>
        <w:p>
          <w:pPr>
            <w:pStyle w:val="Contents3"/>
            <w:tabs>
              <w:tab w:val="clear" w:pos="8459"/>
              <w:tab w:val="right" w:pos="9026" w:leader="dot"/>
            </w:tabs>
            <w:rPr/>
          </w:pPr>
          <w:hyperlink w:anchor="__RefHeading___Toc972178_237004111">
            <w:r>
              <w:rPr>
                <w:webHidden/>
                <w:rStyle w:val="IndexLink"/>
              </w:rPr>
              <w:t>41</w:t>
            </w:r>
            <w:r>
              <w:rPr>
                <w:rStyle w:val="IndexLink"/>
                <w:rtl w:val="true"/>
              </w:rPr>
              <w:t xml:space="preserve"> - </w:t>
            </w:r>
            <w:r>
              <w:rPr>
                <w:rStyle w:val="IndexLink"/>
                <w:rtl w:val="true"/>
              </w:rPr>
              <w:t xml:space="preserve">أبوالقاسم الزمخشریّ </w:t>
            </w:r>
            <w:r>
              <w:rPr>
                <w:rStyle w:val="IndexLink"/>
                <w:rtl w:val="true"/>
              </w:rPr>
              <w:t>(</w:t>
            </w:r>
            <w:r>
              <w:rPr>
                <w:rStyle w:val="IndexLink"/>
                <w:rtl w:val="true"/>
              </w:rPr>
              <w:t xml:space="preserve">ت </w:t>
            </w:r>
            <w:r>
              <w:rPr>
                <w:rStyle w:val="IndexLink"/>
              </w:rPr>
              <w:t>528</w:t>
            </w:r>
            <w:r>
              <w:rPr>
                <w:rStyle w:val="IndexLink"/>
                <w:rtl w:val="true"/>
              </w:rPr>
              <w:t xml:space="preserve"> </w:t>
            </w:r>
            <w:r>
              <w:rPr>
                <w:rStyle w:val="IndexLink"/>
                <w:rtl w:val="true"/>
              </w:rPr>
              <w:t xml:space="preserve">ه </w:t>
            </w:r>
            <w:r>
              <w:rPr>
                <w:rStyle w:val="IndexLink"/>
                <w:rtl w:val="true"/>
              </w:rPr>
              <w:t>)</w:t>
              <w:tab/>
            </w:r>
            <w:r>
              <w:rPr>
                <w:rStyle w:val="IndexLink"/>
              </w:rPr>
              <w:t>145</w:t>
            </w:r>
          </w:hyperlink>
        </w:p>
        <w:p>
          <w:pPr>
            <w:pStyle w:val="Contents3"/>
            <w:tabs>
              <w:tab w:val="clear" w:pos="8459"/>
              <w:tab w:val="right" w:pos="9026" w:leader="dot"/>
            </w:tabs>
            <w:rPr/>
          </w:pPr>
          <w:hyperlink w:anchor="__RefHeading___Toc972180_237004111">
            <w:r>
              <w:rPr>
                <w:webHidden/>
                <w:rStyle w:val="IndexLink"/>
              </w:rPr>
              <w:t>42</w:t>
            </w:r>
            <w:r>
              <w:rPr>
                <w:rStyle w:val="IndexLink"/>
                <w:rtl w:val="true"/>
              </w:rPr>
              <w:t xml:space="preserve"> - </w:t>
            </w:r>
            <w:r>
              <w:rPr>
                <w:rStyle w:val="IndexLink"/>
                <w:rtl w:val="true"/>
              </w:rPr>
              <w:t xml:space="preserve">أبوبکر ابن العربیّ </w:t>
            </w:r>
            <w:r>
              <w:rPr>
                <w:rStyle w:val="IndexLink"/>
                <w:rtl w:val="true"/>
              </w:rPr>
              <w:t>(</w:t>
            </w:r>
            <w:r>
              <w:rPr>
                <w:rStyle w:val="IndexLink"/>
                <w:rtl w:val="true"/>
              </w:rPr>
              <w:t xml:space="preserve">ت </w:t>
            </w:r>
            <w:r>
              <w:rPr>
                <w:rStyle w:val="IndexLink"/>
              </w:rPr>
              <w:t>543</w:t>
            </w:r>
            <w:r>
              <w:rPr>
                <w:rStyle w:val="IndexLink"/>
                <w:rtl w:val="true"/>
              </w:rPr>
              <w:t xml:space="preserve"> </w:t>
            </w:r>
            <w:r>
              <w:rPr>
                <w:rStyle w:val="IndexLink"/>
                <w:rtl w:val="true"/>
              </w:rPr>
              <w:t xml:space="preserve">ه </w:t>
            </w:r>
            <w:r>
              <w:rPr>
                <w:rStyle w:val="IndexLink"/>
                <w:rtl w:val="true"/>
              </w:rPr>
              <w:t>)</w:t>
              <w:tab/>
            </w:r>
            <w:r>
              <w:rPr>
                <w:rStyle w:val="IndexLink"/>
              </w:rPr>
              <w:t>147</w:t>
            </w:r>
          </w:hyperlink>
        </w:p>
        <w:p>
          <w:pPr>
            <w:pStyle w:val="Contents3"/>
            <w:tabs>
              <w:tab w:val="clear" w:pos="8459"/>
              <w:tab w:val="right" w:pos="9026" w:leader="dot"/>
            </w:tabs>
            <w:rPr/>
          </w:pPr>
          <w:hyperlink w:anchor="__RefHeading___Toc972182_237004111">
            <w:r>
              <w:rPr>
                <w:webHidden/>
                <w:rStyle w:val="IndexLink"/>
              </w:rPr>
              <w:t>43</w:t>
            </w:r>
            <w:r>
              <w:rPr>
                <w:rStyle w:val="IndexLink"/>
                <w:rtl w:val="true"/>
              </w:rPr>
              <w:t xml:space="preserve"> - </w:t>
            </w:r>
            <w:r>
              <w:rPr>
                <w:rStyle w:val="IndexLink"/>
                <w:rtl w:val="true"/>
              </w:rPr>
              <w:t xml:space="preserve">ابن عطیّة الأندلسیّ </w:t>
            </w:r>
            <w:r>
              <w:rPr>
                <w:rStyle w:val="IndexLink"/>
                <w:rtl w:val="true"/>
              </w:rPr>
              <w:t>(</w:t>
            </w:r>
            <w:r>
              <w:rPr>
                <w:rStyle w:val="IndexLink"/>
                <w:rtl w:val="true"/>
              </w:rPr>
              <w:t xml:space="preserve">ت </w:t>
            </w:r>
            <w:r>
              <w:rPr>
                <w:rStyle w:val="IndexLink"/>
              </w:rPr>
              <w:t>546</w:t>
            </w:r>
            <w:r>
              <w:rPr>
                <w:rStyle w:val="IndexLink"/>
                <w:rtl w:val="true"/>
              </w:rPr>
              <w:t xml:space="preserve"> </w:t>
            </w:r>
            <w:r>
              <w:rPr>
                <w:rStyle w:val="IndexLink"/>
                <w:rtl w:val="true"/>
              </w:rPr>
              <w:t xml:space="preserve">ه </w:t>
            </w:r>
            <w:r>
              <w:rPr>
                <w:rStyle w:val="IndexLink"/>
                <w:rtl w:val="true"/>
              </w:rPr>
              <w:t>)</w:t>
              <w:tab/>
            </w:r>
            <w:r>
              <w:rPr>
                <w:rStyle w:val="IndexLink"/>
              </w:rPr>
              <w:t>148</w:t>
            </w:r>
          </w:hyperlink>
        </w:p>
        <w:p>
          <w:pPr>
            <w:pStyle w:val="Contents3"/>
            <w:tabs>
              <w:tab w:val="clear" w:pos="8459"/>
              <w:tab w:val="right" w:pos="9026" w:leader="dot"/>
            </w:tabs>
            <w:rPr/>
          </w:pPr>
          <w:hyperlink w:anchor="__RefHeading___Toc972184_237004111">
            <w:r>
              <w:rPr>
                <w:webHidden/>
                <w:rStyle w:val="IndexLink"/>
              </w:rPr>
              <w:t>44</w:t>
            </w:r>
            <w:r>
              <w:rPr>
                <w:rStyle w:val="IndexLink"/>
                <w:rtl w:val="true"/>
              </w:rPr>
              <w:t xml:space="preserve"> - </w:t>
            </w:r>
            <w:r>
              <w:rPr>
                <w:rStyle w:val="IndexLink"/>
                <w:rtl w:val="true"/>
              </w:rPr>
              <w:t xml:space="preserve">الشیخ الطبرسیّ </w:t>
            </w:r>
            <w:r>
              <w:rPr>
                <w:rStyle w:val="IndexLink"/>
                <w:rtl w:val="true"/>
              </w:rPr>
              <w:t>(</w:t>
            </w:r>
            <w:r>
              <w:rPr>
                <w:rStyle w:val="IndexLink"/>
                <w:rtl w:val="true"/>
              </w:rPr>
              <w:t xml:space="preserve">ت </w:t>
            </w:r>
            <w:r>
              <w:rPr>
                <w:rStyle w:val="IndexLink"/>
              </w:rPr>
              <w:t>548</w:t>
            </w:r>
            <w:r>
              <w:rPr>
                <w:rStyle w:val="IndexLink"/>
                <w:rtl w:val="true"/>
              </w:rPr>
              <w:t xml:space="preserve"> </w:t>
            </w:r>
            <w:r>
              <w:rPr>
                <w:rStyle w:val="IndexLink"/>
                <w:rtl w:val="true"/>
              </w:rPr>
              <w:t xml:space="preserve">ه </w:t>
            </w:r>
            <w:r>
              <w:rPr>
                <w:rStyle w:val="IndexLink"/>
                <w:rtl w:val="true"/>
              </w:rPr>
              <w:t>)</w:t>
              <w:tab/>
            </w:r>
            <w:r>
              <w:rPr>
                <w:rStyle w:val="IndexLink"/>
              </w:rPr>
              <w:t>149</w:t>
            </w:r>
          </w:hyperlink>
        </w:p>
        <w:p>
          <w:pPr>
            <w:pStyle w:val="Contents3"/>
            <w:tabs>
              <w:tab w:val="clear" w:pos="8459"/>
              <w:tab w:val="right" w:pos="9026" w:leader="dot"/>
            </w:tabs>
            <w:rPr/>
          </w:pPr>
          <w:hyperlink w:anchor="__RefHeading___Toc972186_237004111">
            <w:r>
              <w:rPr>
                <w:webHidden/>
                <w:rStyle w:val="IndexLink"/>
              </w:rPr>
              <w:t>45</w:t>
            </w:r>
            <w:r>
              <w:rPr>
                <w:rStyle w:val="IndexLink"/>
                <w:rtl w:val="true"/>
              </w:rPr>
              <w:t xml:space="preserve"> - </w:t>
            </w:r>
            <w:r>
              <w:rPr>
                <w:rStyle w:val="IndexLink"/>
                <w:rtl w:val="true"/>
              </w:rPr>
              <w:t xml:space="preserve">محمود بن أبی الحسن النیسابوریّ </w:t>
            </w:r>
            <w:r>
              <w:rPr>
                <w:rStyle w:val="IndexLink"/>
                <w:rtl w:val="true"/>
              </w:rPr>
              <w:t>(</w:t>
            </w:r>
            <w:r>
              <w:rPr>
                <w:rStyle w:val="IndexLink"/>
                <w:rtl w:val="true"/>
              </w:rPr>
              <w:t xml:space="preserve">ت بعد </w:t>
            </w:r>
            <w:r>
              <w:rPr>
                <w:rStyle w:val="IndexLink"/>
              </w:rPr>
              <w:t>553</w:t>
            </w:r>
            <w:r>
              <w:rPr>
                <w:rStyle w:val="IndexLink"/>
                <w:rtl w:val="true"/>
              </w:rPr>
              <w:t xml:space="preserve"> </w:t>
            </w:r>
            <w:r>
              <w:rPr>
                <w:rStyle w:val="IndexLink"/>
                <w:rtl w:val="true"/>
              </w:rPr>
              <w:t xml:space="preserve">ه </w:t>
            </w:r>
            <w:r>
              <w:rPr>
                <w:rStyle w:val="IndexLink"/>
                <w:rtl w:val="true"/>
              </w:rPr>
              <w:t>)</w:t>
              <w:tab/>
            </w:r>
            <w:r>
              <w:rPr>
                <w:rStyle w:val="IndexLink"/>
              </w:rPr>
              <w:t>155</w:t>
            </w:r>
          </w:hyperlink>
        </w:p>
        <w:p>
          <w:pPr>
            <w:pStyle w:val="Contents3"/>
            <w:tabs>
              <w:tab w:val="clear" w:pos="8459"/>
              <w:tab w:val="right" w:pos="9026" w:leader="dot"/>
            </w:tabs>
            <w:rPr/>
          </w:pPr>
          <w:hyperlink w:anchor="__RefHeading___Toc972188_237004111">
            <w:r>
              <w:rPr>
                <w:webHidden/>
                <w:rStyle w:val="IndexLink"/>
              </w:rPr>
              <w:t>46</w:t>
            </w:r>
            <w:r>
              <w:rPr>
                <w:rStyle w:val="IndexLink"/>
                <w:rtl w:val="true"/>
              </w:rPr>
              <w:t xml:space="preserve"> - </w:t>
            </w:r>
            <w:r>
              <w:rPr>
                <w:rStyle w:val="IndexLink"/>
                <w:rtl w:val="true"/>
              </w:rPr>
              <w:t xml:space="preserve">بیان الحق النیسابوری </w:t>
            </w:r>
            <w:r>
              <w:rPr>
                <w:rStyle w:val="IndexLink"/>
                <w:rtl w:val="true"/>
              </w:rPr>
              <w:t>(</w:t>
            </w:r>
            <w:r>
              <w:rPr>
                <w:rStyle w:val="IndexLink"/>
                <w:rtl w:val="true"/>
              </w:rPr>
              <w:t xml:space="preserve">ت </w:t>
            </w:r>
            <w:r>
              <w:rPr>
                <w:rStyle w:val="IndexLink"/>
              </w:rPr>
              <w:t>555</w:t>
            </w:r>
            <w:r>
              <w:rPr>
                <w:rStyle w:val="IndexLink"/>
                <w:rtl w:val="true"/>
              </w:rPr>
              <w:t xml:space="preserve"> </w:t>
            </w:r>
            <w:r>
              <w:rPr>
                <w:rStyle w:val="IndexLink"/>
                <w:rtl w:val="true"/>
              </w:rPr>
              <w:t xml:space="preserve">ه </w:t>
            </w:r>
            <w:r>
              <w:rPr>
                <w:rStyle w:val="IndexLink"/>
                <w:rtl w:val="true"/>
              </w:rPr>
              <w:t>)</w:t>
              <w:tab/>
            </w:r>
            <w:r>
              <w:rPr>
                <w:rStyle w:val="IndexLink"/>
              </w:rPr>
              <w:t>156</w:t>
            </w:r>
          </w:hyperlink>
        </w:p>
        <w:p>
          <w:pPr>
            <w:pStyle w:val="Contents3"/>
            <w:tabs>
              <w:tab w:val="clear" w:pos="8459"/>
              <w:tab w:val="right" w:pos="9026" w:leader="dot"/>
            </w:tabs>
            <w:rPr/>
          </w:pPr>
          <w:hyperlink w:anchor="__RefHeading___Toc972190_237004111">
            <w:r>
              <w:rPr>
                <w:webHidden/>
                <w:rStyle w:val="IndexLink"/>
              </w:rPr>
              <w:t>47</w:t>
            </w:r>
            <w:r>
              <w:rPr>
                <w:rStyle w:val="IndexLink"/>
                <w:rtl w:val="true"/>
              </w:rPr>
              <w:t xml:space="preserve"> - </w:t>
            </w:r>
            <w:r>
              <w:rPr>
                <w:rStyle w:val="IndexLink"/>
                <w:rtl w:val="true"/>
              </w:rPr>
              <w:t>نصر بن علیّالشیرازیّ الفسویّ المعروف بابن أبی مریم</w:t>
            </w:r>
            <w:r>
              <w:rPr>
                <w:rStyle w:val="IndexLink"/>
                <w:rtl w:val="true"/>
              </w:rPr>
              <w:tab/>
            </w:r>
            <w:r>
              <w:rPr>
                <w:rStyle w:val="IndexLink"/>
              </w:rPr>
              <w:t>157</w:t>
            </w:r>
          </w:hyperlink>
        </w:p>
        <w:p>
          <w:pPr>
            <w:pStyle w:val="Contents3"/>
            <w:tabs>
              <w:tab w:val="clear" w:pos="8459"/>
              <w:tab w:val="right" w:pos="9026" w:leader="dot"/>
            </w:tabs>
            <w:rPr/>
          </w:pPr>
          <w:hyperlink w:anchor="__RefHeading___Toc972192_237004111">
            <w:r>
              <w:rPr>
                <w:webHidden/>
                <w:rStyle w:val="IndexLink"/>
              </w:rPr>
              <w:t>48</w:t>
            </w:r>
            <w:r>
              <w:rPr>
                <w:rStyle w:val="IndexLink"/>
                <w:rtl w:val="true"/>
              </w:rPr>
              <w:t xml:space="preserve"> - </w:t>
            </w:r>
            <w:r>
              <w:rPr>
                <w:rStyle w:val="IndexLink"/>
                <w:rtl w:val="true"/>
              </w:rPr>
              <w:t xml:space="preserve">القطب الراوندیّ </w:t>
            </w:r>
            <w:r>
              <w:rPr>
                <w:rStyle w:val="IndexLink"/>
                <w:rtl w:val="true"/>
              </w:rPr>
              <w:t>(</w:t>
            </w:r>
            <w:r>
              <w:rPr>
                <w:rStyle w:val="IndexLink"/>
                <w:rtl w:val="true"/>
              </w:rPr>
              <w:t xml:space="preserve">ت </w:t>
            </w:r>
            <w:r>
              <w:rPr>
                <w:rStyle w:val="IndexLink"/>
              </w:rPr>
              <w:t>573</w:t>
            </w:r>
            <w:r>
              <w:rPr>
                <w:rStyle w:val="IndexLink"/>
                <w:rtl w:val="true"/>
              </w:rPr>
              <w:t xml:space="preserve"> </w:t>
            </w:r>
            <w:r>
              <w:rPr>
                <w:rStyle w:val="IndexLink"/>
                <w:rtl w:val="true"/>
              </w:rPr>
              <w:t xml:space="preserve">ه </w:t>
            </w:r>
            <w:r>
              <w:rPr>
                <w:rStyle w:val="IndexLink"/>
                <w:rtl w:val="true"/>
              </w:rPr>
              <w:t>)</w:t>
              <w:tab/>
            </w:r>
            <w:r>
              <w:rPr>
                <w:rStyle w:val="IndexLink"/>
              </w:rPr>
              <w:t>159</w:t>
            </w:r>
          </w:hyperlink>
        </w:p>
        <w:p>
          <w:pPr>
            <w:pStyle w:val="Contents3"/>
            <w:tabs>
              <w:tab w:val="clear" w:pos="8459"/>
              <w:tab w:val="right" w:pos="9026" w:leader="dot"/>
            </w:tabs>
            <w:rPr/>
          </w:pPr>
          <w:hyperlink w:anchor="__RefHeading___Toc972194_237004111">
            <w:r>
              <w:rPr>
                <w:webHidden/>
                <w:rStyle w:val="IndexLink"/>
              </w:rPr>
              <w:t>49</w:t>
            </w:r>
            <w:r>
              <w:rPr>
                <w:rStyle w:val="IndexLink"/>
                <w:rtl w:val="true"/>
              </w:rPr>
              <w:t xml:space="preserve"> - </w:t>
            </w:r>
            <w:r>
              <w:rPr>
                <w:rStyle w:val="IndexLink"/>
                <w:rtl w:val="true"/>
              </w:rPr>
              <w:t xml:space="preserve">السیّد ابن زهرة الحلبیّ </w:t>
            </w:r>
            <w:r>
              <w:rPr>
                <w:rStyle w:val="IndexLink"/>
                <w:rtl w:val="true"/>
              </w:rPr>
              <w:t>(</w:t>
            </w:r>
            <w:r>
              <w:rPr>
                <w:rStyle w:val="IndexLink"/>
                <w:rtl w:val="true"/>
              </w:rPr>
              <w:t xml:space="preserve">ت </w:t>
            </w:r>
            <w:r>
              <w:rPr>
                <w:rStyle w:val="IndexLink"/>
              </w:rPr>
              <w:t>585</w:t>
            </w:r>
            <w:r>
              <w:rPr>
                <w:rStyle w:val="IndexLink"/>
                <w:rtl w:val="true"/>
              </w:rPr>
              <w:t xml:space="preserve"> </w:t>
            </w:r>
            <w:r>
              <w:rPr>
                <w:rStyle w:val="IndexLink"/>
                <w:rtl w:val="true"/>
              </w:rPr>
              <w:t xml:space="preserve">ه </w:t>
            </w:r>
            <w:r>
              <w:rPr>
                <w:rStyle w:val="IndexLink"/>
                <w:rtl w:val="true"/>
              </w:rPr>
              <w:t>)</w:t>
              <w:tab/>
            </w:r>
            <w:r>
              <w:rPr>
                <w:rStyle w:val="IndexLink"/>
              </w:rPr>
              <w:t>160</w:t>
            </w:r>
          </w:hyperlink>
        </w:p>
        <w:p>
          <w:pPr>
            <w:pStyle w:val="Contents3"/>
            <w:tabs>
              <w:tab w:val="clear" w:pos="8459"/>
              <w:tab w:val="right" w:pos="9026" w:leader="dot"/>
            </w:tabs>
            <w:rPr/>
          </w:pPr>
          <w:hyperlink w:anchor="__RefHeading___Toc972196_237004111">
            <w:r>
              <w:rPr>
                <w:webHidden/>
                <w:rStyle w:val="IndexLink"/>
              </w:rPr>
              <w:t>50</w:t>
            </w:r>
            <w:r>
              <w:rPr>
                <w:rStyle w:val="IndexLink"/>
                <w:rtl w:val="true"/>
              </w:rPr>
              <w:t xml:space="preserve"> - </w:t>
            </w:r>
            <w:r>
              <w:rPr>
                <w:rStyle w:val="IndexLink"/>
                <w:rtl w:val="true"/>
              </w:rPr>
              <w:t>أبو محمّد عبدالمنعم المعروف بابن الفرس الأندلسیّ</w:t>
            </w:r>
            <w:r>
              <w:rPr>
                <w:rStyle w:val="IndexLink"/>
                <w:rtl w:val="true"/>
              </w:rPr>
              <w:tab/>
            </w:r>
            <w:r>
              <w:rPr>
                <w:rStyle w:val="IndexLink"/>
              </w:rPr>
              <w:t>160</w:t>
            </w:r>
          </w:hyperlink>
        </w:p>
        <w:p>
          <w:pPr>
            <w:pStyle w:val="Contents3"/>
            <w:tabs>
              <w:tab w:val="clear" w:pos="8459"/>
              <w:tab w:val="right" w:pos="9026" w:leader="dot"/>
            </w:tabs>
            <w:rPr/>
          </w:pPr>
          <w:hyperlink w:anchor="__RefHeading___Toc972198_237004111">
            <w:r>
              <w:rPr>
                <w:webHidden/>
                <w:rStyle w:val="IndexLink"/>
              </w:rPr>
              <w:t>51</w:t>
            </w:r>
            <w:r>
              <w:rPr>
                <w:rStyle w:val="IndexLink"/>
                <w:rtl w:val="true"/>
              </w:rPr>
              <w:t xml:space="preserve"> - </w:t>
            </w:r>
            <w:r>
              <w:rPr>
                <w:rStyle w:val="IndexLink"/>
                <w:rtl w:val="true"/>
              </w:rPr>
              <w:t xml:space="preserve">ابن الجَوْزیّ الحنبلیّ البغدادَیّ، أبو الفرج </w:t>
            </w:r>
            <w:r>
              <w:rPr>
                <w:rStyle w:val="IndexLink"/>
                <w:rtl w:val="true"/>
              </w:rPr>
              <w:t>(</w:t>
            </w:r>
            <w:r>
              <w:rPr>
                <w:rStyle w:val="IndexLink"/>
                <w:rtl w:val="true"/>
              </w:rPr>
              <w:t xml:space="preserve">ت </w:t>
            </w:r>
            <w:r>
              <w:rPr>
                <w:rStyle w:val="IndexLink"/>
              </w:rPr>
              <w:t>597</w:t>
            </w:r>
            <w:r>
              <w:rPr>
                <w:rStyle w:val="IndexLink"/>
                <w:rtl w:val="true"/>
              </w:rPr>
              <w:t xml:space="preserve"> </w:t>
            </w:r>
            <w:r>
              <w:rPr>
                <w:rStyle w:val="IndexLink"/>
                <w:rtl w:val="true"/>
              </w:rPr>
              <w:t xml:space="preserve">ه </w:t>
            </w:r>
            <w:r>
              <w:rPr>
                <w:rStyle w:val="IndexLink"/>
                <w:rtl w:val="true"/>
              </w:rPr>
              <w:t>)</w:t>
              <w:tab/>
            </w:r>
            <w:r>
              <w:rPr>
                <w:rStyle w:val="IndexLink"/>
              </w:rPr>
              <w:t>162</w:t>
            </w:r>
          </w:hyperlink>
        </w:p>
        <w:p>
          <w:pPr>
            <w:pStyle w:val="Contents3"/>
            <w:tabs>
              <w:tab w:val="clear" w:pos="8459"/>
              <w:tab w:val="right" w:pos="9026" w:leader="dot"/>
            </w:tabs>
            <w:rPr/>
          </w:pPr>
          <w:hyperlink w:anchor="__RefHeading___Toc972200_237004111">
            <w:r>
              <w:rPr>
                <w:webHidden/>
                <w:rStyle w:val="IndexLink"/>
              </w:rPr>
              <w:t>52</w:t>
            </w:r>
            <w:r>
              <w:rPr>
                <w:rStyle w:val="IndexLink"/>
                <w:rtl w:val="true"/>
              </w:rPr>
              <w:t xml:space="preserve"> - </w:t>
            </w:r>
            <w:r>
              <w:rPr>
                <w:rStyle w:val="IndexLink"/>
                <w:rtl w:val="true"/>
              </w:rPr>
              <w:t xml:space="preserve">الفخر الرازیّ </w:t>
            </w:r>
            <w:r>
              <w:rPr>
                <w:rStyle w:val="IndexLink"/>
                <w:rtl w:val="true"/>
              </w:rPr>
              <w:t>(</w:t>
            </w:r>
            <w:r>
              <w:rPr>
                <w:rStyle w:val="IndexLink"/>
                <w:rtl w:val="true"/>
              </w:rPr>
              <w:t xml:space="preserve">ت </w:t>
            </w:r>
            <w:r>
              <w:rPr>
                <w:rStyle w:val="IndexLink"/>
              </w:rPr>
              <w:t>606</w:t>
            </w:r>
            <w:r>
              <w:rPr>
                <w:rStyle w:val="IndexLink"/>
                <w:rtl w:val="true"/>
              </w:rPr>
              <w:t xml:space="preserve"> </w:t>
            </w:r>
            <w:r>
              <w:rPr>
                <w:rStyle w:val="IndexLink"/>
                <w:rtl w:val="true"/>
              </w:rPr>
              <w:t xml:space="preserve">ه </w:t>
            </w:r>
            <w:r>
              <w:rPr>
                <w:rStyle w:val="IndexLink"/>
                <w:rtl w:val="true"/>
              </w:rPr>
              <w:t>)</w:t>
              <w:tab/>
            </w:r>
            <w:r>
              <w:rPr>
                <w:rStyle w:val="IndexLink"/>
              </w:rPr>
              <w:t>165</w:t>
            </w:r>
          </w:hyperlink>
        </w:p>
        <w:p>
          <w:pPr>
            <w:pStyle w:val="Contents3"/>
            <w:tabs>
              <w:tab w:val="clear" w:pos="8459"/>
              <w:tab w:val="right" w:pos="9026" w:leader="dot"/>
            </w:tabs>
            <w:rPr/>
          </w:pPr>
          <w:hyperlink w:anchor="__RefHeading___Toc972202_237004111">
            <w:r>
              <w:rPr>
                <w:webHidden/>
                <w:rStyle w:val="IndexLink"/>
              </w:rPr>
              <w:t>53</w:t>
            </w:r>
            <w:r>
              <w:rPr>
                <w:rStyle w:val="IndexLink"/>
                <w:rtl w:val="true"/>
              </w:rPr>
              <w:t xml:space="preserve"> - </w:t>
            </w:r>
            <w:r>
              <w:rPr>
                <w:rStyle w:val="IndexLink"/>
                <w:rtl w:val="true"/>
              </w:rPr>
              <w:t xml:space="preserve">أبو البقاء البغدادیّ الحَنْبَلیّ العکبری </w:t>
            </w:r>
            <w:r>
              <w:rPr>
                <w:rStyle w:val="IndexLink"/>
                <w:rtl w:val="true"/>
              </w:rPr>
              <w:t>(</w:t>
            </w:r>
            <w:r>
              <w:rPr>
                <w:rStyle w:val="IndexLink"/>
                <w:rtl w:val="true"/>
              </w:rPr>
              <w:t xml:space="preserve">ت </w:t>
            </w:r>
            <w:r>
              <w:rPr>
                <w:rStyle w:val="IndexLink"/>
              </w:rPr>
              <w:t>616</w:t>
            </w:r>
            <w:r>
              <w:rPr>
                <w:rStyle w:val="IndexLink"/>
                <w:rtl w:val="true"/>
              </w:rPr>
              <w:t xml:space="preserve"> </w:t>
            </w:r>
            <w:r>
              <w:rPr>
                <w:rStyle w:val="IndexLink"/>
                <w:rtl w:val="true"/>
              </w:rPr>
              <w:t xml:space="preserve">ه </w:t>
            </w:r>
            <w:r>
              <w:rPr>
                <w:rStyle w:val="IndexLink"/>
                <w:rtl w:val="true"/>
              </w:rPr>
              <w:t>)</w:t>
              <w:tab/>
            </w:r>
            <w:r>
              <w:rPr>
                <w:rStyle w:val="IndexLink"/>
              </w:rPr>
              <w:t>166</w:t>
            </w:r>
          </w:hyperlink>
        </w:p>
        <w:p>
          <w:pPr>
            <w:pStyle w:val="Contents3"/>
            <w:tabs>
              <w:tab w:val="clear" w:pos="8459"/>
              <w:tab w:val="right" w:pos="9026" w:leader="dot"/>
            </w:tabs>
            <w:rPr/>
          </w:pPr>
          <w:hyperlink w:anchor="__RefHeading___Toc972204_237004111">
            <w:r>
              <w:rPr>
                <w:webHidden/>
                <w:rStyle w:val="IndexLink"/>
              </w:rPr>
              <w:t>54</w:t>
            </w:r>
            <w:r>
              <w:rPr>
                <w:rStyle w:val="IndexLink"/>
                <w:rtl w:val="true"/>
              </w:rPr>
              <w:t xml:space="preserve"> - </w:t>
            </w:r>
            <w:r>
              <w:rPr>
                <w:rStyle w:val="IndexLink"/>
                <w:rtl w:val="true"/>
              </w:rPr>
              <w:t xml:space="preserve">السمعانیّ </w:t>
            </w:r>
            <w:r>
              <w:rPr>
                <w:rStyle w:val="IndexLink"/>
                <w:rtl w:val="true"/>
              </w:rPr>
              <w:t>(</w:t>
            </w:r>
            <w:r>
              <w:rPr>
                <w:rStyle w:val="IndexLink"/>
                <w:rtl w:val="true"/>
              </w:rPr>
              <w:t xml:space="preserve">ت </w:t>
            </w:r>
            <w:r>
              <w:rPr>
                <w:rStyle w:val="IndexLink"/>
              </w:rPr>
              <w:t>617</w:t>
            </w:r>
            <w:r>
              <w:rPr>
                <w:rStyle w:val="IndexLink"/>
                <w:rtl w:val="true"/>
              </w:rPr>
              <w:t xml:space="preserve"> </w:t>
            </w:r>
            <w:r>
              <w:rPr>
                <w:rStyle w:val="IndexLink"/>
                <w:rtl w:val="true"/>
              </w:rPr>
              <w:t xml:space="preserve">ه </w:t>
            </w:r>
            <w:r>
              <w:rPr>
                <w:rStyle w:val="IndexLink"/>
                <w:rtl w:val="true"/>
              </w:rPr>
              <w:t>)</w:t>
              <w:tab/>
            </w:r>
            <w:r>
              <w:rPr>
                <w:rStyle w:val="IndexLink"/>
              </w:rPr>
              <w:t>171</w:t>
            </w:r>
          </w:hyperlink>
        </w:p>
        <w:p>
          <w:pPr>
            <w:pStyle w:val="Contents3"/>
            <w:tabs>
              <w:tab w:val="clear" w:pos="8459"/>
              <w:tab w:val="right" w:pos="9026" w:leader="dot"/>
            </w:tabs>
            <w:rPr/>
          </w:pPr>
          <w:hyperlink w:anchor="__RefHeading___Toc972206_237004111">
            <w:r>
              <w:rPr>
                <w:webHidden/>
                <w:rStyle w:val="IndexLink"/>
              </w:rPr>
              <w:t>55</w:t>
            </w:r>
            <w:r>
              <w:rPr>
                <w:rStyle w:val="IndexLink"/>
                <w:rtl w:val="true"/>
              </w:rPr>
              <w:t xml:space="preserve"> - </w:t>
            </w:r>
            <w:r>
              <w:rPr>
                <w:rStyle w:val="IndexLink"/>
                <w:rtl w:val="true"/>
              </w:rPr>
              <w:t xml:space="preserve">أبو شامة </w:t>
            </w:r>
            <w:r>
              <w:rPr>
                <w:rStyle w:val="IndexLink"/>
                <w:rtl w:val="true"/>
              </w:rPr>
              <w:t>(</w:t>
            </w:r>
            <w:r>
              <w:rPr>
                <w:rStyle w:val="IndexLink"/>
                <w:rtl w:val="true"/>
              </w:rPr>
              <w:t xml:space="preserve">ت </w:t>
            </w:r>
            <w:r>
              <w:rPr>
                <w:rStyle w:val="IndexLink"/>
              </w:rPr>
              <w:t>665</w:t>
            </w:r>
            <w:r>
              <w:rPr>
                <w:rStyle w:val="IndexLink"/>
                <w:rtl w:val="true"/>
              </w:rPr>
              <w:t xml:space="preserve"> </w:t>
            </w:r>
            <w:r>
              <w:rPr>
                <w:rStyle w:val="IndexLink"/>
                <w:rtl w:val="true"/>
              </w:rPr>
              <w:t xml:space="preserve">ه </w:t>
            </w:r>
            <w:r>
              <w:rPr>
                <w:rStyle w:val="IndexLink"/>
                <w:rtl w:val="true"/>
              </w:rPr>
              <w:t>)</w:t>
              <w:tab/>
            </w:r>
            <w:r>
              <w:rPr>
                <w:rStyle w:val="IndexLink"/>
              </w:rPr>
              <w:t>173</w:t>
            </w:r>
          </w:hyperlink>
        </w:p>
        <w:p>
          <w:pPr>
            <w:pStyle w:val="Contents3"/>
            <w:tabs>
              <w:tab w:val="clear" w:pos="8459"/>
              <w:tab w:val="right" w:pos="9026" w:leader="dot"/>
            </w:tabs>
            <w:rPr/>
          </w:pPr>
          <w:hyperlink w:anchor="__RefHeading___Toc972208_237004111">
            <w:r>
              <w:rPr>
                <w:webHidden/>
                <w:rStyle w:val="IndexLink"/>
              </w:rPr>
              <w:t>56</w:t>
            </w:r>
            <w:r>
              <w:rPr>
                <w:rStyle w:val="IndexLink"/>
                <w:rtl w:val="true"/>
              </w:rPr>
              <w:t xml:space="preserve"> - </w:t>
            </w:r>
            <w:r>
              <w:rPr>
                <w:rStyle w:val="IndexLink"/>
                <w:rtl w:val="true"/>
              </w:rPr>
              <w:t xml:space="preserve">القرطبیّ </w:t>
            </w:r>
            <w:r>
              <w:rPr>
                <w:rStyle w:val="IndexLink"/>
                <w:rtl w:val="true"/>
              </w:rPr>
              <w:t>(</w:t>
            </w:r>
            <w:r>
              <w:rPr>
                <w:rStyle w:val="IndexLink"/>
                <w:rtl w:val="true"/>
              </w:rPr>
              <w:t xml:space="preserve">ت </w:t>
            </w:r>
            <w:r>
              <w:rPr>
                <w:rStyle w:val="IndexLink"/>
              </w:rPr>
              <w:t>671</w:t>
            </w:r>
            <w:r>
              <w:rPr>
                <w:rStyle w:val="IndexLink"/>
                <w:rtl w:val="true"/>
              </w:rPr>
              <w:t xml:space="preserve"> </w:t>
            </w:r>
            <w:r>
              <w:rPr>
                <w:rStyle w:val="IndexLink"/>
                <w:rtl w:val="true"/>
              </w:rPr>
              <w:t xml:space="preserve">ه </w:t>
            </w:r>
            <w:r>
              <w:rPr>
                <w:rStyle w:val="IndexLink"/>
                <w:rtl w:val="true"/>
              </w:rPr>
              <w:t>)</w:t>
              <w:tab/>
            </w:r>
            <w:r>
              <w:rPr>
                <w:rStyle w:val="IndexLink"/>
              </w:rPr>
              <w:t>175</w:t>
            </w:r>
          </w:hyperlink>
        </w:p>
        <w:p>
          <w:pPr>
            <w:pStyle w:val="Contents3"/>
            <w:tabs>
              <w:tab w:val="clear" w:pos="8459"/>
              <w:tab w:val="right" w:pos="9026" w:leader="dot"/>
            </w:tabs>
            <w:rPr/>
          </w:pPr>
          <w:hyperlink w:anchor="__RefHeading___Toc972210_237004111">
            <w:r>
              <w:rPr>
                <w:webHidden/>
                <w:rStyle w:val="IndexLink"/>
              </w:rPr>
              <w:t>57</w:t>
            </w:r>
            <w:r>
              <w:rPr>
                <w:rStyle w:val="IndexLink"/>
                <w:rtl w:val="true"/>
              </w:rPr>
              <w:t xml:space="preserve"> - </w:t>
            </w:r>
            <w:r>
              <w:rPr>
                <w:rStyle w:val="IndexLink"/>
                <w:rtl w:val="true"/>
              </w:rPr>
              <w:t xml:space="preserve">المحقّق الحلّیّ </w:t>
            </w:r>
            <w:r>
              <w:rPr>
                <w:rStyle w:val="IndexLink"/>
                <w:rtl w:val="true"/>
              </w:rPr>
              <w:t>(</w:t>
            </w:r>
            <w:r>
              <w:rPr>
                <w:rStyle w:val="IndexLink"/>
                <w:rtl w:val="true"/>
              </w:rPr>
              <w:t xml:space="preserve">ت </w:t>
            </w:r>
            <w:r>
              <w:rPr>
                <w:rStyle w:val="IndexLink"/>
              </w:rPr>
              <w:t>676</w:t>
            </w:r>
            <w:r>
              <w:rPr>
                <w:rStyle w:val="IndexLink"/>
                <w:rtl w:val="true"/>
              </w:rPr>
              <w:t xml:space="preserve"> </w:t>
            </w:r>
            <w:r>
              <w:rPr>
                <w:rStyle w:val="IndexLink"/>
                <w:rtl w:val="true"/>
              </w:rPr>
              <w:t xml:space="preserve">ه </w:t>
            </w:r>
            <w:r>
              <w:rPr>
                <w:rStyle w:val="IndexLink"/>
                <w:rtl w:val="true"/>
              </w:rPr>
              <w:t>)</w:t>
              <w:tab/>
            </w:r>
            <w:r>
              <w:rPr>
                <w:rStyle w:val="IndexLink"/>
              </w:rPr>
              <w:t>183</w:t>
            </w:r>
          </w:hyperlink>
        </w:p>
        <w:p>
          <w:pPr>
            <w:pStyle w:val="Contents3"/>
            <w:tabs>
              <w:tab w:val="clear" w:pos="8459"/>
              <w:tab w:val="right" w:pos="9026" w:leader="dot"/>
            </w:tabs>
            <w:rPr/>
          </w:pPr>
          <w:hyperlink w:anchor="__RefHeading___Toc972212_237004111">
            <w:r>
              <w:rPr>
                <w:webHidden/>
                <w:rStyle w:val="IndexLink"/>
              </w:rPr>
              <w:t>58</w:t>
            </w:r>
            <w:r>
              <w:rPr>
                <w:rStyle w:val="IndexLink"/>
                <w:rtl w:val="true"/>
              </w:rPr>
              <w:t xml:space="preserve"> - </w:t>
            </w:r>
            <w:r>
              <w:rPr>
                <w:rStyle w:val="IndexLink"/>
                <w:rtl w:val="true"/>
              </w:rPr>
              <w:t xml:space="preserve">علیّ بن محمّد القُمّیّ </w:t>
            </w:r>
            <w:r>
              <w:rPr>
                <w:rStyle w:val="IndexLink"/>
                <w:rtl w:val="true"/>
              </w:rPr>
              <w:t>(</w:t>
            </w:r>
            <w:r>
              <w:rPr>
                <w:rStyle w:val="IndexLink"/>
                <w:rtl w:val="true"/>
              </w:rPr>
              <w:t>من أعلام القرن السابع</w:t>
            </w:r>
            <w:r>
              <w:rPr>
                <w:rStyle w:val="IndexLink"/>
                <w:rtl w:val="true"/>
              </w:rPr>
              <w:t>)</w:t>
              <w:tab/>
            </w:r>
            <w:r>
              <w:rPr>
                <w:rStyle w:val="IndexLink"/>
              </w:rPr>
              <w:t>185</w:t>
            </w:r>
          </w:hyperlink>
        </w:p>
        <w:p>
          <w:pPr>
            <w:pStyle w:val="Contents3"/>
            <w:tabs>
              <w:tab w:val="clear" w:pos="8459"/>
              <w:tab w:val="right" w:pos="9026" w:leader="dot"/>
            </w:tabs>
            <w:rPr/>
          </w:pPr>
          <w:hyperlink w:anchor="__RefHeading___Toc972214_237004111">
            <w:r>
              <w:rPr>
                <w:webHidden/>
                <w:rStyle w:val="IndexLink"/>
              </w:rPr>
              <w:t>59</w:t>
            </w:r>
            <w:r>
              <w:rPr>
                <w:rStyle w:val="IndexLink"/>
                <w:rtl w:val="true"/>
              </w:rPr>
              <w:t xml:space="preserve"> - </w:t>
            </w:r>
            <w:r>
              <w:rPr>
                <w:rStyle w:val="IndexLink"/>
                <w:rtl w:val="true"/>
              </w:rPr>
              <w:t xml:space="preserve">البیضاویّ </w:t>
            </w:r>
            <w:r>
              <w:rPr>
                <w:rStyle w:val="IndexLink"/>
                <w:rtl w:val="true"/>
              </w:rPr>
              <w:t>(</w:t>
            </w:r>
            <w:r>
              <w:rPr>
                <w:rStyle w:val="IndexLink"/>
                <w:rtl w:val="true"/>
              </w:rPr>
              <w:t xml:space="preserve">ت </w:t>
            </w:r>
            <w:r>
              <w:rPr>
                <w:rStyle w:val="IndexLink"/>
              </w:rPr>
              <w:t>682</w:t>
            </w:r>
            <w:r>
              <w:rPr>
                <w:rStyle w:val="IndexLink"/>
                <w:rtl w:val="true"/>
              </w:rPr>
              <w:t xml:space="preserve"> </w:t>
            </w:r>
            <w:r>
              <w:rPr>
                <w:rStyle w:val="IndexLink"/>
                <w:rtl w:val="true"/>
              </w:rPr>
              <w:t xml:space="preserve">ه </w:t>
            </w:r>
            <w:r>
              <w:rPr>
                <w:rStyle w:val="IndexLink"/>
                <w:rtl w:val="true"/>
              </w:rPr>
              <w:t>)</w:t>
              <w:tab/>
            </w:r>
            <w:r>
              <w:rPr>
                <w:rStyle w:val="IndexLink"/>
              </w:rPr>
              <w:t>187</w:t>
            </w:r>
          </w:hyperlink>
        </w:p>
        <w:p>
          <w:pPr>
            <w:pStyle w:val="Contents3"/>
            <w:tabs>
              <w:tab w:val="clear" w:pos="8459"/>
              <w:tab w:val="right" w:pos="9026" w:leader="dot"/>
            </w:tabs>
            <w:rPr/>
          </w:pPr>
          <w:hyperlink w:anchor="__RefHeading___Toc972216_237004111">
            <w:r>
              <w:rPr>
                <w:webHidden/>
                <w:rStyle w:val="IndexLink"/>
              </w:rPr>
              <w:t>60</w:t>
            </w:r>
            <w:r>
              <w:rPr>
                <w:rStyle w:val="IndexLink"/>
                <w:rtl w:val="true"/>
              </w:rPr>
              <w:t xml:space="preserve"> - </w:t>
            </w:r>
            <w:r>
              <w:rPr>
                <w:rStyle w:val="IndexLink"/>
                <w:rtl w:val="true"/>
              </w:rPr>
              <w:t xml:space="preserve">ابن المنیر الاسکندریّ </w:t>
            </w:r>
            <w:r>
              <w:rPr>
                <w:rStyle w:val="IndexLink"/>
                <w:rtl w:val="true"/>
              </w:rPr>
              <w:t>(</w:t>
            </w:r>
            <w:r>
              <w:rPr>
                <w:rStyle w:val="IndexLink"/>
                <w:rtl w:val="true"/>
              </w:rPr>
              <w:t xml:space="preserve">ت </w:t>
            </w:r>
            <w:r>
              <w:rPr>
                <w:rStyle w:val="IndexLink"/>
              </w:rPr>
              <w:t>683</w:t>
            </w:r>
            <w:r>
              <w:rPr>
                <w:rStyle w:val="IndexLink"/>
                <w:rtl w:val="true"/>
              </w:rPr>
              <w:t xml:space="preserve"> </w:t>
            </w:r>
            <w:r>
              <w:rPr>
                <w:rStyle w:val="IndexLink"/>
                <w:rtl w:val="true"/>
              </w:rPr>
              <w:t xml:space="preserve">ه </w:t>
            </w:r>
            <w:r>
              <w:rPr>
                <w:rStyle w:val="IndexLink"/>
                <w:rtl w:val="true"/>
              </w:rPr>
              <w:t>)</w:t>
              <w:tab/>
            </w:r>
            <w:r>
              <w:rPr>
                <w:rStyle w:val="IndexLink"/>
              </w:rPr>
              <w:t>188</w:t>
            </w:r>
          </w:hyperlink>
        </w:p>
        <w:p>
          <w:pPr>
            <w:pStyle w:val="Contents3"/>
            <w:tabs>
              <w:tab w:val="clear" w:pos="8459"/>
              <w:tab w:val="right" w:pos="9026" w:leader="dot"/>
            </w:tabs>
            <w:rPr/>
          </w:pPr>
          <w:hyperlink w:anchor="__RefHeading___Toc972218_237004111">
            <w:r>
              <w:rPr>
                <w:webHidden/>
                <w:rStyle w:val="IndexLink"/>
              </w:rPr>
              <w:t>61</w:t>
            </w:r>
            <w:r>
              <w:rPr>
                <w:rStyle w:val="IndexLink"/>
                <w:rtl w:val="true"/>
              </w:rPr>
              <w:t xml:space="preserve"> - </w:t>
            </w:r>
            <w:r>
              <w:rPr>
                <w:rStyle w:val="IndexLink"/>
                <w:rtl w:val="true"/>
              </w:rPr>
              <w:t xml:space="preserve">أبو البرکات النسفیّ </w:t>
            </w:r>
            <w:r>
              <w:rPr>
                <w:rStyle w:val="IndexLink"/>
                <w:rtl w:val="true"/>
              </w:rPr>
              <w:t>(</w:t>
            </w:r>
            <w:r>
              <w:rPr>
                <w:rStyle w:val="IndexLink"/>
                <w:rtl w:val="true"/>
              </w:rPr>
              <w:t xml:space="preserve">ت </w:t>
            </w:r>
            <w:r>
              <w:rPr>
                <w:rStyle w:val="IndexLink"/>
              </w:rPr>
              <w:t>710</w:t>
            </w:r>
            <w:r>
              <w:rPr>
                <w:rStyle w:val="IndexLink"/>
                <w:rtl w:val="true"/>
              </w:rPr>
              <w:t xml:space="preserve"> </w:t>
            </w:r>
            <w:r>
              <w:rPr>
                <w:rStyle w:val="IndexLink"/>
                <w:rtl w:val="true"/>
              </w:rPr>
              <w:t xml:space="preserve">ه </w:t>
            </w:r>
            <w:r>
              <w:rPr>
                <w:rStyle w:val="IndexLink"/>
                <w:rtl w:val="true"/>
              </w:rPr>
              <w:t>)</w:t>
              <w:tab/>
            </w:r>
            <w:r>
              <w:rPr>
                <w:rStyle w:val="IndexLink"/>
              </w:rPr>
              <w:t>189</w:t>
            </w:r>
          </w:hyperlink>
        </w:p>
        <w:p>
          <w:pPr>
            <w:pStyle w:val="Contents3"/>
            <w:tabs>
              <w:tab w:val="clear" w:pos="8459"/>
              <w:tab w:val="right" w:pos="9026" w:leader="dot"/>
            </w:tabs>
            <w:rPr/>
          </w:pPr>
          <w:hyperlink w:anchor="__RefHeading___Toc972220_237004111">
            <w:r>
              <w:rPr>
                <w:webHidden/>
                <w:rStyle w:val="IndexLink"/>
              </w:rPr>
              <w:t>62</w:t>
            </w:r>
            <w:r>
              <w:rPr>
                <w:rStyle w:val="IndexLink"/>
                <w:rtl w:val="true"/>
              </w:rPr>
              <w:t xml:space="preserve"> - </w:t>
            </w:r>
            <w:r>
              <w:rPr>
                <w:rStyle w:val="IndexLink"/>
                <w:rtl w:val="true"/>
              </w:rPr>
              <w:t xml:space="preserve">علاء الدین علیّ بن محمّد البغدادیّ الشهیر بالخازن </w:t>
            </w:r>
            <w:r>
              <w:rPr>
                <w:rStyle w:val="IndexLink"/>
                <w:rtl w:val="true"/>
              </w:rPr>
              <w:t>(</w:t>
            </w:r>
            <w:r>
              <w:rPr>
                <w:rStyle w:val="IndexLink"/>
                <w:rtl w:val="true"/>
              </w:rPr>
              <w:t xml:space="preserve">ت </w:t>
            </w:r>
            <w:r>
              <w:rPr>
                <w:rStyle w:val="IndexLink"/>
              </w:rPr>
              <w:t>725</w:t>
            </w:r>
            <w:r>
              <w:rPr>
                <w:rStyle w:val="IndexLink"/>
                <w:rtl w:val="true"/>
              </w:rPr>
              <w:t xml:space="preserve"> </w:t>
            </w:r>
            <w:r>
              <w:rPr>
                <w:rStyle w:val="IndexLink"/>
                <w:rtl w:val="true"/>
              </w:rPr>
              <w:t xml:space="preserve">ه </w:t>
            </w:r>
            <w:r>
              <w:rPr>
                <w:rStyle w:val="IndexLink"/>
                <w:rtl w:val="true"/>
              </w:rPr>
              <w:t>)</w:t>
              <w:tab/>
            </w:r>
            <w:r>
              <w:rPr>
                <w:rStyle w:val="IndexLink"/>
              </w:rPr>
              <w:t>192</w:t>
            </w:r>
          </w:hyperlink>
        </w:p>
        <w:p>
          <w:pPr>
            <w:pStyle w:val="Contents3"/>
            <w:tabs>
              <w:tab w:val="clear" w:pos="8459"/>
              <w:tab w:val="right" w:pos="9026" w:leader="dot"/>
            </w:tabs>
            <w:rPr/>
          </w:pPr>
          <w:hyperlink w:anchor="__RefHeading___Toc972222_237004111">
            <w:r>
              <w:rPr>
                <w:webHidden/>
                <w:rStyle w:val="IndexLink"/>
              </w:rPr>
              <w:t>63</w:t>
            </w:r>
            <w:r>
              <w:rPr>
                <w:rStyle w:val="IndexLink"/>
                <w:rtl w:val="true"/>
              </w:rPr>
              <w:t xml:space="preserve"> - </w:t>
            </w:r>
            <w:r>
              <w:rPr>
                <w:rStyle w:val="IndexLink"/>
                <w:rtl w:val="true"/>
              </w:rPr>
              <w:t xml:space="preserve">العلّامة الحلّیّ الحسن بن یوسف بن المطهّر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 xml:space="preserve">ه </w:t>
            </w:r>
            <w:r>
              <w:rPr>
                <w:rStyle w:val="IndexLink"/>
                <w:rtl w:val="true"/>
              </w:rPr>
              <w:t>)</w:t>
              <w:tab/>
            </w:r>
            <w:r>
              <w:rPr>
                <w:rStyle w:val="IndexLink"/>
              </w:rPr>
              <w:t>193</w:t>
            </w:r>
          </w:hyperlink>
        </w:p>
        <w:p>
          <w:pPr>
            <w:pStyle w:val="Contents3"/>
            <w:tabs>
              <w:tab w:val="clear" w:pos="8459"/>
              <w:tab w:val="right" w:pos="9026" w:leader="dot"/>
            </w:tabs>
            <w:rPr/>
          </w:pPr>
          <w:hyperlink w:anchor="__RefHeading___Toc972224_237004111">
            <w:r>
              <w:rPr>
                <w:webHidden/>
                <w:rStyle w:val="IndexLink"/>
              </w:rPr>
              <w:t>64</w:t>
            </w:r>
            <w:r>
              <w:rPr>
                <w:rStyle w:val="IndexLink"/>
                <w:rtl w:val="true"/>
              </w:rPr>
              <w:t xml:space="preserve"> - </w:t>
            </w:r>
            <w:r>
              <w:rPr>
                <w:rStyle w:val="IndexLink"/>
                <w:rtl w:val="true"/>
              </w:rPr>
              <w:t xml:space="preserve">ابن تیمیّة الحرّانیّ </w:t>
            </w:r>
            <w:r>
              <w:rPr>
                <w:rStyle w:val="IndexLink"/>
                <w:rtl w:val="true"/>
              </w:rPr>
              <w:t>(</w:t>
            </w:r>
            <w:r>
              <w:rPr>
                <w:rStyle w:val="IndexLink"/>
                <w:rtl w:val="true"/>
              </w:rPr>
              <w:t xml:space="preserve">ت </w:t>
            </w:r>
            <w:r>
              <w:rPr>
                <w:rStyle w:val="IndexLink"/>
              </w:rPr>
              <w:t>728</w:t>
            </w:r>
            <w:r>
              <w:rPr>
                <w:rStyle w:val="IndexLink"/>
                <w:rtl w:val="true"/>
              </w:rPr>
              <w:t xml:space="preserve"> </w:t>
            </w:r>
            <w:r>
              <w:rPr>
                <w:rStyle w:val="IndexLink"/>
                <w:rtl w:val="true"/>
              </w:rPr>
              <w:t xml:space="preserve">ه </w:t>
            </w:r>
            <w:r>
              <w:rPr>
                <w:rStyle w:val="IndexLink"/>
                <w:rtl w:val="true"/>
              </w:rPr>
              <w:t>)</w:t>
              <w:tab/>
            </w:r>
            <w:r>
              <w:rPr>
                <w:rStyle w:val="IndexLink"/>
              </w:rPr>
              <w:t>195</w:t>
            </w:r>
          </w:hyperlink>
        </w:p>
        <w:p>
          <w:pPr>
            <w:pStyle w:val="Contents3"/>
            <w:tabs>
              <w:tab w:val="clear" w:pos="8459"/>
              <w:tab w:val="right" w:pos="9026" w:leader="dot"/>
            </w:tabs>
            <w:rPr/>
          </w:pPr>
          <w:hyperlink w:anchor="__RefHeading___Toc972226_237004111">
            <w:r>
              <w:rPr>
                <w:webHidden/>
                <w:rStyle w:val="IndexLink"/>
              </w:rPr>
              <w:t>65</w:t>
            </w:r>
            <w:r>
              <w:rPr>
                <w:rStyle w:val="IndexLink"/>
                <w:rtl w:val="true"/>
              </w:rPr>
              <w:t xml:space="preserve"> - </w:t>
            </w:r>
            <w:r>
              <w:rPr>
                <w:rStyle w:val="IndexLink"/>
                <w:rtl w:val="true"/>
              </w:rPr>
              <w:t xml:space="preserve">نظام الدین النیسابوریّ </w:t>
            </w:r>
            <w:r>
              <w:rPr>
                <w:rStyle w:val="IndexLink"/>
                <w:rtl w:val="true"/>
              </w:rPr>
              <w:t>(</w:t>
            </w:r>
            <w:r>
              <w:rPr>
                <w:rStyle w:val="IndexLink"/>
                <w:rtl w:val="true"/>
              </w:rPr>
              <w:t xml:space="preserve">ت </w:t>
            </w:r>
            <w:r>
              <w:rPr>
                <w:rStyle w:val="IndexLink"/>
              </w:rPr>
              <w:t>728</w:t>
            </w:r>
            <w:r>
              <w:rPr>
                <w:rStyle w:val="IndexLink"/>
                <w:rtl w:val="true"/>
              </w:rPr>
              <w:t xml:space="preserve"> </w:t>
            </w:r>
            <w:r>
              <w:rPr>
                <w:rStyle w:val="IndexLink"/>
                <w:rtl w:val="true"/>
              </w:rPr>
              <w:t xml:space="preserve">ه </w:t>
            </w:r>
            <w:r>
              <w:rPr>
                <w:rStyle w:val="IndexLink"/>
                <w:rtl w:val="true"/>
              </w:rPr>
              <w:t>)</w:t>
              <w:tab/>
            </w:r>
            <w:r>
              <w:rPr>
                <w:rStyle w:val="IndexLink"/>
              </w:rPr>
              <w:t>200</w:t>
            </w:r>
          </w:hyperlink>
        </w:p>
        <w:p>
          <w:pPr>
            <w:pStyle w:val="Contents3"/>
            <w:tabs>
              <w:tab w:val="clear" w:pos="8459"/>
              <w:tab w:val="right" w:pos="9026" w:leader="dot"/>
            </w:tabs>
            <w:rPr/>
          </w:pPr>
          <w:hyperlink w:anchor="__RefHeading___Toc972228_237004111">
            <w:r>
              <w:rPr>
                <w:webHidden/>
                <w:rStyle w:val="IndexLink"/>
              </w:rPr>
              <w:t>66</w:t>
            </w:r>
            <w:r>
              <w:rPr>
                <w:rStyle w:val="IndexLink"/>
                <w:rtl w:val="true"/>
              </w:rPr>
              <w:t xml:space="preserve"> - </w:t>
            </w:r>
            <w:r>
              <w:rPr>
                <w:rStyle w:val="IndexLink"/>
                <w:rtl w:val="true"/>
              </w:rPr>
              <w:t xml:space="preserve">ابن جزی الکلبیّ </w:t>
            </w:r>
            <w:r>
              <w:rPr>
                <w:rStyle w:val="IndexLink"/>
                <w:rtl w:val="true"/>
              </w:rPr>
              <w:t>(</w:t>
            </w:r>
            <w:r>
              <w:rPr>
                <w:rStyle w:val="IndexLink"/>
                <w:rtl w:val="true"/>
              </w:rPr>
              <w:t xml:space="preserve">ت </w:t>
            </w:r>
            <w:r>
              <w:rPr>
                <w:rStyle w:val="IndexLink"/>
              </w:rPr>
              <w:t>741</w:t>
            </w:r>
            <w:r>
              <w:rPr>
                <w:rStyle w:val="IndexLink"/>
                <w:rtl w:val="true"/>
              </w:rPr>
              <w:t xml:space="preserve"> </w:t>
            </w:r>
            <w:r>
              <w:rPr>
                <w:rStyle w:val="IndexLink"/>
                <w:rtl w:val="true"/>
              </w:rPr>
              <w:t xml:space="preserve">ه </w:t>
            </w:r>
            <w:r>
              <w:rPr>
                <w:rStyle w:val="IndexLink"/>
                <w:rtl w:val="true"/>
              </w:rPr>
              <w:t>)</w:t>
              <w:tab/>
            </w:r>
            <w:r>
              <w:rPr>
                <w:rStyle w:val="IndexLink"/>
              </w:rPr>
              <w:t>201</w:t>
            </w:r>
          </w:hyperlink>
        </w:p>
        <w:p>
          <w:pPr>
            <w:pStyle w:val="Contents3"/>
            <w:tabs>
              <w:tab w:val="clear" w:pos="8459"/>
              <w:tab w:val="right" w:pos="9026" w:leader="dot"/>
            </w:tabs>
            <w:rPr/>
          </w:pPr>
          <w:hyperlink w:anchor="__RefHeading___Toc972230_237004111">
            <w:r>
              <w:rPr>
                <w:webHidden/>
                <w:rStyle w:val="IndexLink"/>
              </w:rPr>
              <w:t>67</w:t>
            </w:r>
            <w:r>
              <w:rPr>
                <w:rStyle w:val="IndexLink"/>
                <w:rtl w:val="true"/>
              </w:rPr>
              <w:t xml:space="preserve"> - </w:t>
            </w:r>
            <w:r>
              <w:rPr>
                <w:rStyle w:val="IndexLink"/>
                <w:rtl w:val="true"/>
              </w:rPr>
              <w:t xml:space="preserve">أبو حیّان الأندلسیّ </w:t>
            </w:r>
            <w:r>
              <w:rPr>
                <w:rStyle w:val="IndexLink"/>
                <w:rtl w:val="true"/>
              </w:rPr>
              <w:t>(</w:t>
            </w:r>
            <w:r>
              <w:rPr>
                <w:rStyle w:val="IndexLink"/>
                <w:rtl w:val="true"/>
              </w:rPr>
              <w:t xml:space="preserve">ت </w:t>
            </w:r>
            <w:r>
              <w:rPr>
                <w:rStyle w:val="IndexLink"/>
              </w:rPr>
              <w:t>754</w:t>
            </w:r>
            <w:r>
              <w:rPr>
                <w:rStyle w:val="IndexLink"/>
                <w:rtl w:val="true"/>
              </w:rPr>
              <w:t xml:space="preserve"> </w:t>
            </w:r>
            <w:r>
              <w:rPr>
                <w:rStyle w:val="IndexLink"/>
                <w:rtl w:val="true"/>
              </w:rPr>
              <w:t xml:space="preserve">ه </w:t>
            </w:r>
            <w:r>
              <w:rPr>
                <w:rStyle w:val="IndexLink"/>
                <w:rtl w:val="true"/>
              </w:rPr>
              <w:t>)</w:t>
              <w:tab/>
            </w:r>
            <w:r>
              <w:rPr>
                <w:rStyle w:val="IndexLink"/>
              </w:rPr>
              <w:t>201</w:t>
            </w:r>
          </w:hyperlink>
        </w:p>
        <w:p>
          <w:pPr>
            <w:pStyle w:val="Contents3"/>
            <w:tabs>
              <w:tab w:val="clear" w:pos="8459"/>
              <w:tab w:val="right" w:pos="9026" w:leader="dot"/>
            </w:tabs>
            <w:rPr/>
          </w:pPr>
          <w:hyperlink w:anchor="__RefHeading___Toc972232_237004111">
            <w:r>
              <w:rPr>
                <w:webHidden/>
                <w:rStyle w:val="IndexLink"/>
              </w:rPr>
              <w:t>68</w:t>
            </w:r>
            <w:r>
              <w:rPr>
                <w:rStyle w:val="IndexLink"/>
                <w:rtl w:val="true"/>
              </w:rPr>
              <w:t xml:space="preserve"> - </w:t>
            </w:r>
            <w:r>
              <w:rPr>
                <w:rStyle w:val="IndexLink"/>
                <w:rtl w:val="true"/>
              </w:rPr>
              <w:t xml:space="preserve">ابن کثیر </w:t>
            </w:r>
            <w:r>
              <w:rPr>
                <w:rStyle w:val="IndexLink"/>
                <w:rtl w:val="true"/>
              </w:rPr>
              <w:t>(</w:t>
            </w:r>
            <w:r>
              <w:rPr>
                <w:rStyle w:val="IndexLink"/>
                <w:rtl w:val="true"/>
              </w:rPr>
              <w:t xml:space="preserve">ت </w:t>
            </w:r>
            <w:r>
              <w:rPr>
                <w:rStyle w:val="IndexLink"/>
              </w:rPr>
              <w:t>774</w:t>
            </w:r>
            <w:r>
              <w:rPr>
                <w:rStyle w:val="IndexLink"/>
                <w:rtl w:val="true"/>
              </w:rPr>
              <w:t xml:space="preserve"> </w:t>
            </w:r>
            <w:r>
              <w:rPr>
                <w:rStyle w:val="IndexLink"/>
                <w:rtl w:val="true"/>
              </w:rPr>
              <w:t xml:space="preserve">ه </w:t>
            </w:r>
            <w:r>
              <w:rPr>
                <w:rStyle w:val="IndexLink"/>
                <w:rtl w:val="true"/>
              </w:rPr>
              <w:t>)</w:t>
              <w:tab/>
            </w:r>
            <w:r>
              <w:rPr>
                <w:rStyle w:val="IndexLink"/>
              </w:rPr>
              <w:t>203</w:t>
            </w:r>
          </w:hyperlink>
        </w:p>
        <w:p>
          <w:pPr>
            <w:pStyle w:val="Contents3"/>
            <w:tabs>
              <w:tab w:val="clear" w:pos="8459"/>
              <w:tab w:val="right" w:pos="9026" w:leader="dot"/>
            </w:tabs>
            <w:rPr/>
          </w:pPr>
          <w:hyperlink w:anchor="__RefHeading___Toc972234_237004111">
            <w:r>
              <w:rPr>
                <w:webHidden/>
                <w:rStyle w:val="IndexLink"/>
              </w:rPr>
              <w:t>69</w:t>
            </w:r>
            <w:r>
              <w:rPr>
                <w:rStyle w:val="IndexLink"/>
                <w:rtl w:val="true"/>
              </w:rPr>
              <w:t xml:space="preserve"> - </w:t>
            </w:r>
            <w:r>
              <w:rPr>
                <w:rStyle w:val="IndexLink"/>
                <w:rtl w:val="true"/>
              </w:rPr>
              <w:t xml:space="preserve">السّمین الحلبی </w:t>
            </w:r>
            <w:r>
              <w:rPr>
                <w:rStyle w:val="IndexLink"/>
                <w:rtl w:val="true"/>
              </w:rPr>
              <w:t>(</w:t>
            </w:r>
            <w:r>
              <w:rPr>
                <w:rStyle w:val="IndexLink"/>
                <w:rtl w:val="true"/>
              </w:rPr>
              <w:t xml:space="preserve">ت </w:t>
            </w:r>
            <w:r>
              <w:rPr>
                <w:rStyle w:val="IndexLink"/>
              </w:rPr>
              <w:t>756</w:t>
            </w:r>
            <w:r>
              <w:rPr>
                <w:rStyle w:val="IndexLink"/>
                <w:rtl w:val="true"/>
              </w:rPr>
              <w:t xml:space="preserve"> </w:t>
            </w:r>
            <w:r>
              <w:rPr>
                <w:rStyle w:val="IndexLink"/>
                <w:rtl w:val="true"/>
              </w:rPr>
              <w:t xml:space="preserve">ه </w:t>
            </w:r>
            <w:r>
              <w:rPr>
                <w:rStyle w:val="IndexLink"/>
                <w:rtl w:val="true"/>
              </w:rPr>
              <w:t>)</w:t>
              <w:tab/>
            </w:r>
            <w:r>
              <w:rPr>
                <w:rStyle w:val="IndexLink"/>
              </w:rPr>
              <w:t>205</w:t>
            </w:r>
          </w:hyperlink>
        </w:p>
        <w:p>
          <w:pPr>
            <w:pStyle w:val="Contents3"/>
            <w:tabs>
              <w:tab w:val="clear" w:pos="8459"/>
              <w:tab w:val="right" w:pos="9026" w:leader="dot"/>
            </w:tabs>
            <w:rPr/>
          </w:pPr>
          <w:hyperlink w:anchor="__RefHeading___Toc972236_237004111">
            <w:r>
              <w:rPr>
                <w:webHidden/>
                <w:rStyle w:val="IndexLink"/>
              </w:rPr>
              <w:t>70</w:t>
            </w:r>
            <w:r>
              <w:rPr>
                <w:rStyle w:val="IndexLink"/>
                <w:rtl w:val="true"/>
              </w:rPr>
              <w:t xml:space="preserve"> - </w:t>
            </w:r>
            <w:r>
              <w:rPr>
                <w:rStyle w:val="IndexLink"/>
                <w:rtl w:val="true"/>
              </w:rPr>
              <w:t xml:space="preserve">الشهید محمّد بن مکّیّ </w:t>
            </w:r>
            <w:r>
              <w:rPr>
                <w:rStyle w:val="IndexLink"/>
                <w:rtl w:val="true"/>
              </w:rPr>
              <w:t>(</w:t>
            </w:r>
            <w:r>
              <w:rPr>
                <w:rStyle w:val="IndexLink"/>
                <w:rtl w:val="true"/>
              </w:rPr>
              <w:t xml:space="preserve">المستشهد </w:t>
            </w:r>
            <w:r>
              <w:rPr>
                <w:rStyle w:val="IndexLink"/>
              </w:rPr>
              <w:t>786</w:t>
            </w:r>
            <w:r>
              <w:rPr>
                <w:rStyle w:val="IndexLink"/>
                <w:rtl w:val="true"/>
              </w:rPr>
              <w:t xml:space="preserve"> </w:t>
            </w:r>
            <w:r>
              <w:rPr>
                <w:rStyle w:val="IndexLink"/>
                <w:rtl w:val="true"/>
              </w:rPr>
              <w:t xml:space="preserve">ه </w:t>
            </w:r>
            <w:r>
              <w:rPr>
                <w:rStyle w:val="IndexLink"/>
                <w:rtl w:val="true"/>
              </w:rPr>
              <w:t>)</w:t>
              <w:tab/>
            </w:r>
            <w:r>
              <w:rPr>
                <w:rStyle w:val="IndexLink"/>
              </w:rPr>
              <w:t>207</w:t>
            </w:r>
          </w:hyperlink>
        </w:p>
        <w:p>
          <w:pPr>
            <w:pStyle w:val="Contents3"/>
            <w:tabs>
              <w:tab w:val="clear" w:pos="8459"/>
              <w:tab w:val="right" w:pos="9026" w:leader="dot"/>
            </w:tabs>
            <w:rPr/>
          </w:pPr>
          <w:hyperlink w:anchor="__RefHeading___Toc972238_237004111">
            <w:r>
              <w:rPr>
                <w:webHidden/>
                <w:rStyle w:val="IndexLink"/>
              </w:rPr>
              <w:t>71</w:t>
            </w:r>
            <w:r>
              <w:rPr>
                <w:rStyle w:val="IndexLink"/>
                <w:rtl w:val="true"/>
              </w:rPr>
              <w:t xml:space="preserve"> - </w:t>
            </w:r>
            <w:r>
              <w:rPr>
                <w:rStyle w:val="IndexLink"/>
                <w:rtl w:val="true"/>
              </w:rPr>
              <w:t xml:space="preserve">التفتازانی </w:t>
            </w:r>
            <w:r>
              <w:rPr>
                <w:rStyle w:val="IndexLink"/>
                <w:rtl w:val="true"/>
              </w:rPr>
              <w:t>(</w:t>
            </w:r>
            <w:r>
              <w:rPr>
                <w:rStyle w:val="IndexLink"/>
                <w:rtl w:val="true"/>
              </w:rPr>
              <w:t xml:space="preserve">ت </w:t>
            </w:r>
            <w:r>
              <w:rPr>
                <w:rStyle w:val="IndexLink"/>
              </w:rPr>
              <w:t>793</w:t>
            </w:r>
            <w:r>
              <w:rPr>
                <w:rStyle w:val="IndexLink"/>
                <w:rtl w:val="true"/>
              </w:rPr>
              <w:t xml:space="preserve"> </w:t>
            </w:r>
            <w:r>
              <w:rPr>
                <w:rStyle w:val="IndexLink"/>
                <w:rtl w:val="true"/>
              </w:rPr>
              <w:t xml:space="preserve">ه </w:t>
            </w:r>
            <w:r>
              <w:rPr>
                <w:rStyle w:val="IndexLink"/>
                <w:rtl w:val="true"/>
              </w:rPr>
              <w:t>)</w:t>
              <w:tab/>
            </w:r>
            <w:r>
              <w:rPr>
                <w:rStyle w:val="IndexLink"/>
              </w:rPr>
              <w:t>210</w:t>
            </w:r>
          </w:hyperlink>
        </w:p>
        <w:p>
          <w:pPr>
            <w:pStyle w:val="Contents3"/>
            <w:tabs>
              <w:tab w:val="clear" w:pos="8459"/>
              <w:tab w:val="right" w:pos="9026" w:leader="dot"/>
            </w:tabs>
            <w:rPr/>
          </w:pPr>
          <w:hyperlink w:anchor="__RefHeading___Toc972240_237004111">
            <w:r>
              <w:rPr>
                <w:webHidden/>
                <w:rStyle w:val="IndexLink"/>
              </w:rPr>
              <w:t>72</w:t>
            </w:r>
            <w:r>
              <w:rPr>
                <w:rStyle w:val="IndexLink"/>
                <w:rtl w:val="true"/>
              </w:rPr>
              <w:t xml:space="preserve"> - </w:t>
            </w:r>
            <w:r>
              <w:rPr>
                <w:rStyle w:val="IndexLink"/>
                <w:rtl w:val="true"/>
              </w:rPr>
              <w:t xml:space="preserve">الزرکشیّ </w:t>
            </w:r>
            <w:r>
              <w:rPr>
                <w:rStyle w:val="IndexLink"/>
                <w:rtl w:val="true"/>
              </w:rPr>
              <w:t>(</w:t>
            </w:r>
            <w:r>
              <w:rPr>
                <w:rStyle w:val="IndexLink"/>
                <w:rtl w:val="true"/>
              </w:rPr>
              <w:t xml:space="preserve">ت </w:t>
            </w:r>
            <w:r>
              <w:rPr>
                <w:rStyle w:val="IndexLink"/>
              </w:rPr>
              <w:t>794</w:t>
            </w:r>
            <w:r>
              <w:rPr>
                <w:rStyle w:val="IndexLink"/>
                <w:rtl w:val="true"/>
              </w:rPr>
              <w:t xml:space="preserve"> </w:t>
            </w:r>
            <w:r>
              <w:rPr>
                <w:rStyle w:val="IndexLink"/>
                <w:rtl w:val="true"/>
              </w:rPr>
              <w:t xml:space="preserve">ه </w:t>
            </w:r>
            <w:r>
              <w:rPr>
                <w:rStyle w:val="IndexLink"/>
                <w:rtl w:val="true"/>
              </w:rPr>
              <w:t>)</w:t>
              <w:tab/>
            </w:r>
            <w:r>
              <w:rPr>
                <w:rStyle w:val="IndexLink"/>
              </w:rPr>
              <w:t>215</w:t>
            </w:r>
          </w:hyperlink>
        </w:p>
        <w:p>
          <w:pPr>
            <w:pStyle w:val="Contents3"/>
            <w:tabs>
              <w:tab w:val="clear" w:pos="8459"/>
              <w:tab w:val="right" w:pos="9026" w:leader="dot"/>
            </w:tabs>
            <w:rPr/>
          </w:pPr>
          <w:hyperlink w:anchor="__RefHeading___Toc972242_237004111">
            <w:r>
              <w:rPr>
                <w:webHidden/>
                <w:rStyle w:val="IndexLink"/>
              </w:rPr>
              <w:t>73</w:t>
            </w:r>
            <w:r>
              <w:rPr>
                <w:rStyle w:val="IndexLink"/>
                <w:rtl w:val="true"/>
              </w:rPr>
              <w:t xml:space="preserve"> - </w:t>
            </w:r>
            <w:r>
              <w:rPr>
                <w:rStyle w:val="IndexLink"/>
                <w:rtl w:val="true"/>
              </w:rPr>
              <w:t xml:space="preserve">الفیروزآبادیّ </w:t>
            </w:r>
            <w:r>
              <w:rPr>
                <w:rStyle w:val="IndexLink"/>
                <w:rtl w:val="true"/>
              </w:rPr>
              <w:t>(</w:t>
            </w:r>
            <w:r>
              <w:rPr>
                <w:rStyle w:val="IndexLink"/>
                <w:rtl w:val="true"/>
              </w:rPr>
              <w:t xml:space="preserve">ت </w:t>
            </w:r>
            <w:r>
              <w:rPr>
                <w:rStyle w:val="IndexLink"/>
              </w:rPr>
              <w:t>817</w:t>
            </w:r>
            <w:r>
              <w:rPr>
                <w:rStyle w:val="IndexLink"/>
                <w:rtl w:val="true"/>
              </w:rPr>
              <w:t xml:space="preserve"> </w:t>
            </w:r>
            <w:r>
              <w:rPr>
                <w:rStyle w:val="IndexLink"/>
                <w:rtl w:val="true"/>
              </w:rPr>
              <w:t xml:space="preserve">ه </w:t>
            </w:r>
            <w:r>
              <w:rPr>
                <w:rStyle w:val="IndexLink"/>
                <w:rtl w:val="true"/>
              </w:rPr>
              <w:t>)</w:t>
              <w:tab/>
            </w:r>
            <w:r>
              <w:rPr>
                <w:rStyle w:val="IndexLink"/>
              </w:rPr>
              <w:t>216</w:t>
            </w:r>
          </w:hyperlink>
        </w:p>
        <w:p>
          <w:pPr>
            <w:pStyle w:val="Contents3"/>
            <w:tabs>
              <w:tab w:val="clear" w:pos="8459"/>
              <w:tab w:val="right" w:pos="9026" w:leader="dot"/>
            </w:tabs>
            <w:rPr/>
          </w:pPr>
          <w:hyperlink w:anchor="__RefHeading___Toc972244_237004111">
            <w:r>
              <w:rPr>
                <w:webHidden/>
                <w:rStyle w:val="IndexLink"/>
              </w:rPr>
              <w:t>74</w:t>
            </w:r>
            <w:r>
              <w:rPr>
                <w:rStyle w:val="IndexLink"/>
                <w:rtl w:val="true"/>
              </w:rPr>
              <w:t xml:space="preserve"> - </w:t>
            </w:r>
            <w:r>
              <w:rPr>
                <w:rStyle w:val="IndexLink"/>
                <w:rtl w:val="true"/>
              </w:rPr>
              <w:t xml:space="preserve">المقداد بن عبداللّه السیوریّ </w:t>
            </w:r>
            <w:r>
              <w:rPr>
                <w:rStyle w:val="IndexLink"/>
                <w:rtl w:val="true"/>
              </w:rPr>
              <w:t>(</w:t>
            </w:r>
            <w:r>
              <w:rPr>
                <w:rStyle w:val="IndexLink"/>
                <w:rtl w:val="true"/>
              </w:rPr>
              <w:t xml:space="preserve">ت </w:t>
            </w:r>
            <w:r>
              <w:rPr>
                <w:rStyle w:val="IndexLink"/>
              </w:rPr>
              <w:t>826</w:t>
            </w:r>
            <w:r>
              <w:rPr>
                <w:rStyle w:val="IndexLink"/>
                <w:rtl w:val="true"/>
              </w:rPr>
              <w:t xml:space="preserve"> </w:t>
            </w:r>
            <w:r>
              <w:rPr>
                <w:rStyle w:val="IndexLink"/>
                <w:rtl w:val="true"/>
              </w:rPr>
              <w:t xml:space="preserve">ه </w:t>
            </w:r>
            <w:r>
              <w:rPr>
                <w:rStyle w:val="IndexLink"/>
                <w:rtl w:val="true"/>
              </w:rPr>
              <w:t>)</w:t>
              <w:tab/>
            </w:r>
            <w:r>
              <w:rPr>
                <w:rStyle w:val="IndexLink"/>
              </w:rPr>
              <w:t>217</w:t>
            </w:r>
          </w:hyperlink>
        </w:p>
        <w:p>
          <w:pPr>
            <w:pStyle w:val="Contents3"/>
            <w:tabs>
              <w:tab w:val="clear" w:pos="8459"/>
              <w:tab w:val="right" w:pos="9026" w:leader="dot"/>
            </w:tabs>
            <w:rPr/>
          </w:pPr>
          <w:hyperlink w:anchor="__RefHeading___Toc972246_237004111">
            <w:r>
              <w:rPr>
                <w:webHidden/>
                <w:rStyle w:val="IndexLink"/>
              </w:rPr>
              <w:t>75</w:t>
            </w:r>
            <w:r>
              <w:rPr>
                <w:rStyle w:val="IndexLink"/>
                <w:rtl w:val="true"/>
              </w:rPr>
              <w:t xml:space="preserve"> - </w:t>
            </w:r>
            <w:r>
              <w:rPr>
                <w:rStyle w:val="IndexLink"/>
                <w:rtl w:val="true"/>
              </w:rPr>
              <w:t>یوسف بن أحمد بن عثمان الشهیر بالفقیه یوسف</w:t>
            </w:r>
            <w:r>
              <w:rPr>
                <w:rStyle w:val="IndexLink"/>
                <w:rtl w:val="true"/>
              </w:rPr>
              <w:tab/>
            </w:r>
            <w:r>
              <w:rPr>
                <w:rStyle w:val="IndexLink"/>
              </w:rPr>
              <w:t>219</w:t>
            </w:r>
          </w:hyperlink>
        </w:p>
        <w:p>
          <w:pPr>
            <w:pStyle w:val="Contents3"/>
            <w:tabs>
              <w:tab w:val="clear" w:pos="8459"/>
              <w:tab w:val="right" w:pos="9026" w:leader="dot"/>
            </w:tabs>
            <w:rPr/>
          </w:pPr>
          <w:hyperlink w:anchor="__RefHeading___Toc972248_237004111">
            <w:r>
              <w:rPr>
                <w:webHidden/>
                <w:rStyle w:val="IndexLink"/>
              </w:rPr>
              <w:t>76</w:t>
            </w:r>
            <w:r>
              <w:rPr>
                <w:rStyle w:val="IndexLink"/>
                <w:rtl w:val="true"/>
              </w:rPr>
              <w:t xml:space="preserve"> - </w:t>
            </w:r>
            <w:r>
              <w:rPr>
                <w:rStyle w:val="IndexLink"/>
                <w:rtl w:val="true"/>
              </w:rPr>
              <w:t xml:space="preserve">ابن حجر العسقلانیّ </w:t>
            </w:r>
            <w:r>
              <w:rPr>
                <w:rStyle w:val="IndexLink"/>
                <w:rtl w:val="true"/>
              </w:rPr>
              <w:t>(</w:t>
            </w:r>
            <w:r>
              <w:rPr>
                <w:rStyle w:val="IndexLink"/>
                <w:rtl w:val="true"/>
              </w:rPr>
              <w:t xml:space="preserve">ت </w:t>
            </w:r>
            <w:r>
              <w:rPr>
                <w:rStyle w:val="IndexLink"/>
              </w:rPr>
              <w:t>852</w:t>
            </w:r>
            <w:r>
              <w:rPr>
                <w:rStyle w:val="IndexLink"/>
                <w:rtl w:val="true"/>
              </w:rPr>
              <w:t xml:space="preserve"> </w:t>
            </w:r>
            <w:r>
              <w:rPr>
                <w:rStyle w:val="IndexLink"/>
                <w:rtl w:val="true"/>
              </w:rPr>
              <w:t xml:space="preserve">ه </w:t>
            </w:r>
            <w:r>
              <w:rPr>
                <w:rStyle w:val="IndexLink"/>
                <w:rtl w:val="true"/>
              </w:rPr>
              <w:t>)</w:t>
              <w:tab/>
            </w:r>
            <w:r>
              <w:rPr>
                <w:rStyle w:val="IndexLink"/>
              </w:rPr>
              <w:t>223</w:t>
            </w:r>
          </w:hyperlink>
        </w:p>
        <w:p>
          <w:pPr>
            <w:pStyle w:val="Contents3"/>
            <w:tabs>
              <w:tab w:val="clear" w:pos="8459"/>
              <w:tab w:val="right" w:pos="9026" w:leader="dot"/>
            </w:tabs>
            <w:rPr/>
          </w:pPr>
          <w:hyperlink w:anchor="__RefHeading___Toc972250_237004111">
            <w:r>
              <w:rPr>
                <w:webHidden/>
                <w:rStyle w:val="IndexLink"/>
              </w:rPr>
              <w:t>77</w:t>
            </w:r>
            <w:r>
              <w:rPr>
                <w:rStyle w:val="IndexLink"/>
                <w:rtl w:val="true"/>
              </w:rPr>
              <w:t xml:space="preserve"> - </w:t>
            </w:r>
            <w:r>
              <w:rPr>
                <w:rStyle w:val="IndexLink"/>
                <w:rtl w:val="true"/>
              </w:rPr>
              <w:t xml:space="preserve">جلال الدین المحلّیّ </w:t>
            </w:r>
            <w:r>
              <w:rPr>
                <w:rStyle w:val="IndexLink"/>
                <w:rtl w:val="true"/>
              </w:rPr>
              <w:t>(</w:t>
            </w:r>
            <w:r>
              <w:rPr>
                <w:rStyle w:val="IndexLink"/>
                <w:rtl w:val="true"/>
              </w:rPr>
              <w:t xml:space="preserve">ت </w:t>
            </w:r>
            <w:r>
              <w:rPr>
                <w:rStyle w:val="IndexLink"/>
              </w:rPr>
              <w:t>864</w:t>
            </w:r>
            <w:r>
              <w:rPr>
                <w:rStyle w:val="IndexLink"/>
                <w:rtl w:val="true"/>
              </w:rPr>
              <w:t xml:space="preserve"> </w:t>
            </w:r>
            <w:r>
              <w:rPr>
                <w:rStyle w:val="IndexLink"/>
                <w:rtl w:val="true"/>
              </w:rPr>
              <w:t xml:space="preserve">ه </w:t>
            </w:r>
            <w:r>
              <w:rPr>
                <w:rStyle w:val="IndexLink"/>
                <w:rtl w:val="true"/>
              </w:rPr>
              <w:t>)</w:t>
              <w:tab/>
            </w:r>
            <w:r>
              <w:rPr>
                <w:rStyle w:val="IndexLink"/>
              </w:rPr>
              <w:t>225</w:t>
            </w:r>
          </w:hyperlink>
        </w:p>
        <w:p>
          <w:pPr>
            <w:pStyle w:val="Contents3"/>
            <w:tabs>
              <w:tab w:val="clear" w:pos="8459"/>
              <w:tab w:val="right" w:pos="9026" w:leader="dot"/>
            </w:tabs>
            <w:rPr/>
          </w:pPr>
          <w:hyperlink w:anchor="__RefHeading___Toc972252_237004111">
            <w:r>
              <w:rPr>
                <w:webHidden/>
                <w:rStyle w:val="IndexLink"/>
              </w:rPr>
              <w:t>78</w:t>
            </w:r>
            <w:r>
              <w:rPr>
                <w:rStyle w:val="IndexLink"/>
                <w:rtl w:val="true"/>
              </w:rPr>
              <w:t xml:space="preserve"> - </w:t>
            </w:r>
            <w:r>
              <w:rPr>
                <w:rStyle w:val="IndexLink"/>
                <w:rtl w:val="true"/>
              </w:rPr>
              <w:t xml:space="preserve">الثعالبیّ </w:t>
            </w:r>
            <w:r>
              <w:rPr>
                <w:rStyle w:val="IndexLink"/>
                <w:rtl w:val="true"/>
              </w:rPr>
              <w:t>(</w:t>
            </w:r>
            <w:r>
              <w:rPr>
                <w:rStyle w:val="IndexLink"/>
                <w:rtl w:val="true"/>
              </w:rPr>
              <w:t xml:space="preserve">ت </w:t>
            </w:r>
            <w:r>
              <w:rPr>
                <w:rStyle w:val="IndexLink"/>
              </w:rPr>
              <w:t>875</w:t>
            </w:r>
            <w:r>
              <w:rPr>
                <w:rStyle w:val="IndexLink"/>
                <w:rtl w:val="true"/>
              </w:rPr>
              <w:t xml:space="preserve"> </w:t>
            </w:r>
            <w:r>
              <w:rPr>
                <w:rStyle w:val="IndexLink"/>
                <w:rtl w:val="true"/>
              </w:rPr>
              <w:t xml:space="preserve">ه </w:t>
            </w:r>
            <w:r>
              <w:rPr>
                <w:rStyle w:val="IndexLink"/>
                <w:rtl w:val="true"/>
              </w:rPr>
              <w:t>)</w:t>
              <w:tab/>
            </w:r>
            <w:r>
              <w:rPr>
                <w:rStyle w:val="IndexLink"/>
              </w:rPr>
              <w:t>225</w:t>
            </w:r>
          </w:hyperlink>
        </w:p>
        <w:p>
          <w:pPr>
            <w:pStyle w:val="Contents3"/>
            <w:tabs>
              <w:tab w:val="clear" w:pos="8459"/>
              <w:tab w:val="right" w:pos="9026" w:leader="dot"/>
            </w:tabs>
            <w:rPr/>
          </w:pPr>
          <w:hyperlink w:anchor="__RefHeading___Toc972254_237004111">
            <w:r>
              <w:rPr>
                <w:webHidden/>
                <w:rStyle w:val="IndexLink"/>
              </w:rPr>
              <w:t>79</w:t>
            </w:r>
            <w:r>
              <w:rPr>
                <w:rStyle w:val="IndexLink"/>
                <w:rtl w:val="true"/>
              </w:rPr>
              <w:t xml:space="preserve"> - </w:t>
            </w:r>
            <w:r>
              <w:rPr>
                <w:rStyle w:val="IndexLink"/>
                <w:rtl w:val="true"/>
              </w:rPr>
              <w:t xml:space="preserve">برهان الدین أبوالحسن إبراهیم بن عمر البقاعیّ </w:t>
            </w:r>
            <w:r>
              <w:rPr>
                <w:rStyle w:val="IndexLink"/>
                <w:rtl w:val="true"/>
              </w:rPr>
              <w:t>(</w:t>
            </w:r>
            <w:r>
              <w:rPr>
                <w:rStyle w:val="IndexLink"/>
                <w:rtl w:val="true"/>
              </w:rPr>
              <w:t xml:space="preserve">ت </w:t>
            </w:r>
            <w:r>
              <w:rPr>
                <w:rStyle w:val="IndexLink"/>
              </w:rPr>
              <w:t>885</w:t>
            </w:r>
            <w:r>
              <w:rPr>
                <w:rStyle w:val="IndexLink"/>
                <w:rtl w:val="true"/>
              </w:rPr>
              <w:t xml:space="preserve"> </w:t>
            </w:r>
            <w:r>
              <w:rPr>
                <w:rStyle w:val="IndexLink"/>
                <w:rtl w:val="true"/>
              </w:rPr>
              <w:t xml:space="preserve">ه </w:t>
            </w:r>
            <w:r>
              <w:rPr>
                <w:rStyle w:val="IndexLink"/>
                <w:rtl w:val="true"/>
              </w:rPr>
              <w:t>)</w:t>
              <w:tab/>
            </w:r>
            <w:r>
              <w:rPr>
                <w:rStyle w:val="IndexLink"/>
              </w:rPr>
              <w:t>226</w:t>
            </w:r>
          </w:hyperlink>
        </w:p>
        <w:p>
          <w:pPr>
            <w:pStyle w:val="Contents3"/>
            <w:tabs>
              <w:tab w:val="clear" w:pos="8459"/>
              <w:tab w:val="right" w:pos="9026" w:leader="dot"/>
            </w:tabs>
            <w:rPr/>
          </w:pPr>
          <w:hyperlink w:anchor="__RefHeading___Toc972256_237004111">
            <w:r>
              <w:rPr>
                <w:webHidden/>
                <w:rStyle w:val="IndexLink"/>
              </w:rPr>
              <w:t>80</w:t>
            </w:r>
            <w:r>
              <w:rPr>
                <w:rStyle w:val="IndexLink"/>
                <w:rtl w:val="true"/>
              </w:rPr>
              <w:t xml:space="preserve"> - </w:t>
            </w:r>
            <w:r>
              <w:rPr>
                <w:rStyle w:val="IndexLink"/>
                <w:rtl w:val="true"/>
              </w:rPr>
              <w:t xml:space="preserve">الدّمشقی الحنبلیّ </w:t>
            </w:r>
            <w:r>
              <w:rPr>
                <w:rStyle w:val="IndexLink"/>
                <w:rtl w:val="true"/>
              </w:rPr>
              <w:t>(</w:t>
            </w:r>
            <w:r>
              <w:rPr>
                <w:rStyle w:val="IndexLink"/>
                <w:rtl w:val="true"/>
              </w:rPr>
              <w:t xml:space="preserve">ت بعد </w:t>
            </w:r>
            <w:r>
              <w:rPr>
                <w:rStyle w:val="IndexLink"/>
              </w:rPr>
              <w:t>880</w:t>
            </w:r>
            <w:r>
              <w:rPr>
                <w:rStyle w:val="IndexLink"/>
                <w:rtl w:val="true"/>
              </w:rPr>
              <w:t xml:space="preserve"> </w:t>
            </w:r>
            <w:r>
              <w:rPr>
                <w:rStyle w:val="IndexLink"/>
                <w:rtl w:val="true"/>
              </w:rPr>
              <w:t xml:space="preserve">ه </w:t>
            </w:r>
            <w:r>
              <w:rPr>
                <w:rStyle w:val="IndexLink"/>
                <w:rtl w:val="true"/>
              </w:rPr>
              <w:t>)</w:t>
              <w:tab/>
            </w:r>
            <w:r>
              <w:rPr>
                <w:rStyle w:val="IndexLink"/>
              </w:rPr>
              <w:t>227</w:t>
            </w:r>
          </w:hyperlink>
        </w:p>
        <w:p>
          <w:pPr>
            <w:pStyle w:val="Contents3"/>
            <w:tabs>
              <w:tab w:val="clear" w:pos="8459"/>
              <w:tab w:val="right" w:pos="9026" w:leader="dot"/>
            </w:tabs>
            <w:rPr/>
          </w:pPr>
          <w:hyperlink w:anchor="__RefHeading___Toc972258_237004111">
            <w:r>
              <w:rPr>
                <w:webHidden/>
                <w:rStyle w:val="IndexLink"/>
              </w:rPr>
              <w:t>81</w:t>
            </w:r>
            <w:r>
              <w:rPr>
                <w:rStyle w:val="IndexLink"/>
                <w:rtl w:val="true"/>
              </w:rPr>
              <w:t xml:space="preserve"> - </w:t>
            </w:r>
            <w:r>
              <w:rPr>
                <w:rStyle w:val="IndexLink"/>
                <w:rtl w:val="true"/>
              </w:rPr>
              <w:t xml:space="preserve">جلال الدین السیوطیّ </w:t>
            </w:r>
            <w:r>
              <w:rPr>
                <w:rStyle w:val="IndexLink"/>
                <w:rtl w:val="true"/>
              </w:rPr>
              <w:t>(</w:t>
            </w:r>
            <w:r>
              <w:rPr>
                <w:rStyle w:val="IndexLink"/>
                <w:rtl w:val="true"/>
              </w:rPr>
              <w:t xml:space="preserve">ت </w:t>
            </w:r>
            <w:r>
              <w:rPr>
                <w:rStyle w:val="IndexLink"/>
              </w:rPr>
              <w:t>911</w:t>
            </w:r>
            <w:r>
              <w:rPr>
                <w:rStyle w:val="IndexLink"/>
                <w:rtl w:val="true"/>
              </w:rPr>
              <w:t xml:space="preserve"> </w:t>
            </w:r>
            <w:r>
              <w:rPr>
                <w:rStyle w:val="IndexLink"/>
                <w:rtl w:val="true"/>
              </w:rPr>
              <w:t xml:space="preserve">ه </w:t>
            </w:r>
            <w:r>
              <w:rPr>
                <w:rStyle w:val="IndexLink"/>
                <w:rtl w:val="true"/>
              </w:rPr>
              <w:t>)</w:t>
              <w:tab/>
            </w:r>
            <w:r>
              <w:rPr>
                <w:rStyle w:val="IndexLink"/>
              </w:rPr>
              <w:t>227</w:t>
            </w:r>
          </w:hyperlink>
        </w:p>
        <w:p>
          <w:pPr>
            <w:pStyle w:val="Contents3"/>
            <w:tabs>
              <w:tab w:val="clear" w:pos="8459"/>
              <w:tab w:val="right" w:pos="9026" w:leader="dot"/>
            </w:tabs>
            <w:rPr/>
          </w:pPr>
          <w:hyperlink w:anchor="__RefHeading___Toc972260_237004111">
            <w:r>
              <w:rPr>
                <w:webHidden/>
                <w:rStyle w:val="IndexLink"/>
              </w:rPr>
              <w:t>82</w:t>
            </w:r>
            <w:r>
              <w:rPr>
                <w:rStyle w:val="IndexLink"/>
                <w:rtl w:val="true"/>
              </w:rPr>
              <w:t xml:space="preserve"> - </w:t>
            </w:r>
            <w:r>
              <w:rPr>
                <w:rStyle w:val="IndexLink"/>
                <w:rtl w:val="true"/>
              </w:rPr>
              <w:t xml:space="preserve">أبو السعود </w:t>
            </w:r>
            <w:r>
              <w:rPr>
                <w:rStyle w:val="IndexLink"/>
                <w:rtl w:val="true"/>
              </w:rPr>
              <w:t>(</w:t>
            </w:r>
            <w:r>
              <w:rPr>
                <w:rStyle w:val="IndexLink"/>
                <w:rtl w:val="true"/>
              </w:rPr>
              <w:t xml:space="preserve">ت </w:t>
            </w:r>
            <w:r>
              <w:rPr>
                <w:rStyle w:val="IndexLink"/>
              </w:rPr>
              <w:t>951</w:t>
            </w:r>
            <w:r>
              <w:rPr>
                <w:rStyle w:val="IndexLink"/>
                <w:rtl w:val="true"/>
              </w:rPr>
              <w:t xml:space="preserve"> </w:t>
            </w:r>
            <w:r>
              <w:rPr>
                <w:rStyle w:val="IndexLink"/>
                <w:rtl w:val="true"/>
              </w:rPr>
              <w:t xml:space="preserve">ه </w:t>
            </w:r>
            <w:r>
              <w:rPr>
                <w:rStyle w:val="IndexLink"/>
                <w:rtl w:val="true"/>
              </w:rPr>
              <w:t>)</w:t>
              <w:tab/>
            </w:r>
            <w:r>
              <w:rPr>
                <w:rStyle w:val="IndexLink"/>
              </w:rPr>
              <w:t>227</w:t>
            </w:r>
          </w:hyperlink>
        </w:p>
        <w:p>
          <w:pPr>
            <w:pStyle w:val="Contents3"/>
            <w:tabs>
              <w:tab w:val="clear" w:pos="8459"/>
              <w:tab w:val="right" w:pos="9026" w:leader="dot"/>
            </w:tabs>
            <w:rPr/>
          </w:pPr>
          <w:hyperlink w:anchor="__RefHeading___Toc972262_237004111">
            <w:r>
              <w:rPr>
                <w:webHidden/>
                <w:rStyle w:val="IndexLink"/>
              </w:rPr>
              <w:t>83</w:t>
            </w:r>
            <w:r>
              <w:rPr>
                <w:rStyle w:val="IndexLink"/>
                <w:rtl w:val="true"/>
              </w:rPr>
              <w:t xml:space="preserve"> - </w:t>
            </w:r>
            <w:r>
              <w:rPr>
                <w:rStyle w:val="IndexLink"/>
                <w:rtl w:val="true"/>
              </w:rPr>
              <w:t xml:space="preserve">إبراهیم بن محمّد الحنفی الحلبیّ </w:t>
            </w:r>
            <w:r>
              <w:rPr>
                <w:rStyle w:val="IndexLink"/>
                <w:rtl w:val="true"/>
              </w:rPr>
              <w:t>(</w:t>
            </w:r>
            <w:r>
              <w:rPr>
                <w:rStyle w:val="IndexLink"/>
                <w:rtl w:val="true"/>
              </w:rPr>
              <w:t xml:space="preserve">ت </w:t>
            </w:r>
            <w:r>
              <w:rPr>
                <w:rStyle w:val="IndexLink"/>
              </w:rPr>
              <w:t>956</w:t>
            </w:r>
            <w:r>
              <w:rPr>
                <w:rStyle w:val="IndexLink"/>
                <w:rtl w:val="true"/>
              </w:rPr>
              <w:t xml:space="preserve"> </w:t>
            </w:r>
            <w:r>
              <w:rPr>
                <w:rStyle w:val="IndexLink"/>
                <w:rtl w:val="true"/>
              </w:rPr>
              <w:t xml:space="preserve">ه </w:t>
            </w:r>
            <w:r>
              <w:rPr>
                <w:rStyle w:val="IndexLink"/>
                <w:rtl w:val="true"/>
              </w:rPr>
              <w:t>)</w:t>
              <w:tab/>
            </w:r>
            <w:r>
              <w:rPr>
                <w:rStyle w:val="IndexLink"/>
              </w:rPr>
              <w:t>228</w:t>
            </w:r>
          </w:hyperlink>
        </w:p>
        <w:p>
          <w:pPr>
            <w:pStyle w:val="Contents3"/>
            <w:tabs>
              <w:tab w:val="clear" w:pos="8459"/>
              <w:tab w:val="right" w:pos="9026" w:leader="dot"/>
            </w:tabs>
            <w:rPr/>
          </w:pPr>
          <w:hyperlink w:anchor="__RefHeading___Toc972264_237004111">
            <w:r>
              <w:rPr>
                <w:webHidden/>
                <w:rStyle w:val="IndexLink"/>
              </w:rPr>
              <w:t>84</w:t>
            </w:r>
            <w:r>
              <w:rPr>
                <w:rStyle w:val="IndexLink"/>
                <w:rtl w:val="true"/>
              </w:rPr>
              <w:t xml:space="preserve"> - </w:t>
            </w:r>
            <w:r>
              <w:rPr>
                <w:rStyle w:val="IndexLink"/>
                <w:rtl w:val="true"/>
              </w:rPr>
              <w:t xml:space="preserve">الشهید الثانی </w:t>
            </w:r>
            <w:r>
              <w:rPr>
                <w:rStyle w:val="IndexLink"/>
                <w:rtl w:val="true"/>
              </w:rPr>
              <w:t>(</w:t>
            </w:r>
            <w:r>
              <w:rPr>
                <w:rStyle w:val="IndexLink"/>
                <w:rtl w:val="true"/>
              </w:rPr>
              <w:t xml:space="preserve">المستشهد </w:t>
            </w:r>
            <w:r>
              <w:rPr>
                <w:rStyle w:val="IndexLink"/>
              </w:rPr>
              <w:t>966</w:t>
            </w:r>
            <w:r>
              <w:rPr>
                <w:rStyle w:val="IndexLink"/>
                <w:rtl w:val="true"/>
              </w:rPr>
              <w:t xml:space="preserve"> </w:t>
            </w:r>
            <w:r>
              <w:rPr>
                <w:rStyle w:val="IndexLink"/>
                <w:rtl w:val="true"/>
              </w:rPr>
              <w:t xml:space="preserve">ه </w:t>
            </w:r>
            <w:r>
              <w:rPr>
                <w:rStyle w:val="IndexLink"/>
                <w:rtl w:val="true"/>
              </w:rPr>
              <w:t>)</w:t>
              <w:tab/>
            </w:r>
            <w:r>
              <w:rPr>
                <w:rStyle w:val="IndexLink"/>
              </w:rPr>
              <w:t>229</w:t>
            </w:r>
          </w:hyperlink>
        </w:p>
        <w:p>
          <w:pPr>
            <w:pStyle w:val="Contents3"/>
            <w:tabs>
              <w:tab w:val="clear" w:pos="8459"/>
              <w:tab w:val="right" w:pos="9026" w:leader="dot"/>
            </w:tabs>
            <w:rPr/>
          </w:pPr>
          <w:hyperlink w:anchor="__RefHeading___Toc972266_237004111">
            <w:r>
              <w:rPr>
                <w:webHidden/>
                <w:rStyle w:val="IndexLink"/>
              </w:rPr>
              <w:t>85</w:t>
            </w:r>
            <w:r>
              <w:rPr>
                <w:rStyle w:val="IndexLink"/>
                <w:rtl w:val="true"/>
              </w:rPr>
              <w:t xml:space="preserve"> - </w:t>
            </w:r>
            <w:r>
              <w:rPr>
                <w:rStyle w:val="IndexLink"/>
                <w:rtl w:val="true"/>
              </w:rPr>
              <w:t xml:space="preserve">المولی الکاشانی </w:t>
            </w:r>
            <w:r>
              <w:rPr>
                <w:rStyle w:val="IndexLink"/>
                <w:rtl w:val="true"/>
              </w:rPr>
              <w:t>(</w:t>
            </w:r>
            <w:r>
              <w:rPr>
                <w:rStyle w:val="IndexLink"/>
                <w:rtl w:val="true"/>
              </w:rPr>
              <w:t xml:space="preserve">ت </w:t>
            </w:r>
            <w:r>
              <w:rPr>
                <w:rStyle w:val="IndexLink"/>
              </w:rPr>
              <w:t>988</w:t>
            </w:r>
            <w:r>
              <w:rPr>
                <w:rStyle w:val="IndexLink"/>
                <w:rtl w:val="true"/>
              </w:rPr>
              <w:t xml:space="preserve"> </w:t>
            </w:r>
            <w:r>
              <w:rPr>
                <w:rStyle w:val="IndexLink"/>
                <w:rtl w:val="true"/>
              </w:rPr>
              <w:t xml:space="preserve">ه </w:t>
            </w:r>
            <w:r>
              <w:rPr>
                <w:rStyle w:val="IndexLink"/>
                <w:rtl w:val="true"/>
              </w:rPr>
              <w:t>)</w:t>
              <w:tab/>
            </w:r>
            <w:r>
              <w:rPr>
                <w:rStyle w:val="IndexLink"/>
              </w:rPr>
              <w:t>230</w:t>
            </w:r>
          </w:hyperlink>
        </w:p>
        <w:p>
          <w:pPr>
            <w:pStyle w:val="Contents3"/>
            <w:tabs>
              <w:tab w:val="clear" w:pos="8459"/>
              <w:tab w:val="right" w:pos="9026" w:leader="dot"/>
            </w:tabs>
            <w:rPr/>
          </w:pPr>
          <w:hyperlink w:anchor="__RefHeading___Toc972268_237004111">
            <w:r>
              <w:rPr>
                <w:webHidden/>
                <w:rStyle w:val="IndexLink"/>
              </w:rPr>
              <w:t>86</w:t>
            </w:r>
            <w:r>
              <w:rPr>
                <w:rStyle w:val="IndexLink"/>
                <w:rtl w:val="true"/>
              </w:rPr>
              <w:t xml:space="preserve"> - </w:t>
            </w:r>
            <w:r>
              <w:rPr>
                <w:rStyle w:val="IndexLink"/>
                <w:rtl w:val="true"/>
              </w:rPr>
              <w:t xml:space="preserve">المحقّق الأردبیلیّ </w:t>
            </w:r>
            <w:r>
              <w:rPr>
                <w:rStyle w:val="IndexLink"/>
                <w:rtl w:val="true"/>
              </w:rPr>
              <w:t>(</w:t>
            </w:r>
            <w:r>
              <w:rPr>
                <w:rStyle w:val="IndexLink"/>
                <w:rtl w:val="true"/>
              </w:rPr>
              <w:t xml:space="preserve">ت </w:t>
            </w:r>
            <w:r>
              <w:rPr>
                <w:rStyle w:val="IndexLink"/>
              </w:rPr>
              <w:t>993</w:t>
            </w:r>
            <w:r>
              <w:rPr>
                <w:rStyle w:val="IndexLink"/>
                <w:rtl w:val="true"/>
              </w:rPr>
              <w:t xml:space="preserve"> </w:t>
            </w:r>
            <w:r>
              <w:rPr>
                <w:rStyle w:val="IndexLink"/>
                <w:rtl w:val="true"/>
              </w:rPr>
              <w:t xml:space="preserve">ه </w:t>
            </w:r>
            <w:r>
              <w:rPr>
                <w:rStyle w:val="IndexLink"/>
                <w:rtl w:val="true"/>
              </w:rPr>
              <w:t>)</w:t>
              <w:tab/>
            </w:r>
            <w:r>
              <w:rPr>
                <w:rStyle w:val="IndexLink"/>
              </w:rPr>
              <w:t>231</w:t>
            </w:r>
          </w:hyperlink>
        </w:p>
        <w:p>
          <w:pPr>
            <w:pStyle w:val="Contents3"/>
            <w:tabs>
              <w:tab w:val="clear" w:pos="8459"/>
              <w:tab w:val="right" w:pos="9026" w:leader="dot"/>
            </w:tabs>
            <w:rPr/>
          </w:pPr>
          <w:hyperlink w:anchor="__RefHeading___Toc972270_237004111">
            <w:r>
              <w:rPr>
                <w:webHidden/>
                <w:rStyle w:val="IndexLink"/>
              </w:rPr>
              <w:t>87</w:t>
            </w:r>
            <w:r>
              <w:rPr>
                <w:rStyle w:val="IndexLink"/>
                <w:rtl w:val="true"/>
              </w:rPr>
              <w:t xml:space="preserve"> - </w:t>
            </w:r>
            <w:r>
              <w:rPr>
                <w:rStyle w:val="IndexLink"/>
                <w:rtl w:val="true"/>
              </w:rPr>
              <w:t xml:space="preserve">الشیخ بِهاء الدین محمّد العاملیّ </w:t>
            </w:r>
            <w:r>
              <w:rPr>
                <w:rStyle w:val="IndexLink"/>
                <w:rtl w:val="true"/>
              </w:rPr>
              <w:t>(</w:t>
            </w:r>
            <w:r>
              <w:rPr>
                <w:rStyle w:val="IndexLink"/>
                <w:rtl w:val="true"/>
              </w:rPr>
              <w:t xml:space="preserve">ت </w:t>
            </w:r>
            <w:r>
              <w:rPr>
                <w:rStyle w:val="IndexLink"/>
              </w:rPr>
              <w:t>1031</w:t>
            </w:r>
            <w:r>
              <w:rPr>
                <w:rStyle w:val="IndexLink"/>
                <w:rtl w:val="true"/>
              </w:rPr>
              <w:t xml:space="preserve"> </w:t>
            </w:r>
            <w:r>
              <w:rPr>
                <w:rStyle w:val="IndexLink"/>
                <w:rtl w:val="true"/>
              </w:rPr>
              <w:t xml:space="preserve">ه </w:t>
            </w:r>
            <w:r>
              <w:rPr>
                <w:rStyle w:val="IndexLink"/>
                <w:rtl w:val="true"/>
              </w:rPr>
              <w:t>)</w:t>
              <w:tab/>
            </w:r>
            <w:r>
              <w:rPr>
                <w:rStyle w:val="IndexLink"/>
              </w:rPr>
              <w:t>231</w:t>
            </w:r>
          </w:hyperlink>
        </w:p>
        <w:p>
          <w:pPr>
            <w:pStyle w:val="Contents3"/>
            <w:tabs>
              <w:tab w:val="clear" w:pos="8459"/>
              <w:tab w:val="right" w:pos="9026" w:leader="dot"/>
            </w:tabs>
            <w:rPr/>
          </w:pPr>
          <w:hyperlink w:anchor="__RefHeading___Toc972272_237004111">
            <w:r>
              <w:rPr>
                <w:webHidden/>
                <w:rStyle w:val="IndexLink"/>
              </w:rPr>
              <w:t>88</w:t>
            </w:r>
            <w:r>
              <w:rPr>
                <w:rStyle w:val="IndexLink"/>
                <w:rtl w:val="true"/>
              </w:rPr>
              <w:t xml:space="preserve"> - </w:t>
            </w:r>
            <w:r>
              <w:rPr>
                <w:rStyle w:val="IndexLink"/>
                <w:rtl w:val="true"/>
              </w:rPr>
              <w:t xml:space="preserve">العلّامة الجواد الکاظمی </w:t>
            </w:r>
            <w:r>
              <w:rPr>
                <w:rStyle w:val="IndexLink"/>
                <w:rtl w:val="true"/>
              </w:rPr>
              <w:t>(</w:t>
            </w:r>
            <w:r>
              <w:rPr>
                <w:rStyle w:val="IndexLink"/>
                <w:rtl w:val="true"/>
              </w:rPr>
              <w:t>ت فی أواسط القرن الحادی عشر</w:t>
            </w:r>
            <w:r>
              <w:rPr>
                <w:rStyle w:val="IndexLink"/>
                <w:rtl w:val="true"/>
              </w:rPr>
              <w:t>)</w:t>
              <w:tab/>
            </w:r>
            <w:r>
              <w:rPr>
                <w:rStyle w:val="IndexLink"/>
              </w:rPr>
              <w:t>236</w:t>
            </w:r>
          </w:hyperlink>
        </w:p>
        <w:p>
          <w:pPr>
            <w:pStyle w:val="Contents3"/>
            <w:tabs>
              <w:tab w:val="clear" w:pos="8459"/>
              <w:tab w:val="right" w:pos="9026" w:leader="dot"/>
            </w:tabs>
            <w:rPr/>
          </w:pPr>
          <w:hyperlink w:anchor="__RefHeading___Toc972274_237004111">
            <w:r>
              <w:rPr>
                <w:webHidden/>
                <w:rStyle w:val="IndexLink"/>
              </w:rPr>
              <w:t>89</w:t>
            </w:r>
            <w:r>
              <w:rPr>
                <w:rStyle w:val="IndexLink"/>
                <w:rtl w:val="true"/>
              </w:rPr>
              <w:t xml:space="preserve"> - </w:t>
            </w:r>
            <w:r>
              <w:rPr>
                <w:rStyle w:val="IndexLink"/>
                <w:rtl w:val="true"/>
              </w:rPr>
              <w:t xml:space="preserve">أبو البقاء الکفوی </w:t>
            </w:r>
            <w:r>
              <w:rPr>
                <w:rStyle w:val="IndexLink"/>
                <w:rtl w:val="true"/>
              </w:rPr>
              <w:t>(</w:t>
            </w:r>
            <w:r>
              <w:rPr>
                <w:rStyle w:val="IndexLink"/>
                <w:rtl w:val="true"/>
              </w:rPr>
              <w:t xml:space="preserve">ت </w:t>
            </w:r>
            <w:r>
              <w:rPr>
                <w:rStyle w:val="IndexLink"/>
              </w:rPr>
              <w:t>1094</w:t>
            </w:r>
            <w:r>
              <w:rPr>
                <w:rStyle w:val="IndexLink"/>
                <w:rtl w:val="true"/>
              </w:rPr>
              <w:t xml:space="preserve"> </w:t>
            </w:r>
            <w:r>
              <w:rPr>
                <w:rStyle w:val="IndexLink"/>
                <w:rtl w:val="true"/>
              </w:rPr>
              <w:t xml:space="preserve">ه </w:t>
            </w:r>
            <w:r>
              <w:rPr>
                <w:rStyle w:val="IndexLink"/>
                <w:rtl w:val="true"/>
              </w:rPr>
              <w:t>)</w:t>
              <w:tab/>
            </w:r>
            <w:r>
              <w:rPr>
                <w:rStyle w:val="IndexLink"/>
              </w:rPr>
              <w:t>237</w:t>
            </w:r>
          </w:hyperlink>
        </w:p>
        <w:p>
          <w:pPr>
            <w:pStyle w:val="Contents3"/>
            <w:tabs>
              <w:tab w:val="clear" w:pos="8459"/>
              <w:tab w:val="right" w:pos="9026" w:leader="dot"/>
            </w:tabs>
            <w:rPr/>
          </w:pPr>
          <w:hyperlink w:anchor="__RefHeading___Toc972276_237004111">
            <w:r>
              <w:rPr>
                <w:webHidden/>
                <w:rStyle w:val="IndexLink"/>
              </w:rPr>
              <w:t>90</w:t>
            </w:r>
            <w:r>
              <w:rPr>
                <w:rStyle w:val="IndexLink"/>
                <w:rtl w:val="true"/>
              </w:rPr>
              <w:t xml:space="preserve"> - </w:t>
            </w:r>
            <w:r>
              <w:rPr>
                <w:rStyle w:val="IndexLink"/>
                <w:rtl w:val="true"/>
              </w:rPr>
              <w:t xml:space="preserve">الفیض الکاشانیّ </w:t>
            </w:r>
            <w:r>
              <w:rPr>
                <w:rStyle w:val="IndexLink"/>
                <w:rtl w:val="true"/>
              </w:rPr>
              <w:t>(</w:t>
            </w:r>
            <w:r>
              <w:rPr>
                <w:rStyle w:val="IndexLink"/>
                <w:rtl w:val="true"/>
              </w:rPr>
              <w:t xml:space="preserve">ت </w:t>
            </w:r>
            <w:r>
              <w:rPr>
                <w:rStyle w:val="IndexLink"/>
              </w:rPr>
              <w:t>1091</w:t>
            </w:r>
            <w:r>
              <w:rPr>
                <w:rStyle w:val="IndexLink"/>
                <w:rtl w:val="true"/>
              </w:rPr>
              <w:t xml:space="preserve"> </w:t>
            </w:r>
            <w:r>
              <w:rPr>
                <w:rStyle w:val="IndexLink"/>
                <w:rtl w:val="true"/>
              </w:rPr>
              <w:t xml:space="preserve">ه </w:t>
            </w:r>
            <w:r>
              <w:rPr>
                <w:rStyle w:val="IndexLink"/>
                <w:rtl w:val="true"/>
              </w:rPr>
              <w:t>)</w:t>
              <w:tab/>
            </w:r>
            <w:r>
              <w:rPr>
                <w:rStyle w:val="IndexLink"/>
              </w:rPr>
              <w:t>238</w:t>
            </w:r>
          </w:hyperlink>
        </w:p>
        <w:p>
          <w:pPr>
            <w:pStyle w:val="Contents3"/>
            <w:tabs>
              <w:tab w:val="clear" w:pos="8459"/>
              <w:tab w:val="right" w:pos="9026" w:leader="dot"/>
            </w:tabs>
            <w:rPr/>
          </w:pPr>
          <w:hyperlink w:anchor="__RefHeading___Toc972278_237004111">
            <w:r>
              <w:rPr>
                <w:webHidden/>
                <w:rStyle w:val="IndexLink"/>
              </w:rPr>
              <w:t>91</w:t>
            </w:r>
            <w:r>
              <w:rPr>
                <w:rStyle w:val="IndexLink"/>
                <w:rtl w:val="true"/>
              </w:rPr>
              <w:t xml:space="preserve"> - </w:t>
            </w:r>
            <w:r>
              <w:rPr>
                <w:rStyle w:val="IndexLink"/>
                <w:rtl w:val="true"/>
              </w:rPr>
              <w:t xml:space="preserve">المحقّق الخوانساریّ </w:t>
            </w:r>
            <w:r>
              <w:rPr>
                <w:rStyle w:val="IndexLink"/>
                <w:rtl w:val="true"/>
              </w:rPr>
              <w:t>(</w:t>
            </w:r>
            <w:r>
              <w:rPr>
                <w:rStyle w:val="IndexLink"/>
                <w:rtl w:val="true"/>
              </w:rPr>
              <w:t xml:space="preserve">ت </w:t>
            </w:r>
            <w:r>
              <w:rPr>
                <w:rStyle w:val="IndexLink"/>
              </w:rPr>
              <w:t>1099</w:t>
            </w:r>
            <w:r>
              <w:rPr>
                <w:rStyle w:val="IndexLink"/>
                <w:rtl w:val="true"/>
              </w:rPr>
              <w:t xml:space="preserve"> </w:t>
            </w:r>
            <w:r>
              <w:rPr>
                <w:rStyle w:val="IndexLink"/>
                <w:rtl w:val="true"/>
              </w:rPr>
              <w:t xml:space="preserve">ه </w:t>
            </w:r>
            <w:r>
              <w:rPr>
                <w:rStyle w:val="IndexLink"/>
                <w:rtl w:val="true"/>
              </w:rPr>
              <w:t>)</w:t>
              <w:tab/>
            </w:r>
            <w:r>
              <w:rPr>
                <w:rStyle w:val="IndexLink"/>
              </w:rPr>
              <w:t>239</w:t>
            </w:r>
          </w:hyperlink>
        </w:p>
        <w:p>
          <w:pPr>
            <w:pStyle w:val="Contents3"/>
            <w:tabs>
              <w:tab w:val="clear" w:pos="8459"/>
              <w:tab w:val="right" w:pos="9026" w:leader="dot"/>
            </w:tabs>
            <w:rPr/>
          </w:pPr>
          <w:hyperlink w:anchor="__RefHeading___Toc972280_237004111">
            <w:r>
              <w:rPr>
                <w:webHidden/>
                <w:rStyle w:val="IndexLink"/>
              </w:rPr>
              <w:t>92</w:t>
            </w:r>
            <w:r>
              <w:rPr>
                <w:rStyle w:val="IndexLink"/>
                <w:rtl w:val="true"/>
              </w:rPr>
              <w:t xml:space="preserve"> - </w:t>
            </w:r>
            <w:r>
              <w:rPr>
                <w:rStyle w:val="IndexLink"/>
                <w:rtl w:val="true"/>
              </w:rPr>
              <w:t xml:space="preserve">الحویزیّ </w:t>
            </w:r>
            <w:r>
              <w:rPr>
                <w:rStyle w:val="IndexLink"/>
                <w:rtl w:val="true"/>
              </w:rPr>
              <w:t>(</w:t>
            </w:r>
            <w:r>
              <w:rPr>
                <w:rStyle w:val="IndexLink"/>
                <w:rtl w:val="true"/>
              </w:rPr>
              <w:t xml:space="preserve">ت </w:t>
            </w:r>
            <w:r>
              <w:rPr>
                <w:rStyle w:val="IndexLink"/>
              </w:rPr>
              <w:t>1112</w:t>
            </w:r>
            <w:r>
              <w:rPr>
                <w:rStyle w:val="IndexLink"/>
                <w:rtl w:val="true"/>
              </w:rPr>
              <w:t xml:space="preserve"> </w:t>
            </w:r>
            <w:r>
              <w:rPr>
                <w:rStyle w:val="IndexLink"/>
                <w:rtl w:val="true"/>
              </w:rPr>
              <w:t xml:space="preserve">ه </w:t>
            </w:r>
            <w:r>
              <w:rPr>
                <w:rStyle w:val="IndexLink"/>
                <w:rtl w:val="true"/>
              </w:rPr>
              <w:t>)</w:t>
              <w:tab/>
            </w:r>
            <w:r>
              <w:rPr>
                <w:rStyle w:val="IndexLink"/>
              </w:rPr>
              <w:t>239</w:t>
            </w:r>
          </w:hyperlink>
        </w:p>
        <w:p>
          <w:pPr>
            <w:pStyle w:val="Contents3"/>
            <w:tabs>
              <w:tab w:val="clear" w:pos="8459"/>
              <w:tab w:val="right" w:pos="9026" w:leader="dot"/>
            </w:tabs>
            <w:rPr/>
          </w:pPr>
          <w:hyperlink w:anchor="__RefHeading___Toc972282_237004111">
            <w:r>
              <w:rPr>
                <w:webHidden/>
                <w:rStyle w:val="IndexLink"/>
              </w:rPr>
              <w:t>93</w:t>
            </w:r>
            <w:r>
              <w:rPr>
                <w:rStyle w:val="IndexLink"/>
                <w:rtl w:val="true"/>
              </w:rPr>
              <w:t xml:space="preserve"> - </w:t>
            </w:r>
            <w:r>
              <w:rPr>
                <w:rStyle w:val="IndexLink"/>
                <w:rtl w:val="true"/>
              </w:rPr>
              <w:t xml:space="preserve">البناء صاحب الإتحاف </w:t>
            </w:r>
            <w:r>
              <w:rPr>
                <w:rStyle w:val="IndexLink"/>
                <w:rtl w:val="true"/>
              </w:rPr>
              <w:t>(</w:t>
            </w:r>
            <w:r>
              <w:rPr>
                <w:rStyle w:val="IndexLink"/>
                <w:rtl w:val="true"/>
              </w:rPr>
              <w:t xml:space="preserve">ت </w:t>
            </w:r>
            <w:r>
              <w:rPr>
                <w:rStyle w:val="IndexLink"/>
              </w:rPr>
              <w:t>1117</w:t>
            </w:r>
            <w:r>
              <w:rPr>
                <w:rStyle w:val="IndexLink"/>
                <w:rtl w:val="true"/>
              </w:rPr>
              <w:t xml:space="preserve"> </w:t>
            </w:r>
            <w:r>
              <w:rPr>
                <w:rStyle w:val="IndexLink"/>
                <w:rtl w:val="true"/>
              </w:rPr>
              <w:t xml:space="preserve">ه </w:t>
            </w:r>
            <w:r>
              <w:rPr>
                <w:rStyle w:val="IndexLink"/>
                <w:rtl w:val="true"/>
              </w:rPr>
              <w:t>)</w:t>
              <w:tab/>
            </w:r>
            <w:r>
              <w:rPr>
                <w:rStyle w:val="IndexLink"/>
              </w:rPr>
              <w:t>240</w:t>
            </w:r>
          </w:hyperlink>
        </w:p>
        <w:p>
          <w:pPr>
            <w:pStyle w:val="Contents3"/>
            <w:tabs>
              <w:tab w:val="clear" w:pos="8459"/>
              <w:tab w:val="right" w:pos="9026" w:leader="dot"/>
            </w:tabs>
            <w:rPr/>
          </w:pPr>
          <w:hyperlink w:anchor="__RefHeading___Toc972284_237004111">
            <w:r>
              <w:rPr>
                <w:webHidden/>
                <w:rStyle w:val="IndexLink"/>
              </w:rPr>
              <w:t>94</w:t>
            </w:r>
            <w:r>
              <w:rPr>
                <w:rStyle w:val="IndexLink"/>
                <w:rtl w:val="true"/>
              </w:rPr>
              <w:t xml:space="preserve"> - </w:t>
            </w:r>
            <w:r>
              <w:rPr>
                <w:rStyle w:val="IndexLink"/>
                <w:rtl w:val="true"/>
              </w:rPr>
              <w:t xml:space="preserve">المیرزا محمد المشهدیّ القمّی </w:t>
            </w:r>
            <w:r>
              <w:rPr>
                <w:rStyle w:val="IndexLink"/>
                <w:rtl w:val="true"/>
              </w:rPr>
              <w:t>(</w:t>
            </w:r>
            <w:r>
              <w:rPr>
                <w:rStyle w:val="IndexLink"/>
                <w:rtl w:val="true"/>
              </w:rPr>
              <w:t xml:space="preserve">ت </w:t>
            </w:r>
            <w:r>
              <w:rPr>
                <w:rStyle w:val="IndexLink"/>
              </w:rPr>
              <w:t>125</w:t>
            </w:r>
            <w:r>
              <w:rPr>
                <w:rStyle w:val="IndexLink"/>
                <w:rtl w:val="true"/>
              </w:rPr>
              <w:t xml:space="preserve"> </w:t>
            </w:r>
            <w:r>
              <w:rPr>
                <w:rStyle w:val="IndexLink"/>
                <w:rtl w:val="true"/>
              </w:rPr>
              <w:t xml:space="preserve">ه </w:t>
            </w:r>
            <w:r>
              <w:rPr>
                <w:rStyle w:val="IndexLink"/>
                <w:rtl w:val="true"/>
              </w:rPr>
              <w:t>)</w:t>
              <w:tab/>
            </w:r>
            <w:r>
              <w:rPr>
                <w:rStyle w:val="IndexLink"/>
              </w:rPr>
              <w:t>240</w:t>
            </w:r>
          </w:hyperlink>
        </w:p>
        <w:p>
          <w:pPr>
            <w:pStyle w:val="Contents3"/>
            <w:tabs>
              <w:tab w:val="clear" w:pos="8459"/>
              <w:tab w:val="right" w:pos="9026" w:leader="dot"/>
            </w:tabs>
            <w:rPr/>
          </w:pPr>
          <w:hyperlink w:anchor="__RefHeading___Toc972286_237004111">
            <w:r>
              <w:rPr>
                <w:webHidden/>
                <w:rStyle w:val="IndexLink"/>
              </w:rPr>
              <w:t>95</w:t>
            </w:r>
            <w:r>
              <w:rPr>
                <w:rStyle w:val="IndexLink"/>
                <w:rtl w:val="true"/>
              </w:rPr>
              <w:t xml:space="preserve"> - </w:t>
            </w:r>
            <w:r>
              <w:rPr>
                <w:rStyle w:val="IndexLink"/>
                <w:rtl w:val="true"/>
              </w:rPr>
              <w:t xml:space="preserve">القاضی محمد المظهری النقشبندی الحنفی </w:t>
            </w:r>
            <w:r>
              <w:rPr>
                <w:rStyle w:val="IndexLink"/>
                <w:rtl w:val="true"/>
              </w:rPr>
              <w:t>(</w:t>
            </w:r>
            <w:r>
              <w:rPr>
                <w:rStyle w:val="IndexLink"/>
                <w:rtl w:val="true"/>
              </w:rPr>
              <w:t xml:space="preserve">ت </w:t>
            </w:r>
            <w:r>
              <w:rPr>
                <w:rStyle w:val="IndexLink"/>
              </w:rPr>
              <w:t>1143</w:t>
            </w:r>
            <w:r>
              <w:rPr>
                <w:rStyle w:val="IndexLink"/>
                <w:rtl w:val="true"/>
              </w:rPr>
              <w:t xml:space="preserve"> -</w:t>
              <w:tab/>
            </w:r>
            <w:r>
              <w:rPr>
                <w:rStyle w:val="IndexLink"/>
              </w:rPr>
              <w:t>241</w:t>
            </w:r>
          </w:hyperlink>
        </w:p>
        <w:p>
          <w:pPr>
            <w:pStyle w:val="Contents3"/>
            <w:tabs>
              <w:tab w:val="clear" w:pos="8459"/>
              <w:tab w:val="right" w:pos="9026" w:leader="dot"/>
            </w:tabs>
            <w:rPr/>
          </w:pPr>
          <w:hyperlink w:anchor="__RefHeading___Toc972288_237004111">
            <w:r>
              <w:rPr>
                <w:webHidden/>
                <w:rStyle w:val="IndexLink"/>
              </w:rPr>
              <w:t>96</w:t>
            </w:r>
            <w:r>
              <w:rPr>
                <w:rStyle w:val="IndexLink"/>
                <w:rtl w:val="true"/>
              </w:rPr>
              <w:t xml:space="preserve"> - </w:t>
            </w:r>
            <w:r>
              <w:rPr>
                <w:rStyle w:val="IndexLink"/>
                <w:rtl w:val="true"/>
              </w:rPr>
              <w:t xml:space="preserve">المحقّق البحرانیّ </w:t>
            </w:r>
            <w:r>
              <w:rPr>
                <w:rStyle w:val="IndexLink"/>
                <w:rtl w:val="true"/>
              </w:rPr>
              <w:t>(</w:t>
            </w:r>
            <w:r>
              <w:rPr>
                <w:rStyle w:val="IndexLink"/>
                <w:rtl w:val="true"/>
              </w:rPr>
              <w:t xml:space="preserve">ت </w:t>
            </w:r>
            <w:r>
              <w:rPr>
                <w:rStyle w:val="IndexLink"/>
              </w:rPr>
              <w:t>1186</w:t>
            </w:r>
            <w:r>
              <w:rPr>
                <w:rStyle w:val="IndexLink"/>
                <w:rtl w:val="true"/>
              </w:rPr>
              <w:t xml:space="preserve"> </w:t>
            </w:r>
            <w:r>
              <w:rPr>
                <w:rStyle w:val="IndexLink"/>
                <w:rtl w:val="true"/>
              </w:rPr>
              <w:t xml:space="preserve">ه </w:t>
            </w:r>
            <w:r>
              <w:rPr>
                <w:rStyle w:val="IndexLink"/>
                <w:rtl w:val="true"/>
              </w:rPr>
              <w:t>)</w:t>
              <w:tab/>
            </w:r>
            <w:r>
              <w:rPr>
                <w:rStyle w:val="IndexLink"/>
              </w:rPr>
              <w:t>243</w:t>
            </w:r>
          </w:hyperlink>
        </w:p>
        <w:p>
          <w:pPr>
            <w:pStyle w:val="Contents3"/>
            <w:tabs>
              <w:tab w:val="clear" w:pos="8459"/>
              <w:tab w:val="right" w:pos="9026" w:leader="dot"/>
            </w:tabs>
            <w:rPr/>
          </w:pPr>
          <w:hyperlink w:anchor="__RefHeading___Toc972290_237004111">
            <w:r>
              <w:rPr>
                <w:webHidden/>
                <w:rStyle w:val="IndexLink"/>
              </w:rPr>
              <w:t>97</w:t>
            </w:r>
            <w:r>
              <w:rPr>
                <w:rStyle w:val="IndexLink"/>
                <w:rtl w:val="true"/>
              </w:rPr>
              <w:t xml:space="preserve"> - </w:t>
            </w:r>
            <w:r>
              <w:rPr>
                <w:rStyle w:val="IndexLink"/>
                <w:rtl w:val="true"/>
              </w:rPr>
              <w:t xml:space="preserve">الصّبّان </w:t>
            </w:r>
            <w:r>
              <w:rPr>
                <w:rStyle w:val="IndexLink"/>
                <w:rtl w:val="true"/>
              </w:rPr>
              <w:t>(</w:t>
            </w:r>
            <w:r>
              <w:rPr>
                <w:rStyle w:val="IndexLink"/>
                <w:rtl w:val="true"/>
              </w:rPr>
              <w:t xml:space="preserve">ت </w:t>
            </w:r>
            <w:r>
              <w:rPr>
                <w:rStyle w:val="IndexLink"/>
              </w:rPr>
              <w:t>1206</w:t>
            </w:r>
            <w:r>
              <w:rPr>
                <w:rStyle w:val="IndexLink"/>
                <w:rtl w:val="true"/>
              </w:rPr>
              <w:t xml:space="preserve"> </w:t>
            </w:r>
            <w:r>
              <w:rPr>
                <w:rStyle w:val="IndexLink"/>
                <w:rtl w:val="true"/>
              </w:rPr>
              <w:t xml:space="preserve">ه </w:t>
            </w:r>
            <w:r>
              <w:rPr>
                <w:rStyle w:val="IndexLink"/>
                <w:rtl w:val="true"/>
              </w:rPr>
              <w:t>)</w:t>
              <w:tab/>
            </w:r>
            <w:r>
              <w:rPr>
                <w:rStyle w:val="IndexLink"/>
              </w:rPr>
              <w:t>243</w:t>
            </w:r>
          </w:hyperlink>
        </w:p>
        <w:p>
          <w:pPr>
            <w:pStyle w:val="Contents3"/>
            <w:tabs>
              <w:tab w:val="clear" w:pos="8459"/>
              <w:tab w:val="right" w:pos="9026" w:leader="dot"/>
            </w:tabs>
            <w:rPr/>
          </w:pPr>
          <w:hyperlink w:anchor="__RefHeading___Toc972292_237004111">
            <w:r>
              <w:rPr>
                <w:webHidden/>
                <w:rStyle w:val="IndexLink"/>
              </w:rPr>
              <w:t>98</w:t>
            </w:r>
            <w:r>
              <w:rPr>
                <w:rStyle w:val="IndexLink"/>
                <w:rtl w:val="true"/>
              </w:rPr>
              <w:t xml:space="preserve"> - </w:t>
            </w:r>
            <w:r>
              <w:rPr>
                <w:rStyle w:val="IndexLink"/>
                <w:rtl w:val="true"/>
              </w:rPr>
              <w:t xml:space="preserve">أحمد بن محمد بن المهدی ابن عجیبة الحسینی </w:t>
            </w:r>
            <w:r>
              <w:rPr>
                <w:rStyle w:val="IndexLink"/>
                <w:rtl w:val="true"/>
              </w:rPr>
              <w:t>(</w:t>
            </w:r>
            <w:r>
              <w:rPr>
                <w:rStyle w:val="IndexLink"/>
                <w:rtl w:val="true"/>
              </w:rPr>
              <w:t xml:space="preserve">ت </w:t>
            </w:r>
            <w:r>
              <w:rPr>
                <w:rStyle w:val="IndexLink"/>
              </w:rPr>
              <w:t>1224</w:t>
            </w:r>
            <w:r>
              <w:rPr>
                <w:rStyle w:val="IndexLink"/>
                <w:rtl w:val="true"/>
              </w:rPr>
              <w:t xml:space="preserve"> </w:t>
            </w:r>
            <w:r>
              <w:rPr>
                <w:rStyle w:val="IndexLink"/>
                <w:rtl w:val="true"/>
              </w:rPr>
              <w:t xml:space="preserve">ه </w:t>
            </w:r>
            <w:r>
              <w:rPr>
                <w:rStyle w:val="IndexLink"/>
                <w:rtl w:val="true"/>
              </w:rPr>
              <w:t>)</w:t>
              <w:tab/>
            </w:r>
            <w:r>
              <w:rPr>
                <w:rStyle w:val="IndexLink"/>
              </w:rPr>
              <w:t>244</w:t>
            </w:r>
          </w:hyperlink>
        </w:p>
        <w:p>
          <w:pPr>
            <w:pStyle w:val="Contents3"/>
            <w:tabs>
              <w:tab w:val="clear" w:pos="8459"/>
              <w:tab w:val="right" w:pos="9026" w:leader="dot"/>
            </w:tabs>
            <w:rPr/>
          </w:pPr>
          <w:hyperlink w:anchor="__RefHeading___Toc972294_237004111">
            <w:r>
              <w:rPr>
                <w:webHidden/>
                <w:rStyle w:val="IndexLink"/>
              </w:rPr>
              <w:t>99</w:t>
            </w:r>
            <w:r>
              <w:rPr>
                <w:rStyle w:val="IndexLink"/>
                <w:rtl w:val="true"/>
              </w:rPr>
              <w:t xml:space="preserve"> - </w:t>
            </w:r>
            <w:r>
              <w:rPr>
                <w:rStyle w:val="IndexLink"/>
                <w:rtl w:val="true"/>
              </w:rPr>
              <w:t xml:space="preserve">السیّد عبداللّه الشُّبلّر </w:t>
            </w:r>
            <w:r>
              <w:rPr>
                <w:rStyle w:val="IndexLink"/>
                <w:rtl w:val="true"/>
              </w:rPr>
              <w:t>(</w:t>
            </w:r>
            <w:r>
              <w:rPr>
                <w:rStyle w:val="IndexLink"/>
                <w:rtl w:val="true"/>
              </w:rPr>
              <w:t xml:space="preserve">ت </w:t>
            </w:r>
            <w:r>
              <w:rPr>
                <w:rStyle w:val="IndexLink"/>
              </w:rPr>
              <w:t>1243</w:t>
            </w:r>
            <w:r>
              <w:rPr>
                <w:rStyle w:val="IndexLink"/>
                <w:rtl w:val="true"/>
              </w:rPr>
              <w:t xml:space="preserve"> </w:t>
            </w:r>
            <w:r>
              <w:rPr>
                <w:rStyle w:val="IndexLink"/>
                <w:rtl w:val="true"/>
              </w:rPr>
              <w:t xml:space="preserve">ه </w:t>
            </w:r>
            <w:r>
              <w:rPr>
                <w:rStyle w:val="IndexLink"/>
                <w:rtl w:val="true"/>
              </w:rPr>
              <w:t>)</w:t>
              <w:tab/>
            </w:r>
            <w:r>
              <w:rPr>
                <w:rStyle w:val="IndexLink"/>
              </w:rPr>
              <w:t>245</w:t>
            </w:r>
          </w:hyperlink>
        </w:p>
        <w:p>
          <w:pPr>
            <w:pStyle w:val="Contents3"/>
            <w:tabs>
              <w:tab w:val="clear" w:pos="8459"/>
              <w:tab w:val="right" w:pos="9026" w:leader="dot"/>
            </w:tabs>
            <w:rPr/>
          </w:pPr>
          <w:hyperlink w:anchor="__RefHeading___Toc972296_237004111">
            <w:r>
              <w:rPr>
                <w:webHidden/>
                <w:rStyle w:val="IndexLink"/>
              </w:rPr>
              <w:t>100</w:t>
            </w:r>
            <w:r>
              <w:rPr>
                <w:rStyle w:val="IndexLink"/>
                <w:rtl w:val="true"/>
              </w:rPr>
              <w:t xml:space="preserve"> - </w:t>
            </w:r>
            <w:r>
              <w:rPr>
                <w:rStyle w:val="IndexLink"/>
                <w:rtl w:val="true"/>
              </w:rPr>
              <w:t xml:space="preserve">الآلوسیّ </w:t>
            </w:r>
            <w:r>
              <w:rPr>
                <w:rStyle w:val="IndexLink"/>
                <w:rtl w:val="true"/>
              </w:rPr>
              <w:t>(</w:t>
            </w:r>
            <w:r>
              <w:rPr>
                <w:rStyle w:val="IndexLink"/>
                <w:rtl w:val="true"/>
              </w:rPr>
              <w:t xml:space="preserve">ت </w:t>
            </w:r>
            <w:r>
              <w:rPr>
                <w:rStyle w:val="IndexLink"/>
              </w:rPr>
              <w:t>1270</w:t>
            </w:r>
            <w:r>
              <w:rPr>
                <w:rStyle w:val="IndexLink"/>
                <w:rtl w:val="true"/>
              </w:rPr>
              <w:t xml:space="preserve"> </w:t>
            </w:r>
            <w:r>
              <w:rPr>
                <w:rStyle w:val="IndexLink"/>
                <w:rtl w:val="true"/>
              </w:rPr>
              <w:t xml:space="preserve">ه </w:t>
            </w:r>
            <w:r>
              <w:rPr>
                <w:rStyle w:val="IndexLink"/>
                <w:rtl w:val="true"/>
              </w:rPr>
              <w:t>)</w:t>
              <w:tab/>
            </w:r>
            <w:r>
              <w:rPr>
                <w:rStyle w:val="IndexLink"/>
              </w:rPr>
              <w:t>246</w:t>
            </w:r>
          </w:hyperlink>
        </w:p>
        <w:p>
          <w:pPr>
            <w:pStyle w:val="Contents3"/>
            <w:tabs>
              <w:tab w:val="clear" w:pos="8459"/>
              <w:tab w:val="right" w:pos="9026" w:leader="dot"/>
            </w:tabs>
            <w:rPr/>
          </w:pPr>
          <w:hyperlink w:anchor="__RefHeading___Toc972298_237004111">
            <w:r>
              <w:rPr>
                <w:webHidden/>
                <w:rStyle w:val="IndexLink"/>
              </w:rPr>
              <w:t>101</w:t>
            </w:r>
            <w:r>
              <w:rPr>
                <w:rStyle w:val="IndexLink"/>
                <w:rtl w:val="true"/>
              </w:rPr>
              <w:t xml:space="preserve"> - </w:t>
            </w:r>
            <w:r>
              <w:rPr>
                <w:rStyle w:val="IndexLink"/>
                <w:rtl w:val="true"/>
              </w:rPr>
              <w:t xml:space="preserve">الشوکانیّ </w:t>
            </w:r>
            <w:r>
              <w:rPr>
                <w:rStyle w:val="IndexLink"/>
                <w:rtl w:val="true"/>
              </w:rPr>
              <w:t>(</w:t>
            </w:r>
            <w:r>
              <w:rPr>
                <w:rStyle w:val="IndexLink"/>
                <w:rtl w:val="true"/>
              </w:rPr>
              <w:t xml:space="preserve">ت </w:t>
            </w:r>
            <w:r>
              <w:rPr>
                <w:rStyle w:val="IndexLink"/>
              </w:rPr>
              <w:t>1255</w:t>
            </w:r>
            <w:r>
              <w:rPr>
                <w:rStyle w:val="IndexLink"/>
                <w:rtl w:val="true"/>
              </w:rPr>
              <w:t xml:space="preserve"> </w:t>
            </w:r>
            <w:r>
              <w:rPr>
                <w:rStyle w:val="IndexLink"/>
                <w:rtl w:val="true"/>
              </w:rPr>
              <w:t xml:space="preserve">ه </w:t>
            </w:r>
            <w:r>
              <w:rPr>
                <w:rStyle w:val="IndexLink"/>
                <w:rtl w:val="true"/>
              </w:rPr>
              <w:t>)</w:t>
              <w:tab/>
            </w:r>
            <w:r>
              <w:rPr>
                <w:rStyle w:val="IndexLink"/>
              </w:rPr>
              <w:t>268</w:t>
            </w:r>
          </w:hyperlink>
        </w:p>
        <w:p>
          <w:pPr>
            <w:pStyle w:val="Contents3"/>
            <w:tabs>
              <w:tab w:val="clear" w:pos="8459"/>
              <w:tab w:val="right" w:pos="9026" w:leader="dot"/>
            </w:tabs>
            <w:rPr/>
          </w:pPr>
          <w:hyperlink w:anchor="__RefHeading___Toc972300_237004111">
            <w:r>
              <w:rPr>
                <w:webHidden/>
                <w:rStyle w:val="IndexLink"/>
              </w:rPr>
              <w:t>102</w:t>
            </w:r>
            <w:r>
              <w:rPr>
                <w:rStyle w:val="IndexLink"/>
                <w:rtl w:val="true"/>
              </w:rPr>
              <w:t xml:space="preserve"> - </w:t>
            </w:r>
            <w:r>
              <w:rPr>
                <w:rStyle w:val="IndexLink"/>
                <w:rtl w:val="true"/>
              </w:rPr>
              <w:t xml:space="preserve">الجواهریّ </w:t>
            </w:r>
            <w:r>
              <w:rPr>
                <w:rStyle w:val="IndexLink"/>
                <w:rtl w:val="true"/>
              </w:rPr>
              <w:t>(</w:t>
            </w:r>
            <w:r>
              <w:rPr>
                <w:rStyle w:val="IndexLink"/>
                <w:rtl w:val="true"/>
              </w:rPr>
              <w:t xml:space="preserve">ت </w:t>
            </w:r>
            <w:r>
              <w:rPr>
                <w:rStyle w:val="IndexLink"/>
              </w:rPr>
              <w:t>1266</w:t>
            </w:r>
            <w:r>
              <w:rPr>
                <w:rStyle w:val="IndexLink"/>
                <w:rtl w:val="true"/>
              </w:rPr>
              <w:t xml:space="preserve"> </w:t>
            </w:r>
            <w:r>
              <w:rPr>
                <w:rStyle w:val="IndexLink"/>
                <w:rtl w:val="true"/>
              </w:rPr>
              <w:t xml:space="preserve">ه </w:t>
            </w:r>
            <w:r>
              <w:rPr>
                <w:rStyle w:val="IndexLink"/>
                <w:rtl w:val="true"/>
              </w:rPr>
              <w:t>)</w:t>
              <w:tab/>
            </w:r>
            <w:r>
              <w:rPr>
                <w:rStyle w:val="IndexLink"/>
              </w:rPr>
              <w:t>269</w:t>
            </w:r>
          </w:hyperlink>
        </w:p>
        <w:p>
          <w:pPr>
            <w:pStyle w:val="Contents3"/>
            <w:tabs>
              <w:tab w:val="clear" w:pos="8459"/>
              <w:tab w:val="right" w:pos="9026" w:leader="dot"/>
            </w:tabs>
            <w:rPr/>
          </w:pPr>
          <w:hyperlink w:anchor="__RefHeading___Toc972302_237004111">
            <w:r>
              <w:rPr>
                <w:webHidden/>
                <w:rStyle w:val="IndexLink"/>
              </w:rPr>
              <w:t>103</w:t>
            </w:r>
            <w:r>
              <w:rPr>
                <w:rStyle w:val="IndexLink"/>
                <w:rtl w:val="true"/>
              </w:rPr>
              <w:t xml:space="preserve"> - </w:t>
            </w:r>
            <w:r>
              <w:rPr>
                <w:rStyle w:val="IndexLink"/>
                <w:rtl w:val="true"/>
              </w:rPr>
              <w:t xml:space="preserve">محمد بن عمر نووی الجاوی </w:t>
            </w:r>
            <w:r>
              <w:rPr>
                <w:rStyle w:val="IndexLink"/>
                <w:rtl w:val="true"/>
              </w:rPr>
              <w:t>(</w:t>
            </w:r>
            <w:r>
              <w:rPr>
                <w:rStyle w:val="IndexLink"/>
                <w:rtl w:val="true"/>
              </w:rPr>
              <w:t xml:space="preserve">ت </w:t>
            </w:r>
            <w:r>
              <w:rPr>
                <w:rStyle w:val="IndexLink"/>
              </w:rPr>
              <w:t>1316</w:t>
            </w:r>
            <w:r>
              <w:rPr>
                <w:rStyle w:val="IndexLink"/>
                <w:rtl w:val="true"/>
              </w:rPr>
              <w:t xml:space="preserve"> </w:t>
            </w:r>
            <w:r>
              <w:rPr>
                <w:rStyle w:val="IndexLink"/>
                <w:rtl w:val="true"/>
              </w:rPr>
              <w:t xml:space="preserve">ه </w:t>
            </w:r>
            <w:r>
              <w:rPr>
                <w:rStyle w:val="IndexLink"/>
                <w:rtl w:val="true"/>
              </w:rPr>
              <w:t>)</w:t>
              <w:tab/>
            </w:r>
            <w:r>
              <w:rPr>
                <w:rStyle w:val="IndexLink"/>
              </w:rPr>
              <w:t>271</w:t>
            </w:r>
          </w:hyperlink>
        </w:p>
        <w:p>
          <w:pPr>
            <w:pStyle w:val="Contents3"/>
            <w:tabs>
              <w:tab w:val="clear" w:pos="8459"/>
              <w:tab w:val="right" w:pos="9026" w:leader="dot"/>
            </w:tabs>
            <w:rPr/>
          </w:pPr>
          <w:hyperlink w:anchor="__RefHeading___Toc972304_237004111">
            <w:r>
              <w:rPr>
                <w:webHidden/>
                <w:rStyle w:val="IndexLink"/>
              </w:rPr>
              <w:t>104</w:t>
            </w:r>
            <w:r>
              <w:rPr>
                <w:rStyle w:val="IndexLink"/>
                <w:rtl w:val="true"/>
              </w:rPr>
              <w:t xml:space="preserve"> - </w:t>
            </w:r>
            <w:r>
              <w:rPr>
                <w:rStyle w:val="IndexLink"/>
                <w:rtl w:val="true"/>
              </w:rPr>
              <w:t xml:space="preserve">السید محمد رشید رضا </w:t>
            </w:r>
            <w:r>
              <w:rPr>
                <w:rStyle w:val="IndexLink"/>
                <w:rtl w:val="true"/>
              </w:rPr>
              <w:t>(</w:t>
            </w:r>
            <w:r>
              <w:rPr>
                <w:rStyle w:val="IndexLink"/>
                <w:rtl w:val="true"/>
              </w:rPr>
              <w:t xml:space="preserve">ت </w:t>
            </w:r>
            <w:r>
              <w:rPr>
                <w:rStyle w:val="IndexLink"/>
              </w:rPr>
              <w:t>1354</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تلمیذ الشیخ محمد</w:t>
            </w:r>
            <w:r>
              <w:rPr>
                <w:rStyle w:val="IndexLink"/>
                <w:rtl w:val="true"/>
              </w:rPr>
              <w:tab/>
            </w:r>
            <w:r>
              <w:rPr>
                <w:rStyle w:val="IndexLink"/>
              </w:rPr>
              <w:t>272</w:t>
            </w:r>
          </w:hyperlink>
        </w:p>
        <w:p>
          <w:pPr>
            <w:pStyle w:val="Contents3"/>
            <w:tabs>
              <w:tab w:val="clear" w:pos="8459"/>
              <w:tab w:val="right" w:pos="9026" w:leader="dot"/>
            </w:tabs>
            <w:rPr/>
          </w:pPr>
          <w:hyperlink w:anchor="__RefHeading___Toc972306_237004111">
            <w:r>
              <w:rPr>
                <w:webHidden/>
                <w:rStyle w:val="IndexLink"/>
              </w:rPr>
              <w:t>105</w:t>
            </w:r>
            <w:r>
              <w:rPr>
                <w:rStyle w:val="IndexLink"/>
                <w:rtl w:val="true"/>
              </w:rPr>
              <w:t xml:space="preserve"> - </w:t>
            </w:r>
            <w:r>
              <w:rPr>
                <w:rStyle w:val="IndexLink"/>
                <w:rtl w:val="true"/>
              </w:rPr>
              <w:t xml:space="preserve">الزرقانیّ </w:t>
            </w:r>
            <w:r>
              <w:rPr>
                <w:rStyle w:val="IndexLink"/>
                <w:rtl w:val="true"/>
              </w:rPr>
              <w:t>(</w:t>
            </w:r>
            <w:r>
              <w:rPr>
                <w:rStyle w:val="IndexLink"/>
                <w:rtl w:val="true"/>
              </w:rPr>
              <w:t xml:space="preserve">ت </w:t>
            </w:r>
            <w:r>
              <w:rPr>
                <w:rStyle w:val="IndexLink"/>
              </w:rPr>
              <w:t>1367</w:t>
            </w:r>
            <w:r>
              <w:rPr>
                <w:rStyle w:val="IndexLink"/>
                <w:rtl w:val="true"/>
              </w:rPr>
              <w:t xml:space="preserve"> </w:t>
            </w:r>
            <w:r>
              <w:rPr>
                <w:rStyle w:val="IndexLink"/>
                <w:rtl w:val="true"/>
              </w:rPr>
              <w:t xml:space="preserve">ه </w:t>
            </w:r>
            <w:r>
              <w:rPr>
                <w:rStyle w:val="IndexLink"/>
                <w:rtl w:val="true"/>
              </w:rPr>
              <w:t>)</w:t>
              <w:tab/>
            </w:r>
            <w:r>
              <w:rPr>
                <w:rStyle w:val="IndexLink"/>
              </w:rPr>
              <w:t>277</w:t>
            </w:r>
          </w:hyperlink>
        </w:p>
        <w:p>
          <w:pPr>
            <w:pStyle w:val="Contents3"/>
            <w:tabs>
              <w:tab w:val="clear" w:pos="8459"/>
              <w:tab w:val="right" w:pos="9026" w:leader="dot"/>
            </w:tabs>
            <w:rPr/>
          </w:pPr>
          <w:hyperlink w:anchor="__RefHeading___Toc972308_237004111">
            <w:r>
              <w:rPr>
                <w:webHidden/>
                <w:rStyle w:val="IndexLink"/>
              </w:rPr>
              <w:t>106</w:t>
            </w:r>
            <w:r>
              <w:rPr>
                <w:rStyle w:val="IndexLink"/>
                <w:rtl w:val="true"/>
              </w:rPr>
              <w:t xml:space="preserve"> - </w:t>
            </w:r>
            <w:r>
              <w:rPr>
                <w:rStyle w:val="IndexLink"/>
                <w:rtl w:val="true"/>
              </w:rPr>
              <w:t xml:space="preserve">عبدالرّحمن بن ناصر آل سعدی </w:t>
            </w:r>
            <w:r>
              <w:rPr>
                <w:rStyle w:val="IndexLink"/>
                <w:rtl w:val="true"/>
              </w:rPr>
              <w:t>(</w:t>
            </w:r>
            <w:r>
              <w:rPr>
                <w:rStyle w:val="IndexLink"/>
                <w:rtl w:val="true"/>
              </w:rPr>
              <w:t xml:space="preserve">ت </w:t>
            </w:r>
            <w:r>
              <w:rPr>
                <w:rStyle w:val="IndexLink"/>
              </w:rPr>
              <w:t>1376</w:t>
            </w:r>
            <w:r>
              <w:rPr>
                <w:rStyle w:val="IndexLink"/>
                <w:rtl w:val="true"/>
              </w:rPr>
              <w:t xml:space="preserve"> </w:t>
            </w:r>
            <w:r>
              <w:rPr>
                <w:rStyle w:val="IndexLink"/>
                <w:rtl w:val="true"/>
              </w:rPr>
              <w:t xml:space="preserve">ه </w:t>
            </w:r>
            <w:r>
              <w:rPr>
                <w:rStyle w:val="IndexLink"/>
                <w:rtl w:val="true"/>
              </w:rPr>
              <w:t>)</w:t>
              <w:tab/>
            </w:r>
            <w:r>
              <w:rPr>
                <w:rStyle w:val="IndexLink"/>
              </w:rPr>
              <w:t>277</w:t>
            </w:r>
          </w:hyperlink>
        </w:p>
        <w:p>
          <w:pPr>
            <w:pStyle w:val="Contents3"/>
            <w:tabs>
              <w:tab w:val="clear" w:pos="8459"/>
              <w:tab w:val="right" w:pos="9026" w:leader="dot"/>
            </w:tabs>
            <w:rPr/>
          </w:pPr>
          <w:hyperlink w:anchor="__RefHeading___Toc972310_237004111">
            <w:r>
              <w:rPr>
                <w:webHidden/>
                <w:rStyle w:val="IndexLink"/>
              </w:rPr>
              <w:t>107</w:t>
            </w:r>
            <w:r>
              <w:rPr>
                <w:rStyle w:val="IndexLink"/>
                <w:rtl w:val="true"/>
              </w:rPr>
              <w:t xml:space="preserve"> - </w:t>
            </w:r>
            <w:r>
              <w:rPr>
                <w:rStyle w:val="IndexLink"/>
                <w:rtl w:val="true"/>
              </w:rPr>
              <w:t xml:space="preserve">الشنقیطیّ </w:t>
            </w:r>
            <w:r>
              <w:rPr>
                <w:rStyle w:val="IndexLink"/>
                <w:rtl w:val="true"/>
              </w:rPr>
              <w:t>(</w:t>
            </w:r>
            <w:r>
              <w:rPr>
                <w:rStyle w:val="IndexLink"/>
                <w:rtl w:val="true"/>
              </w:rPr>
              <w:t xml:space="preserve">ت </w:t>
            </w:r>
            <w:r>
              <w:rPr>
                <w:rStyle w:val="IndexLink"/>
              </w:rPr>
              <w:t>1393</w:t>
            </w:r>
            <w:r>
              <w:rPr>
                <w:rStyle w:val="IndexLink"/>
                <w:rtl w:val="true"/>
              </w:rPr>
              <w:t xml:space="preserve"> </w:t>
            </w:r>
            <w:r>
              <w:rPr>
                <w:rStyle w:val="IndexLink"/>
                <w:rtl w:val="true"/>
              </w:rPr>
              <w:t xml:space="preserve">ه </w:t>
            </w:r>
            <w:r>
              <w:rPr>
                <w:rStyle w:val="IndexLink"/>
                <w:rtl w:val="true"/>
              </w:rPr>
              <w:t>)</w:t>
              <w:tab/>
            </w:r>
            <w:r>
              <w:rPr>
                <w:rStyle w:val="IndexLink"/>
              </w:rPr>
              <w:t>278</w:t>
            </w:r>
          </w:hyperlink>
        </w:p>
        <w:p>
          <w:pPr>
            <w:pStyle w:val="Contents3"/>
            <w:tabs>
              <w:tab w:val="clear" w:pos="8459"/>
              <w:tab w:val="right" w:pos="9026" w:leader="dot"/>
            </w:tabs>
            <w:rPr/>
          </w:pPr>
          <w:hyperlink w:anchor="__RefHeading___Toc972312_237004111">
            <w:r>
              <w:rPr>
                <w:webHidden/>
                <w:rStyle w:val="IndexLink"/>
              </w:rPr>
              <w:t>108</w:t>
            </w:r>
            <w:r>
              <w:rPr>
                <w:rStyle w:val="IndexLink"/>
                <w:rtl w:val="true"/>
              </w:rPr>
              <w:t xml:space="preserve"> - </w:t>
            </w:r>
            <w:r>
              <w:rPr>
                <w:rStyle w:val="IndexLink"/>
                <w:rtl w:val="true"/>
              </w:rPr>
              <w:t xml:space="preserve">الشیخ محمد الطاهر ابن عاشور </w:t>
            </w:r>
            <w:r>
              <w:rPr>
                <w:rStyle w:val="IndexLink"/>
                <w:rtl w:val="true"/>
              </w:rPr>
              <w:t>(</w:t>
            </w:r>
            <w:r>
              <w:rPr>
                <w:rStyle w:val="IndexLink"/>
                <w:rtl w:val="true"/>
              </w:rPr>
              <w:t xml:space="preserve">ت </w:t>
            </w:r>
            <w:r>
              <w:rPr>
                <w:rStyle w:val="IndexLink"/>
              </w:rPr>
              <w:t>1393</w:t>
            </w:r>
            <w:r>
              <w:rPr>
                <w:rStyle w:val="IndexLink"/>
                <w:rtl w:val="true"/>
              </w:rPr>
              <w:t xml:space="preserve"> </w:t>
            </w:r>
            <w:r>
              <w:rPr>
                <w:rStyle w:val="IndexLink"/>
                <w:rtl w:val="true"/>
              </w:rPr>
              <w:t xml:space="preserve">ه </w:t>
            </w:r>
            <w:r>
              <w:rPr>
                <w:rStyle w:val="IndexLink"/>
                <w:rtl w:val="true"/>
              </w:rPr>
              <w:t>)</w:t>
              <w:tab/>
            </w:r>
            <w:r>
              <w:rPr>
                <w:rStyle w:val="IndexLink"/>
              </w:rPr>
              <w:t>284</w:t>
            </w:r>
          </w:hyperlink>
        </w:p>
        <w:p>
          <w:pPr>
            <w:pStyle w:val="Contents3"/>
            <w:tabs>
              <w:tab w:val="clear" w:pos="8459"/>
              <w:tab w:val="right" w:pos="9026" w:leader="dot"/>
            </w:tabs>
            <w:rPr/>
          </w:pPr>
          <w:hyperlink w:anchor="__RefHeading___Toc972314_237004111">
            <w:r>
              <w:rPr>
                <w:webHidden/>
                <w:rStyle w:val="IndexLink"/>
              </w:rPr>
              <w:t>109</w:t>
            </w:r>
            <w:r>
              <w:rPr>
                <w:rStyle w:val="IndexLink"/>
                <w:rtl w:val="true"/>
              </w:rPr>
              <w:t xml:space="preserve"> - </w:t>
            </w:r>
            <w:r>
              <w:rPr>
                <w:rStyle w:val="IndexLink"/>
                <w:rtl w:val="true"/>
              </w:rPr>
              <w:t xml:space="preserve">محمد أبو زهرة </w:t>
            </w:r>
            <w:r>
              <w:rPr>
                <w:rStyle w:val="IndexLink"/>
                <w:rtl w:val="true"/>
              </w:rPr>
              <w:t>(</w:t>
            </w:r>
            <w:r>
              <w:rPr>
                <w:rStyle w:val="IndexLink"/>
                <w:rtl w:val="true"/>
              </w:rPr>
              <w:t xml:space="preserve">ت </w:t>
            </w:r>
            <w:r>
              <w:rPr>
                <w:rStyle w:val="IndexLink"/>
              </w:rPr>
              <w:t>1394</w:t>
            </w:r>
            <w:r>
              <w:rPr>
                <w:rStyle w:val="IndexLink"/>
                <w:rtl w:val="true"/>
              </w:rPr>
              <w:t xml:space="preserve"> </w:t>
            </w:r>
            <w:r>
              <w:rPr>
                <w:rStyle w:val="IndexLink"/>
                <w:rtl w:val="true"/>
              </w:rPr>
              <w:t xml:space="preserve">ه </w:t>
            </w:r>
            <w:r>
              <w:rPr>
                <w:rStyle w:val="IndexLink"/>
                <w:rtl w:val="true"/>
              </w:rPr>
              <w:t>)</w:t>
              <w:tab/>
            </w:r>
            <w:r>
              <w:rPr>
                <w:rStyle w:val="IndexLink"/>
              </w:rPr>
              <w:t>285</w:t>
            </w:r>
          </w:hyperlink>
        </w:p>
        <w:p>
          <w:pPr>
            <w:pStyle w:val="Contents3"/>
            <w:tabs>
              <w:tab w:val="clear" w:pos="8459"/>
              <w:tab w:val="right" w:pos="9026" w:leader="dot"/>
            </w:tabs>
            <w:rPr/>
          </w:pPr>
          <w:hyperlink w:anchor="__RefHeading___Toc972316_237004111">
            <w:r>
              <w:rPr>
                <w:webHidden/>
                <w:rStyle w:val="IndexLink"/>
              </w:rPr>
              <w:t>110</w:t>
            </w:r>
            <w:r>
              <w:rPr>
                <w:rStyle w:val="IndexLink"/>
                <w:rtl w:val="true"/>
              </w:rPr>
              <w:t xml:space="preserve"> - </w:t>
            </w:r>
            <w:r>
              <w:rPr>
                <w:rStyle w:val="IndexLink"/>
                <w:rtl w:val="true"/>
              </w:rPr>
              <w:t>الدکتور یاسین جاسم</w:t>
            </w:r>
            <w:r>
              <w:rPr>
                <w:rStyle w:val="IndexLink"/>
                <w:rtl w:val="true"/>
              </w:rPr>
              <w:tab/>
            </w:r>
            <w:r>
              <w:rPr>
                <w:rStyle w:val="IndexLink"/>
              </w:rPr>
              <w:t>286</w:t>
            </w:r>
          </w:hyperlink>
        </w:p>
        <w:p>
          <w:pPr>
            <w:pStyle w:val="Contents3"/>
            <w:tabs>
              <w:tab w:val="clear" w:pos="8459"/>
              <w:tab w:val="right" w:pos="9026" w:leader="dot"/>
            </w:tabs>
            <w:rPr/>
          </w:pPr>
          <w:hyperlink w:anchor="__RefHeading___Toc972318_237004111">
            <w:r>
              <w:rPr>
                <w:webHidden/>
                <w:rStyle w:val="IndexLink"/>
              </w:rPr>
              <w:t>111</w:t>
            </w:r>
            <w:r>
              <w:rPr>
                <w:rStyle w:val="IndexLink"/>
                <w:rtl w:val="true"/>
              </w:rPr>
              <w:t xml:space="preserve"> - </w:t>
            </w:r>
            <w:r>
              <w:rPr>
                <w:rStyle w:val="IndexLink"/>
                <w:rtl w:val="true"/>
              </w:rPr>
              <w:t>الدکتور محمد سالم محیسن</w:t>
            </w:r>
            <w:r>
              <w:rPr>
                <w:rStyle w:val="IndexLink"/>
                <w:rtl w:val="true"/>
              </w:rPr>
              <w:tab/>
            </w:r>
            <w:r>
              <w:rPr>
                <w:rStyle w:val="IndexLink"/>
              </w:rPr>
              <w:t>286</w:t>
            </w:r>
          </w:hyperlink>
        </w:p>
        <w:p>
          <w:pPr>
            <w:pStyle w:val="Contents3"/>
            <w:tabs>
              <w:tab w:val="clear" w:pos="8459"/>
              <w:tab w:val="right" w:pos="9026" w:leader="dot"/>
            </w:tabs>
            <w:rPr/>
          </w:pPr>
          <w:hyperlink w:anchor="__RefHeading___Toc972320_237004111">
            <w:r>
              <w:rPr>
                <w:webHidden/>
                <w:rStyle w:val="IndexLink"/>
              </w:rPr>
              <w:t>112</w:t>
            </w:r>
            <w:r>
              <w:rPr>
                <w:rStyle w:val="IndexLink"/>
                <w:rtl w:val="true"/>
              </w:rPr>
              <w:t xml:space="preserve"> - </w:t>
            </w:r>
            <w:r>
              <w:rPr>
                <w:rStyle w:val="IndexLink"/>
                <w:rtl w:val="true"/>
              </w:rPr>
              <w:t>الدکتور عبداللّطیف الخطیب المعاصر</w:t>
            </w:r>
            <w:r>
              <w:rPr>
                <w:rStyle w:val="IndexLink"/>
                <w:rtl w:val="true"/>
              </w:rPr>
              <w:tab/>
            </w:r>
            <w:r>
              <w:rPr>
                <w:rStyle w:val="IndexLink"/>
              </w:rPr>
              <w:t>287</w:t>
            </w:r>
          </w:hyperlink>
        </w:p>
        <w:p>
          <w:pPr>
            <w:pStyle w:val="Contents3"/>
            <w:tabs>
              <w:tab w:val="clear" w:pos="8459"/>
              <w:tab w:val="right" w:pos="9026" w:leader="dot"/>
            </w:tabs>
            <w:rPr/>
          </w:pPr>
          <w:hyperlink w:anchor="__RefHeading___Toc972322_237004111">
            <w:r>
              <w:rPr>
                <w:webHidden/>
                <w:rStyle w:val="IndexLink"/>
              </w:rPr>
              <w:t>113</w:t>
            </w:r>
            <w:r>
              <w:rPr>
                <w:rStyle w:val="IndexLink"/>
                <w:rtl w:val="true"/>
              </w:rPr>
              <w:t xml:space="preserve"> - </w:t>
            </w:r>
            <w:r>
              <w:rPr>
                <w:rStyle w:val="IndexLink"/>
                <w:rtl w:val="true"/>
              </w:rPr>
              <w:t>محیی الّدین الّدرویش من المعاصرین</w:t>
            </w:r>
            <w:r>
              <w:rPr>
                <w:rStyle w:val="IndexLink"/>
                <w:rtl w:val="true"/>
              </w:rPr>
              <w:tab/>
            </w:r>
            <w:r>
              <w:rPr>
                <w:rStyle w:val="IndexLink"/>
              </w:rPr>
              <w:t>288</w:t>
            </w:r>
          </w:hyperlink>
        </w:p>
        <w:p>
          <w:pPr>
            <w:pStyle w:val="Contents3"/>
            <w:tabs>
              <w:tab w:val="clear" w:pos="8459"/>
              <w:tab w:val="right" w:pos="9026" w:leader="dot"/>
            </w:tabs>
            <w:rPr/>
          </w:pPr>
          <w:hyperlink w:anchor="__RefHeading___Toc972324_237004111">
            <w:r>
              <w:rPr>
                <w:webHidden/>
                <w:rStyle w:val="IndexLink"/>
              </w:rPr>
              <w:t>114</w:t>
            </w:r>
            <w:r>
              <w:rPr>
                <w:rStyle w:val="IndexLink"/>
                <w:rtl w:val="true"/>
              </w:rPr>
              <w:t xml:space="preserve"> - </w:t>
            </w:r>
            <w:r>
              <w:rPr>
                <w:rStyle w:val="IndexLink"/>
                <w:rtl w:val="true"/>
              </w:rPr>
              <w:t>الدکتور سلیمان بن إبراهیم بن عبداللّه اللّاحم</w:t>
            </w:r>
            <w:r>
              <w:rPr>
                <w:rStyle w:val="IndexLink"/>
                <w:rtl w:val="true"/>
              </w:rPr>
              <w:tab/>
            </w:r>
            <w:r>
              <w:rPr>
                <w:rStyle w:val="IndexLink"/>
              </w:rPr>
              <w:t>289</w:t>
            </w:r>
          </w:hyperlink>
        </w:p>
        <w:p>
          <w:pPr>
            <w:pStyle w:val="Contents3"/>
            <w:tabs>
              <w:tab w:val="clear" w:pos="8459"/>
              <w:tab w:val="right" w:pos="9026" w:leader="dot"/>
            </w:tabs>
            <w:rPr/>
          </w:pPr>
          <w:hyperlink w:anchor="__RefHeading___Toc972326_237004111">
            <w:r>
              <w:rPr>
                <w:webHidden/>
                <w:rStyle w:val="IndexLink"/>
              </w:rPr>
              <w:t>115</w:t>
            </w:r>
            <w:r>
              <w:rPr>
                <w:rStyle w:val="IndexLink"/>
                <w:rtl w:val="true"/>
              </w:rPr>
              <w:t xml:space="preserve"> - </w:t>
            </w:r>
            <w:r>
              <w:rPr>
                <w:rStyle w:val="IndexLink"/>
                <w:rtl w:val="true"/>
              </w:rPr>
              <w:t>الشیخ عبداللّه بن حمید بن سلوم السّالمی من المعاصرین</w:t>
            </w:r>
            <w:r>
              <w:rPr>
                <w:rStyle w:val="IndexLink"/>
                <w:rtl w:val="true"/>
              </w:rPr>
              <w:tab/>
            </w:r>
            <w:r>
              <w:rPr>
                <w:rStyle w:val="IndexLink"/>
              </w:rPr>
              <w:t>290</w:t>
            </w:r>
          </w:hyperlink>
        </w:p>
        <w:p>
          <w:pPr>
            <w:pStyle w:val="Contents3"/>
            <w:tabs>
              <w:tab w:val="clear" w:pos="8459"/>
              <w:tab w:val="right" w:pos="9026" w:leader="dot"/>
            </w:tabs>
            <w:rPr/>
          </w:pPr>
          <w:hyperlink w:anchor="__RefHeading___Toc972328_237004111">
            <w:r>
              <w:rPr>
                <w:webHidden/>
                <w:rStyle w:val="IndexLink"/>
              </w:rPr>
              <w:t>116</w:t>
            </w:r>
            <w:r>
              <w:rPr>
                <w:rStyle w:val="IndexLink"/>
                <w:rtl w:val="true"/>
              </w:rPr>
              <w:t xml:space="preserve"> - </w:t>
            </w:r>
            <w:r>
              <w:rPr>
                <w:rStyle w:val="IndexLink"/>
                <w:rtl w:val="true"/>
              </w:rPr>
              <w:t>محمد بن عبداللّه بن عبیدان</w:t>
            </w:r>
            <w:r>
              <w:rPr>
                <w:rStyle w:val="IndexLink"/>
                <w:rtl w:val="true"/>
              </w:rPr>
              <w:tab/>
            </w:r>
            <w:r>
              <w:rPr>
                <w:rStyle w:val="IndexLink"/>
              </w:rPr>
              <w:t>291</w:t>
            </w:r>
          </w:hyperlink>
        </w:p>
        <w:p>
          <w:pPr>
            <w:pStyle w:val="Contents3"/>
            <w:tabs>
              <w:tab w:val="clear" w:pos="8459"/>
              <w:tab w:val="right" w:pos="9026" w:leader="dot"/>
            </w:tabs>
            <w:rPr/>
          </w:pPr>
          <w:hyperlink w:anchor="__RefHeading___Toc972330_237004111">
            <w:r>
              <w:rPr>
                <w:webHidden/>
                <w:rStyle w:val="IndexLink"/>
              </w:rPr>
              <w:t>117</w:t>
            </w:r>
            <w:r>
              <w:rPr>
                <w:rStyle w:val="IndexLink"/>
                <w:rtl w:val="true"/>
              </w:rPr>
              <w:t xml:space="preserve"> - </w:t>
            </w:r>
            <w:r>
              <w:rPr>
                <w:rStyle w:val="IndexLink"/>
                <w:rtl w:val="true"/>
              </w:rPr>
              <w:t>محمد بن یوسف إطفیس</w:t>
            </w:r>
            <w:r>
              <w:rPr>
                <w:rStyle w:val="IndexLink"/>
                <w:rtl w:val="true"/>
              </w:rPr>
              <w:tab/>
            </w:r>
            <w:r>
              <w:rPr>
                <w:rStyle w:val="IndexLink"/>
              </w:rPr>
              <w:t>292</w:t>
            </w:r>
          </w:hyperlink>
        </w:p>
        <w:p>
          <w:pPr>
            <w:pStyle w:val="Contents2"/>
            <w:tabs>
              <w:tab w:val="clear" w:pos="8743"/>
              <w:tab w:val="right" w:pos="9026" w:leader="dot"/>
            </w:tabs>
            <w:rPr/>
          </w:pPr>
          <w:hyperlink w:anchor="__RefHeading___Toc972332_237004111">
            <w:r>
              <w:rPr>
                <w:webHidden/>
                <w:rStyle w:val="IndexLink"/>
                <w:rtl w:val="true"/>
              </w:rPr>
              <w:t>الفَصْلُ الثانیُ</w:t>
            </w:r>
            <w:r>
              <w:rPr>
                <w:rStyle w:val="IndexLink"/>
                <w:rtl w:val="true"/>
              </w:rPr>
              <w:t xml:space="preserve">: </w:t>
            </w:r>
            <w:r>
              <w:rPr>
                <w:rStyle w:val="IndexLink"/>
                <w:rtl w:val="true"/>
              </w:rPr>
              <w:t>فِیْ قِراءَةِ النصبِّ</w:t>
            </w:r>
            <w:r>
              <w:rPr>
                <w:rStyle w:val="IndexLink"/>
                <w:rtl w:val="true"/>
              </w:rPr>
              <w:tab/>
            </w:r>
            <w:r>
              <w:rPr>
                <w:rStyle w:val="IndexLink"/>
              </w:rPr>
              <w:t>293</w:t>
            </w:r>
          </w:hyperlink>
        </w:p>
        <w:p>
          <w:pPr>
            <w:pStyle w:val="Contents3"/>
            <w:tabs>
              <w:tab w:val="clear" w:pos="8459"/>
              <w:tab w:val="right" w:pos="9026" w:leader="dot"/>
            </w:tabs>
            <w:rPr/>
          </w:pPr>
          <w:hyperlink w:anchor="__RefHeading___Toc972334_237004111">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972336_237004111">
            <w:r>
              <w:rPr>
                <w:webHidden/>
                <w:rStyle w:val="IndexLink"/>
              </w:rPr>
              <w:t>1</w:t>
            </w:r>
            <w:r>
              <w:rPr>
                <w:rStyle w:val="IndexLink"/>
                <w:rtl w:val="true"/>
              </w:rPr>
              <w:t xml:space="preserve"> - </w:t>
            </w:r>
            <w:r>
              <w:rPr>
                <w:rStyle w:val="IndexLink"/>
                <w:rtl w:val="true"/>
              </w:rPr>
              <w:t xml:space="preserve">الضحاک </w:t>
            </w:r>
            <w:r>
              <w:rPr>
                <w:rStyle w:val="IndexLink"/>
                <w:rtl w:val="true"/>
              </w:rPr>
              <w:t>(</w:t>
            </w:r>
            <w:r>
              <w:rPr>
                <w:rStyle w:val="IndexLink"/>
                <w:rtl w:val="true"/>
              </w:rPr>
              <w:t xml:space="preserve">ت </w:t>
            </w:r>
            <w:r>
              <w:rPr>
                <w:rStyle w:val="IndexLink"/>
              </w:rPr>
              <w:t>105</w:t>
            </w:r>
            <w:r>
              <w:rPr>
                <w:rStyle w:val="IndexLink"/>
                <w:rtl w:val="true"/>
              </w:rPr>
              <w:t xml:space="preserve"> </w:t>
            </w:r>
            <w:r>
              <w:rPr>
                <w:rStyle w:val="IndexLink"/>
                <w:rtl w:val="true"/>
              </w:rPr>
              <w:t xml:space="preserve">ه </w:t>
            </w:r>
            <w:r>
              <w:rPr>
                <w:rStyle w:val="IndexLink"/>
                <w:rtl w:val="true"/>
              </w:rPr>
              <w:t>)</w:t>
              <w:tab/>
            </w:r>
            <w:r>
              <w:rPr>
                <w:rStyle w:val="IndexLink"/>
              </w:rPr>
              <w:t>295</w:t>
            </w:r>
          </w:hyperlink>
        </w:p>
        <w:p>
          <w:pPr>
            <w:pStyle w:val="Contents3"/>
            <w:tabs>
              <w:tab w:val="clear" w:pos="8459"/>
              <w:tab w:val="right" w:pos="9026" w:leader="dot"/>
            </w:tabs>
            <w:rPr/>
          </w:pPr>
          <w:hyperlink w:anchor="__RefHeading___Toc972338_237004111">
            <w:r>
              <w:rPr>
                <w:webHidden/>
                <w:rStyle w:val="IndexLink"/>
              </w:rPr>
              <w:t>2</w:t>
            </w:r>
            <w:r>
              <w:rPr>
                <w:rStyle w:val="IndexLink"/>
                <w:rtl w:val="true"/>
              </w:rPr>
              <w:t xml:space="preserve"> - </w:t>
            </w:r>
            <w:r>
              <w:rPr>
                <w:rStyle w:val="IndexLink"/>
                <w:rtl w:val="true"/>
              </w:rPr>
              <w:t xml:space="preserve">الحسن البصری </w:t>
            </w:r>
            <w:r>
              <w:rPr>
                <w:rStyle w:val="IndexLink"/>
                <w:rtl w:val="true"/>
              </w:rPr>
              <w:t>(</w:t>
            </w:r>
            <w:r>
              <w:rPr>
                <w:rStyle w:val="IndexLink"/>
                <w:rtl w:val="true"/>
              </w:rPr>
              <w:t xml:space="preserve">ت </w:t>
            </w:r>
            <w:r>
              <w:rPr>
                <w:rStyle w:val="IndexLink"/>
              </w:rPr>
              <w:t>110</w:t>
            </w:r>
            <w:r>
              <w:rPr>
                <w:rStyle w:val="IndexLink"/>
                <w:rtl w:val="true"/>
              </w:rPr>
              <w:t xml:space="preserve"> </w:t>
            </w:r>
            <w:r>
              <w:rPr>
                <w:rStyle w:val="IndexLink"/>
                <w:rtl w:val="true"/>
              </w:rPr>
              <w:t xml:space="preserve">ه </w:t>
            </w:r>
            <w:r>
              <w:rPr>
                <w:rStyle w:val="IndexLink"/>
                <w:rtl w:val="true"/>
              </w:rPr>
              <w:t>)</w:t>
              <w:tab/>
            </w:r>
            <w:r>
              <w:rPr>
                <w:rStyle w:val="IndexLink"/>
              </w:rPr>
              <w:t>296</w:t>
            </w:r>
          </w:hyperlink>
        </w:p>
        <w:p>
          <w:pPr>
            <w:pStyle w:val="Contents3"/>
            <w:tabs>
              <w:tab w:val="clear" w:pos="8459"/>
              <w:tab w:val="right" w:pos="9026" w:leader="dot"/>
            </w:tabs>
            <w:rPr/>
          </w:pPr>
          <w:hyperlink w:anchor="__RefHeading___Toc972340_237004111">
            <w:r>
              <w:rPr>
                <w:webHidden/>
                <w:rStyle w:val="IndexLink"/>
              </w:rPr>
              <w:t>3</w:t>
            </w:r>
            <w:r>
              <w:rPr>
                <w:rStyle w:val="IndexLink"/>
                <w:rtl w:val="true"/>
              </w:rPr>
              <w:t xml:space="preserve"> - </w:t>
            </w:r>
            <w:r>
              <w:rPr>
                <w:rStyle w:val="IndexLink"/>
                <w:rtl w:val="true"/>
              </w:rPr>
              <w:t xml:space="preserve">الشافعیّ </w:t>
            </w:r>
            <w:r>
              <w:rPr>
                <w:rStyle w:val="IndexLink"/>
                <w:rtl w:val="true"/>
              </w:rPr>
              <w:t>(</w:t>
            </w:r>
            <w:r>
              <w:rPr>
                <w:rStyle w:val="IndexLink"/>
                <w:rtl w:val="true"/>
              </w:rPr>
              <w:t xml:space="preserve">ت </w:t>
            </w:r>
            <w:r>
              <w:rPr>
                <w:rStyle w:val="IndexLink"/>
              </w:rPr>
              <w:t>204</w:t>
            </w:r>
            <w:r>
              <w:rPr>
                <w:rStyle w:val="IndexLink"/>
                <w:rtl w:val="true"/>
              </w:rPr>
              <w:t xml:space="preserve"> </w:t>
            </w:r>
            <w:r>
              <w:rPr>
                <w:rStyle w:val="IndexLink"/>
                <w:rtl w:val="true"/>
              </w:rPr>
              <w:t xml:space="preserve">ه </w:t>
            </w:r>
            <w:r>
              <w:rPr>
                <w:rStyle w:val="IndexLink"/>
                <w:rtl w:val="true"/>
              </w:rPr>
              <w:t>)</w:t>
              <w:tab/>
            </w:r>
            <w:r>
              <w:rPr>
                <w:rStyle w:val="IndexLink"/>
              </w:rPr>
              <w:t>296</w:t>
            </w:r>
          </w:hyperlink>
        </w:p>
        <w:p>
          <w:pPr>
            <w:pStyle w:val="Contents3"/>
            <w:tabs>
              <w:tab w:val="clear" w:pos="8459"/>
              <w:tab w:val="right" w:pos="9026" w:leader="dot"/>
            </w:tabs>
            <w:rPr/>
          </w:pPr>
          <w:hyperlink w:anchor="__RefHeading___Toc972342_237004111">
            <w:r>
              <w:rPr>
                <w:webHidden/>
                <w:rStyle w:val="IndexLink"/>
              </w:rPr>
              <w:t>4</w:t>
            </w:r>
            <w:r>
              <w:rPr>
                <w:rStyle w:val="IndexLink"/>
                <w:rtl w:val="true"/>
              </w:rPr>
              <w:t xml:space="preserve"> - </w:t>
            </w:r>
            <w:r>
              <w:rPr>
                <w:rStyle w:val="IndexLink"/>
                <w:rtl w:val="true"/>
              </w:rPr>
              <w:t xml:space="preserve">أبو عبیدة معمّر بن المثنّی </w:t>
            </w:r>
            <w:r>
              <w:rPr>
                <w:rStyle w:val="IndexLink"/>
                <w:rtl w:val="true"/>
              </w:rPr>
              <w:t>(</w:t>
            </w:r>
            <w:r>
              <w:rPr>
                <w:rStyle w:val="IndexLink"/>
                <w:rtl w:val="true"/>
              </w:rPr>
              <w:t xml:space="preserve">ت </w:t>
            </w:r>
            <w:r>
              <w:rPr>
                <w:rStyle w:val="IndexLink"/>
              </w:rPr>
              <w:t>210</w:t>
            </w:r>
            <w:r>
              <w:rPr>
                <w:rStyle w:val="IndexLink"/>
                <w:rtl w:val="true"/>
              </w:rPr>
              <w:t xml:space="preserve"> </w:t>
            </w:r>
            <w:r>
              <w:rPr>
                <w:rStyle w:val="IndexLink"/>
                <w:rtl w:val="true"/>
              </w:rPr>
              <w:t xml:space="preserve">ه </w:t>
            </w:r>
            <w:r>
              <w:rPr>
                <w:rStyle w:val="IndexLink"/>
                <w:rtl w:val="true"/>
              </w:rPr>
              <w:t>)</w:t>
              <w:tab/>
            </w:r>
            <w:r>
              <w:rPr>
                <w:rStyle w:val="IndexLink"/>
              </w:rPr>
              <w:t>297</w:t>
            </w:r>
          </w:hyperlink>
        </w:p>
        <w:p>
          <w:pPr>
            <w:pStyle w:val="Contents3"/>
            <w:tabs>
              <w:tab w:val="clear" w:pos="8459"/>
              <w:tab w:val="right" w:pos="9026" w:leader="dot"/>
            </w:tabs>
            <w:rPr/>
          </w:pPr>
          <w:hyperlink w:anchor="__RefHeading___Toc972344_237004111">
            <w:r>
              <w:rPr>
                <w:webHidden/>
                <w:rStyle w:val="IndexLink"/>
              </w:rPr>
              <w:t>5</w:t>
            </w:r>
            <w:r>
              <w:rPr>
                <w:rStyle w:val="IndexLink"/>
                <w:rtl w:val="true"/>
              </w:rPr>
              <w:t xml:space="preserve"> - </w:t>
            </w:r>
            <w:r>
              <w:rPr>
                <w:rStyle w:val="IndexLink"/>
                <w:rtl w:val="true"/>
              </w:rPr>
              <w:t xml:space="preserve">الأخفش </w:t>
            </w:r>
            <w:r>
              <w:rPr>
                <w:rStyle w:val="IndexLink"/>
                <w:rtl w:val="true"/>
              </w:rPr>
              <w:t>(</w:t>
            </w:r>
            <w:r>
              <w:rPr>
                <w:rStyle w:val="IndexLink"/>
                <w:rtl w:val="true"/>
              </w:rPr>
              <w:t xml:space="preserve">ت </w:t>
            </w:r>
            <w:r>
              <w:rPr>
                <w:rStyle w:val="IndexLink"/>
              </w:rPr>
              <w:t>215</w:t>
            </w:r>
            <w:r>
              <w:rPr>
                <w:rStyle w:val="IndexLink"/>
                <w:rtl w:val="true"/>
              </w:rPr>
              <w:t xml:space="preserve"> </w:t>
            </w:r>
            <w:r>
              <w:rPr>
                <w:rStyle w:val="IndexLink"/>
                <w:rtl w:val="true"/>
              </w:rPr>
              <w:t xml:space="preserve">ه </w:t>
            </w:r>
            <w:r>
              <w:rPr>
                <w:rStyle w:val="IndexLink"/>
                <w:rtl w:val="true"/>
              </w:rPr>
              <w:t>)</w:t>
              <w:tab/>
            </w:r>
            <w:r>
              <w:rPr>
                <w:rStyle w:val="IndexLink"/>
              </w:rPr>
              <w:t>297</w:t>
            </w:r>
          </w:hyperlink>
        </w:p>
        <w:p>
          <w:pPr>
            <w:pStyle w:val="Contents3"/>
            <w:tabs>
              <w:tab w:val="clear" w:pos="8459"/>
              <w:tab w:val="right" w:pos="9026" w:leader="dot"/>
            </w:tabs>
            <w:rPr/>
          </w:pPr>
          <w:hyperlink w:anchor="__RefHeading___Toc972346_237004111">
            <w:r>
              <w:rPr>
                <w:webHidden/>
                <w:rStyle w:val="IndexLink"/>
              </w:rPr>
              <w:t>6</w:t>
            </w:r>
            <w:r>
              <w:rPr>
                <w:rStyle w:val="IndexLink"/>
                <w:rtl w:val="true"/>
              </w:rPr>
              <w:t xml:space="preserve"> - </w:t>
            </w:r>
            <w:r>
              <w:rPr>
                <w:rStyle w:val="IndexLink"/>
                <w:rtl w:val="true"/>
              </w:rPr>
              <w:t xml:space="preserve">عبداللّه بن محمد بن وهب الدّینوری </w:t>
            </w:r>
            <w:r>
              <w:rPr>
                <w:rStyle w:val="IndexLink"/>
                <w:rtl w:val="true"/>
              </w:rPr>
              <w:t>(</w:t>
            </w:r>
            <w:r>
              <w:rPr>
                <w:rStyle w:val="IndexLink"/>
                <w:rtl w:val="true"/>
              </w:rPr>
              <w:t xml:space="preserve">ت </w:t>
            </w:r>
            <w:r>
              <w:rPr>
                <w:rStyle w:val="IndexLink"/>
              </w:rPr>
              <w:t>308</w:t>
            </w:r>
            <w:r>
              <w:rPr>
                <w:rStyle w:val="IndexLink"/>
                <w:rtl w:val="true"/>
              </w:rPr>
              <w:t xml:space="preserve"> </w:t>
            </w:r>
            <w:r>
              <w:rPr>
                <w:rStyle w:val="IndexLink"/>
                <w:rtl w:val="true"/>
              </w:rPr>
              <w:t xml:space="preserve">ه </w:t>
            </w:r>
            <w:r>
              <w:rPr>
                <w:rStyle w:val="IndexLink"/>
                <w:rtl w:val="true"/>
              </w:rPr>
              <w:t>)</w:t>
              <w:tab/>
            </w:r>
            <w:r>
              <w:rPr>
                <w:rStyle w:val="IndexLink"/>
              </w:rPr>
              <w:t>304</w:t>
            </w:r>
          </w:hyperlink>
        </w:p>
        <w:p>
          <w:pPr>
            <w:pStyle w:val="Contents3"/>
            <w:tabs>
              <w:tab w:val="clear" w:pos="8459"/>
              <w:tab w:val="right" w:pos="9026" w:leader="dot"/>
            </w:tabs>
            <w:rPr/>
          </w:pPr>
          <w:hyperlink w:anchor="__RefHeading___Toc972348_237004111">
            <w:r>
              <w:rPr>
                <w:webHidden/>
                <w:rStyle w:val="IndexLink"/>
              </w:rPr>
              <w:t>7</w:t>
            </w:r>
            <w:r>
              <w:rPr>
                <w:rStyle w:val="IndexLink"/>
                <w:rtl w:val="true"/>
              </w:rPr>
              <w:t xml:space="preserve"> - </w:t>
            </w:r>
            <w:r>
              <w:rPr>
                <w:rStyle w:val="IndexLink"/>
                <w:rtl w:val="true"/>
              </w:rPr>
              <w:t xml:space="preserve">الطبریّ </w:t>
            </w:r>
            <w:r>
              <w:rPr>
                <w:rStyle w:val="IndexLink"/>
                <w:rtl w:val="true"/>
              </w:rPr>
              <w:t>(</w:t>
            </w:r>
            <w:r>
              <w:rPr>
                <w:rStyle w:val="IndexLink"/>
                <w:rtl w:val="true"/>
              </w:rPr>
              <w:t xml:space="preserve">ت </w:t>
            </w:r>
            <w:r>
              <w:rPr>
                <w:rStyle w:val="IndexLink"/>
              </w:rPr>
              <w:t>310</w:t>
            </w:r>
            <w:r>
              <w:rPr>
                <w:rStyle w:val="IndexLink"/>
                <w:rtl w:val="true"/>
              </w:rPr>
              <w:t xml:space="preserve"> </w:t>
            </w:r>
            <w:r>
              <w:rPr>
                <w:rStyle w:val="IndexLink"/>
                <w:rtl w:val="true"/>
              </w:rPr>
              <w:t xml:space="preserve">ه </w:t>
            </w:r>
            <w:r>
              <w:rPr>
                <w:rStyle w:val="IndexLink"/>
                <w:rtl w:val="true"/>
              </w:rPr>
              <w:t>)</w:t>
              <w:tab/>
            </w:r>
            <w:r>
              <w:rPr>
                <w:rStyle w:val="IndexLink"/>
              </w:rPr>
              <w:t>304</w:t>
            </w:r>
          </w:hyperlink>
        </w:p>
        <w:p>
          <w:pPr>
            <w:pStyle w:val="Contents3"/>
            <w:tabs>
              <w:tab w:val="clear" w:pos="8459"/>
              <w:tab w:val="right" w:pos="9026" w:leader="dot"/>
            </w:tabs>
            <w:rPr/>
          </w:pPr>
          <w:hyperlink w:anchor="__RefHeading___Toc972350_237004111">
            <w:r>
              <w:rPr>
                <w:webHidden/>
                <w:rStyle w:val="IndexLink"/>
              </w:rPr>
              <w:t>8</w:t>
            </w:r>
            <w:r>
              <w:rPr>
                <w:rStyle w:val="IndexLink"/>
                <w:rtl w:val="true"/>
              </w:rPr>
              <w:t xml:space="preserve"> - </w:t>
            </w:r>
            <w:r>
              <w:rPr>
                <w:rStyle w:val="IndexLink"/>
                <w:rtl w:val="true"/>
              </w:rPr>
              <w:t xml:space="preserve">الزجّاج </w:t>
            </w:r>
            <w:r>
              <w:rPr>
                <w:rStyle w:val="IndexLink"/>
                <w:rtl w:val="true"/>
              </w:rPr>
              <w:t>(</w:t>
            </w:r>
            <w:r>
              <w:rPr>
                <w:rStyle w:val="IndexLink"/>
                <w:rtl w:val="true"/>
              </w:rPr>
              <w:t xml:space="preserve">ت </w:t>
            </w:r>
            <w:r>
              <w:rPr>
                <w:rStyle w:val="IndexLink"/>
              </w:rPr>
              <w:t>311</w:t>
            </w:r>
            <w:r>
              <w:rPr>
                <w:rStyle w:val="IndexLink"/>
                <w:rtl w:val="true"/>
              </w:rPr>
              <w:t xml:space="preserve"> </w:t>
            </w:r>
            <w:r>
              <w:rPr>
                <w:rStyle w:val="IndexLink"/>
                <w:rtl w:val="true"/>
              </w:rPr>
              <w:t xml:space="preserve">ه </w:t>
            </w:r>
            <w:r>
              <w:rPr>
                <w:rStyle w:val="IndexLink"/>
                <w:rtl w:val="true"/>
              </w:rPr>
              <w:t>)</w:t>
              <w:tab/>
            </w:r>
            <w:r>
              <w:rPr>
                <w:rStyle w:val="IndexLink"/>
              </w:rPr>
              <w:t>309</w:t>
            </w:r>
          </w:hyperlink>
        </w:p>
        <w:p>
          <w:pPr>
            <w:pStyle w:val="Contents3"/>
            <w:tabs>
              <w:tab w:val="clear" w:pos="8459"/>
              <w:tab w:val="right" w:pos="9026" w:leader="dot"/>
            </w:tabs>
            <w:rPr/>
          </w:pPr>
          <w:hyperlink w:anchor="__RefHeading___Toc972352_237004111">
            <w:r>
              <w:rPr>
                <w:webHidden/>
                <w:rStyle w:val="IndexLink"/>
              </w:rPr>
              <w:t>9</w:t>
            </w:r>
            <w:r>
              <w:rPr>
                <w:rStyle w:val="IndexLink"/>
                <w:rtl w:val="true"/>
              </w:rPr>
              <w:t xml:space="preserve"> - </w:t>
            </w:r>
            <w:r>
              <w:rPr>
                <w:rStyle w:val="IndexLink"/>
                <w:rtl w:val="true"/>
              </w:rPr>
              <w:t xml:space="preserve">العیّاشیّ </w:t>
            </w:r>
            <w:r>
              <w:rPr>
                <w:rStyle w:val="IndexLink"/>
                <w:rtl w:val="true"/>
              </w:rPr>
              <w:t>(</w:t>
            </w:r>
            <w:r>
              <w:rPr>
                <w:rStyle w:val="IndexLink"/>
                <w:rtl w:val="true"/>
              </w:rPr>
              <w:t xml:space="preserve">ت </w:t>
            </w:r>
            <w:r>
              <w:rPr>
                <w:rStyle w:val="IndexLink"/>
              </w:rPr>
              <w:t>320</w:t>
            </w:r>
            <w:r>
              <w:rPr>
                <w:rStyle w:val="IndexLink"/>
                <w:rtl w:val="true"/>
              </w:rPr>
              <w:t xml:space="preserve"> </w:t>
            </w:r>
            <w:r>
              <w:rPr>
                <w:rStyle w:val="IndexLink"/>
                <w:rtl w:val="true"/>
              </w:rPr>
              <w:t xml:space="preserve">ه </w:t>
            </w:r>
            <w:r>
              <w:rPr>
                <w:rStyle w:val="IndexLink"/>
                <w:rtl w:val="true"/>
              </w:rPr>
              <w:t>)</w:t>
              <w:tab/>
            </w:r>
            <w:r>
              <w:rPr>
                <w:rStyle w:val="IndexLink"/>
              </w:rPr>
              <w:t>312</w:t>
            </w:r>
          </w:hyperlink>
        </w:p>
        <w:p>
          <w:pPr>
            <w:pStyle w:val="Contents3"/>
            <w:tabs>
              <w:tab w:val="clear" w:pos="8459"/>
              <w:tab w:val="right" w:pos="9026" w:leader="dot"/>
            </w:tabs>
            <w:rPr/>
          </w:pPr>
          <w:hyperlink w:anchor="__RefHeading___Toc972354_237004111">
            <w:r>
              <w:rPr>
                <w:webHidden/>
                <w:rStyle w:val="IndexLink"/>
              </w:rPr>
              <w:t>10</w:t>
            </w:r>
            <w:r>
              <w:rPr>
                <w:rStyle w:val="IndexLink"/>
                <w:rtl w:val="true"/>
              </w:rPr>
              <w:t xml:space="preserve"> - </w:t>
            </w:r>
            <w:r>
              <w:rPr>
                <w:rStyle w:val="IndexLink"/>
                <w:rtl w:val="true"/>
              </w:rPr>
              <w:t xml:space="preserve">البغدادیّ </w:t>
            </w:r>
            <w:r>
              <w:rPr>
                <w:rStyle w:val="IndexLink"/>
                <w:rtl w:val="true"/>
              </w:rPr>
              <w:t>(</w:t>
            </w:r>
            <w:r>
              <w:rPr>
                <w:rStyle w:val="IndexLink"/>
                <w:rtl w:val="true"/>
              </w:rPr>
              <w:t xml:space="preserve">ت </w:t>
            </w:r>
            <w:r>
              <w:rPr>
                <w:rStyle w:val="IndexLink"/>
              </w:rPr>
              <w:t>324</w:t>
            </w:r>
            <w:r>
              <w:rPr>
                <w:rStyle w:val="IndexLink"/>
                <w:rtl w:val="true"/>
              </w:rPr>
              <w:t xml:space="preserve"> </w:t>
            </w:r>
            <w:r>
              <w:rPr>
                <w:rStyle w:val="IndexLink"/>
                <w:rtl w:val="true"/>
              </w:rPr>
              <w:t xml:space="preserve">ه </w:t>
            </w:r>
            <w:r>
              <w:rPr>
                <w:rStyle w:val="IndexLink"/>
                <w:rtl w:val="true"/>
              </w:rPr>
              <w:t>)</w:t>
              <w:tab/>
            </w:r>
            <w:r>
              <w:rPr>
                <w:rStyle w:val="IndexLink"/>
              </w:rPr>
              <w:t>313</w:t>
            </w:r>
          </w:hyperlink>
        </w:p>
        <w:p>
          <w:pPr>
            <w:pStyle w:val="Contents3"/>
            <w:tabs>
              <w:tab w:val="clear" w:pos="8459"/>
              <w:tab w:val="right" w:pos="9026" w:leader="dot"/>
            </w:tabs>
            <w:rPr/>
          </w:pPr>
          <w:hyperlink w:anchor="__RefHeading___Toc972356_237004111">
            <w:r>
              <w:rPr>
                <w:webHidden/>
                <w:rStyle w:val="IndexLink"/>
              </w:rPr>
              <w:t>11</w:t>
            </w:r>
            <w:r>
              <w:rPr>
                <w:rStyle w:val="IndexLink"/>
                <w:rtl w:val="true"/>
              </w:rPr>
              <w:t xml:space="preserve"> - </w:t>
            </w:r>
            <w:r>
              <w:rPr>
                <w:rStyle w:val="IndexLink"/>
                <w:rtl w:val="true"/>
              </w:rPr>
              <w:t xml:space="preserve">النحّاس </w:t>
            </w:r>
            <w:r>
              <w:rPr>
                <w:rStyle w:val="IndexLink"/>
                <w:rtl w:val="true"/>
              </w:rPr>
              <w:t>(</w:t>
            </w:r>
            <w:r>
              <w:rPr>
                <w:rStyle w:val="IndexLink"/>
                <w:rtl w:val="true"/>
              </w:rPr>
              <w:t xml:space="preserve">ت </w:t>
            </w:r>
            <w:r>
              <w:rPr>
                <w:rStyle w:val="IndexLink"/>
              </w:rPr>
              <w:t>338</w:t>
            </w:r>
            <w:r>
              <w:rPr>
                <w:rStyle w:val="IndexLink"/>
                <w:rtl w:val="true"/>
              </w:rPr>
              <w:t xml:space="preserve"> </w:t>
            </w:r>
            <w:r>
              <w:rPr>
                <w:rStyle w:val="IndexLink"/>
                <w:rtl w:val="true"/>
              </w:rPr>
              <w:t xml:space="preserve">ه </w:t>
            </w:r>
            <w:r>
              <w:rPr>
                <w:rStyle w:val="IndexLink"/>
                <w:rtl w:val="true"/>
              </w:rPr>
              <w:t>)</w:t>
              <w:tab/>
            </w:r>
            <w:r>
              <w:rPr>
                <w:rStyle w:val="IndexLink"/>
              </w:rPr>
              <w:t>313</w:t>
            </w:r>
          </w:hyperlink>
        </w:p>
        <w:p>
          <w:pPr>
            <w:pStyle w:val="Contents3"/>
            <w:tabs>
              <w:tab w:val="clear" w:pos="8459"/>
              <w:tab w:val="right" w:pos="9026" w:leader="dot"/>
            </w:tabs>
            <w:rPr/>
          </w:pPr>
          <w:hyperlink w:anchor="__RefHeading___Toc972358_237004111">
            <w:r>
              <w:rPr>
                <w:webHidden/>
                <w:rStyle w:val="IndexLink"/>
              </w:rPr>
              <w:t>12</w:t>
            </w:r>
            <w:r>
              <w:rPr>
                <w:rStyle w:val="IndexLink"/>
                <w:rtl w:val="true"/>
              </w:rPr>
              <w:t xml:space="preserve"> - </w:t>
            </w:r>
            <w:r>
              <w:rPr>
                <w:rStyle w:val="IndexLink"/>
                <w:rtl w:val="true"/>
              </w:rPr>
              <w:t xml:space="preserve">الجصّاص </w:t>
            </w:r>
            <w:r>
              <w:rPr>
                <w:rStyle w:val="IndexLink"/>
                <w:rtl w:val="true"/>
              </w:rPr>
              <w:t>(</w:t>
            </w:r>
            <w:r>
              <w:rPr>
                <w:rStyle w:val="IndexLink"/>
                <w:rtl w:val="true"/>
              </w:rPr>
              <w:t xml:space="preserve">ت </w:t>
            </w:r>
            <w:r>
              <w:rPr>
                <w:rStyle w:val="IndexLink"/>
              </w:rPr>
              <w:t>370</w:t>
            </w:r>
            <w:r>
              <w:rPr>
                <w:rStyle w:val="IndexLink"/>
                <w:rtl w:val="true"/>
              </w:rPr>
              <w:t xml:space="preserve"> </w:t>
            </w:r>
            <w:r>
              <w:rPr>
                <w:rStyle w:val="IndexLink"/>
                <w:rtl w:val="true"/>
              </w:rPr>
              <w:t xml:space="preserve">ه </w:t>
            </w:r>
            <w:r>
              <w:rPr>
                <w:rStyle w:val="IndexLink"/>
                <w:rtl w:val="true"/>
              </w:rPr>
              <w:t>)</w:t>
              <w:tab/>
            </w:r>
            <w:r>
              <w:rPr>
                <w:rStyle w:val="IndexLink"/>
              </w:rPr>
              <w:t>315</w:t>
            </w:r>
          </w:hyperlink>
        </w:p>
        <w:p>
          <w:pPr>
            <w:pStyle w:val="Contents3"/>
            <w:tabs>
              <w:tab w:val="clear" w:pos="8459"/>
              <w:tab w:val="right" w:pos="9026" w:leader="dot"/>
            </w:tabs>
            <w:rPr/>
          </w:pPr>
          <w:hyperlink w:anchor="__RefHeading___Toc972360_237004111">
            <w:r>
              <w:rPr>
                <w:webHidden/>
                <w:rStyle w:val="IndexLink"/>
              </w:rPr>
              <w:t>13</w:t>
            </w:r>
            <w:r>
              <w:rPr>
                <w:rStyle w:val="IndexLink"/>
                <w:rtl w:val="true"/>
              </w:rPr>
              <w:t xml:space="preserve"> - </w:t>
            </w:r>
            <w:r>
              <w:rPr>
                <w:rStyle w:val="IndexLink"/>
                <w:rtl w:val="true"/>
              </w:rPr>
              <w:t xml:space="preserve">ابن خالویه </w:t>
            </w:r>
            <w:r>
              <w:rPr>
                <w:rStyle w:val="IndexLink"/>
                <w:rtl w:val="true"/>
              </w:rPr>
              <w:t>(</w:t>
            </w:r>
            <w:r>
              <w:rPr>
                <w:rStyle w:val="IndexLink"/>
                <w:rtl w:val="true"/>
              </w:rPr>
              <w:t xml:space="preserve">ت </w:t>
            </w:r>
            <w:r>
              <w:rPr>
                <w:rStyle w:val="IndexLink"/>
              </w:rPr>
              <w:t>370</w:t>
            </w:r>
            <w:r>
              <w:rPr>
                <w:rStyle w:val="IndexLink"/>
                <w:rtl w:val="true"/>
              </w:rPr>
              <w:t xml:space="preserve"> </w:t>
            </w:r>
            <w:r>
              <w:rPr>
                <w:rStyle w:val="IndexLink"/>
                <w:rtl w:val="true"/>
              </w:rPr>
              <w:t xml:space="preserve">ه </w:t>
            </w:r>
            <w:r>
              <w:rPr>
                <w:rStyle w:val="IndexLink"/>
                <w:rtl w:val="true"/>
              </w:rPr>
              <w:t>)</w:t>
              <w:tab/>
            </w:r>
            <w:r>
              <w:rPr>
                <w:rStyle w:val="IndexLink"/>
              </w:rPr>
              <w:t>322</w:t>
            </w:r>
          </w:hyperlink>
        </w:p>
        <w:p>
          <w:pPr>
            <w:pStyle w:val="Contents3"/>
            <w:tabs>
              <w:tab w:val="clear" w:pos="8459"/>
              <w:tab w:val="right" w:pos="9026" w:leader="dot"/>
            </w:tabs>
            <w:rPr/>
          </w:pPr>
          <w:hyperlink w:anchor="__RefHeading___Toc972362_237004111">
            <w:r>
              <w:rPr>
                <w:webHidden/>
                <w:rStyle w:val="IndexLink"/>
              </w:rPr>
              <w:t>14</w:t>
            </w:r>
            <w:r>
              <w:rPr>
                <w:rStyle w:val="IndexLink"/>
                <w:rtl w:val="true"/>
              </w:rPr>
              <w:t xml:space="preserve"> - </w:t>
            </w:r>
            <w:r>
              <w:rPr>
                <w:rStyle w:val="IndexLink"/>
                <w:rtl w:val="true"/>
              </w:rPr>
              <w:t xml:space="preserve">الأزهری أبو منصور </w:t>
            </w:r>
            <w:r>
              <w:rPr>
                <w:rStyle w:val="IndexLink"/>
                <w:rtl w:val="true"/>
              </w:rPr>
              <w:t>(</w:t>
            </w:r>
            <w:r>
              <w:rPr>
                <w:rStyle w:val="IndexLink"/>
                <w:rtl w:val="true"/>
              </w:rPr>
              <w:t xml:space="preserve">ت </w:t>
            </w:r>
            <w:r>
              <w:rPr>
                <w:rStyle w:val="IndexLink"/>
              </w:rPr>
              <w:t>370</w:t>
            </w:r>
            <w:r>
              <w:rPr>
                <w:rStyle w:val="IndexLink"/>
                <w:rtl w:val="true"/>
              </w:rPr>
              <w:t xml:space="preserve"> </w:t>
            </w:r>
            <w:r>
              <w:rPr>
                <w:rStyle w:val="IndexLink"/>
                <w:rtl w:val="true"/>
              </w:rPr>
              <w:t xml:space="preserve">ه </w:t>
            </w:r>
            <w:r>
              <w:rPr>
                <w:rStyle w:val="IndexLink"/>
                <w:rtl w:val="true"/>
              </w:rPr>
              <w:t>)</w:t>
              <w:tab/>
            </w:r>
            <w:r>
              <w:rPr>
                <w:rStyle w:val="IndexLink"/>
              </w:rPr>
              <w:t>323</w:t>
            </w:r>
          </w:hyperlink>
        </w:p>
        <w:p>
          <w:pPr>
            <w:pStyle w:val="Contents3"/>
            <w:tabs>
              <w:tab w:val="clear" w:pos="8459"/>
              <w:tab w:val="right" w:pos="9026" w:leader="dot"/>
            </w:tabs>
            <w:rPr/>
          </w:pPr>
          <w:hyperlink w:anchor="__RefHeading___Toc972364_237004111">
            <w:r>
              <w:rPr>
                <w:webHidden/>
                <w:rStyle w:val="IndexLink"/>
              </w:rPr>
              <w:t>15</w:t>
            </w:r>
            <w:r>
              <w:rPr>
                <w:rStyle w:val="IndexLink"/>
                <w:rtl w:val="true"/>
              </w:rPr>
              <w:t xml:space="preserve"> - </w:t>
            </w:r>
            <w:r>
              <w:rPr>
                <w:rStyle w:val="IndexLink"/>
                <w:rtl w:val="true"/>
              </w:rPr>
              <w:t xml:space="preserve">السمرقندیّ </w:t>
            </w:r>
            <w:r>
              <w:rPr>
                <w:rStyle w:val="IndexLink"/>
                <w:rtl w:val="true"/>
              </w:rPr>
              <w:t>(</w:t>
            </w:r>
            <w:r>
              <w:rPr>
                <w:rStyle w:val="IndexLink"/>
                <w:rtl w:val="true"/>
              </w:rPr>
              <w:t xml:space="preserve">ت </w:t>
            </w:r>
            <w:r>
              <w:rPr>
                <w:rStyle w:val="IndexLink"/>
              </w:rPr>
              <w:t>373</w:t>
            </w:r>
            <w:r>
              <w:rPr>
                <w:rStyle w:val="IndexLink"/>
                <w:rtl w:val="true"/>
              </w:rPr>
              <w:t xml:space="preserve"> </w:t>
            </w:r>
            <w:r>
              <w:rPr>
                <w:rStyle w:val="IndexLink"/>
                <w:rtl w:val="true"/>
              </w:rPr>
              <w:t xml:space="preserve">ه </w:t>
            </w:r>
            <w:r>
              <w:rPr>
                <w:rStyle w:val="IndexLink"/>
                <w:rtl w:val="true"/>
              </w:rPr>
              <w:t>)</w:t>
              <w:tab/>
            </w:r>
            <w:r>
              <w:rPr>
                <w:rStyle w:val="IndexLink"/>
              </w:rPr>
              <w:t>323</w:t>
            </w:r>
          </w:hyperlink>
        </w:p>
        <w:p>
          <w:pPr>
            <w:pStyle w:val="Contents3"/>
            <w:tabs>
              <w:tab w:val="clear" w:pos="8459"/>
              <w:tab w:val="right" w:pos="9026" w:leader="dot"/>
            </w:tabs>
            <w:rPr/>
          </w:pPr>
          <w:hyperlink w:anchor="__RefHeading___Toc972366_237004111">
            <w:r>
              <w:rPr>
                <w:webHidden/>
                <w:rStyle w:val="IndexLink"/>
              </w:rPr>
              <w:t>16</w:t>
            </w:r>
            <w:r>
              <w:rPr>
                <w:rStyle w:val="IndexLink"/>
                <w:rtl w:val="true"/>
              </w:rPr>
              <w:t xml:space="preserve"> - </w:t>
            </w:r>
            <w:r>
              <w:rPr>
                <w:rStyle w:val="IndexLink"/>
                <w:rtl w:val="true"/>
              </w:rPr>
              <w:t xml:space="preserve">أبو محمد عبداللّه بن عبدالرّحمن أبی زید القیروانی </w:t>
            </w:r>
            <w:r>
              <w:rPr>
                <w:rStyle w:val="IndexLink"/>
                <w:rtl w:val="true"/>
              </w:rPr>
              <w:t>(</w:t>
            </w:r>
            <w:r>
              <w:rPr>
                <w:rStyle w:val="IndexLink"/>
                <w:rtl w:val="true"/>
              </w:rPr>
              <w:t>ت</w:t>
            </w:r>
            <w:r>
              <w:rPr>
                <w:rStyle w:val="IndexLink"/>
                <w:rtl w:val="true"/>
              </w:rPr>
              <w:tab/>
            </w:r>
            <w:r>
              <w:rPr>
                <w:rStyle w:val="IndexLink"/>
              </w:rPr>
              <w:t>324</w:t>
            </w:r>
          </w:hyperlink>
        </w:p>
        <w:p>
          <w:pPr>
            <w:pStyle w:val="Contents3"/>
            <w:tabs>
              <w:tab w:val="clear" w:pos="8459"/>
              <w:tab w:val="right" w:pos="9026" w:leader="dot"/>
            </w:tabs>
            <w:rPr/>
          </w:pPr>
          <w:hyperlink w:anchor="__RefHeading___Toc972368_237004111">
            <w:r>
              <w:rPr>
                <w:webHidden/>
                <w:rStyle w:val="IndexLink"/>
              </w:rPr>
              <w:t>17</w:t>
            </w:r>
            <w:r>
              <w:rPr>
                <w:rStyle w:val="IndexLink"/>
                <w:rtl w:val="true"/>
              </w:rPr>
              <w:t xml:space="preserve"> - </w:t>
            </w:r>
            <w:r>
              <w:rPr>
                <w:rStyle w:val="IndexLink"/>
                <w:rtl w:val="true"/>
              </w:rPr>
              <w:t xml:space="preserve">مکّیّ بن أبی طالب القیسیّ </w:t>
            </w:r>
            <w:r>
              <w:rPr>
                <w:rStyle w:val="IndexLink"/>
                <w:rtl w:val="true"/>
              </w:rPr>
              <w:t>(</w:t>
            </w:r>
            <w:r>
              <w:rPr>
                <w:rStyle w:val="IndexLink"/>
                <w:rtl w:val="true"/>
              </w:rPr>
              <w:t xml:space="preserve">ت </w:t>
            </w:r>
            <w:r>
              <w:rPr>
                <w:rStyle w:val="IndexLink"/>
              </w:rPr>
              <w:t>386</w:t>
            </w:r>
            <w:r>
              <w:rPr>
                <w:rStyle w:val="IndexLink"/>
                <w:rtl w:val="true"/>
              </w:rPr>
              <w:t xml:space="preserve"> </w:t>
            </w:r>
            <w:r>
              <w:rPr>
                <w:rStyle w:val="IndexLink"/>
                <w:rtl w:val="true"/>
              </w:rPr>
              <w:t xml:space="preserve">ه </w:t>
            </w:r>
            <w:r>
              <w:rPr>
                <w:rStyle w:val="IndexLink"/>
                <w:rtl w:val="true"/>
              </w:rPr>
              <w:t>)</w:t>
              <w:tab/>
            </w:r>
            <w:r>
              <w:rPr>
                <w:rStyle w:val="IndexLink"/>
              </w:rPr>
              <w:t>324</w:t>
            </w:r>
          </w:hyperlink>
        </w:p>
        <w:p>
          <w:pPr>
            <w:pStyle w:val="Contents3"/>
            <w:tabs>
              <w:tab w:val="clear" w:pos="8459"/>
              <w:tab w:val="right" w:pos="9026" w:leader="dot"/>
            </w:tabs>
            <w:rPr/>
          </w:pPr>
          <w:hyperlink w:anchor="__RefHeading___Toc972370_237004111">
            <w:r>
              <w:rPr>
                <w:webHidden/>
                <w:rStyle w:val="IndexLink"/>
              </w:rPr>
              <w:t>18</w:t>
            </w:r>
            <w:r>
              <w:rPr>
                <w:rStyle w:val="IndexLink"/>
                <w:rtl w:val="true"/>
              </w:rPr>
              <w:t xml:space="preserve"> - </w:t>
            </w:r>
            <w:r>
              <w:rPr>
                <w:rStyle w:val="IndexLink"/>
                <w:rtl w:val="true"/>
              </w:rPr>
              <w:t xml:space="preserve">ابن زنجلة </w:t>
            </w:r>
            <w:r>
              <w:rPr>
                <w:rStyle w:val="IndexLink"/>
                <w:rtl w:val="true"/>
              </w:rPr>
              <w:t>(</w:t>
            </w:r>
            <w:r>
              <w:rPr>
                <w:rStyle w:val="IndexLink"/>
                <w:rtl w:val="true"/>
              </w:rPr>
              <w:t xml:space="preserve">ت </w:t>
            </w:r>
            <w:r>
              <w:rPr>
                <w:rStyle w:val="IndexLink"/>
              </w:rPr>
              <w:t>403</w:t>
            </w:r>
            <w:r>
              <w:rPr>
                <w:rStyle w:val="IndexLink"/>
                <w:rtl w:val="true"/>
              </w:rPr>
              <w:t xml:space="preserve"> </w:t>
            </w:r>
            <w:r>
              <w:rPr>
                <w:rStyle w:val="IndexLink"/>
                <w:rtl w:val="true"/>
              </w:rPr>
              <w:t xml:space="preserve">ه </w:t>
            </w:r>
            <w:r>
              <w:rPr>
                <w:rStyle w:val="IndexLink"/>
                <w:rtl w:val="true"/>
              </w:rPr>
              <w:t>)</w:t>
              <w:tab/>
            </w:r>
            <w:r>
              <w:rPr>
                <w:rStyle w:val="IndexLink"/>
              </w:rPr>
              <w:t>324</w:t>
            </w:r>
          </w:hyperlink>
        </w:p>
        <w:p>
          <w:pPr>
            <w:pStyle w:val="Contents3"/>
            <w:tabs>
              <w:tab w:val="clear" w:pos="8459"/>
              <w:tab w:val="right" w:pos="9026" w:leader="dot"/>
            </w:tabs>
            <w:rPr/>
          </w:pPr>
          <w:hyperlink w:anchor="__RefHeading___Toc972372_237004111">
            <w:r>
              <w:rPr>
                <w:webHidden/>
                <w:rStyle w:val="IndexLink"/>
              </w:rPr>
              <w:t>19</w:t>
            </w:r>
            <w:r>
              <w:rPr>
                <w:rStyle w:val="IndexLink"/>
                <w:rtl w:val="true"/>
              </w:rPr>
              <w:t xml:space="preserve"> - </w:t>
            </w:r>
            <w:r>
              <w:rPr>
                <w:rStyle w:val="IndexLink"/>
                <w:rtl w:val="true"/>
              </w:rPr>
              <w:t xml:space="preserve">الثعلبیّ </w:t>
            </w:r>
            <w:r>
              <w:rPr>
                <w:rStyle w:val="IndexLink"/>
                <w:rtl w:val="true"/>
              </w:rPr>
              <w:t>(</w:t>
            </w:r>
            <w:r>
              <w:rPr>
                <w:rStyle w:val="IndexLink"/>
                <w:rtl w:val="true"/>
              </w:rPr>
              <w:t xml:space="preserve">ت </w:t>
            </w:r>
            <w:r>
              <w:rPr>
                <w:rStyle w:val="IndexLink"/>
              </w:rPr>
              <w:t>427</w:t>
            </w:r>
            <w:r>
              <w:rPr>
                <w:rStyle w:val="IndexLink"/>
                <w:rtl w:val="true"/>
              </w:rPr>
              <w:t xml:space="preserve"> </w:t>
            </w:r>
            <w:r>
              <w:rPr>
                <w:rStyle w:val="IndexLink"/>
                <w:rtl w:val="true"/>
              </w:rPr>
              <w:t xml:space="preserve">ه </w:t>
            </w:r>
            <w:r>
              <w:rPr>
                <w:rStyle w:val="IndexLink"/>
                <w:rtl w:val="true"/>
              </w:rPr>
              <w:t>)</w:t>
              <w:tab/>
            </w:r>
            <w:r>
              <w:rPr>
                <w:rStyle w:val="IndexLink"/>
              </w:rPr>
              <w:t>329</w:t>
            </w:r>
          </w:hyperlink>
        </w:p>
        <w:p>
          <w:pPr>
            <w:pStyle w:val="Contents3"/>
            <w:tabs>
              <w:tab w:val="clear" w:pos="8459"/>
              <w:tab w:val="right" w:pos="9026" w:leader="dot"/>
            </w:tabs>
            <w:rPr/>
          </w:pPr>
          <w:hyperlink w:anchor="__RefHeading___Toc972374_237004111">
            <w:r>
              <w:rPr>
                <w:webHidden/>
                <w:rStyle w:val="IndexLink"/>
              </w:rPr>
              <w:t>20</w:t>
            </w:r>
            <w:r>
              <w:rPr>
                <w:rStyle w:val="IndexLink"/>
                <w:rtl w:val="true"/>
              </w:rPr>
              <w:t xml:space="preserve"> - </w:t>
            </w:r>
            <w:r>
              <w:rPr>
                <w:rStyle w:val="IndexLink"/>
                <w:rtl w:val="true"/>
              </w:rPr>
              <w:t xml:space="preserve">علی بن محمد بن حبیب الماوردی صاحب التّفسیر </w:t>
            </w:r>
            <w:r>
              <w:rPr>
                <w:rStyle w:val="IndexLink"/>
                <w:rtl w:val="true"/>
              </w:rPr>
              <w:t>(</w:t>
            </w:r>
            <w:r>
              <w:rPr>
                <w:rStyle w:val="IndexLink"/>
                <w:rtl w:val="true"/>
              </w:rPr>
              <w:t xml:space="preserve">ت </w:t>
            </w:r>
            <w:r>
              <w:rPr>
                <w:rStyle w:val="IndexLink"/>
              </w:rPr>
              <w:t>450</w:t>
            </w:r>
            <w:r>
              <w:rPr>
                <w:rStyle w:val="IndexLink"/>
                <w:rtl w:val="true"/>
              </w:rPr>
              <w:t xml:space="preserve"> </w:t>
            </w:r>
            <w:r>
              <w:rPr>
                <w:rStyle w:val="IndexLink"/>
                <w:rtl w:val="true"/>
              </w:rPr>
              <w:t xml:space="preserve">ه </w:t>
            </w:r>
            <w:r>
              <w:rPr>
                <w:rStyle w:val="IndexLink"/>
                <w:rtl w:val="true"/>
              </w:rPr>
              <w:t>)</w:t>
              <w:tab/>
            </w:r>
            <w:r>
              <w:rPr>
                <w:rStyle w:val="IndexLink"/>
              </w:rPr>
              <w:t>330</w:t>
            </w:r>
          </w:hyperlink>
        </w:p>
        <w:p>
          <w:pPr>
            <w:pStyle w:val="Contents3"/>
            <w:tabs>
              <w:tab w:val="clear" w:pos="8459"/>
              <w:tab w:val="right" w:pos="9026" w:leader="dot"/>
            </w:tabs>
            <w:rPr/>
          </w:pPr>
          <w:hyperlink w:anchor="__RefHeading___Toc972376_237004111">
            <w:r>
              <w:rPr>
                <w:webHidden/>
                <w:rStyle w:val="IndexLink"/>
              </w:rPr>
              <w:t>21</w:t>
            </w:r>
            <w:r>
              <w:rPr>
                <w:rStyle w:val="IndexLink"/>
                <w:rtl w:val="true"/>
              </w:rPr>
              <w:t xml:space="preserve"> - </w:t>
            </w:r>
            <w:r>
              <w:rPr>
                <w:rStyle w:val="IndexLink"/>
                <w:rtl w:val="true"/>
              </w:rPr>
              <w:t xml:space="preserve">ابن سیده </w:t>
            </w:r>
            <w:r>
              <w:rPr>
                <w:rStyle w:val="IndexLink"/>
                <w:rtl w:val="true"/>
              </w:rPr>
              <w:t>(</w:t>
            </w:r>
            <w:r>
              <w:rPr>
                <w:rStyle w:val="IndexLink"/>
                <w:rtl w:val="true"/>
              </w:rPr>
              <w:t xml:space="preserve">ت </w:t>
            </w:r>
            <w:r>
              <w:rPr>
                <w:rStyle w:val="IndexLink"/>
              </w:rPr>
              <w:t>458</w:t>
            </w:r>
            <w:r>
              <w:rPr>
                <w:rStyle w:val="IndexLink"/>
                <w:rtl w:val="true"/>
              </w:rPr>
              <w:t>)</w:t>
              <w:tab/>
            </w:r>
            <w:r>
              <w:rPr>
                <w:rStyle w:val="IndexLink"/>
              </w:rPr>
              <w:t>331</w:t>
            </w:r>
          </w:hyperlink>
        </w:p>
        <w:p>
          <w:pPr>
            <w:pStyle w:val="Contents3"/>
            <w:tabs>
              <w:tab w:val="clear" w:pos="8459"/>
              <w:tab w:val="right" w:pos="9026" w:leader="dot"/>
            </w:tabs>
            <w:rPr/>
          </w:pPr>
          <w:hyperlink w:anchor="__RefHeading___Toc972378_237004111">
            <w:r>
              <w:rPr>
                <w:webHidden/>
                <w:rStyle w:val="IndexLink"/>
              </w:rPr>
              <w:t>22</w:t>
            </w:r>
            <w:r>
              <w:rPr>
                <w:rStyle w:val="IndexLink"/>
                <w:rtl w:val="true"/>
              </w:rPr>
              <w:t xml:space="preserve"> - </w:t>
            </w:r>
            <w:r>
              <w:rPr>
                <w:rStyle w:val="IndexLink"/>
                <w:rtl w:val="true"/>
              </w:rPr>
              <w:t xml:space="preserve">الشیخ أبو جعفر محمّد بن الحسن الطوسیّ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 xml:space="preserve">ه </w:t>
            </w:r>
            <w:r>
              <w:rPr>
                <w:rStyle w:val="IndexLink"/>
                <w:rtl w:val="true"/>
              </w:rPr>
              <w:t>)</w:t>
              <w:tab/>
            </w:r>
            <w:r>
              <w:rPr>
                <w:rStyle w:val="IndexLink"/>
              </w:rPr>
              <w:t>333</w:t>
            </w:r>
          </w:hyperlink>
        </w:p>
        <w:p>
          <w:pPr>
            <w:pStyle w:val="Contents3"/>
            <w:tabs>
              <w:tab w:val="clear" w:pos="8459"/>
              <w:tab w:val="right" w:pos="9026" w:leader="dot"/>
            </w:tabs>
            <w:rPr/>
          </w:pPr>
          <w:hyperlink w:anchor="__RefHeading___Toc972380_237004111">
            <w:r>
              <w:rPr>
                <w:webHidden/>
                <w:rStyle w:val="IndexLink"/>
              </w:rPr>
              <w:t>23</w:t>
            </w:r>
            <w:r>
              <w:rPr>
                <w:rStyle w:val="IndexLink"/>
                <w:rtl w:val="true"/>
              </w:rPr>
              <w:t xml:space="preserve"> - </w:t>
            </w:r>
            <w:r>
              <w:rPr>
                <w:rStyle w:val="IndexLink"/>
                <w:rtl w:val="true"/>
              </w:rPr>
              <w:t xml:space="preserve">أبو الحسن علی بن أحمد الواحدی النیسابوری </w:t>
            </w:r>
            <w:r>
              <w:rPr>
                <w:rStyle w:val="IndexLink"/>
                <w:rtl w:val="true"/>
              </w:rPr>
              <w:t>(</w:t>
            </w:r>
            <w:r>
              <w:rPr>
                <w:rStyle w:val="IndexLink"/>
                <w:rtl w:val="true"/>
              </w:rPr>
              <w:t xml:space="preserve">ت </w:t>
            </w:r>
            <w:r>
              <w:rPr>
                <w:rStyle w:val="IndexLink"/>
              </w:rPr>
              <w:t>468</w:t>
            </w:r>
            <w:r>
              <w:rPr>
                <w:rStyle w:val="IndexLink"/>
                <w:rtl w:val="true"/>
              </w:rPr>
              <w:t xml:space="preserve"> </w:t>
            </w:r>
            <w:r>
              <w:rPr>
                <w:rStyle w:val="IndexLink"/>
                <w:rtl w:val="true"/>
              </w:rPr>
              <w:t xml:space="preserve">ه </w:t>
            </w:r>
            <w:r>
              <w:rPr>
                <w:rStyle w:val="IndexLink"/>
                <w:rtl w:val="true"/>
              </w:rPr>
              <w:t>)</w:t>
              <w:tab/>
            </w:r>
            <w:r>
              <w:rPr>
                <w:rStyle w:val="IndexLink"/>
              </w:rPr>
              <w:t>337</w:t>
            </w:r>
          </w:hyperlink>
        </w:p>
        <w:p>
          <w:pPr>
            <w:pStyle w:val="Contents3"/>
            <w:tabs>
              <w:tab w:val="clear" w:pos="8459"/>
              <w:tab w:val="right" w:pos="9026" w:leader="dot"/>
            </w:tabs>
            <w:rPr/>
          </w:pPr>
          <w:hyperlink w:anchor="__RefHeading___Toc972382_237004111">
            <w:r>
              <w:rPr>
                <w:webHidden/>
                <w:rStyle w:val="IndexLink"/>
              </w:rPr>
              <w:t>24</w:t>
            </w:r>
            <w:r>
              <w:rPr>
                <w:rStyle w:val="IndexLink"/>
                <w:rtl w:val="true"/>
              </w:rPr>
              <w:t xml:space="preserve"> - </w:t>
            </w:r>
            <w:r>
              <w:rPr>
                <w:rStyle w:val="IndexLink"/>
                <w:rtl w:val="true"/>
              </w:rPr>
              <w:t xml:space="preserve">أبو المعالی الجوینیّ </w:t>
            </w:r>
            <w:r>
              <w:rPr>
                <w:rStyle w:val="IndexLink"/>
                <w:rtl w:val="true"/>
              </w:rPr>
              <w:t>(</w:t>
            </w:r>
            <w:r>
              <w:rPr>
                <w:rStyle w:val="IndexLink"/>
                <w:rtl w:val="true"/>
              </w:rPr>
              <w:t xml:space="preserve">ت </w:t>
            </w:r>
            <w:r>
              <w:rPr>
                <w:rStyle w:val="IndexLink"/>
              </w:rPr>
              <w:t>478</w:t>
            </w:r>
            <w:r>
              <w:rPr>
                <w:rStyle w:val="IndexLink"/>
                <w:rtl w:val="true"/>
              </w:rPr>
              <w:t xml:space="preserve"> </w:t>
            </w:r>
            <w:r>
              <w:rPr>
                <w:rStyle w:val="IndexLink"/>
                <w:rtl w:val="true"/>
              </w:rPr>
              <w:t xml:space="preserve">ه </w:t>
            </w:r>
            <w:r>
              <w:rPr>
                <w:rStyle w:val="IndexLink"/>
                <w:rtl w:val="true"/>
              </w:rPr>
              <w:t>)</w:t>
              <w:tab/>
            </w:r>
            <w:r>
              <w:rPr>
                <w:rStyle w:val="IndexLink"/>
              </w:rPr>
              <w:t>337</w:t>
            </w:r>
          </w:hyperlink>
        </w:p>
        <w:p>
          <w:pPr>
            <w:pStyle w:val="Contents3"/>
            <w:tabs>
              <w:tab w:val="clear" w:pos="8459"/>
              <w:tab w:val="right" w:pos="9026" w:leader="dot"/>
            </w:tabs>
            <w:rPr/>
          </w:pPr>
          <w:hyperlink w:anchor="__RefHeading___Toc972384_237004111">
            <w:r>
              <w:rPr>
                <w:webHidden/>
                <w:rStyle w:val="IndexLink"/>
              </w:rPr>
              <w:t>25</w:t>
            </w:r>
            <w:r>
              <w:rPr>
                <w:rStyle w:val="IndexLink"/>
                <w:rtl w:val="true"/>
              </w:rPr>
              <w:t xml:space="preserve"> - </w:t>
            </w:r>
            <w:r>
              <w:rPr>
                <w:rStyle w:val="IndexLink"/>
                <w:rtl w:val="true"/>
              </w:rPr>
              <w:t xml:space="preserve">السرخسیّ </w:t>
            </w:r>
            <w:r>
              <w:rPr>
                <w:rStyle w:val="IndexLink"/>
                <w:rtl w:val="true"/>
              </w:rPr>
              <w:t>(</w:t>
            </w:r>
            <w:r>
              <w:rPr>
                <w:rStyle w:val="IndexLink"/>
                <w:rtl w:val="true"/>
              </w:rPr>
              <w:t xml:space="preserve">ت </w:t>
            </w:r>
            <w:r>
              <w:rPr>
                <w:rStyle w:val="IndexLink"/>
              </w:rPr>
              <w:t>483</w:t>
            </w:r>
            <w:r>
              <w:rPr>
                <w:rStyle w:val="IndexLink"/>
                <w:rtl w:val="true"/>
              </w:rPr>
              <w:t xml:space="preserve"> </w:t>
            </w:r>
            <w:r>
              <w:rPr>
                <w:rStyle w:val="IndexLink"/>
                <w:rtl w:val="true"/>
              </w:rPr>
              <w:t xml:space="preserve">أو </w:t>
            </w:r>
            <w:r>
              <w:rPr>
                <w:rStyle w:val="IndexLink"/>
              </w:rPr>
              <w:t>486</w:t>
            </w:r>
            <w:r>
              <w:rPr>
                <w:rStyle w:val="IndexLink"/>
                <w:rtl w:val="true"/>
              </w:rPr>
              <w:t xml:space="preserve"> </w:t>
            </w:r>
            <w:r>
              <w:rPr>
                <w:rStyle w:val="IndexLink"/>
                <w:rtl w:val="true"/>
              </w:rPr>
              <w:t xml:space="preserve">ه </w:t>
            </w:r>
            <w:r>
              <w:rPr>
                <w:rStyle w:val="IndexLink"/>
                <w:rtl w:val="true"/>
              </w:rPr>
              <w:t>)</w:t>
              <w:tab/>
            </w:r>
            <w:r>
              <w:rPr>
                <w:rStyle w:val="IndexLink"/>
              </w:rPr>
              <w:t>340</w:t>
            </w:r>
          </w:hyperlink>
        </w:p>
        <w:p>
          <w:pPr>
            <w:pStyle w:val="Contents3"/>
            <w:tabs>
              <w:tab w:val="clear" w:pos="8459"/>
              <w:tab w:val="right" w:pos="9026" w:leader="dot"/>
            </w:tabs>
            <w:rPr/>
          </w:pPr>
          <w:hyperlink w:anchor="__RefHeading___Toc972386_237004111">
            <w:r>
              <w:rPr>
                <w:webHidden/>
                <w:rStyle w:val="IndexLink"/>
              </w:rPr>
              <w:t>26</w:t>
            </w:r>
            <w:r>
              <w:rPr>
                <w:rStyle w:val="IndexLink"/>
                <w:rtl w:val="true"/>
              </w:rPr>
              <w:t xml:space="preserve"> - </w:t>
            </w:r>
            <w:r>
              <w:rPr>
                <w:rStyle w:val="IndexLink"/>
                <w:rtl w:val="true"/>
              </w:rPr>
              <w:t xml:space="preserve">أبو المظفّر السمعانیّ </w:t>
            </w:r>
            <w:r>
              <w:rPr>
                <w:rStyle w:val="IndexLink"/>
                <w:rtl w:val="true"/>
              </w:rPr>
              <w:t>(</w:t>
            </w:r>
            <w:r>
              <w:rPr>
                <w:rStyle w:val="IndexLink"/>
                <w:rtl w:val="true"/>
              </w:rPr>
              <w:t xml:space="preserve">ت </w:t>
            </w:r>
            <w:r>
              <w:rPr>
                <w:rStyle w:val="IndexLink"/>
              </w:rPr>
              <w:t>489</w:t>
            </w:r>
            <w:r>
              <w:rPr>
                <w:rStyle w:val="IndexLink"/>
                <w:rtl w:val="true"/>
              </w:rPr>
              <w:t xml:space="preserve"> </w:t>
            </w:r>
            <w:r>
              <w:rPr>
                <w:rStyle w:val="IndexLink"/>
                <w:rtl w:val="true"/>
              </w:rPr>
              <w:t xml:space="preserve">ه </w:t>
            </w:r>
            <w:r>
              <w:rPr>
                <w:rStyle w:val="IndexLink"/>
                <w:rtl w:val="true"/>
              </w:rPr>
              <w:t>)</w:t>
              <w:tab/>
            </w:r>
            <w:r>
              <w:rPr>
                <w:rStyle w:val="IndexLink"/>
              </w:rPr>
              <w:t>340</w:t>
            </w:r>
          </w:hyperlink>
        </w:p>
        <w:p>
          <w:pPr>
            <w:pStyle w:val="Contents3"/>
            <w:tabs>
              <w:tab w:val="clear" w:pos="8459"/>
              <w:tab w:val="right" w:pos="9026" w:leader="dot"/>
            </w:tabs>
            <w:rPr/>
          </w:pPr>
          <w:hyperlink w:anchor="__RefHeading___Toc972388_237004111">
            <w:r>
              <w:rPr>
                <w:webHidden/>
                <w:rStyle w:val="IndexLink"/>
              </w:rPr>
              <w:t>27</w:t>
            </w:r>
            <w:r>
              <w:rPr>
                <w:rStyle w:val="IndexLink"/>
                <w:rtl w:val="true"/>
              </w:rPr>
              <w:t xml:space="preserve"> - </w:t>
            </w:r>
            <w:r>
              <w:rPr>
                <w:rStyle w:val="IndexLink"/>
                <w:rtl w:val="true"/>
              </w:rPr>
              <w:t xml:space="preserve">البزدویّ </w:t>
            </w:r>
            <w:r>
              <w:rPr>
                <w:rStyle w:val="IndexLink"/>
                <w:rtl w:val="true"/>
              </w:rPr>
              <w:t>(</w:t>
            </w:r>
            <w:r>
              <w:rPr>
                <w:rStyle w:val="IndexLink"/>
                <w:rtl w:val="true"/>
              </w:rPr>
              <w:t xml:space="preserve">ت </w:t>
            </w:r>
            <w:r>
              <w:rPr>
                <w:rStyle w:val="IndexLink"/>
              </w:rPr>
              <w:t>493</w:t>
            </w:r>
            <w:r>
              <w:rPr>
                <w:rStyle w:val="IndexLink"/>
                <w:rtl w:val="true"/>
              </w:rPr>
              <w:t xml:space="preserve"> </w:t>
            </w:r>
            <w:r>
              <w:rPr>
                <w:rStyle w:val="IndexLink"/>
                <w:rtl w:val="true"/>
              </w:rPr>
              <w:t xml:space="preserve">ه </w:t>
            </w:r>
            <w:r>
              <w:rPr>
                <w:rStyle w:val="IndexLink"/>
                <w:rtl w:val="true"/>
              </w:rPr>
              <w:t>)</w:t>
              <w:tab/>
            </w:r>
            <w:r>
              <w:rPr>
                <w:rStyle w:val="IndexLink"/>
              </w:rPr>
              <w:t>341</w:t>
            </w:r>
          </w:hyperlink>
        </w:p>
        <w:p>
          <w:pPr>
            <w:pStyle w:val="Contents3"/>
            <w:tabs>
              <w:tab w:val="clear" w:pos="8459"/>
              <w:tab w:val="right" w:pos="9026" w:leader="dot"/>
            </w:tabs>
            <w:rPr/>
          </w:pPr>
          <w:hyperlink w:anchor="__RefHeading___Toc972390_237004111">
            <w:r>
              <w:rPr>
                <w:webHidden/>
                <w:rStyle w:val="IndexLink"/>
              </w:rPr>
              <w:t>28</w:t>
            </w:r>
            <w:r>
              <w:rPr>
                <w:rStyle w:val="IndexLink"/>
                <w:rtl w:val="true"/>
              </w:rPr>
              <w:t xml:space="preserve"> - </w:t>
            </w:r>
            <w:r>
              <w:rPr>
                <w:rStyle w:val="IndexLink"/>
                <w:rtl w:val="true"/>
              </w:rPr>
              <w:t xml:space="preserve">البغویّ </w:t>
            </w:r>
            <w:r>
              <w:rPr>
                <w:rStyle w:val="IndexLink"/>
                <w:rtl w:val="true"/>
              </w:rPr>
              <w:t>(</w:t>
            </w:r>
            <w:r>
              <w:rPr>
                <w:rStyle w:val="IndexLink"/>
                <w:rtl w:val="true"/>
              </w:rPr>
              <w:t xml:space="preserve">ت </w:t>
            </w:r>
            <w:r>
              <w:rPr>
                <w:rStyle w:val="IndexLink"/>
              </w:rPr>
              <w:t>510</w:t>
            </w:r>
            <w:r>
              <w:rPr>
                <w:rStyle w:val="IndexLink"/>
                <w:rtl w:val="true"/>
              </w:rPr>
              <w:t xml:space="preserve"> </w:t>
            </w:r>
            <w:r>
              <w:rPr>
                <w:rStyle w:val="IndexLink"/>
                <w:rtl w:val="true"/>
              </w:rPr>
              <w:t xml:space="preserve">أو </w:t>
            </w:r>
            <w:r>
              <w:rPr>
                <w:rStyle w:val="IndexLink"/>
              </w:rPr>
              <w:t>516</w:t>
            </w:r>
            <w:r>
              <w:rPr>
                <w:rStyle w:val="IndexLink"/>
                <w:rtl w:val="true"/>
              </w:rPr>
              <w:t xml:space="preserve"> </w:t>
            </w:r>
            <w:r>
              <w:rPr>
                <w:rStyle w:val="IndexLink"/>
                <w:rtl w:val="true"/>
              </w:rPr>
              <w:t xml:space="preserve">ه </w:t>
            </w:r>
            <w:r>
              <w:rPr>
                <w:rStyle w:val="IndexLink"/>
                <w:rtl w:val="true"/>
              </w:rPr>
              <w:t>)</w:t>
              <w:tab/>
            </w:r>
            <w:r>
              <w:rPr>
                <w:rStyle w:val="IndexLink"/>
              </w:rPr>
              <w:t>342</w:t>
            </w:r>
          </w:hyperlink>
        </w:p>
        <w:p>
          <w:pPr>
            <w:pStyle w:val="Contents3"/>
            <w:tabs>
              <w:tab w:val="clear" w:pos="8459"/>
              <w:tab w:val="right" w:pos="9026" w:leader="dot"/>
            </w:tabs>
            <w:rPr/>
          </w:pPr>
          <w:hyperlink w:anchor="__RefHeading___Toc972392_237004111">
            <w:r>
              <w:rPr>
                <w:webHidden/>
                <w:rStyle w:val="IndexLink"/>
              </w:rPr>
              <w:t>29</w:t>
            </w:r>
            <w:r>
              <w:rPr>
                <w:rStyle w:val="IndexLink"/>
                <w:rtl w:val="true"/>
              </w:rPr>
              <w:t xml:space="preserve"> - </w:t>
            </w:r>
            <w:r>
              <w:rPr>
                <w:rStyle w:val="IndexLink"/>
                <w:rtl w:val="true"/>
              </w:rPr>
              <w:t xml:space="preserve">أبو الفضل رشید الدین المیبدی </w:t>
            </w:r>
            <w:r>
              <w:rPr>
                <w:rStyle w:val="IndexLink"/>
                <w:rtl w:val="true"/>
              </w:rPr>
              <w:t>(</w:t>
            </w:r>
            <w:r>
              <w:rPr>
                <w:rStyle w:val="IndexLink"/>
                <w:rtl w:val="true"/>
              </w:rPr>
              <w:t xml:space="preserve">ت </w:t>
            </w:r>
            <w:r>
              <w:rPr>
                <w:rStyle w:val="IndexLink"/>
              </w:rPr>
              <w:t>520</w:t>
            </w:r>
            <w:r>
              <w:rPr>
                <w:rStyle w:val="IndexLink"/>
                <w:rtl w:val="true"/>
              </w:rPr>
              <w:t xml:space="preserve"> </w:t>
            </w:r>
            <w:r>
              <w:rPr>
                <w:rStyle w:val="IndexLink"/>
                <w:rtl w:val="true"/>
              </w:rPr>
              <w:t xml:space="preserve">ه </w:t>
            </w:r>
            <w:r>
              <w:rPr>
                <w:rStyle w:val="IndexLink"/>
                <w:rtl w:val="true"/>
              </w:rPr>
              <w:t>)</w:t>
              <w:tab/>
            </w:r>
            <w:r>
              <w:rPr>
                <w:rStyle w:val="IndexLink"/>
              </w:rPr>
              <w:t>342</w:t>
            </w:r>
          </w:hyperlink>
        </w:p>
        <w:p>
          <w:pPr>
            <w:pStyle w:val="Contents3"/>
            <w:tabs>
              <w:tab w:val="clear" w:pos="8459"/>
              <w:tab w:val="right" w:pos="9026" w:leader="dot"/>
            </w:tabs>
            <w:rPr/>
          </w:pPr>
          <w:hyperlink w:anchor="__RefHeading___Toc972394_237004111">
            <w:r>
              <w:rPr>
                <w:webHidden/>
                <w:rStyle w:val="IndexLink"/>
              </w:rPr>
              <w:t>30</w:t>
            </w:r>
            <w:r>
              <w:rPr>
                <w:rStyle w:val="IndexLink"/>
                <w:rtl w:val="true"/>
              </w:rPr>
              <w:t xml:space="preserve"> - </w:t>
            </w:r>
            <w:r>
              <w:rPr>
                <w:rStyle w:val="IndexLink"/>
                <w:rtl w:val="true"/>
              </w:rPr>
              <w:t xml:space="preserve">أبو الفتوح الرازی </w:t>
            </w:r>
            <w:r>
              <w:rPr>
                <w:rStyle w:val="IndexLink"/>
                <w:rtl w:val="true"/>
              </w:rPr>
              <w:t>(</w:t>
            </w:r>
            <w:r>
              <w:rPr>
                <w:rStyle w:val="IndexLink"/>
                <w:rtl w:val="true"/>
              </w:rPr>
              <w:t>من علماء القرن السّادس</w:t>
            </w:r>
            <w:r>
              <w:rPr>
                <w:rStyle w:val="IndexLink"/>
                <w:rtl w:val="true"/>
              </w:rPr>
              <w:t>)</w:t>
              <w:tab/>
            </w:r>
            <w:r>
              <w:rPr>
                <w:rStyle w:val="IndexLink"/>
              </w:rPr>
              <w:t>344</w:t>
            </w:r>
          </w:hyperlink>
        </w:p>
        <w:p>
          <w:pPr>
            <w:pStyle w:val="Contents3"/>
            <w:tabs>
              <w:tab w:val="clear" w:pos="8459"/>
              <w:tab w:val="right" w:pos="9026" w:leader="dot"/>
            </w:tabs>
            <w:rPr/>
          </w:pPr>
          <w:hyperlink w:anchor="__RefHeading___Toc972396_237004111">
            <w:r>
              <w:rPr>
                <w:webHidden/>
                <w:rStyle w:val="IndexLink"/>
              </w:rPr>
              <w:t>31</w:t>
            </w:r>
            <w:r>
              <w:rPr>
                <w:rStyle w:val="IndexLink"/>
                <w:rtl w:val="true"/>
              </w:rPr>
              <w:t xml:space="preserve"> - </w:t>
            </w:r>
            <w:r>
              <w:rPr>
                <w:rStyle w:val="IndexLink"/>
                <w:rtl w:val="true"/>
              </w:rPr>
              <w:t xml:space="preserve">الزمخشریّ </w:t>
            </w:r>
            <w:r>
              <w:rPr>
                <w:rStyle w:val="IndexLink"/>
                <w:rtl w:val="true"/>
              </w:rPr>
              <w:t>(</w:t>
            </w:r>
            <w:r>
              <w:rPr>
                <w:rStyle w:val="IndexLink"/>
                <w:rtl w:val="true"/>
              </w:rPr>
              <w:t xml:space="preserve">ت </w:t>
            </w:r>
            <w:r>
              <w:rPr>
                <w:rStyle w:val="IndexLink"/>
              </w:rPr>
              <w:t>528</w:t>
            </w:r>
            <w:r>
              <w:rPr>
                <w:rStyle w:val="IndexLink"/>
                <w:rtl w:val="true"/>
              </w:rPr>
              <w:t xml:space="preserve"> </w:t>
            </w:r>
            <w:r>
              <w:rPr>
                <w:rStyle w:val="IndexLink"/>
                <w:rtl w:val="true"/>
              </w:rPr>
              <w:t xml:space="preserve">ه </w:t>
            </w:r>
            <w:r>
              <w:rPr>
                <w:rStyle w:val="IndexLink"/>
                <w:rtl w:val="true"/>
              </w:rPr>
              <w:t>)</w:t>
              <w:tab/>
            </w:r>
            <w:r>
              <w:rPr>
                <w:rStyle w:val="IndexLink"/>
              </w:rPr>
              <w:t>345</w:t>
            </w:r>
          </w:hyperlink>
        </w:p>
        <w:p>
          <w:pPr>
            <w:pStyle w:val="Contents3"/>
            <w:tabs>
              <w:tab w:val="clear" w:pos="8459"/>
              <w:tab w:val="right" w:pos="9026" w:leader="dot"/>
            </w:tabs>
            <w:rPr/>
          </w:pPr>
          <w:hyperlink w:anchor="__RefHeading___Toc972398_237004111">
            <w:r>
              <w:rPr>
                <w:webHidden/>
                <w:rStyle w:val="IndexLink"/>
              </w:rPr>
              <w:t>32</w:t>
            </w:r>
            <w:r>
              <w:rPr>
                <w:rStyle w:val="IndexLink"/>
                <w:rtl w:val="true"/>
              </w:rPr>
              <w:t xml:space="preserve"> - </w:t>
            </w:r>
            <w:r>
              <w:rPr>
                <w:rStyle w:val="IndexLink"/>
                <w:rtl w:val="true"/>
              </w:rPr>
              <w:t xml:space="preserve">ابن العربیّ </w:t>
            </w:r>
            <w:r>
              <w:rPr>
                <w:rStyle w:val="IndexLink"/>
                <w:rtl w:val="true"/>
              </w:rPr>
              <w:t>(</w:t>
            </w:r>
            <w:r>
              <w:rPr>
                <w:rStyle w:val="IndexLink"/>
                <w:rtl w:val="true"/>
              </w:rPr>
              <w:t xml:space="preserve">ت </w:t>
            </w:r>
            <w:r>
              <w:rPr>
                <w:rStyle w:val="IndexLink"/>
              </w:rPr>
              <w:t>541</w:t>
            </w:r>
            <w:r>
              <w:rPr>
                <w:rStyle w:val="IndexLink"/>
                <w:rtl w:val="true"/>
              </w:rPr>
              <w:t xml:space="preserve"> </w:t>
            </w:r>
            <w:r>
              <w:rPr>
                <w:rStyle w:val="IndexLink"/>
                <w:rtl w:val="true"/>
              </w:rPr>
              <w:t xml:space="preserve">ه </w:t>
            </w:r>
            <w:r>
              <w:rPr>
                <w:rStyle w:val="IndexLink"/>
                <w:rtl w:val="true"/>
              </w:rPr>
              <w:t>)</w:t>
              <w:tab/>
            </w:r>
            <w:r>
              <w:rPr>
                <w:rStyle w:val="IndexLink"/>
              </w:rPr>
              <w:t>346</w:t>
            </w:r>
          </w:hyperlink>
        </w:p>
        <w:p>
          <w:pPr>
            <w:pStyle w:val="Contents3"/>
            <w:tabs>
              <w:tab w:val="clear" w:pos="8459"/>
              <w:tab w:val="right" w:pos="9026" w:leader="dot"/>
            </w:tabs>
            <w:rPr/>
          </w:pPr>
          <w:hyperlink w:anchor="__RefHeading___Toc972400_237004111">
            <w:r>
              <w:rPr>
                <w:webHidden/>
                <w:rStyle w:val="IndexLink"/>
              </w:rPr>
              <w:t>33</w:t>
            </w:r>
            <w:r>
              <w:rPr>
                <w:rStyle w:val="IndexLink"/>
                <w:rtl w:val="true"/>
              </w:rPr>
              <w:t xml:space="preserve"> - </w:t>
            </w:r>
            <w:r>
              <w:rPr>
                <w:rStyle w:val="IndexLink"/>
                <w:rtl w:val="true"/>
              </w:rPr>
              <w:t xml:space="preserve">ابن عطیّة الأندلسیّ </w:t>
            </w:r>
            <w:r>
              <w:rPr>
                <w:rStyle w:val="IndexLink"/>
                <w:rtl w:val="true"/>
              </w:rPr>
              <w:t>(</w:t>
            </w:r>
            <w:r>
              <w:rPr>
                <w:rStyle w:val="IndexLink"/>
                <w:rtl w:val="true"/>
              </w:rPr>
              <w:t xml:space="preserve">ت </w:t>
            </w:r>
            <w:r>
              <w:rPr>
                <w:rStyle w:val="IndexLink"/>
              </w:rPr>
              <w:t>546</w:t>
            </w:r>
            <w:r>
              <w:rPr>
                <w:rStyle w:val="IndexLink"/>
                <w:rtl w:val="true"/>
              </w:rPr>
              <w:t xml:space="preserve"> </w:t>
            </w:r>
            <w:r>
              <w:rPr>
                <w:rStyle w:val="IndexLink"/>
                <w:rtl w:val="true"/>
              </w:rPr>
              <w:t xml:space="preserve">ه </w:t>
            </w:r>
            <w:r>
              <w:rPr>
                <w:rStyle w:val="IndexLink"/>
                <w:rtl w:val="true"/>
              </w:rPr>
              <w:t>)</w:t>
              <w:tab/>
            </w:r>
            <w:r>
              <w:rPr>
                <w:rStyle w:val="IndexLink"/>
              </w:rPr>
              <w:t>348</w:t>
            </w:r>
          </w:hyperlink>
        </w:p>
        <w:p>
          <w:pPr>
            <w:pStyle w:val="Contents3"/>
            <w:tabs>
              <w:tab w:val="clear" w:pos="8459"/>
              <w:tab w:val="right" w:pos="9026" w:leader="dot"/>
            </w:tabs>
            <w:rPr/>
          </w:pPr>
          <w:hyperlink w:anchor="__RefHeading___Toc972402_237004111">
            <w:r>
              <w:rPr>
                <w:webHidden/>
                <w:rStyle w:val="IndexLink"/>
              </w:rPr>
              <w:t>34</w:t>
            </w:r>
            <w:r>
              <w:rPr>
                <w:rStyle w:val="IndexLink"/>
                <w:rtl w:val="true"/>
              </w:rPr>
              <w:t xml:space="preserve"> - </w:t>
            </w:r>
            <w:r>
              <w:rPr>
                <w:rStyle w:val="IndexLink"/>
                <w:rtl w:val="true"/>
              </w:rPr>
              <w:t xml:space="preserve">الشیخ الطبرسیّ </w:t>
            </w:r>
            <w:r>
              <w:rPr>
                <w:rStyle w:val="IndexLink"/>
                <w:rtl w:val="true"/>
              </w:rPr>
              <w:t>(</w:t>
            </w:r>
            <w:r>
              <w:rPr>
                <w:rStyle w:val="IndexLink"/>
                <w:rtl w:val="true"/>
              </w:rPr>
              <w:t xml:space="preserve">ت </w:t>
            </w:r>
            <w:r>
              <w:rPr>
                <w:rStyle w:val="IndexLink"/>
              </w:rPr>
              <w:t>548</w:t>
            </w:r>
            <w:r>
              <w:rPr>
                <w:rStyle w:val="IndexLink"/>
                <w:rtl w:val="true"/>
              </w:rPr>
              <w:t xml:space="preserve"> </w:t>
            </w:r>
            <w:r>
              <w:rPr>
                <w:rStyle w:val="IndexLink"/>
                <w:rtl w:val="true"/>
              </w:rPr>
              <w:t xml:space="preserve">ه </w:t>
            </w:r>
            <w:r>
              <w:rPr>
                <w:rStyle w:val="IndexLink"/>
                <w:rtl w:val="true"/>
              </w:rPr>
              <w:t>)</w:t>
              <w:tab/>
            </w:r>
            <w:r>
              <w:rPr>
                <w:rStyle w:val="IndexLink"/>
              </w:rPr>
              <w:t>349</w:t>
            </w:r>
          </w:hyperlink>
        </w:p>
        <w:p>
          <w:pPr>
            <w:pStyle w:val="Contents3"/>
            <w:tabs>
              <w:tab w:val="clear" w:pos="8459"/>
              <w:tab w:val="right" w:pos="9026" w:leader="dot"/>
            </w:tabs>
            <w:rPr/>
          </w:pPr>
          <w:hyperlink w:anchor="__RefHeading___Toc972404_237004111">
            <w:r>
              <w:rPr>
                <w:webHidden/>
                <w:rStyle w:val="IndexLink"/>
              </w:rPr>
              <w:t>35</w:t>
            </w:r>
            <w:r>
              <w:rPr>
                <w:rStyle w:val="IndexLink"/>
                <w:rtl w:val="true"/>
              </w:rPr>
              <w:t xml:space="preserve"> - </w:t>
            </w:r>
            <w:r>
              <w:rPr>
                <w:rStyle w:val="IndexLink"/>
                <w:rtl w:val="true"/>
              </w:rPr>
              <w:t xml:space="preserve">بیان الحق النیسابوری </w:t>
            </w:r>
            <w:r>
              <w:rPr>
                <w:rStyle w:val="IndexLink"/>
                <w:rtl w:val="true"/>
              </w:rPr>
              <w:t>(</w:t>
            </w:r>
            <w:r>
              <w:rPr>
                <w:rStyle w:val="IndexLink"/>
                <w:rtl w:val="true"/>
              </w:rPr>
              <w:t xml:space="preserve">ت </w:t>
            </w:r>
            <w:r>
              <w:rPr>
                <w:rStyle w:val="IndexLink"/>
              </w:rPr>
              <w:t>555</w:t>
            </w:r>
            <w:r>
              <w:rPr>
                <w:rStyle w:val="IndexLink"/>
                <w:rtl w:val="true"/>
              </w:rPr>
              <w:t xml:space="preserve"> </w:t>
            </w:r>
            <w:r>
              <w:rPr>
                <w:rStyle w:val="IndexLink"/>
                <w:rtl w:val="true"/>
              </w:rPr>
              <w:t xml:space="preserve">ه </w:t>
            </w:r>
            <w:r>
              <w:rPr>
                <w:rStyle w:val="IndexLink"/>
                <w:rtl w:val="true"/>
              </w:rPr>
              <w:t>)</w:t>
              <w:tab/>
            </w:r>
            <w:r>
              <w:rPr>
                <w:rStyle w:val="IndexLink"/>
              </w:rPr>
              <w:t>351</w:t>
            </w:r>
          </w:hyperlink>
        </w:p>
        <w:p>
          <w:pPr>
            <w:pStyle w:val="Contents3"/>
            <w:tabs>
              <w:tab w:val="clear" w:pos="8459"/>
              <w:tab w:val="right" w:pos="9026" w:leader="dot"/>
            </w:tabs>
            <w:rPr/>
          </w:pPr>
          <w:hyperlink w:anchor="__RefHeading___Toc972406_237004111">
            <w:r>
              <w:rPr>
                <w:webHidden/>
                <w:rStyle w:val="IndexLink"/>
              </w:rPr>
              <w:t>36</w:t>
            </w:r>
            <w:r>
              <w:rPr>
                <w:rStyle w:val="IndexLink"/>
                <w:rtl w:val="true"/>
              </w:rPr>
              <w:t xml:space="preserve"> - </w:t>
            </w:r>
            <w:r>
              <w:rPr>
                <w:rStyle w:val="IndexLink"/>
                <w:rtl w:val="true"/>
              </w:rPr>
              <w:t xml:space="preserve">الفسوی المعروف بأبن أبی مریم </w:t>
            </w:r>
            <w:r>
              <w:rPr>
                <w:rStyle w:val="IndexLink"/>
                <w:rtl w:val="true"/>
              </w:rPr>
              <w:t>(</w:t>
            </w:r>
            <w:r>
              <w:rPr>
                <w:rStyle w:val="IndexLink"/>
                <w:rtl w:val="true"/>
              </w:rPr>
              <w:t xml:space="preserve">ت </w:t>
            </w:r>
            <w:r>
              <w:rPr>
                <w:rStyle w:val="IndexLink"/>
              </w:rPr>
              <w:t>565</w:t>
            </w:r>
            <w:r>
              <w:rPr>
                <w:rStyle w:val="IndexLink"/>
                <w:rtl w:val="true"/>
              </w:rPr>
              <w:t xml:space="preserve"> </w:t>
            </w:r>
            <w:r>
              <w:rPr>
                <w:rStyle w:val="IndexLink"/>
                <w:rtl w:val="true"/>
              </w:rPr>
              <w:t xml:space="preserve">ه </w:t>
            </w:r>
            <w:r>
              <w:rPr>
                <w:rStyle w:val="IndexLink"/>
                <w:rtl w:val="true"/>
              </w:rPr>
              <w:t>)</w:t>
              <w:tab/>
            </w:r>
            <w:r>
              <w:rPr>
                <w:rStyle w:val="IndexLink"/>
              </w:rPr>
              <w:t>352</w:t>
            </w:r>
          </w:hyperlink>
        </w:p>
        <w:p>
          <w:pPr>
            <w:pStyle w:val="Contents3"/>
            <w:tabs>
              <w:tab w:val="clear" w:pos="8459"/>
              <w:tab w:val="right" w:pos="9026" w:leader="dot"/>
            </w:tabs>
            <w:rPr/>
          </w:pPr>
          <w:hyperlink w:anchor="__RefHeading___Toc972408_237004111">
            <w:r>
              <w:rPr>
                <w:webHidden/>
                <w:rStyle w:val="IndexLink"/>
              </w:rPr>
              <w:t>37</w:t>
            </w:r>
            <w:r>
              <w:rPr>
                <w:rStyle w:val="IndexLink"/>
                <w:rtl w:val="true"/>
              </w:rPr>
              <w:t xml:space="preserve"> - </w:t>
            </w:r>
            <w:r>
              <w:rPr>
                <w:rStyle w:val="IndexLink"/>
                <w:rtl w:val="true"/>
              </w:rPr>
              <w:t xml:space="preserve">أبو الحسن الماوردی البصری صاحب التفسیر </w:t>
            </w:r>
            <w:r>
              <w:rPr>
                <w:rStyle w:val="IndexLink"/>
                <w:rtl w:val="true"/>
              </w:rPr>
              <w:t>(</w:t>
            </w:r>
            <w:r>
              <w:rPr>
                <w:rStyle w:val="IndexLink"/>
                <w:rtl w:val="true"/>
              </w:rPr>
              <w:t xml:space="preserve">ت </w:t>
            </w:r>
            <w:r>
              <w:rPr>
                <w:rStyle w:val="IndexLink"/>
              </w:rPr>
              <w:t>450</w:t>
            </w:r>
            <w:r>
              <w:rPr>
                <w:rStyle w:val="IndexLink"/>
                <w:rtl w:val="true"/>
              </w:rPr>
              <w:t xml:space="preserve"> </w:t>
            </w:r>
            <w:r>
              <w:rPr>
                <w:rStyle w:val="IndexLink"/>
                <w:rtl w:val="true"/>
              </w:rPr>
              <w:t xml:space="preserve">ه </w:t>
            </w:r>
            <w:r>
              <w:rPr>
                <w:rStyle w:val="IndexLink"/>
                <w:rtl w:val="true"/>
              </w:rPr>
              <w:t>)</w:t>
              <w:tab/>
            </w:r>
            <w:r>
              <w:rPr>
                <w:rStyle w:val="IndexLink"/>
              </w:rPr>
              <w:t>352</w:t>
            </w:r>
          </w:hyperlink>
        </w:p>
        <w:p>
          <w:pPr>
            <w:pStyle w:val="Contents3"/>
            <w:tabs>
              <w:tab w:val="clear" w:pos="8459"/>
              <w:tab w:val="right" w:pos="9026" w:leader="dot"/>
            </w:tabs>
            <w:rPr/>
          </w:pPr>
          <w:hyperlink w:anchor="__RefHeading___Toc972410_237004111">
            <w:r>
              <w:rPr>
                <w:webHidden/>
                <w:rStyle w:val="IndexLink"/>
              </w:rPr>
              <w:t>38</w:t>
            </w:r>
            <w:r>
              <w:rPr>
                <w:rStyle w:val="IndexLink"/>
                <w:rtl w:val="true"/>
              </w:rPr>
              <w:t xml:space="preserve"> - </w:t>
            </w:r>
            <w:r>
              <w:rPr>
                <w:rStyle w:val="IndexLink"/>
                <w:rtl w:val="true"/>
              </w:rPr>
              <w:t xml:space="preserve">القطب الراوندیّ </w:t>
            </w:r>
            <w:r>
              <w:rPr>
                <w:rStyle w:val="IndexLink"/>
                <w:rtl w:val="true"/>
              </w:rPr>
              <w:t>(</w:t>
            </w:r>
            <w:r>
              <w:rPr>
                <w:rStyle w:val="IndexLink"/>
                <w:rtl w:val="true"/>
              </w:rPr>
              <w:t xml:space="preserve">ت </w:t>
            </w:r>
            <w:r>
              <w:rPr>
                <w:rStyle w:val="IndexLink"/>
              </w:rPr>
              <w:t>573</w:t>
            </w:r>
            <w:r>
              <w:rPr>
                <w:rStyle w:val="IndexLink"/>
                <w:rtl w:val="true"/>
              </w:rPr>
              <w:t xml:space="preserve"> </w:t>
            </w:r>
            <w:r>
              <w:rPr>
                <w:rStyle w:val="IndexLink"/>
                <w:rtl w:val="true"/>
              </w:rPr>
              <w:t xml:space="preserve">ه </w:t>
            </w:r>
            <w:r>
              <w:rPr>
                <w:rStyle w:val="IndexLink"/>
                <w:rtl w:val="true"/>
              </w:rPr>
              <w:t>)</w:t>
              <w:tab/>
            </w:r>
            <w:r>
              <w:rPr>
                <w:rStyle w:val="IndexLink"/>
              </w:rPr>
              <w:t>355</w:t>
            </w:r>
          </w:hyperlink>
        </w:p>
        <w:p>
          <w:pPr>
            <w:pStyle w:val="Contents3"/>
            <w:tabs>
              <w:tab w:val="clear" w:pos="8459"/>
              <w:tab w:val="right" w:pos="9026" w:leader="dot"/>
            </w:tabs>
            <w:rPr/>
          </w:pPr>
          <w:hyperlink w:anchor="__RefHeading___Toc972412_237004111">
            <w:r>
              <w:rPr>
                <w:webHidden/>
                <w:rStyle w:val="IndexLink"/>
              </w:rPr>
              <w:t>39</w:t>
            </w:r>
            <w:r>
              <w:rPr>
                <w:rStyle w:val="IndexLink"/>
                <w:rtl w:val="true"/>
              </w:rPr>
              <w:t xml:space="preserve"> - </w:t>
            </w:r>
            <w:r>
              <w:rPr>
                <w:rStyle w:val="IndexLink"/>
                <w:rtl w:val="true"/>
              </w:rPr>
              <w:t xml:space="preserve">ابن زهرة الحلبیّ </w:t>
            </w:r>
            <w:r>
              <w:rPr>
                <w:rStyle w:val="IndexLink"/>
                <w:rtl w:val="true"/>
              </w:rPr>
              <w:t>(</w:t>
            </w:r>
            <w:r>
              <w:rPr>
                <w:rStyle w:val="IndexLink"/>
                <w:rtl w:val="true"/>
              </w:rPr>
              <w:t xml:space="preserve">ت </w:t>
            </w:r>
            <w:r>
              <w:rPr>
                <w:rStyle w:val="IndexLink"/>
              </w:rPr>
              <w:t>585</w:t>
            </w:r>
            <w:r>
              <w:rPr>
                <w:rStyle w:val="IndexLink"/>
                <w:rtl w:val="true"/>
              </w:rPr>
              <w:t xml:space="preserve"> </w:t>
            </w:r>
            <w:r>
              <w:rPr>
                <w:rStyle w:val="IndexLink"/>
                <w:rtl w:val="true"/>
              </w:rPr>
              <w:t xml:space="preserve">ه </w:t>
            </w:r>
            <w:r>
              <w:rPr>
                <w:rStyle w:val="IndexLink"/>
                <w:rtl w:val="true"/>
              </w:rPr>
              <w:t>)</w:t>
              <w:tab/>
            </w:r>
            <w:r>
              <w:rPr>
                <w:rStyle w:val="IndexLink"/>
              </w:rPr>
              <w:t>359</w:t>
            </w:r>
          </w:hyperlink>
        </w:p>
        <w:p>
          <w:pPr>
            <w:pStyle w:val="Contents3"/>
            <w:tabs>
              <w:tab w:val="clear" w:pos="8459"/>
              <w:tab w:val="right" w:pos="9026" w:leader="dot"/>
            </w:tabs>
            <w:rPr/>
          </w:pPr>
          <w:hyperlink w:anchor="__RefHeading___Toc972414_237004111">
            <w:r>
              <w:rPr>
                <w:webHidden/>
                <w:rStyle w:val="IndexLink"/>
              </w:rPr>
              <w:t>40</w:t>
            </w:r>
            <w:r>
              <w:rPr>
                <w:rStyle w:val="IndexLink"/>
                <w:rtl w:val="true"/>
              </w:rPr>
              <w:t xml:space="preserve"> - </w:t>
            </w:r>
            <w:r>
              <w:rPr>
                <w:rStyle w:val="IndexLink"/>
                <w:rtl w:val="true"/>
              </w:rPr>
              <w:t xml:space="preserve">ابن الجوزی صاحب زاد المسیر </w:t>
            </w:r>
            <w:r>
              <w:rPr>
                <w:rStyle w:val="IndexLink"/>
                <w:rtl w:val="true"/>
              </w:rPr>
              <w:t>(</w:t>
            </w:r>
            <w:r>
              <w:rPr>
                <w:rStyle w:val="IndexLink"/>
                <w:rtl w:val="true"/>
              </w:rPr>
              <w:t xml:space="preserve">ت </w:t>
            </w:r>
            <w:r>
              <w:rPr>
                <w:rStyle w:val="IndexLink"/>
              </w:rPr>
              <w:t>597</w:t>
            </w:r>
            <w:r>
              <w:rPr>
                <w:rStyle w:val="IndexLink"/>
                <w:rtl w:val="true"/>
              </w:rPr>
              <w:t xml:space="preserve"> </w:t>
            </w:r>
            <w:r>
              <w:rPr>
                <w:rStyle w:val="IndexLink"/>
                <w:rtl w:val="true"/>
              </w:rPr>
              <w:t xml:space="preserve">ه </w:t>
            </w:r>
            <w:r>
              <w:rPr>
                <w:rStyle w:val="IndexLink"/>
                <w:rtl w:val="true"/>
              </w:rPr>
              <w:t>)</w:t>
              <w:tab/>
            </w:r>
            <w:r>
              <w:rPr>
                <w:rStyle w:val="IndexLink"/>
              </w:rPr>
              <w:t>360</w:t>
            </w:r>
          </w:hyperlink>
        </w:p>
        <w:p>
          <w:pPr>
            <w:pStyle w:val="Contents3"/>
            <w:tabs>
              <w:tab w:val="clear" w:pos="8459"/>
              <w:tab w:val="right" w:pos="9026" w:leader="dot"/>
            </w:tabs>
            <w:rPr/>
          </w:pPr>
          <w:hyperlink w:anchor="__RefHeading___Toc972416_237004111">
            <w:r>
              <w:rPr>
                <w:webHidden/>
                <w:rStyle w:val="IndexLink"/>
              </w:rPr>
              <w:t>41</w:t>
            </w:r>
            <w:r>
              <w:rPr>
                <w:rStyle w:val="IndexLink"/>
                <w:rtl w:val="true"/>
              </w:rPr>
              <w:t xml:space="preserve"> - </w:t>
            </w:r>
            <w:r>
              <w:rPr>
                <w:rStyle w:val="IndexLink"/>
                <w:rtl w:val="true"/>
              </w:rPr>
              <w:t xml:space="preserve">الفخر الرازیّ </w:t>
            </w:r>
            <w:r>
              <w:rPr>
                <w:rStyle w:val="IndexLink"/>
                <w:rtl w:val="true"/>
              </w:rPr>
              <w:t>(</w:t>
            </w:r>
            <w:r>
              <w:rPr>
                <w:rStyle w:val="IndexLink"/>
                <w:rtl w:val="true"/>
              </w:rPr>
              <w:t xml:space="preserve">ت </w:t>
            </w:r>
            <w:r>
              <w:rPr>
                <w:rStyle w:val="IndexLink"/>
              </w:rPr>
              <w:t>606</w:t>
            </w:r>
            <w:r>
              <w:rPr>
                <w:rStyle w:val="IndexLink"/>
                <w:rtl w:val="true"/>
              </w:rPr>
              <w:t xml:space="preserve"> </w:t>
            </w:r>
            <w:r>
              <w:rPr>
                <w:rStyle w:val="IndexLink"/>
                <w:rtl w:val="true"/>
              </w:rPr>
              <w:t xml:space="preserve">ه </w:t>
            </w:r>
            <w:r>
              <w:rPr>
                <w:rStyle w:val="IndexLink"/>
                <w:rtl w:val="true"/>
              </w:rPr>
              <w:t>)</w:t>
              <w:tab/>
            </w:r>
            <w:r>
              <w:rPr>
                <w:rStyle w:val="IndexLink"/>
              </w:rPr>
              <w:t>360</w:t>
            </w:r>
          </w:hyperlink>
        </w:p>
        <w:p>
          <w:pPr>
            <w:pStyle w:val="Contents3"/>
            <w:tabs>
              <w:tab w:val="clear" w:pos="8459"/>
              <w:tab w:val="right" w:pos="9026" w:leader="dot"/>
            </w:tabs>
            <w:rPr/>
          </w:pPr>
          <w:hyperlink w:anchor="__RefHeading___Toc972418_237004111">
            <w:r>
              <w:rPr>
                <w:webHidden/>
                <w:rStyle w:val="IndexLink"/>
              </w:rPr>
              <w:t>42</w:t>
            </w:r>
            <w:r>
              <w:rPr>
                <w:rStyle w:val="IndexLink"/>
                <w:rtl w:val="true"/>
              </w:rPr>
              <w:t xml:space="preserve"> - </w:t>
            </w:r>
            <w:r>
              <w:rPr>
                <w:rStyle w:val="IndexLink"/>
                <w:rtl w:val="true"/>
              </w:rPr>
              <w:t xml:space="preserve">أبو البقاء البغدادیّ </w:t>
            </w:r>
            <w:r>
              <w:rPr>
                <w:rStyle w:val="IndexLink"/>
                <w:rtl w:val="true"/>
              </w:rPr>
              <w:t>(</w:t>
            </w:r>
            <w:r>
              <w:rPr>
                <w:rStyle w:val="IndexLink"/>
                <w:rtl w:val="true"/>
              </w:rPr>
              <w:t xml:space="preserve">ت </w:t>
            </w:r>
            <w:r>
              <w:rPr>
                <w:rStyle w:val="IndexLink"/>
              </w:rPr>
              <w:t>616</w:t>
            </w:r>
            <w:r>
              <w:rPr>
                <w:rStyle w:val="IndexLink"/>
                <w:rtl w:val="true"/>
              </w:rPr>
              <w:t xml:space="preserve"> </w:t>
            </w:r>
            <w:r>
              <w:rPr>
                <w:rStyle w:val="IndexLink"/>
                <w:rtl w:val="true"/>
              </w:rPr>
              <w:t xml:space="preserve">ه </w:t>
            </w:r>
            <w:r>
              <w:rPr>
                <w:rStyle w:val="IndexLink"/>
                <w:rtl w:val="true"/>
              </w:rPr>
              <w:t>)</w:t>
              <w:tab/>
            </w:r>
            <w:r>
              <w:rPr>
                <w:rStyle w:val="IndexLink"/>
              </w:rPr>
              <w:t>361</w:t>
            </w:r>
          </w:hyperlink>
        </w:p>
        <w:p>
          <w:pPr>
            <w:pStyle w:val="Contents3"/>
            <w:tabs>
              <w:tab w:val="clear" w:pos="8459"/>
              <w:tab w:val="right" w:pos="9026" w:leader="dot"/>
            </w:tabs>
            <w:rPr/>
          </w:pPr>
          <w:hyperlink w:anchor="__RefHeading___Toc972420_237004111">
            <w:r>
              <w:rPr>
                <w:webHidden/>
                <w:rStyle w:val="IndexLink"/>
              </w:rPr>
              <w:t>43</w:t>
            </w:r>
            <w:r>
              <w:rPr>
                <w:rStyle w:val="IndexLink"/>
                <w:rtl w:val="true"/>
              </w:rPr>
              <w:t xml:space="preserve"> - </w:t>
            </w:r>
            <w:r>
              <w:rPr>
                <w:rStyle w:val="IndexLink"/>
                <w:rtl w:val="true"/>
              </w:rPr>
              <w:t xml:space="preserve">السمعانیّ </w:t>
            </w:r>
            <w:r>
              <w:rPr>
                <w:rStyle w:val="IndexLink"/>
                <w:rtl w:val="true"/>
              </w:rPr>
              <w:t>(</w:t>
            </w:r>
            <w:r>
              <w:rPr>
                <w:rStyle w:val="IndexLink"/>
                <w:rtl w:val="true"/>
              </w:rPr>
              <w:t xml:space="preserve">ت </w:t>
            </w:r>
            <w:r>
              <w:rPr>
                <w:rStyle w:val="IndexLink"/>
              </w:rPr>
              <w:t>617</w:t>
            </w:r>
            <w:r>
              <w:rPr>
                <w:rStyle w:val="IndexLink"/>
                <w:rtl w:val="true"/>
              </w:rPr>
              <w:t xml:space="preserve"> </w:t>
            </w:r>
            <w:r>
              <w:rPr>
                <w:rStyle w:val="IndexLink"/>
                <w:rtl w:val="true"/>
              </w:rPr>
              <w:t xml:space="preserve">ه </w:t>
            </w:r>
            <w:r>
              <w:rPr>
                <w:rStyle w:val="IndexLink"/>
                <w:rtl w:val="true"/>
              </w:rPr>
              <w:t>)</w:t>
              <w:tab/>
            </w:r>
            <w:r>
              <w:rPr>
                <w:rStyle w:val="IndexLink"/>
              </w:rPr>
              <w:t>362</w:t>
            </w:r>
          </w:hyperlink>
        </w:p>
        <w:p>
          <w:pPr>
            <w:pStyle w:val="Contents3"/>
            <w:tabs>
              <w:tab w:val="clear" w:pos="8459"/>
              <w:tab w:val="right" w:pos="9026" w:leader="dot"/>
            </w:tabs>
            <w:rPr/>
          </w:pPr>
          <w:hyperlink w:anchor="__RefHeading___Toc972422_237004111">
            <w:r>
              <w:rPr>
                <w:webHidden/>
                <w:rStyle w:val="IndexLink"/>
              </w:rPr>
              <w:t>44</w:t>
            </w:r>
            <w:r>
              <w:rPr>
                <w:rStyle w:val="IndexLink"/>
                <w:rtl w:val="true"/>
              </w:rPr>
              <w:t xml:space="preserve"> - </w:t>
            </w:r>
            <w:r>
              <w:rPr>
                <w:rStyle w:val="IndexLink"/>
                <w:rtl w:val="true"/>
              </w:rPr>
              <w:t xml:space="preserve">أبو شامة </w:t>
            </w:r>
            <w:r>
              <w:rPr>
                <w:rStyle w:val="IndexLink"/>
                <w:rtl w:val="true"/>
              </w:rPr>
              <w:t>(</w:t>
            </w:r>
            <w:r>
              <w:rPr>
                <w:rStyle w:val="IndexLink"/>
                <w:rtl w:val="true"/>
              </w:rPr>
              <w:t xml:space="preserve">ت </w:t>
            </w:r>
            <w:r>
              <w:rPr>
                <w:rStyle w:val="IndexLink"/>
              </w:rPr>
              <w:t>665</w:t>
            </w:r>
            <w:r>
              <w:rPr>
                <w:rStyle w:val="IndexLink"/>
                <w:rtl w:val="true"/>
              </w:rPr>
              <w:t xml:space="preserve"> </w:t>
            </w:r>
            <w:r>
              <w:rPr>
                <w:rStyle w:val="IndexLink"/>
                <w:rtl w:val="true"/>
              </w:rPr>
              <w:t xml:space="preserve">ه </w:t>
            </w:r>
            <w:r>
              <w:rPr>
                <w:rStyle w:val="IndexLink"/>
                <w:rtl w:val="true"/>
              </w:rPr>
              <w:t>)</w:t>
              <w:tab/>
            </w:r>
            <w:r>
              <w:rPr>
                <w:rStyle w:val="IndexLink"/>
              </w:rPr>
              <w:t>363</w:t>
            </w:r>
          </w:hyperlink>
        </w:p>
        <w:p>
          <w:pPr>
            <w:pStyle w:val="Contents3"/>
            <w:tabs>
              <w:tab w:val="clear" w:pos="8459"/>
              <w:tab w:val="right" w:pos="9026" w:leader="dot"/>
            </w:tabs>
            <w:rPr/>
          </w:pPr>
          <w:hyperlink w:anchor="__RefHeading___Toc972424_237004111">
            <w:r>
              <w:rPr>
                <w:webHidden/>
                <w:rStyle w:val="IndexLink"/>
              </w:rPr>
              <w:t>45</w:t>
            </w:r>
            <w:r>
              <w:rPr>
                <w:rStyle w:val="IndexLink"/>
                <w:rtl w:val="true"/>
              </w:rPr>
              <w:t xml:space="preserve"> - </w:t>
            </w:r>
            <w:r>
              <w:rPr>
                <w:rStyle w:val="IndexLink"/>
                <w:rtl w:val="true"/>
              </w:rPr>
              <w:t xml:space="preserve">ابن عصفور الإشبیلّی </w:t>
            </w:r>
            <w:r>
              <w:rPr>
                <w:rStyle w:val="IndexLink"/>
                <w:rtl w:val="true"/>
              </w:rPr>
              <w:t>(</w:t>
            </w:r>
            <w:r>
              <w:rPr>
                <w:rStyle w:val="IndexLink"/>
                <w:rtl w:val="true"/>
              </w:rPr>
              <w:t xml:space="preserve">ت </w:t>
            </w:r>
            <w:r>
              <w:rPr>
                <w:rStyle w:val="IndexLink"/>
              </w:rPr>
              <w:t>669</w:t>
            </w:r>
            <w:r>
              <w:rPr>
                <w:rStyle w:val="IndexLink"/>
                <w:rtl w:val="true"/>
              </w:rPr>
              <w:t xml:space="preserve"> </w:t>
            </w:r>
            <w:r>
              <w:rPr>
                <w:rStyle w:val="IndexLink"/>
                <w:rtl w:val="true"/>
              </w:rPr>
              <w:t xml:space="preserve">ه </w:t>
            </w:r>
            <w:r>
              <w:rPr>
                <w:rStyle w:val="IndexLink"/>
                <w:rtl w:val="true"/>
              </w:rPr>
              <w:t>)</w:t>
              <w:tab/>
            </w:r>
            <w:r>
              <w:rPr>
                <w:rStyle w:val="IndexLink"/>
              </w:rPr>
              <w:t>364</w:t>
            </w:r>
          </w:hyperlink>
        </w:p>
        <w:p>
          <w:pPr>
            <w:pStyle w:val="Contents3"/>
            <w:tabs>
              <w:tab w:val="clear" w:pos="8459"/>
              <w:tab w:val="right" w:pos="9026" w:leader="dot"/>
            </w:tabs>
            <w:rPr/>
          </w:pPr>
          <w:hyperlink w:anchor="__RefHeading___Toc972426_237004111">
            <w:r>
              <w:rPr>
                <w:webHidden/>
                <w:rStyle w:val="IndexLink"/>
              </w:rPr>
              <w:t>46</w:t>
            </w:r>
            <w:r>
              <w:rPr>
                <w:rStyle w:val="IndexLink"/>
                <w:rtl w:val="true"/>
              </w:rPr>
              <w:t xml:space="preserve"> - </w:t>
            </w:r>
            <w:r>
              <w:rPr>
                <w:rStyle w:val="IndexLink"/>
                <w:rtl w:val="true"/>
              </w:rPr>
              <w:t xml:space="preserve">القرطبیّ </w:t>
            </w:r>
            <w:r>
              <w:rPr>
                <w:rStyle w:val="IndexLink"/>
                <w:rtl w:val="true"/>
              </w:rPr>
              <w:t>(</w:t>
            </w:r>
            <w:r>
              <w:rPr>
                <w:rStyle w:val="IndexLink"/>
                <w:rtl w:val="true"/>
              </w:rPr>
              <w:t xml:space="preserve">ت </w:t>
            </w:r>
            <w:r>
              <w:rPr>
                <w:rStyle w:val="IndexLink"/>
              </w:rPr>
              <w:t>671</w:t>
            </w:r>
            <w:r>
              <w:rPr>
                <w:rStyle w:val="IndexLink"/>
                <w:rtl w:val="true"/>
              </w:rPr>
              <w:t xml:space="preserve"> </w:t>
            </w:r>
            <w:r>
              <w:rPr>
                <w:rStyle w:val="IndexLink"/>
                <w:rtl w:val="true"/>
              </w:rPr>
              <w:t xml:space="preserve">ه </w:t>
            </w:r>
            <w:r>
              <w:rPr>
                <w:rStyle w:val="IndexLink"/>
                <w:rtl w:val="true"/>
              </w:rPr>
              <w:t>)</w:t>
              <w:tab/>
            </w:r>
            <w:r>
              <w:rPr>
                <w:rStyle w:val="IndexLink"/>
              </w:rPr>
              <w:t>365</w:t>
            </w:r>
          </w:hyperlink>
        </w:p>
        <w:p>
          <w:pPr>
            <w:pStyle w:val="Contents3"/>
            <w:tabs>
              <w:tab w:val="clear" w:pos="8459"/>
              <w:tab w:val="right" w:pos="9026" w:leader="dot"/>
            </w:tabs>
            <w:rPr/>
          </w:pPr>
          <w:hyperlink w:anchor="__RefHeading___Toc972428_237004111">
            <w:r>
              <w:rPr>
                <w:webHidden/>
                <w:rStyle w:val="IndexLink"/>
              </w:rPr>
              <w:t>47</w:t>
            </w:r>
            <w:r>
              <w:rPr>
                <w:rStyle w:val="IndexLink"/>
                <w:rtl w:val="true"/>
              </w:rPr>
              <w:t xml:space="preserve"> - </w:t>
            </w:r>
            <w:r>
              <w:rPr>
                <w:rStyle w:val="IndexLink"/>
                <w:rtl w:val="true"/>
              </w:rPr>
              <w:t xml:space="preserve">المحقّق الحلّیّ </w:t>
            </w:r>
            <w:r>
              <w:rPr>
                <w:rStyle w:val="IndexLink"/>
                <w:rtl w:val="true"/>
              </w:rPr>
              <w:t>(</w:t>
            </w:r>
            <w:r>
              <w:rPr>
                <w:rStyle w:val="IndexLink"/>
                <w:rtl w:val="true"/>
              </w:rPr>
              <w:t xml:space="preserve">ت </w:t>
            </w:r>
            <w:r>
              <w:rPr>
                <w:rStyle w:val="IndexLink"/>
              </w:rPr>
              <w:t>676</w:t>
            </w:r>
            <w:r>
              <w:rPr>
                <w:rStyle w:val="IndexLink"/>
                <w:rtl w:val="true"/>
              </w:rPr>
              <w:t xml:space="preserve"> </w:t>
            </w:r>
            <w:r>
              <w:rPr>
                <w:rStyle w:val="IndexLink"/>
                <w:rtl w:val="true"/>
              </w:rPr>
              <w:t xml:space="preserve">ه </w:t>
            </w:r>
            <w:r>
              <w:rPr>
                <w:rStyle w:val="IndexLink"/>
                <w:rtl w:val="true"/>
              </w:rPr>
              <w:t>)</w:t>
              <w:tab/>
            </w:r>
            <w:r>
              <w:rPr>
                <w:rStyle w:val="IndexLink"/>
              </w:rPr>
              <w:t>366</w:t>
            </w:r>
          </w:hyperlink>
        </w:p>
        <w:p>
          <w:pPr>
            <w:pStyle w:val="Contents3"/>
            <w:tabs>
              <w:tab w:val="clear" w:pos="8459"/>
              <w:tab w:val="right" w:pos="9026" w:leader="dot"/>
            </w:tabs>
            <w:rPr/>
          </w:pPr>
          <w:hyperlink w:anchor="__RefHeading___Toc972430_237004111">
            <w:r>
              <w:rPr>
                <w:webHidden/>
                <w:rStyle w:val="IndexLink"/>
              </w:rPr>
              <w:t>48</w:t>
            </w:r>
            <w:r>
              <w:rPr>
                <w:rStyle w:val="IndexLink"/>
                <w:rtl w:val="true"/>
              </w:rPr>
              <w:t xml:space="preserve"> - </w:t>
            </w:r>
            <w:r>
              <w:rPr>
                <w:rStyle w:val="IndexLink"/>
                <w:rtl w:val="true"/>
              </w:rPr>
              <w:t xml:space="preserve">البیضاویّ </w:t>
            </w:r>
            <w:r>
              <w:rPr>
                <w:rStyle w:val="IndexLink"/>
                <w:rtl w:val="true"/>
              </w:rPr>
              <w:t>(</w:t>
            </w:r>
            <w:r>
              <w:rPr>
                <w:rStyle w:val="IndexLink"/>
                <w:rtl w:val="true"/>
              </w:rPr>
              <w:t xml:space="preserve">ت </w:t>
            </w:r>
            <w:r>
              <w:rPr>
                <w:rStyle w:val="IndexLink"/>
              </w:rPr>
              <w:t>682</w:t>
            </w:r>
            <w:r>
              <w:rPr>
                <w:rStyle w:val="IndexLink"/>
                <w:rtl w:val="true"/>
              </w:rPr>
              <w:t xml:space="preserve"> </w:t>
            </w:r>
            <w:r>
              <w:rPr>
                <w:rStyle w:val="IndexLink"/>
                <w:rtl w:val="true"/>
              </w:rPr>
              <w:t xml:space="preserve">ه </w:t>
            </w:r>
            <w:r>
              <w:rPr>
                <w:rStyle w:val="IndexLink"/>
                <w:rtl w:val="true"/>
              </w:rPr>
              <w:t>)</w:t>
              <w:tab/>
            </w:r>
            <w:r>
              <w:rPr>
                <w:rStyle w:val="IndexLink"/>
              </w:rPr>
              <w:t>369</w:t>
            </w:r>
          </w:hyperlink>
        </w:p>
        <w:p>
          <w:pPr>
            <w:pStyle w:val="Contents3"/>
            <w:tabs>
              <w:tab w:val="clear" w:pos="8459"/>
              <w:tab w:val="right" w:pos="9026" w:leader="dot"/>
            </w:tabs>
            <w:rPr/>
          </w:pPr>
          <w:hyperlink w:anchor="__RefHeading___Toc972432_237004111">
            <w:r>
              <w:rPr>
                <w:webHidden/>
                <w:rStyle w:val="IndexLink"/>
              </w:rPr>
              <w:t>49</w:t>
            </w:r>
            <w:r>
              <w:rPr>
                <w:rStyle w:val="IndexLink"/>
                <w:rtl w:val="true"/>
              </w:rPr>
              <w:t xml:space="preserve"> - </w:t>
            </w:r>
            <w:r>
              <w:rPr>
                <w:rStyle w:val="IndexLink"/>
                <w:rtl w:val="true"/>
              </w:rPr>
              <w:t xml:space="preserve">علیّ بن محمّد القمّیّ </w:t>
            </w:r>
            <w:r>
              <w:rPr>
                <w:rStyle w:val="IndexLink"/>
                <w:rtl w:val="true"/>
              </w:rPr>
              <w:t>(</w:t>
            </w:r>
            <w:r>
              <w:rPr>
                <w:rStyle w:val="IndexLink"/>
                <w:rtl w:val="true"/>
              </w:rPr>
              <w:t>من أعلام القرن السابع</w:t>
            </w:r>
            <w:r>
              <w:rPr>
                <w:rStyle w:val="IndexLink"/>
                <w:rtl w:val="true"/>
              </w:rPr>
              <w:t>)</w:t>
              <w:tab/>
            </w:r>
            <w:r>
              <w:rPr>
                <w:rStyle w:val="IndexLink"/>
              </w:rPr>
              <w:t>370</w:t>
            </w:r>
          </w:hyperlink>
        </w:p>
        <w:p>
          <w:pPr>
            <w:pStyle w:val="Contents3"/>
            <w:tabs>
              <w:tab w:val="clear" w:pos="8459"/>
              <w:tab w:val="right" w:pos="9026" w:leader="dot"/>
            </w:tabs>
            <w:rPr/>
          </w:pPr>
          <w:hyperlink w:anchor="__RefHeading___Toc972434_237004111">
            <w:r>
              <w:rPr>
                <w:webHidden/>
                <w:rStyle w:val="IndexLink"/>
              </w:rPr>
              <w:t>50</w:t>
            </w:r>
            <w:r>
              <w:rPr>
                <w:rStyle w:val="IndexLink"/>
                <w:rtl w:val="true"/>
              </w:rPr>
              <w:t xml:space="preserve"> - </w:t>
            </w:r>
            <w:r>
              <w:rPr>
                <w:rStyle w:val="IndexLink"/>
                <w:rtl w:val="true"/>
              </w:rPr>
              <w:t xml:space="preserve">أبو البرکات النَّسفیّ </w:t>
            </w:r>
            <w:r>
              <w:rPr>
                <w:rStyle w:val="IndexLink"/>
                <w:rtl w:val="true"/>
              </w:rPr>
              <w:t>(</w:t>
            </w:r>
            <w:r>
              <w:rPr>
                <w:rStyle w:val="IndexLink"/>
                <w:rtl w:val="true"/>
              </w:rPr>
              <w:t xml:space="preserve">ت </w:t>
            </w:r>
            <w:r>
              <w:rPr>
                <w:rStyle w:val="IndexLink"/>
              </w:rPr>
              <w:t>710</w:t>
            </w:r>
            <w:r>
              <w:rPr>
                <w:rStyle w:val="IndexLink"/>
                <w:rtl w:val="true"/>
              </w:rPr>
              <w:t xml:space="preserve"> </w:t>
            </w:r>
            <w:r>
              <w:rPr>
                <w:rStyle w:val="IndexLink"/>
                <w:rtl w:val="true"/>
              </w:rPr>
              <w:t xml:space="preserve">ه </w:t>
            </w:r>
            <w:r>
              <w:rPr>
                <w:rStyle w:val="IndexLink"/>
                <w:rtl w:val="true"/>
              </w:rPr>
              <w:t>)</w:t>
              <w:tab/>
            </w:r>
            <w:r>
              <w:rPr>
                <w:rStyle w:val="IndexLink"/>
              </w:rPr>
              <w:t>370</w:t>
            </w:r>
          </w:hyperlink>
        </w:p>
        <w:p>
          <w:pPr>
            <w:pStyle w:val="Contents3"/>
            <w:tabs>
              <w:tab w:val="clear" w:pos="8459"/>
              <w:tab w:val="right" w:pos="9026" w:leader="dot"/>
            </w:tabs>
            <w:rPr/>
          </w:pPr>
          <w:hyperlink w:anchor="__RefHeading___Toc972436_237004111">
            <w:r>
              <w:rPr>
                <w:webHidden/>
                <w:rStyle w:val="IndexLink"/>
              </w:rPr>
              <w:t>51</w:t>
            </w:r>
            <w:r>
              <w:rPr>
                <w:rStyle w:val="IndexLink"/>
                <w:rtl w:val="true"/>
              </w:rPr>
              <w:t xml:space="preserve"> - </w:t>
            </w:r>
            <w:r>
              <w:rPr>
                <w:rStyle w:val="IndexLink"/>
                <w:rtl w:val="true"/>
              </w:rPr>
              <w:t xml:space="preserve">العلّامة الحلّیّ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 xml:space="preserve">ه </w:t>
            </w:r>
            <w:r>
              <w:rPr>
                <w:rStyle w:val="IndexLink"/>
                <w:rtl w:val="true"/>
              </w:rPr>
              <w:t>)</w:t>
              <w:tab/>
            </w:r>
            <w:r>
              <w:rPr>
                <w:rStyle w:val="IndexLink"/>
              </w:rPr>
              <w:t>372</w:t>
            </w:r>
          </w:hyperlink>
        </w:p>
        <w:p>
          <w:pPr>
            <w:pStyle w:val="Contents3"/>
            <w:tabs>
              <w:tab w:val="clear" w:pos="8459"/>
              <w:tab w:val="right" w:pos="9026" w:leader="dot"/>
            </w:tabs>
            <w:rPr/>
          </w:pPr>
          <w:hyperlink w:anchor="__RefHeading___Toc972438_237004111">
            <w:r>
              <w:rPr>
                <w:webHidden/>
                <w:rStyle w:val="IndexLink"/>
              </w:rPr>
              <w:t>52</w:t>
            </w:r>
            <w:r>
              <w:rPr>
                <w:rStyle w:val="IndexLink"/>
                <w:rtl w:val="true"/>
              </w:rPr>
              <w:t xml:space="preserve"> - </w:t>
            </w:r>
            <w:r>
              <w:rPr>
                <w:rStyle w:val="IndexLink"/>
                <w:rtl w:val="true"/>
              </w:rPr>
              <w:t xml:space="preserve">ابن تیمیّة الحرّانیّ </w:t>
            </w:r>
            <w:r>
              <w:rPr>
                <w:rStyle w:val="IndexLink"/>
                <w:rtl w:val="true"/>
              </w:rPr>
              <w:t>(</w:t>
            </w:r>
            <w:r>
              <w:rPr>
                <w:rStyle w:val="IndexLink"/>
                <w:rtl w:val="true"/>
              </w:rPr>
              <w:t xml:space="preserve">ت </w:t>
            </w:r>
            <w:r>
              <w:rPr>
                <w:rStyle w:val="IndexLink"/>
              </w:rPr>
              <w:t>728</w:t>
            </w:r>
            <w:r>
              <w:rPr>
                <w:rStyle w:val="IndexLink"/>
                <w:rtl w:val="true"/>
              </w:rPr>
              <w:t xml:space="preserve"> </w:t>
            </w:r>
            <w:r>
              <w:rPr>
                <w:rStyle w:val="IndexLink"/>
                <w:rtl w:val="true"/>
              </w:rPr>
              <w:t xml:space="preserve">ه </w:t>
            </w:r>
            <w:r>
              <w:rPr>
                <w:rStyle w:val="IndexLink"/>
                <w:rtl w:val="true"/>
              </w:rPr>
              <w:t>)</w:t>
              <w:tab/>
            </w:r>
            <w:r>
              <w:rPr>
                <w:rStyle w:val="IndexLink"/>
              </w:rPr>
              <w:t>373</w:t>
            </w:r>
          </w:hyperlink>
        </w:p>
        <w:p>
          <w:pPr>
            <w:pStyle w:val="Contents3"/>
            <w:tabs>
              <w:tab w:val="clear" w:pos="8459"/>
              <w:tab w:val="right" w:pos="9026" w:leader="dot"/>
            </w:tabs>
            <w:rPr/>
          </w:pPr>
          <w:hyperlink w:anchor="__RefHeading___Toc972440_237004111">
            <w:r>
              <w:rPr>
                <w:webHidden/>
                <w:rStyle w:val="IndexLink"/>
              </w:rPr>
              <w:t>53</w:t>
            </w:r>
            <w:r>
              <w:rPr>
                <w:rStyle w:val="IndexLink"/>
                <w:rtl w:val="true"/>
              </w:rPr>
              <w:t xml:space="preserve"> - </w:t>
            </w:r>
            <w:r>
              <w:rPr>
                <w:rStyle w:val="IndexLink"/>
                <w:rtl w:val="true"/>
              </w:rPr>
              <w:t xml:space="preserve">ابن جزّی الکلبیّ </w:t>
            </w:r>
            <w:r>
              <w:rPr>
                <w:rStyle w:val="IndexLink"/>
                <w:rtl w:val="true"/>
              </w:rPr>
              <w:t>(</w:t>
            </w:r>
            <w:r>
              <w:rPr>
                <w:rStyle w:val="IndexLink"/>
                <w:rtl w:val="true"/>
              </w:rPr>
              <w:t xml:space="preserve">ت </w:t>
            </w:r>
            <w:r>
              <w:rPr>
                <w:rStyle w:val="IndexLink"/>
              </w:rPr>
              <w:t>741</w:t>
            </w:r>
            <w:r>
              <w:rPr>
                <w:rStyle w:val="IndexLink"/>
                <w:rtl w:val="true"/>
              </w:rPr>
              <w:t xml:space="preserve"> </w:t>
            </w:r>
            <w:r>
              <w:rPr>
                <w:rStyle w:val="IndexLink"/>
                <w:rtl w:val="true"/>
              </w:rPr>
              <w:t xml:space="preserve">ه </w:t>
            </w:r>
            <w:r>
              <w:rPr>
                <w:rStyle w:val="IndexLink"/>
                <w:rtl w:val="true"/>
              </w:rPr>
              <w:t>)</w:t>
              <w:tab/>
            </w:r>
            <w:r>
              <w:rPr>
                <w:rStyle w:val="IndexLink"/>
              </w:rPr>
              <w:t>378</w:t>
            </w:r>
          </w:hyperlink>
        </w:p>
        <w:p>
          <w:pPr>
            <w:pStyle w:val="Contents3"/>
            <w:tabs>
              <w:tab w:val="clear" w:pos="8459"/>
              <w:tab w:val="right" w:pos="9026" w:leader="dot"/>
            </w:tabs>
            <w:rPr/>
          </w:pPr>
          <w:hyperlink w:anchor="__RefHeading___Toc972442_237004111">
            <w:r>
              <w:rPr>
                <w:webHidden/>
                <w:rStyle w:val="IndexLink"/>
              </w:rPr>
              <w:t>54</w:t>
            </w:r>
            <w:r>
              <w:rPr>
                <w:rStyle w:val="IndexLink"/>
                <w:rtl w:val="true"/>
              </w:rPr>
              <w:t xml:space="preserve"> - </w:t>
            </w:r>
            <w:r>
              <w:rPr>
                <w:rStyle w:val="IndexLink"/>
                <w:rtl w:val="true"/>
              </w:rPr>
              <w:t xml:space="preserve">أبو حیّان الأندلسیّ </w:t>
            </w:r>
            <w:r>
              <w:rPr>
                <w:rStyle w:val="IndexLink"/>
                <w:rtl w:val="true"/>
              </w:rPr>
              <w:t>(</w:t>
            </w:r>
            <w:r>
              <w:rPr>
                <w:rStyle w:val="IndexLink"/>
                <w:rtl w:val="true"/>
              </w:rPr>
              <w:t xml:space="preserve">ت </w:t>
            </w:r>
            <w:r>
              <w:rPr>
                <w:rStyle w:val="IndexLink"/>
              </w:rPr>
              <w:t>745</w:t>
            </w:r>
            <w:r>
              <w:rPr>
                <w:rStyle w:val="IndexLink"/>
                <w:rtl w:val="true"/>
              </w:rPr>
              <w:t xml:space="preserve"> </w:t>
            </w:r>
            <w:r>
              <w:rPr>
                <w:rStyle w:val="IndexLink"/>
                <w:rtl w:val="true"/>
              </w:rPr>
              <w:t xml:space="preserve">ه </w:t>
            </w:r>
            <w:r>
              <w:rPr>
                <w:rStyle w:val="IndexLink"/>
                <w:rtl w:val="true"/>
              </w:rPr>
              <w:t>)</w:t>
              <w:tab/>
            </w:r>
            <w:r>
              <w:rPr>
                <w:rStyle w:val="IndexLink"/>
              </w:rPr>
              <w:t>378</w:t>
            </w:r>
          </w:hyperlink>
        </w:p>
        <w:p>
          <w:pPr>
            <w:pStyle w:val="Contents3"/>
            <w:tabs>
              <w:tab w:val="clear" w:pos="8459"/>
              <w:tab w:val="right" w:pos="9026" w:leader="dot"/>
            </w:tabs>
            <w:rPr/>
          </w:pPr>
          <w:hyperlink w:anchor="__RefHeading___Toc972444_237004111">
            <w:r>
              <w:rPr>
                <w:webHidden/>
                <w:rStyle w:val="IndexLink"/>
              </w:rPr>
              <w:t>55</w:t>
            </w:r>
            <w:r>
              <w:rPr>
                <w:rStyle w:val="IndexLink"/>
                <w:rtl w:val="true"/>
              </w:rPr>
              <w:t xml:space="preserve"> - </w:t>
            </w:r>
            <w:r>
              <w:rPr>
                <w:rStyle w:val="IndexLink"/>
                <w:rtl w:val="true"/>
              </w:rPr>
              <w:t xml:space="preserve">السّمین الحلبی </w:t>
            </w:r>
            <w:r>
              <w:rPr>
                <w:rStyle w:val="IndexLink"/>
                <w:rtl w:val="true"/>
              </w:rPr>
              <w:t>(</w:t>
            </w:r>
            <w:r>
              <w:rPr>
                <w:rStyle w:val="IndexLink"/>
                <w:rtl w:val="true"/>
              </w:rPr>
              <w:t xml:space="preserve">ت </w:t>
            </w:r>
            <w:r>
              <w:rPr>
                <w:rStyle w:val="IndexLink"/>
              </w:rPr>
              <w:t>756</w:t>
            </w:r>
            <w:r>
              <w:rPr>
                <w:rStyle w:val="IndexLink"/>
                <w:rtl w:val="true"/>
              </w:rPr>
              <w:t xml:space="preserve"> </w:t>
            </w:r>
            <w:r>
              <w:rPr>
                <w:rStyle w:val="IndexLink"/>
                <w:rtl w:val="true"/>
              </w:rPr>
              <w:t xml:space="preserve">ه </w:t>
            </w:r>
            <w:r>
              <w:rPr>
                <w:rStyle w:val="IndexLink"/>
                <w:rtl w:val="true"/>
              </w:rPr>
              <w:t>)</w:t>
              <w:tab/>
            </w:r>
            <w:r>
              <w:rPr>
                <w:rStyle w:val="IndexLink"/>
              </w:rPr>
              <w:t>379</w:t>
            </w:r>
          </w:hyperlink>
        </w:p>
        <w:p>
          <w:pPr>
            <w:pStyle w:val="Contents3"/>
            <w:tabs>
              <w:tab w:val="clear" w:pos="8459"/>
              <w:tab w:val="right" w:pos="9026" w:leader="dot"/>
            </w:tabs>
            <w:rPr/>
          </w:pPr>
          <w:hyperlink w:anchor="__RefHeading___Toc972446_237004111">
            <w:r>
              <w:rPr>
                <w:webHidden/>
                <w:rStyle w:val="IndexLink"/>
              </w:rPr>
              <w:t>56</w:t>
            </w:r>
            <w:r>
              <w:rPr>
                <w:rStyle w:val="IndexLink"/>
                <w:rtl w:val="true"/>
              </w:rPr>
              <w:t xml:space="preserve"> - </w:t>
            </w:r>
            <w:r>
              <w:rPr>
                <w:rStyle w:val="IndexLink"/>
                <w:rtl w:val="true"/>
              </w:rPr>
              <w:t xml:space="preserve">ابن کثیر </w:t>
            </w:r>
            <w:r>
              <w:rPr>
                <w:rStyle w:val="IndexLink"/>
                <w:rtl w:val="true"/>
              </w:rPr>
              <w:t>(</w:t>
            </w:r>
            <w:r>
              <w:rPr>
                <w:rStyle w:val="IndexLink"/>
                <w:rtl w:val="true"/>
              </w:rPr>
              <w:t xml:space="preserve">ت </w:t>
            </w:r>
            <w:r>
              <w:rPr>
                <w:rStyle w:val="IndexLink"/>
              </w:rPr>
              <w:t>774</w:t>
            </w:r>
            <w:r>
              <w:rPr>
                <w:rStyle w:val="IndexLink"/>
                <w:rtl w:val="true"/>
              </w:rPr>
              <w:t xml:space="preserve"> </w:t>
            </w:r>
            <w:r>
              <w:rPr>
                <w:rStyle w:val="IndexLink"/>
                <w:rtl w:val="true"/>
              </w:rPr>
              <w:t xml:space="preserve">ه </w:t>
            </w:r>
            <w:r>
              <w:rPr>
                <w:rStyle w:val="IndexLink"/>
                <w:rtl w:val="true"/>
              </w:rPr>
              <w:t>)</w:t>
              <w:tab/>
            </w:r>
            <w:r>
              <w:rPr>
                <w:rStyle w:val="IndexLink"/>
              </w:rPr>
              <w:t>380</w:t>
            </w:r>
          </w:hyperlink>
        </w:p>
        <w:p>
          <w:pPr>
            <w:pStyle w:val="Contents3"/>
            <w:tabs>
              <w:tab w:val="clear" w:pos="8459"/>
              <w:tab w:val="right" w:pos="9026" w:leader="dot"/>
            </w:tabs>
            <w:rPr/>
          </w:pPr>
          <w:hyperlink w:anchor="__RefHeading___Toc972448_237004111">
            <w:r>
              <w:rPr>
                <w:webHidden/>
                <w:rStyle w:val="IndexLink"/>
              </w:rPr>
              <w:t>57</w:t>
            </w:r>
            <w:r>
              <w:rPr>
                <w:rStyle w:val="IndexLink"/>
                <w:rtl w:val="true"/>
              </w:rPr>
              <w:t xml:space="preserve"> - </w:t>
            </w:r>
            <w:r>
              <w:rPr>
                <w:rStyle w:val="IndexLink"/>
                <w:rtl w:val="true"/>
              </w:rPr>
              <w:t xml:space="preserve">الشهید الأوّل </w:t>
            </w:r>
            <w:r>
              <w:rPr>
                <w:rStyle w:val="IndexLink"/>
                <w:rtl w:val="true"/>
              </w:rPr>
              <w:t>(</w:t>
            </w:r>
            <w:r>
              <w:rPr>
                <w:rStyle w:val="IndexLink"/>
                <w:rtl w:val="true"/>
              </w:rPr>
              <w:t xml:space="preserve">المستشهد </w:t>
            </w:r>
            <w:r>
              <w:rPr>
                <w:rStyle w:val="IndexLink"/>
              </w:rPr>
              <w:t>786</w:t>
            </w:r>
            <w:r>
              <w:rPr>
                <w:rStyle w:val="IndexLink"/>
                <w:rtl w:val="true"/>
              </w:rPr>
              <w:t xml:space="preserve"> </w:t>
            </w:r>
            <w:r>
              <w:rPr>
                <w:rStyle w:val="IndexLink"/>
                <w:rtl w:val="true"/>
              </w:rPr>
              <w:t xml:space="preserve">ه </w:t>
            </w:r>
            <w:r>
              <w:rPr>
                <w:rStyle w:val="IndexLink"/>
                <w:rtl w:val="true"/>
              </w:rPr>
              <w:t>)</w:t>
              <w:tab/>
            </w:r>
            <w:r>
              <w:rPr>
                <w:rStyle w:val="IndexLink"/>
              </w:rPr>
              <w:t>380</w:t>
            </w:r>
          </w:hyperlink>
        </w:p>
        <w:p>
          <w:pPr>
            <w:pStyle w:val="Contents3"/>
            <w:tabs>
              <w:tab w:val="clear" w:pos="8459"/>
              <w:tab w:val="right" w:pos="9026" w:leader="dot"/>
            </w:tabs>
            <w:rPr/>
          </w:pPr>
          <w:hyperlink w:anchor="__RefHeading___Toc972450_237004111">
            <w:r>
              <w:rPr>
                <w:webHidden/>
                <w:rStyle w:val="IndexLink"/>
              </w:rPr>
              <w:t>58</w:t>
            </w:r>
            <w:r>
              <w:rPr>
                <w:rStyle w:val="IndexLink"/>
                <w:rtl w:val="true"/>
              </w:rPr>
              <w:t xml:space="preserve"> - </w:t>
            </w:r>
            <w:r>
              <w:rPr>
                <w:rStyle w:val="IndexLink"/>
                <w:rtl w:val="true"/>
              </w:rPr>
              <w:t xml:space="preserve">التفتازانیّ </w:t>
            </w:r>
            <w:r>
              <w:rPr>
                <w:rStyle w:val="IndexLink"/>
                <w:rtl w:val="true"/>
              </w:rPr>
              <w:t>(</w:t>
            </w:r>
            <w:r>
              <w:rPr>
                <w:rStyle w:val="IndexLink"/>
                <w:rtl w:val="true"/>
              </w:rPr>
              <w:t xml:space="preserve">ت </w:t>
            </w:r>
            <w:r>
              <w:rPr>
                <w:rStyle w:val="IndexLink"/>
              </w:rPr>
              <w:t>793</w:t>
            </w:r>
            <w:r>
              <w:rPr>
                <w:rStyle w:val="IndexLink"/>
                <w:rtl w:val="true"/>
              </w:rPr>
              <w:t xml:space="preserve"> </w:t>
            </w:r>
            <w:r>
              <w:rPr>
                <w:rStyle w:val="IndexLink"/>
                <w:rtl w:val="true"/>
              </w:rPr>
              <w:t xml:space="preserve">ه </w:t>
            </w:r>
            <w:r>
              <w:rPr>
                <w:rStyle w:val="IndexLink"/>
                <w:rtl w:val="true"/>
              </w:rPr>
              <w:t>)</w:t>
              <w:tab/>
            </w:r>
            <w:r>
              <w:rPr>
                <w:rStyle w:val="IndexLink"/>
              </w:rPr>
              <w:t>382</w:t>
            </w:r>
          </w:hyperlink>
        </w:p>
        <w:p>
          <w:pPr>
            <w:pStyle w:val="Contents3"/>
            <w:tabs>
              <w:tab w:val="clear" w:pos="8459"/>
              <w:tab w:val="right" w:pos="9026" w:leader="dot"/>
            </w:tabs>
            <w:rPr/>
          </w:pPr>
          <w:hyperlink w:anchor="__RefHeading___Toc972452_237004111">
            <w:r>
              <w:rPr>
                <w:webHidden/>
                <w:rStyle w:val="IndexLink"/>
              </w:rPr>
              <w:t>59</w:t>
            </w:r>
            <w:r>
              <w:rPr>
                <w:rStyle w:val="IndexLink"/>
                <w:rtl w:val="true"/>
              </w:rPr>
              <w:t xml:space="preserve"> - </w:t>
            </w:r>
            <w:r>
              <w:rPr>
                <w:rStyle w:val="IndexLink"/>
                <w:rtl w:val="true"/>
              </w:rPr>
              <w:t xml:space="preserve">الزرکشیّ </w:t>
            </w:r>
            <w:r>
              <w:rPr>
                <w:rStyle w:val="IndexLink"/>
                <w:rtl w:val="true"/>
              </w:rPr>
              <w:t>(</w:t>
            </w:r>
            <w:r>
              <w:rPr>
                <w:rStyle w:val="IndexLink"/>
                <w:rtl w:val="true"/>
              </w:rPr>
              <w:t xml:space="preserve">ت </w:t>
            </w:r>
            <w:r>
              <w:rPr>
                <w:rStyle w:val="IndexLink"/>
              </w:rPr>
              <w:t>794</w:t>
            </w:r>
            <w:r>
              <w:rPr>
                <w:rStyle w:val="IndexLink"/>
                <w:rtl w:val="true"/>
              </w:rPr>
              <w:t xml:space="preserve"> </w:t>
            </w:r>
            <w:r>
              <w:rPr>
                <w:rStyle w:val="IndexLink"/>
                <w:rtl w:val="true"/>
              </w:rPr>
              <w:t xml:space="preserve">ه </w:t>
            </w:r>
            <w:r>
              <w:rPr>
                <w:rStyle w:val="IndexLink"/>
                <w:rtl w:val="true"/>
              </w:rPr>
              <w:t>)</w:t>
              <w:tab/>
            </w:r>
            <w:r>
              <w:rPr>
                <w:rStyle w:val="IndexLink"/>
              </w:rPr>
              <w:t>382</w:t>
            </w:r>
          </w:hyperlink>
        </w:p>
        <w:p>
          <w:pPr>
            <w:pStyle w:val="Contents3"/>
            <w:tabs>
              <w:tab w:val="clear" w:pos="8459"/>
              <w:tab w:val="right" w:pos="9026" w:leader="dot"/>
            </w:tabs>
            <w:rPr/>
          </w:pPr>
          <w:hyperlink w:anchor="__RefHeading___Toc972454_237004111">
            <w:r>
              <w:rPr>
                <w:webHidden/>
                <w:rStyle w:val="IndexLink"/>
              </w:rPr>
              <w:t>60</w:t>
            </w:r>
            <w:r>
              <w:rPr>
                <w:rStyle w:val="IndexLink"/>
                <w:rtl w:val="true"/>
              </w:rPr>
              <w:t xml:space="preserve"> - </w:t>
            </w:r>
            <w:r>
              <w:rPr>
                <w:rStyle w:val="IndexLink"/>
                <w:rtl w:val="true"/>
              </w:rPr>
              <w:t xml:space="preserve">الفیروزابادیّ </w:t>
            </w:r>
            <w:r>
              <w:rPr>
                <w:rStyle w:val="IndexLink"/>
                <w:rtl w:val="true"/>
              </w:rPr>
              <w:t>(</w:t>
            </w:r>
            <w:r>
              <w:rPr>
                <w:rStyle w:val="IndexLink"/>
                <w:rtl w:val="true"/>
              </w:rPr>
              <w:t xml:space="preserve">ت </w:t>
            </w:r>
            <w:r>
              <w:rPr>
                <w:rStyle w:val="IndexLink"/>
              </w:rPr>
              <w:t>817</w:t>
            </w:r>
            <w:r>
              <w:rPr>
                <w:rStyle w:val="IndexLink"/>
                <w:rtl w:val="true"/>
              </w:rPr>
              <w:t xml:space="preserve"> </w:t>
            </w:r>
            <w:r>
              <w:rPr>
                <w:rStyle w:val="IndexLink"/>
                <w:rtl w:val="true"/>
              </w:rPr>
              <w:t xml:space="preserve">ه </w:t>
            </w:r>
            <w:r>
              <w:rPr>
                <w:rStyle w:val="IndexLink"/>
                <w:rtl w:val="true"/>
              </w:rPr>
              <w:t>)</w:t>
              <w:tab/>
            </w:r>
            <w:r>
              <w:rPr>
                <w:rStyle w:val="IndexLink"/>
              </w:rPr>
              <w:t>383</w:t>
            </w:r>
          </w:hyperlink>
        </w:p>
        <w:p>
          <w:pPr>
            <w:pStyle w:val="Contents3"/>
            <w:tabs>
              <w:tab w:val="clear" w:pos="8459"/>
              <w:tab w:val="right" w:pos="9026" w:leader="dot"/>
            </w:tabs>
            <w:rPr/>
          </w:pPr>
          <w:hyperlink w:anchor="__RefHeading___Toc972456_237004111">
            <w:r>
              <w:rPr>
                <w:webHidden/>
                <w:rStyle w:val="IndexLink"/>
              </w:rPr>
              <w:t>61</w:t>
            </w:r>
            <w:r>
              <w:rPr>
                <w:rStyle w:val="IndexLink"/>
                <w:rtl w:val="true"/>
              </w:rPr>
              <w:t xml:space="preserve"> - </w:t>
            </w:r>
            <w:r>
              <w:rPr>
                <w:rStyle w:val="IndexLink"/>
                <w:rtl w:val="true"/>
              </w:rPr>
              <w:t xml:space="preserve">جلال الدین المحلّیّ </w:t>
            </w:r>
            <w:r>
              <w:rPr>
                <w:rStyle w:val="IndexLink"/>
                <w:rtl w:val="true"/>
              </w:rPr>
              <w:t>(</w:t>
            </w:r>
            <w:r>
              <w:rPr>
                <w:rStyle w:val="IndexLink"/>
                <w:rtl w:val="true"/>
              </w:rPr>
              <w:t xml:space="preserve">ت </w:t>
            </w:r>
            <w:r>
              <w:rPr>
                <w:rStyle w:val="IndexLink"/>
              </w:rPr>
              <w:t>864</w:t>
            </w:r>
            <w:r>
              <w:rPr>
                <w:rStyle w:val="IndexLink"/>
                <w:rtl w:val="true"/>
              </w:rPr>
              <w:t xml:space="preserve"> </w:t>
            </w:r>
            <w:r>
              <w:rPr>
                <w:rStyle w:val="IndexLink"/>
                <w:rtl w:val="true"/>
              </w:rPr>
              <w:t xml:space="preserve">ه </w:t>
            </w:r>
            <w:r>
              <w:rPr>
                <w:rStyle w:val="IndexLink"/>
                <w:rtl w:val="true"/>
              </w:rPr>
              <w:t>)</w:t>
              <w:tab/>
            </w:r>
            <w:r>
              <w:rPr>
                <w:rStyle w:val="IndexLink"/>
              </w:rPr>
              <w:t>383</w:t>
            </w:r>
          </w:hyperlink>
        </w:p>
        <w:p>
          <w:pPr>
            <w:pStyle w:val="Contents3"/>
            <w:tabs>
              <w:tab w:val="clear" w:pos="8459"/>
              <w:tab w:val="right" w:pos="9026" w:leader="dot"/>
            </w:tabs>
            <w:rPr/>
          </w:pPr>
          <w:hyperlink w:anchor="__RefHeading___Toc972458_237004111">
            <w:r>
              <w:rPr>
                <w:webHidden/>
                <w:rStyle w:val="IndexLink"/>
              </w:rPr>
              <w:t>62</w:t>
            </w:r>
            <w:r>
              <w:rPr>
                <w:rStyle w:val="IndexLink"/>
                <w:rtl w:val="true"/>
              </w:rPr>
              <w:t xml:space="preserve"> - </w:t>
            </w:r>
            <w:r>
              <w:rPr>
                <w:rStyle w:val="IndexLink"/>
                <w:rtl w:val="true"/>
              </w:rPr>
              <w:t xml:space="preserve">یوسف بن أحمد بن عثمان الشّهیر بالفقیه یوسف </w:t>
            </w:r>
            <w:r>
              <w:rPr>
                <w:rStyle w:val="IndexLink"/>
                <w:rtl w:val="true"/>
              </w:rPr>
              <w:t>(</w:t>
            </w:r>
            <w:r>
              <w:rPr>
                <w:rStyle w:val="IndexLink"/>
                <w:rtl w:val="true"/>
              </w:rPr>
              <w:t xml:space="preserve">ت </w:t>
            </w:r>
            <w:r>
              <w:rPr>
                <w:rStyle w:val="IndexLink"/>
              </w:rPr>
              <w:t>832</w:t>
            </w:r>
            <w:r>
              <w:rPr>
                <w:rStyle w:val="IndexLink"/>
                <w:rtl w:val="true"/>
              </w:rPr>
              <w:t xml:space="preserve"> </w:t>
            </w:r>
            <w:r>
              <w:rPr>
                <w:rStyle w:val="IndexLink"/>
                <w:rtl w:val="true"/>
              </w:rPr>
              <w:t xml:space="preserve">ه </w:t>
            </w:r>
            <w:r>
              <w:rPr>
                <w:rStyle w:val="IndexLink"/>
                <w:rtl w:val="true"/>
              </w:rPr>
              <w:t>)</w:t>
              <w:tab/>
            </w:r>
            <w:r>
              <w:rPr>
                <w:rStyle w:val="IndexLink"/>
              </w:rPr>
              <w:t>383</w:t>
            </w:r>
          </w:hyperlink>
        </w:p>
        <w:p>
          <w:pPr>
            <w:pStyle w:val="Contents3"/>
            <w:tabs>
              <w:tab w:val="clear" w:pos="8459"/>
              <w:tab w:val="right" w:pos="9026" w:leader="dot"/>
            </w:tabs>
            <w:rPr/>
          </w:pPr>
          <w:hyperlink w:anchor="__RefHeading___Toc972460_237004111">
            <w:r>
              <w:rPr>
                <w:webHidden/>
                <w:rStyle w:val="IndexLink"/>
              </w:rPr>
              <w:t>63</w:t>
            </w:r>
            <w:r>
              <w:rPr>
                <w:rStyle w:val="IndexLink"/>
                <w:rtl w:val="true"/>
              </w:rPr>
              <w:t xml:space="preserve"> - </w:t>
            </w:r>
            <w:r>
              <w:rPr>
                <w:rStyle w:val="IndexLink"/>
                <w:rtl w:val="true"/>
              </w:rPr>
              <w:t xml:space="preserve">الثعالبیّ </w:t>
            </w:r>
            <w:r>
              <w:rPr>
                <w:rStyle w:val="IndexLink"/>
                <w:rtl w:val="true"/>
              </w:rPr>
              <w:t>(</w:t>
            </w:r>
            <w:r>
              <w:rPr>
                <w:rStyle w:val="IndexLink"/>
                <w:rtl w:val="true"/>
              </w:rPr>
              <w:t xml:space="preserve">ت </w:t>
            </w:r>
            <w:r>
              <w:rPr>
                <w:rStyle w:val="IndexLink"/>
              </w:rPr>
              <w:t>875</w:t>
            </w:r>
            <w:r>
              <w:rPr>
                <w:rStyle w:val="IndexLink"/>
                <w:rtl w:val="true"/>
              </w:rPr>
              <w:t xml:space="preserve"> </w:t>
            </w:r>
            <w:r>
              <w:rPr>
                <w:rStyle w:val="IndexLink"/>
                <w:rtl w:val="true"/>
              </w:rPr>
              <w:t xml:space="preserve">ه </w:t>
            </w:r>
            <w:r>
              <w:rPr>
                <w:rStyle w:val="IndexLink"/>
                <w:rtl w:val="true"/>
              </w:rPr>
              <w:t>)</w:t>
              <w:tab/>
            </w:r>
            <w:r>
              <w:rPr>
                <w:rStyle w:val="IndexLink"/>
              </w:rPr>
              <w:t>384</w:t>
            </w:r>
          </w:hyperlink>
        </w:p>
        <w:p>
          <w:pPr>
            <w:pStyle w:val="Contents3"/>
            <w:tabs>
              <w:tab w:val="clear" w:pos="8459"/>
              <w:tab w:val="right" w:pos="9026" w:leader="dot"/>
            </w:tabs>
            <w:rPr/>
          </w:pPr>
          <w:hyperlink w:anchor="__RefHeading___Toc972462_237004111">
            <w:r>
              <w:rPr>
                <w:webHidden/>
                <w:rStyle w:val="IndexLink"/>
              </w:rPr>
              <w:t>64</w:t>
            </w:r>
            <w:r>
              <w:rPr>
                <w:rStyle w:val="IndexLink"/>
                <w:rtl w:val="true"/>
              </w:rPr>
              <w:t xml:space="preserve"> - </w:t>
            </w:r>
            <w:r>
              <w:rPr>
                <w:rStyle w:val="IndexLink"/>
                <w:rtl w:val="true"/>
              </w:rPr>
              <w:t xml:space="preserve">الدّمشقیّ الحنبلیّ </w:t>
            </w:r>
            <w:r>
              <w:rPr>
                <w:rStyle w:val="IndexLink"/>
                <w:rtl w:val="true"/>
              </w:rPr>
              <w:t>(</w:t>
            </w:r>
            <w:r>
              <w:rPr>
                <w:rStyle w:val="IndexLink"/>
                <w:rtl w:val="true"/>
              </w:rPr>
              <w:t xml:space="preserve">ت بعد </w:t>
            </w:r>
            <w:r>
              <w:rPr>
                <w:rStyle w:val="IndexLink"/>
              </w:rPr>
              <w:t>880</w:t>
            </w:r>
            <w:r>
              <w:rPr>
                <w:rStyle w:val="IndexLink"/>
                <w:rtl w:val="true"/>
              </w:rPr>
              <w:t xml:space="preserve"> </w:t>
            </w:r>
            <w:r>
              <w:rPr>
                <w:rStyle w:val="IndexLink"/>
                <w:rtl w:val="true"/>
              </w:rPr>
              <w:t xml:space="preserve">ه </w:t>
            </w:r>
            <w:r>
              <w:rPr>
                <w:rStyle w:val="IndexLink"/>
                <w:rtl w:val="true"/>
              </w:rPr>
              <w:t>)</w:t>
              <w:tab/>
            </w:r>
            <w:r>
              <w:rPr>
                <w:rStyle w:val="IndexLink"/>
              </w:rPr>
              <w:t>384</w:t>
            </w:r>
          </w:hyperlink>
        </w:p>
        <w:p>
          <w:pPr>
            <w:pStyle w:val="Contents3"/>
            <w:tabs>
              <w:tab w:val="clear" w:pos="8459"/>
              <w:tab w:val="right" w:pos="9026" w:leader="dot"/>
            </w:tabs>
            <w:rPr/>
          </w:pPr>
          <w:hyperlink w:anchor="__RefHeading___Toc972464_237004111">
            <w:r>
              <w:rPr>
                <w:webHidden/>
                <w:rStyle w:val="IndexLink"/>
              </w:rPr>
              <w:t>65</w:t>
            </w:r>
            <w:r>
              <w:rPr>
                <w:rStyle w:val="IndexLink"/>
                <w:rtl w:val="true"/>
              </w:rPr>
              <w:t xml:space="preserve"> - </w:t>
            </w:r>
            <w:r>
              <w:rPr>
                <w:rStyle w:val="IndexLink"/>
                <w:rtl w:val="true"/>
              </w:rPr>
              <w:t xml:space="preserve">جلال الدین السیوطیّ </w:t>
            </w:r>
            <w:r>
              <w:rPr>
                <w:rStyle w:val="IndexLink"/>
                <w:rtl w:val="true"/>
              </w:rPr>
              <w:t>(</w:t>
            </w:r>
            <w:r>
              <w:rPr>
                <w:rStyle w:val="IndexLink"/>
                <w:rtl w:val="true"/>
              </w:rPr>
              <w:t xml:space="preserve">ت </w:t>
            </w:r>
            <w:r>
              <w:rPr>
                <w:rStyle w:val="IndexLink"/>
              </w:rPr>
              <w:t>911</w:t>
            </w:r>
            <w:r>
              <w:rPr>
                <w:rStyle w:val="IndexLink"/>
                <w:rtl w:val="true"/>
              </w:rPr>
              <w:t xml:space="preserve"> </w:t>
            </w:r>
            <w:r>
              <w:rPr>
                <w:rStyle w:val="IndexLink"/>
                <w:rtl w:val="true"/>
              </w:rPr>
              <w:t xml:space="preserve">ه </w:t>
            </w:r>
            <w:r>
              <w:rPr>
                <w:rStyle w:val="IndexLink"/>
                <w:rtl w:val="true"/>
              </w:rPr>
              <w:t>)</w:t>
              <w:tab/>
            </w:r>
            <w:r>
              <w:rPr>
                <w:rStyle w:val="IndexLink"/>
              </w:rPr>
              <w:t>384</w:t>
            </w:r>
          </w:hyperlink>
        </w:p>
        <w:p>
          <w:pPr>
            <w:pStyle w:val="Contents3"/>
            <w:tabs>
              <w:tab w:val="clear" w:pos="8459"/>
              <w:tab w:val="right" w:pos="9026" w:leader="dot"/>
            </w:tabs>
            <w:rPr/>
          </w:pPr>
          <w:hyperlink w:anchor="__RefHeading___Toc972466_237004111">
            <w:r>
              <w:rPr>
                <w:webHidden/>
                <w:rStyle w:val="IndexLink"/>
              </w:rPr>
              <w:t>66</w:t>
            </w:r>
            <w:r>
              <w:rPr>
                <w:rStyle w:val="IndexLink"/>
                <w:rtl w:val="true"/>
              </w:rPr>
              <w:t xml:space="preserve"> - </w:t>
            </w:r>
            <w:r>
              <w:rPr>
                <w:rStyle w:val="IndexLink"/>
                <w:rtl w:val="true"/>
              </w:rPr>
              <w:t xml:space="preserve">أبو السعود </w:t>
            </w:r>
            <w:r>
              <w:rPr>
                <w:rStyle w:val="IndexLink"/>
                <w:rtl w:val="true"/>
              </w:rPr>
              <w:t>(</w:t>
            </w:r>
            <w:r>
              <w:rPr>
                <w:rStyle w:val="IndexLink"/>
                <w:rtl w:val="true"/>
              </w:rPr>
              <w:t xml:space="preserve">ت </w:t>
            </w:r>
            <w:r>
              <w:rPr>
                <w:rStyle w:val="IndexLink"/>
              </w:rPr>
              <w:t>951</w:t>
            </w:r>
            <w:r>
              <w:rPr>
                <w:rStyle w:val="IndexLink"/>
                <w:rtl w:val="true"/>
              </w:rPr>
              <w:t xml:space="preserve"> </w:t>
            </w:r>
            <w:r>
              <w:rPr>
                <w:rStyle w:val="IndexLink"/>
                <w:rtl w:val="true"/>
              </w:rPr>
              <w:t xml:space="preserve">ه </w:t>
            </w:r>
            <w:r>
              <w:rPr>
                <w:rStyle w:val="IndexLink"/>
                <w:rtl w:val="true"/>
              </w:rPr>
              <w:t>)</w:t>
              <w:tab/>
            </w:r>
            <w:r>
              <w:rPr>
                <w:rStyle w:val="IndexLink"/>
              </w:rPr>
              <w:t>385</w:t>
            </w:r>
          </w:hyperlink>
        </w:p>
        <w:p>
          <w:pPr>
            <w:pStyle w:val="Contents3"/>
            <w:tabs>
              <w:tab w:val="clear" w:pos="8459"/>
              <w:tab w:val="right" w:pos="9026" w:leader="dot"/>
            </w:tabs>
            <w:rPr/>
          </w:pPr>
          <w:hyperlink w:anchor="__RefHeading___Toc972468_237004111">
            <w:r>
              <w:rPr>
                <w:webHidden/>
                <w:rStyle w:val="IndexLink"/>
              </w:rPr>
              <w:t>67</w:t>
            </w:r>
            <w:r>
              <w:rPr>
                <w:rStyle w:val="IndexLink"/>
                <w:rtl w:val="true"/>
              </w:rPr>
              <w:t xml:space="preserve"> - </w:t>
            </w:r>
            <w:r>
              <w:rPr>
                <w:rStyle w:val="IndexLink"/>
                <w:rtl w:val="true"/>
              </w:rPr>
              <w:t xml:space="preserve">الشهید الثانی </w:t>
            </w:r>
            <w:r>
              <w:rPr>
                <w:rStyle w:val="IndexLink"/>
                <w:rtl w:val="true"/>
              </w:rPr>
              <w:t>(</w:t>
            </w:r>
            <w:r>
              <w:rPr>
                <w:rStyle w:val="IndexLink"/>
                <w:rtl w:val="true"/>
              </w:rPr>
              <w:t xml:space="preserve">ت </w:t>
            </w:r>
            <w:r>
              <w:rPr>
                <w:rStyle w:val="IndexLink"/>
              </w:rPr>
              <w:t>966</w:t>
            </w:r>
            <w:r>
              <w:rPr>
                <w:rStyle w:val="IndexLink"/>
                <w:rtl w:val="true"/>
              </w:rPr>
              <w:t xml:space="preserve"> </w:t>
            </w:r>
            <w:r>
              <w:rPr>
                <w:rStyle w:val="IndexLink"/>
                <w:rtl w:val="true"/>
              </w:rPr>
              <w:t xml:space="preserve">ه </w:t>
            </w:r>
            <w:r>
              <w:rPr>
                <w:rStyle w:val="IndexLink"/>
                <w:rtl w:val="true"/>
              </w:rPr>
              <w:t>)</w:t>
              <w:tab/>
            </w:r>
            <w:r>
              <w:rPr>
                <w:rStyle w:val="IndexLink"/>
              </w:rPr>
              <w:t>386</w:t>
            </w:r>
          </w:hyperlink>
        </w:p>
        <w:p>
          <w:pPr>
            <w:pStyle w:val="Contents3"/>
            <w:tabs>
              <w:tab w:val="clear" w:pos="8459"/>
              <w:tab w:val="right" w:pos="9026" w:leader="dot"/>
            </w:tabs>
            <w:rPr/>
          </w:pPr>
          <w:hyperlink w:anchor="__RefHeading___Toc972470_237004111">
            <w:r>
              <w:rPr>
                <w:webHidden/>
                <w:rStyle w:val="IndexLink"/>
              </w:rPr>
              <w:t>68</w:t>
            </w:r>
            <w:r>
              <w:rPr>
                <w:rStyle w:val="IndexLink"/>
                <w:rtl w:val="true"/>
              </w:rPr>
              <w:t xml:space="preserve"> - </w:t>
            </w:r>
            <w:r>
              <w:rPr>
                <w:rStyle w:val="IndexLink"/>
                <w:rtl w:val="true"/>
              </w:rPr>
              <w:t xml:space="preserve">المولی الکاشانی </w:t>
            </w:r>
            <w:r>
              <w:rPr>
                <w:rStyle w:val="IndexLink"/>
                <w:rtl w:val="true"/>
              </w:rPr>
              <w:t>(</w:t>
            </w:r>
            <w:r>
              <w:rPr>
                <w:rStyle w:val="IndexLink"/>
                <w:rtl w:val="true"/>
              </w:rPr>
              <w:t xml:space="preserve">ت </w:t>
            </w:r>
            <w:r>
              <w:rPr>
                <w:rStyle w:val="IndexLink"/>
              </w:rPr>
              <w:t>988</w:t>
            </w:r>
            <w:r>
              <w:rPr>
                <w:rStyle w:val="IndexLink"/>
                <w:rtl w:val="true"/>
              </w:rPr>
              <w:t xml:space="preserve"> </w:t>
            </w:r>
            <w:r>
              <w:rPr>
                <w:rStyle w:val="IndexLink"/>
                <w:rtl w:val="true"/>
              </w:rPr>
              <w:t xml:space="preserve">ه </w:t>
            </w:r>
            <w:r>
              <w:rPr>
                <w:rStyle w:val="IndexLink"/>
                <w:rtl w:val="true"/>
              </w:rPr>
              <w:t>)</w:t>
              <w:tab/>
            </w:r>
            <w:r>
              <w:rPr>
                <w:rStyle w:val="IndexLink"/>
              </w:rPr>
              <w:t>387</w:t>
            </w:r>
          </w:hyperlink>
        </w:p>
        <w:p>
          <w:pPr>
            <w:pStyle w:val="Contents3"/>
            <w:tabs>
              <w:tab w:val="clear" w:pos="8459"/>
              <w:tab w:val="right" w:pos="9026" w:leader="dot"/>
            </w:tabs>
            <w:rPr/>
          </w:pPr>
          <w:hyperlink w:anchor="__RefHeading___Toc972472_237004111">
            <w:r>
              <w:rPr>
                <w:webHidden/>
                <w:rStyle w:val="IndexLink"/>
              </w:rPr>
              <w:t>69</w:t>
            </w:r>
            <w:r>
              <w:rPr>
                <w:rStyle w:val="IndexLink"/>
                <w:rtl w:val="true"/>
              </w:rPr>
              <w:t xml:space="preserve"> - </w:t>
            </w:r>
            <w:r>
              <w:rPr>
                <w:rStyle w:val="IndexLink"/>
                <w:rtl w:val="true"/>
              </w:rPr>
              <w:t xml:space="preserve">الشیخ البهائیّ </w:t>
            </w:r>
            <w:r>
              <w:rPr>
                <w:rStyle w:val="IndexLink"/>
                <w:rtl w:val="true"/>
              </w:rPr>
              <w:t>(</w:t>
            </w:r>
            <w:r>
              <w:rPr>
                <w:rStyle w:val="IndexLink"/>
                <w:rtl w:val="true"/>
              </w:rPr>
              <w:t xml:space="preserve">ت </w:t>
            </w:r>
            <w:r>
              <w:rPr>
                <w:rStyle w:val="IndexLink"/>
              </w:rPr>
              <w:t>1031</w:t>
            </w:r>
            <w:r>
              <w:rPr>
                <w:rStyle w:val="IndexLink"/>
                <w:rtl w:val="true"/>
              </w:rPr>
              <w:t xml:space="preserve"> </w:t>
            </w:r>
            <w:r>
              <w:rPr>
                <w:rStyle w:val="IndexLink"/>
                <w:rtl w:val="true"/>
              </w:rPr>
              <w:t xml:space="preserve">ه </w:t>
            </w:r>
            <w:r>
              <w:rPr>
                <w:rStyle w:val="IndexLink"/>
                <w:rtl w:val="true"/>
              </w:rPr>
              <w:t>)</w:t>
              <w:tab/>
            </w:r>
            <w:r>
              <w:rPr>
                <w:rStyle w:val="IndexLink"/>
              </w:rPr>
              <w:t>387</w:t>
            </w:r>
          </w:hyperlink>
        </w:p>
        <w:p>
          <w:pPr>
            <w:pStyle w:val="Contents3"/>
            <w:tabs>
              <w:tab w:val="clear" w:pos="8459"/>
              <w:tab w:val="right" w:pos="9026" w:leader="dot"/>
            </w:tabs>
            <w:rPr/>
          </w:pPr>
          <w:hyperlink w:anchor="__RefHeading___Toc972474_237004111">
            <w:r>
              <w:rPr>
                <w:webHidden/>
                <w:rStyle w:val="IndexLink"/>
              </w:rPr>
              <w:t>70</w:t>
            </w:r>
            <w:r>
              <w:rPr>
                <w:rStyle w:val="IndexLink"/>
                <w:rtl w:val="true"/>
              </w:rPr>
              <w:t xml:space="preserve"> - </w:t>
            </w:r>
            <w:r>
              <w:rPr>
                <w:rStyle w:val="IndexLink"/>
                <w:rtl w:val="true"/>
              </w:rPr>
              <w:t xml:space="preserve">الفیض الکاشانیّ </w:t>
            </w:r>
            <w:r>
              <w:rPr>
                <w:rStyle w:val="IndexLink"/>
                <w:rtl w:val="true"/>
              </w:rPr>
              <w:t>(</w:t>
            </w:r>
            <w:r>
              <w:rPr>
                <w:rStyle w:val="IndexLink"/>
                <w:rtl w:val="true"/>
              </w:rPr>
              <w:t xml:space="preserve">ت </w:t>
            </w:r>
            <w:r>
              <w:rPr>
                <w:rStyle w:val="IndexLink"/>
              </w:rPr>
              <w:t>1091</w:t>
            </w:r>
            <w:r>
              <w:rPr>
                <w:rStyle w:val="IndexLink"/>
                <w:rtl w:val="true"/>
              </w:rPr>
              <w:t xml:space="preserve"> </w:t>
            </w:r>
            <w:r>
              <w:rPr>
                <w:rStyle w:val="IndexLink"/>
                <w:rtl w:val="true"/>
              </w:rPr>
              <w:t xml:space="preserve">ه </w:t>
            </w:r>
            <w:r>
              <w:rPr>
                <w:rStyle w:val="IndexLink"/>
                <w:rtl w:val="true"/>
              </w:rPr>
              <w:t>)</w:t>
              <w:tab/>
            </w:r>
            <w:r>
              <w:rPr>
                <w:rStyle w:val="IndexLink"/>
              </w:rPr>
              <w:t>393</w:t>
            </w:r>
          </w:hyperlink>
        </w:p>
        <w:p>
          <w:pPr>
            <w:pStyle w:val="Contents3"/>
            <w:tabs>
              <w:tab w:val="clear" w:pos="8459"/>
              <w:tab w:val="right" w:pos="9026" w:leader="dot"/>
            </w:tabs>
            <w:rPr/>
          </w:pPr>
          <w:hyperlink w:anchor="__RefHeading___Toc972476_237004111">
            <w:r>
              <w:rPr>
                <w:webHidden/>
                <w:rStyle w:val="IndexLink"/>
              </w:rPr>
              <w:t>71</w:t>
            </w:r>
            <w:r>
              <w:rPr>
                <w:rStyle w:val="IndexLink"/>
                <w:rtl w:val="true"/>
              </w:rPr>
              <w:t xml:space="preserve"> - </w:t>
            </w:r>
            <w:r>
              <w:rPr>
                <w:rStyle w:val="IndexLink"/>
                <w:rtl w:val="true"/>
              </w:rPr>
              <w:t xml:space="preserve">المحقّق الخوانساریّ </w:t>
            </w:r>
            <w:r>
              <w:rPr>
                <w:rStyle w:val="IndexLink"/>
                <w:rtl w:val="true"/>
              </w:rPr>
              <w:t>(</w:t>
            </w:r>
            <w:r>
              <w:rPr>
                <w:rStyle w:val="IndexLink"/>
                <w:rtl w:val="true"/>
              </w:rPr>
              <w:t xml:space="preserve">ت </w:t>
            </w:r>
            <w:r>
              <w:rPr>
                <w:rStyle w:val="IndexLink"/>
              </w:rPr>
              <w:t>1099</w:t>
            </w:r>
            <w:r>
              <w:rPr>
                <w:rStyle w:val="IndexLink"/>
                <w:rtl w:val="true"/>
              </w:rPr>
              <w:t xml:space="preserve"> </w:t>
            </w:r>
            <w:r>
              <w:rPr>
                <w:rStyle w:val="IndexLink"/>
                <w:rtl w:val="true"/>
              </w:rPr>
              <w:t xml:space="preserve">ه </w:t>
            </w:r>
            <w:r>
              <w:rPr>
                <w:rStyle w:val="IndexLink"/>
                <w:rtl w:val="true"/>
              </w:rPr>
              <w:t>)</w:t>
              <w:tab/>
            </w:r>
            <w:r>
              <w:rPr>
                <w:rStyle w:val="IndexLink"/>
              </w:rPr>
              <w:t>393</w:t>
            </w:r>
          </w:hyperlink>
        </w:p>
        <w:p>
          <w:pPr>
            <w:pStyle w:val="Contents3"/>
            <w:tabs>
              <w:tab w:val="clear" w:pos="8459"/>
              <w:tab w:val="right" w:pos="9026" w:leader="dot"/>
            </w:tabs>
            <w:rPr/>
          </w:pPr>
          <w:hyperlink w:anchor="__RefHeading___Toc972478_237004111">
            <w:r>
              <w:rPr>
                <w:webHidden/>
                <w:rStyle w:val="IndexLink"/>
              </w:rPr>
              <w:t>72</w:t>
            </w:r>
            <w:r>
              <w:rPr>
                <w:rStyle w:val="IndexLink"/>
                <w:rtl w:val="true"/>
              </w:rPr>
              <w:t xml:space="preserve"> - </w:t>
            </w:r>
            <w:r>
              <w:rPr>
                <w:rStyle w:val="IndexLink"/>
                <w:rtl w:val="true"/>
              </w:rPr>
              <w:t xml:space="preserve">الحویزیّ </w:t>
            </w:r>
            <w:r>
              <w:rPr>
                <w:rStyle w:val="IndexLink"/>
                <w:rtl w:val="true"/>
              </w:rPr>
              <w:t>(</w:t>
            </w:r>
            <w:r>
              <w:rPr>
                <w:rStyle w:val="IndexLink"/>
                <w:rtl w:val="true"/>
              </w:rPr>
              <w:t xml:space="preserve">ت </w:t>
            </w:r>
            <w:r>
              <w:rPr>
                <w:rStyle w:val="IndexLink"/>
              </w:rPr>
              <w:t>1112</w:t>
            </w:r>
            <w:r>
              <w:rPr>
                <w:rStyle w:val="IndexLink"/>
                <w:rtl w:val="true"/>
              </w:rPr>
              <w:t xml:space="preserve"> </w:t>
            </w:r>
            <w:r>
              <w:rPr>
                <w:rStyle w:val="IndexLink"/>
                <w:rtl w:val="true"/>
              </w:rPr>
              <w:t xml:space="preserve">ه </w:t>
            </w:r>
            <w:r>
              <w:rPr>
                <w:rStyle w:val="IndexLink"/>
                <w:rtl w:val="true"/>
              </w:rPr>
              <w:t>)</w:t>
              <w:tab/>
            </w:r>
            <w:r>
              <w:rPr>
                <w:rStyle w:val="IndexLink"/>
              </w:rPr>
              <w:t>395</w:t>
            </w:r>
          </w:hyperlink>
        </w:p>
        <w:p>
          <w:pPr>
            <w:pStyle w:val="Contents3"/>
            <w:tabs>
              <w:tab w:val="clear" w:pos="8459"/>
              <w:tab w:val="right" w:pos="9026" w:leader="dot"/>
            </w:tabs>
            <w:rPr/>
          </w:pPr>
          <w:hyperlink w:anchor="__RefHeading___Toc972480_237004111">
            <w:r>
              <w:rPr>
                <w:webHidden/>
                <w:rStyle w:val="IndexLink"/>
              </w:rPr>
              <w:t>73</w:t>
            </w:r>
            <w:r>
              <w:rPr>
                <w:rStyle w:val="IndexLink"/>
                <w:rtl w:val="true"/>
              </w:rPr>
              <w:t xml:space="preserve"> - </w:t>
            </w:r>
            <w:r>
              <w:rPr>
                <w:rStyle w:val="IndexLink"/>
                <w:rtl w:val="true"/>
              </w:rPr>
              <w:t xml:space="preserve">البناء صاحب الإتحاف </w:t>
            </w:r>
            <w:r>
              <w:rPr>
                <w:rStyle w:val="IndexLink"/>
                <w:rtl w:val="true"/>
              </w:rPr>
              <w:t>(</w:t>
            </w:r>
            <w:r>
              <w:rPr>
                <w:rStyle w:val="IndexLink"/>
                <w:rtl w:val="true"/>
              </w:rPr>
              <w:t xml:space="preserve">ت </w:t>
            </w:r>
            <w:r>
              <w:rPr>
                <w:rStyle w:val="IndexLink"/>
              </w:rPr>
              <w:t>1117</w:t>
            </w:r>
            <w:r>
              <w:rPr>
                <w:rStyle w:val="IndexLink"/>
                <w:rtl w:val="true"/>
              </w:rPr>
              <w:t xml:space="preserve"> </w:t>
            </w:r>
            <w:r>
              <w:rPr>
                <w:rStyle w:val="IndexLink"/>
                <w:rtl w:val="true"/>
              </w:rPr>
              <w:t xml:space="preserve">ه </w:t>
            </w:r>
            <w:r>
              <w:rPr>
                <w:rStyle w:val="IndexLink"/>
                <w:rtl w:val="true"/>
              </w:rPr>
              <w:t>)</w:t>
              <w:tab/>
            </w:r>
            <w:r>
              <w:rPr>
                <w:rStyle w:val="IndexLink"/>
              </w:rPr>
              <w:t>395</w:t>
            </w:r>
          </w:hyperlink>
        </w:p>
        <w:p>
          <w:pPr>
            <w:pStyle w:val="Contents3"/>
            <w:tabs>
              <w:tab w:val="clear" w:pos="8459"/>
              <w:tab w:val="right" w:pos="9026" w:leader="dot"/>
            </w:tabs>
            <w:rPr/>
          </w:pPr>
          <w:hyperlink w:anchor="__RefHeading___Toc972482_237004111">
            <w:r>
              <w:rPr>
                <w:webHidden/>
                <w:rStyle w:val="IndexLink"/>
              </w:rPr>
              <w:t>74</w:t>
            </w:r>
            <w:r>
              <w:rPr>
                <w:rStyle w:val="IndexLink"/>
                <w:rtl w:val="true"/>
              </w:rPr>
              <w:t xml:space="preserve"> - </w:t>
            </w:r>
            <w:r>
              <w:rPr>
                <w:rStyle w:val="IndexLink"/>
                <w:rtl w:val="true"/>
              </w:rPr>
              <w:t xml:space="preserve">المیرزا محمد المشهدیّ القمّی </w:t>
            </w:r>
            <w:r>
              <w:rPr>
                <w:rStyle w:val="IndexLink"/>
                <w:rtl w:val="true"/>
              </w:rPr>
              <w:t>(</w:t>
            </w:r>
            <w:r>
              <w:rPr>
                <w:rStyle w:val="IndexLink"/>
                <w:rtl w:val="true"/>
              </w:rPr>
              <w:t xml:space="preserve">ت </w:t>
            </w:r>
            <w:r>
              <w:rPr>
                <w:rStyle w:val="IndexLink"/>
              </w:rPr>
              <w:t>1125</w:t>
            </w:r>
            <w:r>
              <w:rPr>
                <w:rStyle w:val="IndexLink"/>
                <w:rtl w:val="true"/>
              </w:rPr>
              <w:t xml:space="preserve"> </w:t>
            </w:r>
            <w:r>
              <w:rPr>
                <w:rStyle w:val="IndexLink"/>
                <w:rtl w:val="true"/>
              </w:rPr>
              <w:t xml:space="preserve">ه </w:t>
            </w:r>
            <w:r>
              <w:rPr>
                <w:rStyle w:val="IndexLink"/>
                <w:rtl w:val="true"/>
              </w:rPr>
              <w:t>)</w:t>
              <w:tab/>
            </w:r>
            <w:r>
              <w:rPr>
                <w:rStyle w:val="IndexLink"/>
              </w:rPr>
              <w:t>397</w:t>
            </w:r>
          </w:hyperlink>
        </w:p>
        <w:p>
          <w:pPr>
            <w:pStyle w:val="Contents3"/>
            <w:tabs>
              <w:tab w:val="clear" w:pos="8459"/>
              <w:tab w:val="right" w:pos="9026" w:leader="dot"/>
            </w:tabs>
            <w:rPr/>
          </w:pPr>
          <w:hyperlink w:anchor="__RefHeading___Toc972484_237004111">
            <w:r>
              <w:rPr>
                <w:webHidden/>
                <w:rStyle w:val="IndexLink"/>
              </w:rPr>
              <w:t>75</w:t>
            </w:r>
            <w:r>
              <w:rPr>
                <w:rStyle w:val="IndexLink"/>
                <w:rtl w:val="true"/>
              </w:rPr>
              <w:t xml:space="preserve"> - </w:t>
            </w:r>
            <w:r>
              <w:rPr>
                <w:rStyle w:val="IndexLink"/>
                <w:rtl w:val="true"/>
              </w:rPr>
              <w:t xml:space="preserve">المظهری النّقشبندی الحنفی </w:t>
            </w:r>
            <w:r>
              <w:rPr>
                <w:rStyle w:val="IndexLink"/>
                <w:rtl w:val="true"/>
              </w:rPr>
              <w:t>(</w:t>
            </w:r>
            <w:r>
              <w:rPr>
                <w:rStyle w:val="IndexLink"/>
                <w:rtl w:val="true"/>
              </w:rPr>
              <w:t xml:space="preserve">ت </w:t>
            </w:r>
            <w:r>
              <w:rPr>
                <w:rStyle w:val="IndexLink"/>
              </w:rPr>
              <w:t>1143</w:t>
            </w:r>
            <w:r>
              <w:rPr>
                <w:rStyle w:val="IndexLink"/>
                <w:rtl w:val="true"/>
              </w:rPr>
              <w:t xml:space="preserve"> </w:t>
            </w:r>
            <w:r>
              <w:rPr>
                <w:rStyle w:val="IndexLink"/>
                <w:rtl w:val="true"/>
              </w:rPr>
              <w:t xml:space="preserve">ه </w:t>
            </w:r>
            <w:r>
              <w:rPr>
                <w:rStyle w:val="IndexLink"/>
                <w:rtl w:val="true"/>
              </w:rPr>
              <w:t>)</w:t>
              <w:tab/>
            </w:r>
            <w:r>
              <w:rPr>
                <w:rStyle w:val="IndexLink"/>
              </w:rPr>
              <w:t>398</w:t>
            </w:r>
          </w:hyperlink>
        </w:p>
        <w:p>
          <w:pPr>
            <w:pStyle w:val="Contents3"/>
            <w:tabs>
              <w:tab w:val="clear" w:pos="8459"/>
              <w:tab w:val="right" w:pos="9026" w:leader="dot"/>
            </w:tabs>
            <w:rPr/>
          </w:pPr>
          <w:hyperlink w:anchor="__RefHeading___Toc972486_237004111">
            <w:r>
              <w:rPr>
                <w:webHidden/>
                <w:rStyle w:val="IndexLink"/>
              </w:rPr>
              <w:t>76</w:t>
            </w:r>
            <w:r>
              <w:rPr>
                <w:rStyle w:val="IndexLink"/>
                <w:rtl w:val="true"/>
              </w:rPr>
              <w:t xml:space="preserve"> - </w:t>
            </w:r>
            <w:r>
              <w:rPr>
                <w:rStyle w:val="IndexLink"/>
                <w:rtl w:val="true"/>
              </w:rPr>
              <w:t>أبو العباس أحمد بن محمد</w:t>
            </w:r>
            <w:r>
              <w:rPr>
                <w:rStyle w:val="IndexLink"/>
                <w:rtl w:val="true"/>
              </w:rPr>
              <w:t xml:space="preserve">... </w:t>
            </w:r>
            <w:r>
              <w:rPr>
                <w:rStyle w:val="IndexLink"/>
                <w:rtl w:val="true"/>
              </w:rPr>
              <w:t xml:space="preserve">ابن عجیبة الحسنی </w:t>
            </w:r>
            <w:r>
              <w:rPr>
                <w:rStyle w:val="IndexLink"/>
                <w:rtl w:val="true"/>
              </w:rPr>
              <w:t>(</w:t>
            </w:r>
            <w:r>
              <w:rPr>
                <w:rStyle w:val="IndexLink"/>
                <w:rtl w:val="true"/>
              </w:rPr>
              <w:t xml:space="preserve">ت </w:t>
            </w:r>
            <w:r>
              <w:rPr>
                <w:rStyle w:val="IndexLink"/>
              </w:rPr>
              <w:t>1224</w:t>
            </w:r>
            <w:r>
              <w:rPr>
                <w:rStyle w:val="IndexLink"/>
                <w:rtl w:val="true"/>
              </w:rPr>
              <w:t xml:space="preserve"> </w:t>
            </w:r>
            <w:r>
              <w:rPr>
                <w:rStyle w:val="IndexLink"/>
                <w:rtl w:val="true"/>
              </w:rPr>
              <w:t xml:space="preserve">ه </w:t>
            </w:r>
            <w:r>
              <w:rPr>
                <w:rStyle w:val="IndexLink"/>
                <w:rtl w:val="true"/>
              </w:rPr>
              <w:t>)</w:t>
              <w:tab/>
            </w:r>
            <w:r>
              <w:rPr>
                <w:rStyle w:val="IndexLink"/>
              </w:rPr>
              <w:t>398</w:t>
            </w:r>
          </w:hyperlink>
        </w:p>
        <w:p>
          <w:pPr>
            <w:pStyle w:val="Contents3"/>
            <w:tabs>
              <w:tab w:val="clear" w:pos="8459"/>
              <w:tab w:val="right" w:pos="9026" w:leader="dot"/>
            </w:tabs>
            <w:rPr/>
          </w:pPr>
          <w:hyperlink w:anchor="__RefHeading___Toc972488_237004111">
            <w:r>
              <w:rPr>
                <w:webHidden/>
                <w:rStyle w:val="IndexLink"/>
              </w:rPr>
              <w:t>77</w:t>
            </w:r>
            <w:r>
              <w:rPr>
                <w:rStyle w:val="IndexLink"/>
                <w:rtl w:val="true"/>
              </w:rPr>
              <w:t xml:space="preserve"> - </w:t>
            </w:r>
            <w:r>
              <w:rPr>
                <w:rStyle w:val="IndexLink"/>
                <w:rtl w:val="true"/>
              </w:rPr>
              <w:t xml:space="preserve">المحقّق البحرانی </w:t>
            </w:r>
            <w:r>
              <w:rPr>
                <w:rStyle w:val="IndexLink"/>
                <w:rtl w:val="true"/>
              </w:rPr>
              <w:t>(</w:t>
            </w:r>
            <w:r>
              <w:rPr>
                <w:rStyle w:val="IndexLink"/>
                <w:rtl w:val="true"/>
              </w:rPr>
              <w:t xml:space="preserve">ت </w:t>
            </w:r>
            <w:r>
              <w:rPr>
                <w:rStyle w:val="IndexLink"/>
              </w:rPr>
              <w:t>1186</w:t>
            </w:r>
            <w:r>
              <w:rPr>
                <w:rStyle w:val="IndexLink"/>
                <w:rtl w:val="true"/>
              </w:rPr>
              <w:t xml:space="preserve"> </w:t>
            </w:r>
            <w:r>
              <w:rPr>
                <w:rStyle w:val="IndexLink"/>
                <w:rtl w:val="true"/>
              </w:rPr>
              <w:t xml:space="preserve">ه </w:t>
            </w:r>
            <w:r>
              <w:rPr>
                <w:rStyle w:val="IndexLink"/>
                <w:rtl w:val="true"/>
              </w:rPr>
              <w:t>)</w:t>
              <w:tab/>
            </w:r>
            <w:r>
              <w:rPr>
                <w:rStyle w:val="IndexLink"/>
              </w:rPr>
              <w:t>399</w:t>
            </w:r>
          </w:hyperlink>
        </w:p>
        <w:p>
          <w:pPr>
            <w:pStyle w:val="Contents3"/>
            <w:tabs>
              <w:tab w:val="clear" w:pos="8459"/>
              <w:tab w:val="right" w:pos="9026" w:leader="dot"/>
            </w:tabs>
            <w:rPr/>
          </w:pPr>
          <w:hyperlink w:anchor="__RefHeading___Toc972490_237004111">
            <w:r>
              <w:rPr>
                <w:webHidden/>
                <w:rStyle w:val="IndexLink"/>
              </w:rPr>
              <w:t>78</w:t>
            </w:r>
            <w:r>
              <w:rPr>
                <w:rStyle w:val="IndexLink"/>
                <w:rtl w:val="true"/>
              </w:rPr>
              <w:t xml:space="preserve"> - </w:t>
            </w:r>
            <w:r>
              <w:rPr>
                <w:rStyle w:val="IndexLink"/>
                <w:rtl w:val="true"/>
              </w:rPr>
              <w:t xml:space="preserve">السیّد عبداللّه الشُّبَّر </w:t>
            </w:r>
            <w:r>
              <w:rPr>
                <w:rStyle w:val="IndexLink"/>
                <w:rtl w:val="true"/>
              </w:rPr>
              <w:t>(</w:t>
            </w:r>
            <w:r>
              <w:rPr>
                <w:rStyle w:val="IndexLink"/>
                <w:rtl w:val="true"/>
              </w:rPr>
              <w:t xml:space="preserve">ت </w:t>
            </w:r>
            <w:r>
              <w:rPr>
                <w:rStyle w:val="IndexLink"/>
              </w:rPr>
              <w:t>1242</w:t>
            </w:r>
            <w:r>
              <w:rPr>
                <w:rStyle w:val="IndexLink"/>
                <w:rtl w:val="true"/>
              </w:rPr>
              <w:t xml:space="preserve"> </w:t>
            </w:r>
            <w:r>
              <w:rPr>
                <w:rStyle w:val="IndexLink"/>
                <w:rtl w:val="true"/>
              </w:rPr>
              <w:t xml:space="preserve">ه </w:t>
            </w:r>
            <w:r>
              <w:rPr>
                <w:rStyle w:val="IndexLink"/>
                <w:rtl w:val="true"/>
              </w:rPr>
              <w:t>)</w:t>
              <w:tab/>
            </w:r>
            <w:r>
              <w:rPr>
                <w:rStyle w:val="IndexLink"/>
              </w:rPr>
              <w:t>399</w:t>
            </w:r>
          </w:hyperlink>
        </w:p>
        <w:p>
          <w:pPr>
            <w:pStyle w:val="Contents3"/>
            <w:tabs>
              <w:tab w:val="clear" w:pos="8459"/>
              <w:tab w:val="right" w:pos="9026" w:leader="dot"/>
            </w:tabs>
            <w:rPr/>
          </w:pPr>
          <w:hyperlink w:anchor="__RefHeading___Toc972492_237004111">
            <w:r>
              <w:rPr>
                <w:webHidden/>
                <w:rStyle w:val="IndexLink"/>
              </w:rPr>
              <w:t>79</w:t>
            </w:r>
            <w:r>
              <w:rPr>
                <w:rStyle w:val="IndexLink"/>
                <w:rtl w:val="true"/>
              </w:rPr>
              <w:t xml:space="preserve"> - </w:t>
            </w:r>
            <w:r>
              <w:rPr>
                <w:rStyle w:val="IndexLink"/>
                <w:rtl w:val="true"/>
              </w:rPr>
              <w:t xml:space="preserve">الشوکانیّ </w:t>
            </w:r>
            <w:r>
              <w:rPr>
                <w:rStyle w:val="IndexLink"/>
                <w:rtl w:val="true"/>
              </w:rPr>
              <w:t>(</w:t>
            </w:r>
            <w:r>
              <w:rPr>
                <w:rStyle w:val="IndexLink"/>
                <w:rtl w:val="true"/>
              </w:rPr>
              <w:t xml:space="preserve">ت </w:t>
            </w:r>
            <w:r>
              <w:rPr>
                <w:rStyle w:val="IndexLink"/>
              </w:rPr>
              <w:t>1255</w:t>
            </w:r>
            <w:r>
              <w:rPr>
                <w:rStyle w:val="IndexLink"/>
                <w:rtl w:val="true"/>
              </w:rPr>
              <w:t xml:space="preserve"> </w:t>
            </w:r>
            <w:r>
              <w:rPr>
                <w:rStyle w:val="IndexLink"/>
                <w:rtl w:val="true"/>
              </w:rPr>
              <w:t xml:space="preserve">ه </w:t>
            </w:r>
            <w:r>
              <w:rPr>
                <w:rStyle w:val="IndexLink"/>
                <w:rtl w:val="true"/>
              </w:rPr>
              <w:t>)</w:t>
              <w:tab/>
            </w:r>
            <w:r>
              <w:rPr>
                <w:rStyle w:val="IndexLink"/>
              </w:rPr>
              <w:t>400</w:t>
            </w:r>
          </w:hyperlink>
        </w:p>
        <w:p>
          <w:pPr>
            <w:pStyle w:val="Contents3"/>
            <w:tabs>
              <w:tab w:val="clear" w:pos="8459"/>
              <w:tab w:val="right" w:pos="9026" w:leader="dot"/>
            </w:tabs>
            <w:rPr/>
          </w:pPr>
          <w:hyperlink w:anchor="__RefHeading___Toc972494_237004111">
            <w:r>
              <w:rPr>
                <w:webHidden/>
                <w:rStyle w:val="IndexLink"/>
              </w:rPr>
              <w:t>80</w:t>
            </w:r>
            <w:r>
              <w:rPr>
                <w:rStyle w:val="IndexLink"/>
                <w:rtl w:val="true"/>
              </w:rPr>
              <w:t xml:space="preserve"> - </w:t>
            </w:r>
            <w:r>
              <w:rPr>
                <w:rStyle w:val="IndexLink"/>
                <w:rtl w:val="true"/>
              </w:rPr>
              <w:t xml:space="preserve">الجواهریّ </w:t>
            </w:r>
            <w:r>
              <w:rPr>
                <w:rStyle w:val="IndexLink"/>
                <w:rtl w:val="true"/>
              </w:rPr>
              <w:t>(</w:t>
            </w:r>
            <w:r>
              <w:rPr>
                <w:rStyle w:val="IndexLink"/>
                <w:rtl w:val="true"/>
              </w:rPr>
              <w:t xml:space="preserve">ت </w:t>
            </w:r>
            <w:r>
              <w:rPr>
                <w:rStyle w:val="IndexLink"/>
              </w:rPr>
              <w:t>1266</w:t>
            </w:r>
            <w:r>
              <w:rPr>
                <w:rStyle w:val="IndexLink"/>
                <w:rtl w:val="true"/>
              </w:rPr>
              <w:t xml:space="preserve"> </w:t>
            </w:r>
            <w:r>
              <w:rPr>
                <w:rStyle w:val="IndexLink"/>
                <w:rtl w:val="true"/>
              </w:rPr>
              <w:t xml:space="preserve">ه </w:t>
            </w:r>
            <w:r>
              <w:rPr>
                <w:rStyle w:val="IndexLink"/>
                <w:rtl w:val="true"/>
              </w:rPr>
              <w:t>)</w:t>
              <w:tab/>
            </w:r>
            <w:r>
              <w:rPr>
                <w:rStyle w:val="IndexLink"/>
              </w:rPr>
              <w:t>400</w:t>
            </w:r>
          </w:hyperlink>
        </w:p>
        <w:p>
          <w:pPr>
            <w:pStyle w:val="Contents3"/>
            <w:tabs>
              <w:tab w:val="clear" w:pos="8459"/>
              <w:tab w:val="right" w:pos="9026" w:leader="dot"/>
            </w:tabs>
            <w:rPr/>
          </w:pPr>
          <w:hyperlink w:anchor="__RefHeading___Toc972496_237004111">
            <w:r>
              <w:rPr>
                <w:webHidden/>
                <w:rStyle w:val="IndexLink"/>
              </w:rPr>
              <w:t>81</w:t>
            </w:r>
            <w:r>
              <w:rPr>
                <w:rStyle w:val="IndexLink"/>
                <w:rtl w:val="true"/>
              </w:rPr>
              <w:t xml:space="preserve"> - </w:t>
            </w:r>
            <w:r>
              <w:rPr>
                <w:rStyle w:val="IndexLink"/>
                <w:rtl w:val="true"/>
              </w:rPr>
              <w:t xml:space="preserve">الآلوسیّ </w:t>
            </w:r>
            <w:r>
              <w:rPr>
                <w:rStyle w:val="IndexLink"/>
                <w:rtl w:val="true"/>
              </w:rPr>
              <w:t>(</w:t>
            </w:r>
            <w:r>
              <w:rPr>
                <w:rStyle w:val="IndexLink"/>
                <w:rtl w:val="true"/>
              </w:rPr>
              <w:t xml:space="preserve">ت </w:t>
            </w:r>
            <w:r>
              <w:rPr>
                <w:rStyle w:val="IndexLink"/>
              </w:rPr>
              <w:t>1270</w:t>
            </w:r>
            <w:r>
              <w:rPr>
                <w:rStyle w:val="IndexLink"/>
                <w:rtl w:val="true"/>
              </w:rPr>
              <w:t xml:space="preserve"> </w:t>
            </w:r>
            <w:r>
              <w:rPr>
                <w:rStyle w:val="IndexLink"/>
                <w:rtl w:val="true"/>
              </w:rPr>
              <w:t xml:space="preserve">ه </w:t>
            </w:r>
            <w:r>
              <w:rPr>
                <w:rStyle w:val="IndexLink"/>
                <w:rtl w:val="true"/>
              </w:rPr>
              <w:t>)</w:t>
              <w:tab/>
            </w:r>
            <w:r>
              <w:rPr>
                <w:rStyle w:val="IndexLink"/>
              </w:rPr>
              <w:t>401</w:t>
            </w:r>
          </w:hyperlink>
        </w:p>
        <w:p>
          <w:pPr>
            <w:pStyle w:val="Contents3"/>
            <w:tabs>
              <w:tab w:val="clear" w:pos="8459"/>
              <w:tab w:val="right" w:pos="9026" w:leader="dot"/>
            </w:tabs>
            <w:rPr/>
          </w:pPr>
          <w:hyperlink w:anchor="__RefHeading___Toc972498_237004111">
            <w:r>
              <w:rPr>
                <w:webHidden/>
                <w:rStyle w:val="IndexLink"/>
              </w:rPr>
              <w:t>82</w:t>
            </w:r>
            <w:r>
              <w:rPr>
                <w:rStyle w:val="IndexLink"/>
                <w:rtl w:val="true"/>
              </w:rPr>
              <w:t xml:space="preserve"> - </w:t>
            </w:r>
            <w:r>
              <w:rPr>
                <w:rStyle w:val="IndexLink"/>
                <w:rtl w:val="true"/>
              </w:rPr>
              <w:t>محمد جعفر ابن الشیخ محمد إبراهیم الکلباسی</w:t>
            </w:r>
            <w:r>
              <w:rPr>
                <w:rStyle w:val="IndexLink"/>
                <w:rtl w:val="true"/>
              </w:rPr>
              <w:tab/>
            </w:r>
            <w:r>
              <w:rPr>
                <w:rStyle w:val="IndexLink"/>
              </w:rPr>
              <w:t>402</w:t>
            </w:r>
          </w:hyperlink>
        </w:p>
        <w:p>
          <w:pPr>
            <w:pStyle w:val="Contents3"/>
            <w:tabs>
              <w:tab w:val="clear" w:pos="8459"/>
              <w:tab w:val="right" w:pos="9026" w:leader="dot"/>
            </w:tabs>
            <w:rPr/>
          </w:pPr>
          <w:hyperlink w:anchor="__RefHeading___Toc972500_237004111">
            <w:r>
              <w:rPr>
                <w:webHidden/>
                <w:rStyle w:val="IndexLink"/>
              </w:rPr>
              <w:t>83</w:t>
            </w:r>
            <w:r>
              <w:rPr>
                <w:rStyle w:val="IndexLink"/>
                <w:rtl w:val="true"/>
              </w:rPr>
              <w:t xml:space="preserve"> - </w:t>
            </w:r>
            <w:r>
              <w:rPr>
                <w:rStyle w:val="IndexLink"/>
                <w:rtl w:val="true"/>
              </w:rPr>
              <w:t xml:space="preserve">محمد بن عمر نووی الجاوی </w:t>
            </w:r>
            <w:r>
              <w:rPr>
                <w:rStyle w:val="IndexLink"/>
                <w:rtl w:val="true"/>
              </w:rPr>
              <w:t>(</w:t>
            </w:r>
            <w:r>
              <w:rPr>
                <w:rStyle w:val="IndexLink"/>
                <w:rtl w:val="true"/>
              </w:rPr>
              <w:t xml:space="preserve">ت </w:t>
            </w:r>
            <w:r>
              <w:rPr>
                <w:rStyle w:val="IndexLink"/>
              </w:rPr>
              <w:t>1316</w:t>
            </w:r>
            <w:r>
              <w:rPr>
                <w:rStyle w:val="IndexLink"/>
                <w:rtl w:val="true"/>
              </w:rPr>
              <w:t xml:space="preserve"> </w:t>
            </w:r>
            <w:r>
              <w:rPr>
                <w:rStyle w:val="IndexLink"/>
                <w:rtl w:val="true"/>
              </w:rPr>
              <w:t xml:space="preserve">ه </w:t>
            </w:r>
            <w:r>
              <w:rPr>
                <w:rStyle w:val="IndexLink"/>
                <w:rtl w:val="true"/>
              </w:rPr>
              <w:t>)</w:t>
              <w:tab/>
            </w:r>
            <w:r>
              <w:rPr>
                <w:rStyle w:val="IndexLink"/>
              </w:rPr>
              <w:t>403</w:t>
            </w:r>
          </w:hyperlink>
        </w:p>
        <w:p>
          <w:pPr>
            <w:pStyle w:val="Contents3"/>
            <w:tabs>
              <w:tab w:val="clear" w:pos="8459"/>
              <w:tab w:val="right" w:pos="9026" w:leader="dot"/>
            </w:tabs>
            <w:rPr/>
          </w:pPr>
          <w:hyperlink w:anchor="__RefHeading___Toc972502_237004111">
            <w:r>
              <w:rPr>
                <w:webHidden/>
                <w:rStyle w:val="IndexLink"/>
              </w:rPr>
              <w:t>84</w:t>
            </w:r>
            <w:r>
              <w:rPr>
                <w:rStyle w:val="IndexLink"/>
                <w:rtl w:val="true"/>
              </w:rPr>
              <w:t xml:space="preserve"> - </w:t>
            </w:r>
            <w:r>
              <w:rPr>
                <w:rStyle w:val="IndexLink"/>
                <w:rtl w:val="true"/>
              </w:rPr>
              <w:t xml:space="preserve">محمّد جمال الدّین القاسمی </w:t>
            </w:r>
            <w:r>
              <w:rPr>
                <w:rStyle w:val="IndexLink"/>
                <w:rtl w:val="true"/>
              </w:rPr>
              <w:t>(</w:t>
            </w:r>
            <w:r>
              <w:rPr>
                <w:rStyle w:val="IndexLink"/>
                <w:rtl w:val="true"/>
              </w:rPr>
              <w:t xml:space="preserve">ت </w:t>
            </w:r>
            <w:r>
              <w:rPr>
                <w:rStyle w:val="IndexLink"/>
              </w:rPr>
              <w:t>1283</w:t>
            </w:r>
            <w:r>
              <w:rPr>
                <w:rStyle w:val="IndexLink"/>
                <w:rtl w:val="true"/>
              </w:rPr>
              <w:t>-</w:t>
            </w:r>
            <w:r>
              <w:rPr>
                <w:rStyle w:val="IndexLink"/>
              </w:rPr>
              <w:t>1332</w:t>
            </w:r>
            <w:r>
              <w:rPr>
                <w:rStyle w:val="IndexLink"/>
                <w:rtl w:val="true"/>
              </w:rPr>
              <w:t xml:space="preserve"> </w:t>
            </w:r>
            <w:r>
              <w:rPr>
                <w:rStyle w:val="IndexLink"/>
                <w:rtl w:val="true"/>
              </w:rPr>
              <w:t xml:space="preserve">ه </w:t>
            </w:r>
            <w:r>
              <w:rPr>
                <w:rStyle w:val="IndexLink"/>
                <w:rtl w:val="true"/>
              </w:rPr>
              <w:t>)</w:t>
              <w:tab/>
            </w:r>
            <w:r>
              <w:rPr>
                <w:rStyle w:val="IndexLink"/>
              </w:rPr>
              <w:t>404</w:t>
            </w:r>
          </w:hyperlink>
        </w:p>
        <w:p>
          <w:pPr>
            <w:pStyle w:val="Contents3"/>
            <w:tabs>
              <w:tab w:val="clear" w:pos="8459"/>
              <w:tab w:val="right" w:pos="9026" w:leader="dot"/>
            </w:tabs>
            <w:rPr/>
          </w:pPr>
          <w:hyperlink w:anchor="__RefHeading___Toc972504_237004111">
            <w:r>
              <w:rPr>
                <w:webHidden/>
                <w:rStyle w:val="IndexLink"/>
              </w:rPr>
              <w:t>85</w:t>
            </w:r>
            <w:r>
              <w:rPr>
                <w:rStyle w:val="IndexLink"/>
                <w:rtl w:val="true"/>
              </w:rPr>
              <w:t xml:space="preserve"> - </w:t>
            </w:r>
            <w:r>
              <w:rPr>
                <w:rStyle w:val="IndexLink"/>
                <w:rtl w:val="true"/>
              </w:rPr>
              <w:t xml:space="preserve">الزرقانیّ </w:t>
            </w:r>
            <w:r>
              <w:rPr>
                <w:rStyle w:val="IndexLink"/>
                <w:rtl w:val="true"/>
              </w:rPr>
              <w:t>(</w:t>
            </w:r>
            <w:r>
              <w:rPr>
                <w:rStyle w:val="IndexLink"/>
                <w:rtl w:val="true"/>
              </w:rPr>
              <w:t xml:space="preserve">ت </w:t>
            </w:r>
            <w:r>
              <w:rPr>
                <w:rStyle w:val="IndexLink"/>
              </w:rPr>
              <w:t>1367</w:t>
            </w:r>
            <w:r>
              <w:rPr>
                <w:rStyle w:val="IndexLink"/>
                <w:rtl w:val="true"/>
              </w:rPr>
              <w:t xml:space="preserve"> </w:t>
            </w:r>
            <w:r>
              <w:rPr>
                <w:rStyle w:val="IndexLink"/>
                <w:rtl w:val="true"/>
              </w:rPr>
              <w:t xml:space="preserve">ه </w:t>
            </w:r>
            <w:r>
              <w:rPr>
                <w:rStyle w:val="IndexLink"/>
                <w:rtl w:val="true"/>
              </w:rPr>
              <w:t>)</w:t>
              <w:tab/>
            </w:r>
            <w:r>
              <w:rPr>
                <w:rStyle w:val="IndexLink"/>
              </w:rPr>
              <w:t>410</w:t>
            </w:r>
          </w:hyperlink>
        </w:p>
        <w:p>
          <w:pPr>
            <w:pStyle w:val="Contents3"/>
            <w:tabs>
              <w:tab w:val="clear" w:pos="8459"/>
              <w:tab w:val="right" w:pos="9026" w:leader="dot"/>
            </w:tabs>
            <w:rPr/>
          </w:pPr>
          <w:hyperlink w:anchor="__RefHeading___Toc972506_237004111">
            <w:r>
              <w:rPr>
                <w:webHidden/>
                <w:rStyle w:val="IndexLink"/>
              </w:rPr>
              <w:t>86</w:t>
            </w:r>
            <w:r>
              <w:rPr>
                <w:rStyle w:val="IndexLink"/>
                <w:rtl w:val="true"/>
              </w:rPr>
              <w:t xml:space="preserve"> - </w:t>
            </w:r>
            <w:r>
              <w:rPr>
                <w:rStyle w:val="IndexLink"/>
                <w:rtl w:val="true"/>
              </w:rPr>
              <w:t xml:space="preserve">السیّد محمد رشیدرضا </w:t>
            </w:r>
            <w:r>
              <w:rPr>
                <w:rStyle w:val="IndexLink"/>
                <w:rtl w:val="true"/>
              </w:rPr>
              <w:t>(</w:t>
            </w:r>
            <w:r>
              <w:rPr>
                <w:rStyle w:val="IndexLink"/>
                <w:rtl w:val="true"/>
              </w:rPr>
              <w:t xml:space="preserve">ت </w:t>
            </w:r>
            <w:r>
              <w:rPr>
                <w:rStyle w:val="IndexLink"/>
              </w:rPr>
              <w:t>1354</w:t>
            </w:r>
            <w:r>
              <w:rPr>
                <w:rStyle w:val="IndexLink"/>
                <w:rtl w:val="true"/>
              </w:rPr>
              <w:t xml:space="preserve"> </w:t>
            </w:r>
            <w:r>
              <w:rPr>
                <w:rStyle w:val="IndexLink"/>
                <w:rtl w:val="true"/>
              </w:rPr>
              <w:t xml:space="preserve">ه </w:t>
            </w:r>
            <w:r>
              <w:rPr>
                <w:rStyle w:val="IndexLink"/>
                <w:rtl w:val="true"/>
              </w:rPr>
              <w:t>)</w:t>
            </w:r>
            <w:r>
              <w:rPr>
                <w:rStyle w:val="IndexLink"/>
                <w:rtl w:val="true"/>
              </w:rPr>
              <w:t>، تلمید الشیّخ محمد عبده</w:t>
            </w:r>
            <w:r>
              <w:rPr>
                <w:rStyle w:val="IndexLink"/>
                <w:rtl w:val="true"/>
              </w:rPr>
              <w:tab/>
            </w:r>
            <w:r>
              <w:rPr>
                <w:rStyle w:val="IndexLink"/>
              </w:rPr>
              <w:t>410</w:t>
            </w:r>
          </w:hyperlink>
        </w:p>
        <w:p>
          <w:pPr>
            <w:pStyle w:val="Contents3"/>
            <w:tabs>
              <w:tab w:val="clear" w:pos="8459"/>
              <w:tab w:val="right" w:pos="9026" w:leader="dot"/>
            </w:tabs>
            <w:rPr/>
          </w:pPr>
          <w:hyperlink w:anchor="__RefHeading___Toc972508_237004111">
            <w:r>
              <w:rPr>
                <w:webHidden/>
                <w:rStyle w:val="IndexLink"/>
              </w:rPr>
              <w:t>87</w:t>
            </w:r>
            <w:r>
              <w:rPr>
                <w:rStyle w:val="IndexLink"/>
                <w:rtl w:val="true"/>
              </w:rPr>
              <w:t xml:space="preserve"> - </w:t>
            </w:r>
            <w:r>
              <w:rPr>
                <w:rStyle w:val="IndexLink"/>
                <w:rtl w:val="true"/>
              </w:rPr>
              <w:t xml:space="preserve">عبدالرحمن بن ناصر آل سعدی </w:t>
            </w:r>
            <w:r>
              <w:rPr>
                <w:rStyle w:val="IndexLink"/>
                <w:rtl w:val="true"/>
              </w:rPr>
              <w:t>(</w:t>
            </w:r>
            <w:r>
              <w:rPr>
                <w:rStyle w:val="IndexLink"/>
                <w:rtl w:val="true"/>
              </w:rPr>
              <w:t xml:space="preserve">ت </w:t>
            </w:r>
            <w:r>
              <w:rPr>
                <w:rStyle w:val="IndexLink"/>
              </w:rPr>
              <w:t>1376</w:t>
            </w:r>
            <w:r>
              <w:rPr>
                <w:rStyle w:val="IndexLink"/>
                <w:rtl w:val="true"/>
              </w:rPr>
              <w:t xml:space="preserve"> </w:t>
            </w:r>
            <w:r>
              <w:rPr>
                <w:rStyle w:val="IndexLink"/>
                <w:rtl w:val="true"/>
              </w:rPr>
              <w:t xml:space="preserve">ه </w:t>
            </w:r>
            <w:r>
              <w:rPr>
                <w:rStyle w:val="IndexLink"/>
                <w:rtl w:val="true"/>
              </w:rPr>
              <w:t>)</w:t>
              <w:tab/>
            </w:r>
            <w:r>
              <w:rPr>
                <w:rStyle w:val="IndexLink"/>
              </w:rPr>
              <w:t>411</w:t>
            </w:r>
          </w:hyperlink>
        </w:p>
        <w:p>
          <w:pPr>
            <w:pStyle w:val="Contents3"/>
            <w:tabs>
              <w:tab w:val="clear" w:pos="8459"/>
              <w:tab w:val="right" w:pos="9026" w:leader="dot"/>
            </w:tabs>
            <w:rPr/>
          </w:pPr>
          <w:hyperlink w:anchor="__RefHeading___Toc972510_237004111">
            <w:r>
              <w:rPr>
                <w:webHidden/>
                <w:rStyle w:val="IndexLink"/>
              </w:rPr>
              <w:t>88</w:t>
            </w:r>
            <w:r>
              <w:rPr>
                <w:rStyle w:val="IndexLink"/>
                <w:rtl w:val="true"/>
              </w:rPr>
              <w:t xml:space="preserve"> - </w:t>
            </w:r>
            <w:r>
              <w:rPr>
                <w:rStyle w:val="IndexLink"/>
                <w:rtl w:val="true"/>
              </w:rPr>
              <w:t xml:space="preserve">الشنقیطیّ </w:t>
            </w:r>
            <w:r>
              <w:rPr>
                <w:rStyle w:val="IndexLink"/>
                <w:rtl w:val="true"/>
              </w:rPr>
              <w:t>(</w:t>
            </w:r>
            <w:r>
              <w:rPr>
                <w:rStyle w:val="IndexLink"/>
                <w:rtl w:val="true"/>
              </w:rPr>
              <w:t xml:space="preserve">ت </w:t>
            </w:r>
            <w:r>
              <w:rPr>
                <w:rStyle w:val="IndexLink"/>
              </w:rPr>
              <w:t>1393</w:t>
            </w:r>
            <w:r>
              <w:rPr>
                <w:rStyle w:val="IndexLink"/>
                <w:rtl w:val="true"/>
              </w:rPr>
              <w:t xml:space="preserve"> </w:t>
            </w:r>
            <w:r>
              <w:rPr>
                <w:rStyle w:val="IndexLink"/>
                <w:rtl w:val="true"/>
              </w:rPr>
              <w:t xml:space="preserve">ه </w:t>
            </w:r>
            <w:r>
              <w:rPr>
                <w:rStyle w:val="IndexLink"/>
                <w:rtl w:val="true"/>
              </w:rPr>
              <w:t>)</w:t>
              <w:tab/>
            </w:r>
            <w:r>
              <w:rPr>
                <w:rStyle w:val="IndexLink"/>
              </w:rPr>
              <w:t>411</w:t>
            </w:r>
          </w:hyperlink>
        </w:p>
        <w:p>
          <w:pPr>
            <w:pStyle w:val="Contents3"/>
            <w:tabs>
              <w:tab w:val="clear" w:pos="8459"/>
              <w:tab w:val="right" w:pos="9026" w:leader="dot"/>
            </w:tabs>
            <w:rPr/>
          </w:pPr>
          <w:hyperlink w:anchor="__RefHeading___Toc972512_237004111">
            <w:r>
              <w:rPr>
                <w:webHidden/>
                <w:rStyle w:val="IndexLink"/>
              </w:rPr>
              <w:t>89</w:t>
            </w:r>
            <w:r>
              <w:rPr>
                <w:rStyle w:val="IndexLink"/>
                <w:rtl w:val="true"/>
              </w:rPr>
              <w:t xml:space="preserve"> - </w:t>
            </w:r>
            <w:r>
              <w:rPr>
                <w:rStyle w:val="IndexLink"/>
                <w:rtl w:val="true"/>
              </w:rPr>
              <w:t xml:space="preserve">الشیخ محمد الطّاهر ابن عاشور </w:t>
            </w:r>
            <w:r>
              <w:rPr>
                <w:rStyle w:val="IndexLink"/>
                <w:rtl w:val="true"/>
              </w:rPr>
              <w:t>(</w:t>
            </w:r>
            <w:r>
              <w:rPr>
                <w:rStyle w:val="IndexLink"/>
                <w:rtl w:val="true"/>
              </w:rPr>
              <w:t xml:space="preserve">ت </w:t>
            </w:r>
            <w:r>
              <w:rPr>
                <w:rStyle w:val="IndexLink"/>
              </w:rPr>
              <w:t>1393</w:t>
            </w:r>
            <w:r>
              <w:rPr>
                <w:rStyle w:val="IndexLink"/>
                <w:rtl w:val="true"/>
              </w:rPr>
              <w:t xml:space="preserve"> </w:t>
            </w:r>
            <w:r>
              <w:rPr>
                <w:rStyle w:val="IndexLink"/>
                <w:rtl w:val="true"/>
              </w:rPr>
              <w:t xml:space="preserve">ه </w:t>
            </w:r>
            <w:r>
              <w:rPr>
                <w:rStyle w:val="IndexLink"/>
                <w:rtl w:val="true"/>
              </w:rPr>
              <w:t>)</w:t>
              <w:tab/>
            </w:r>
            <w:r>
              <w:rPr>
                <w:rStyle w:val="IndexLink"/>
              </w:rPr>
              <w:t>412</w:t>
            </w:r>
          </w:hyperlink>
        </w:p>
        <w:p>
          <w:pPr>
            <w:pStyle w:val="Contents3"/>
            <w:tabs>
              <w:tab w:val="clear" w:pos="8459"/>
              <w:tab w:val="right" w:pos="9026" w:leader="dot"/>
            </w:tabs>
            <w:rPr/>
          </w:pPr>
          <w:hyperlink w:anchor="__RefHeading___Toc972514_237004111">
            <w:r>
              <w:rPr>
                <w:webHidden/>
                <w:rStyle w:val="IndexLink"/>
              </w:rPr>
              <w:t>90</w:t>
            </w:r>
            <w:r>
              <w:rPr>
                <w:rStyle w:val="IndexLink"/>
                <w:rtl w:val="true"/>
              </w:rPr>
              <w:t xml:space="preserve"> - </w:t>
            </w:r>
            <w:r>
              <w:rPr>
                <w:rStyle w:val="IndexLink"/>
                <w:rtl w:val="true"/>
              </w:rPr>
              <w:t xml:space="preserve">محمد أبو زهرة </w:t>
            </w:r>
            <w:r>
              <w:rPr>
                <w:rStyle w:val="IndexLink"/>
                <w:rtl w:val="true"/>
              </w:rPr>
              <w:t>(</w:t>
            </w:r>
            <w:r>
              <w:rPr>
                <w:rStyle w:val="IndexLink"/>
                <w:rtl w:val="true"/>
              </w:rPr>
              <w:t xml:space="preserve">ت </w:t>
            </w:r>
            <w:r>
              <w:rPr>
                <w:rStyle w:val="IndexLink"/>
              </w:rPr>
              <w:t>1394</w:t>
            </w:r>
            <w:r>
              <w:rPr>
                <w:rStyle w:val="IndexLink"/>
                <w:rtl w:val="true"/>
              </w:rPr>
              <w:t xml:space="preserve"> </w:t>
            </w:r>
            <w:r>
              <w:rPr>
                <w:rStyle w:val="IndexLink"/>
                <w:rtl w:val="true"/>
              </w:rPr>
              <w:t xml:space="preserve">ه </w:t>
            </w:r>
            <w:r>
              <w:rPr>
                <w:rStyle w:val="IndexLink"/>
                <w:rtl w:val="true"/>
              </w:rPr>
              <w:t>)</w:t>
              <w:tab/>
            </w:r>
            <w:r>
              <w:rPr>
                <w:rStyle w:val="IndexLink"/>
              </w:rPr>
              <w:t>413</w:t>
            </w:r>
          </w:hyperlink>
        </w:p>
        <w:p>
          <w:pPr>
            <w:pStyle w:val="Contents3"/>
            <w:tabs>
              <w:tab w:val="clear" w:pos="8459"/>
              <w:tab w:val="right" w:pos="9026" w:leader="dot"/>
            </w:tabs>
            <w:rPr/>
          </w:pPr>
          <w:hyperlink w:anchor="__RefHeading___Toc972516_237004111">
            <w:r>
              <w:rPr>
                <w:webHidden/>
                <w:rStyle w:val="IndexLink"/>
              </w:rPr>
              <w:t>91</w:t>
            </w:r>
            <w:r>
              <w:rPr>
                <w:rStyle w:val="IndexLink"/>
                <w:rtl w:val="true"/>
              </w:rPr>
              <w:t xml:space="preserve"> - </w:t>
            </w:r>
            <w:r>
              <w:rPr>
                <w:rStyle w:val="IndexLink"/>
                <w:rtl w:val="true"/>
              </w:rPr>
              <w:t>الشیخ أحمد مصطفی المراغی</w:t>
            </w:r>
            <w:r>
              <w:rPr>
                <w:rStyle w:val="IndexLink"/>
                <w:rtl w:val="true"/>
              </w:rPr>
              <w:tab/>
            </w:r>
            <w:r>
              <w:rPr>
                <w:rStyle w:val="IndexLink"/>
              </w:rPr>
              <w:t>413</w:t>
            </w:r>
          </w:hyperlink>
        </w:p>
        <w:p>
          <w:pPr>
            <w:pStyle w:val="Contents3"/>
            <w:tabs>
              <w:tab w:val="clear" w:pos="8459"/>
              <w:tab w:val="right" w:pos="9026" w:leader="dot"/>
            </w:tabs>
            <w:rPr/>
          </w:pPr>
          <w:hyperlink w:anchor="__RefHeading___Toc972518_237004111">
            <w:r>
              <w:rPr>
                <w:webHidden/>
                <w:rStyle w:val="IndexLink"/>
              </w:rPr>
              <w:t>92</w:t>
            </w:r>
            <w:r>
              <w:rPr>
                <w:rStyle w:val="IndexLink"/>
                <w:rtl w:val="true"/>
              </w:rPr>
              <w:t xml:space="preserve"> - </w:t>
            </w:r>
            <w:r>
              <w:rPr>
                <w:rStyle w:val="IndexLink"/>
                <w:rtl w:val="true"/>
              </w:rPr>
              <w:t>الشیخ محمد جواد مغنیة</w:t>
            </w:r>
            <w:r>
              <w:rPr>
                <w:rStyle w:val="IndexLink"/>
                <w:rtl w:val="true"/>
              </w:rPr>
              <w:tab/>
            </w:r>
            <w:r>
              <w:rPr>
                <w:rStyle w:val="IndexLink"/>
              </w:rPr>
              <w:t>414</w:t>
            </w:r>
          </w:hyperlink>
        </w:p>
        <w:p>
          <w:pPr>
            <w:pStyle w:val="Contents3"/>
            <w:tabs>
              <w:tab w:val="clear" w:pos="8459"/>
              <w:tab w:val="right" w:pos="9026" w:leader="dot"/>
            </w:tabs>
            <w:rPr/>
          </w:pPr>
          <w:hyperlink w:anchor="__RefHeading___Toc972520_237004111">
            <w:r>
              <w:rPr>
                <w:webHidden/>
                <w:rStyle w:val="IndexLink"/>
              </w:rPr>
              <w:t>93</w:t>
            </w:r>
            <w:r>
              <w:rPr>
                <w:rStyle w:val="IndexLink"/>
                <w:rtl w:val="true"/>
              </w:rPr>
              <w:t xml:space="preserve"> - </w:t>
            </w:r>
            <w:r>
              <w:rPr>
                <w:rStyle w:val="IndexLink"/>
                <w:rtl w:val="true"/>
              </w:rPr>
              <w:t xml:space="preserve">الدکتور وهبة الزّحیلی </w:t>
            </w:r>
            <w:r>
              <w:rPr>
                <w:rStyle w:val="IndexLink"/>
                <w:rtl w:val="true"/>
              </w:rPr>
              <w:t>(</w:t>
            </w:r>
            <w:r>
              <w:rPr>
                <w:rStyle w:val="IndexLink"/>
                <w:rtl w:val="true"/>
              </w:rPr>
              <w:t>من المعاصرین</w:t>
            </w:r>
            <w:r>
              <w:rPr>
                <w:rStyle w:val="IndexLink"/>
                <w:rtl w:val="true"/>
              </w:rPr>
              <w:t>)</w:t>
              <w:tab/>
            </w:r>
            <w:r>
              <w:rPr>
                <w:rStyle w:val="IndexLink"/>
              </w:rPr>
              <w:t>415</w:t>
            </w:r>
          </w:hyperlink>
        </w:p>
        <w:p>
          <w:pPr>
            <w:pStyle w:val="Contents3"/>
            <w:tabs>
              <w:tab w:val="clear" w:pos="8459"/>
              <w:tab w:val="right" w:pos="9026" w:leader="dot"/>
            </w:tabs>
            <w:rPr/>
          </w:pPr>
          <w:hyperlink w:anchor="__RefHeading___Toc972522_237004111">
            <w:r>
              <w:rPr>
                <w:webHidden/>
                <w:rStyle w:val="IndexLink"/>
              </w:rPr>
              <w:t>94</w:t>
            </w:r>
            <w:r>
              <w:rPr>
                <w:rStyle w:val="IndexLink"/>
                <w:rtl w:val="true"/>
              </w:rPr>
              <w:t xml:space="preserve"> - </w:t>
            </w:r>
            <w:r>
              <w:rPr>
                <w:rStyle w:val="IndexLink"/>
                <w:rtl w:val="true"/>
              </w:rPr>
              <w:t xml:space="preserve">السیّد قطب </w:t>
            </w:r>
            <w:r>
              <w:rPr>
                <w:rStyle w:val="IndexLink"/>
                <w:rtl w:val="true"/>
              </w:rPr>
              <w:t>(</w:t>
            </w:r>
            <w:r>
              <w:rPr>
                <w:rStyle w:val="IndexLink"/>
                <w:rtl w:val="true"/>
              </w:rPr>
              <w:t>من المعاصرین</w:t>
            </w:r>
            <w:r>
              <w:rPr>
                <w:rStyle w:val="IndexLink"/>
                <w:rtl w:val="true"/>
              </w:rPr>
              <w:t>)</w:t>
              <w:tab/>
            </w:r>
            <w:r>
              <w:rPr>
                <w:rStyle w:val="IndexLink"/>
              </w:rPr>
              <w:t>416</w:t>
            </w:r>
          </w:hyperlink>
        </w:p>
        <w:p>
          <w:pPr>
            <w:pStyle w:val="Contents3"/>
            <w:tabs>
              <w:tab w:val="clear" w:pos="8459"/>
              <w:tab w:val="right" w:pos="9026" w:leader="dot"/>
            </w:tabs>
            <w:rPr/>
          </w:pPr>
          <w:hyperlink w:anchor="__RefHeading___Toc972524_237004111">
            <w:r>
              <w:rPr>
                <w:webHidden/>
                <w:rStyle w:val="IndexLink"/>
              </w:rPr>
              <w:t>95</w:t>
            </w:r>
            <w:r>
              <w:rPr>
                <w:rStyle w:val="IndexLink"/>
                <w:rtl w:val="true"/>
              </w:rPr>
              <w:t xml:space="preserve"> - </w:t>
            </w:r>
            <w:r>
              <w:rPr>
                <w:rStyle w:val="IndexLink"/>
                <w:rtl w:val="true"/>
              </w:rPr>
              <w:t>الدّکتور یاسین جاسم</w:t>
            </w:r>
            <w:r>
              <w:rPr>
                <w:rStyle w:val="IndexLink"/>
                <w:rtl w:val="true"/>
              </w:rPr>
              <w:tab/>
            </w:r>
            <w:r>
              <w:rPr>
                <w:rStyle w:val="IndexLink"/>
              </w:rPr>
              <w:t>417</w:t>
            </w:r>
          </w:hyperlink>
        </w:p>
        <w:p>
          <w:pPr>
            <w:pStyle w:val="Contents3"/>
            <w:tabs>
              <w:tab w:val="clear" w:pos="8459"/>
              <w:tab w:val="right" w:pos="9026" w:leader="dot"/>
            </w:tabs>
            <w:rPr/>
          </w:pPr>
          <w:hyperlink w:anchor="__RefHeading___Toc972526_237004111">
            <w:r>
              <w:rPr>
                <w:webHidden/>
                <w:rStyle w:val="IndexLink"/>
              </w:rPr>
              <w:t>96</w:t>
            </w:r>
            <w:r>
              <w:rPr>
                <w:rStyle w:val="IndexLink"/>
                <w:rtl w:val="true"/>
              </w:rPr>
              <w:t xml:space="preserve"> - </w:t>
            </w:r>
            <w:r>
              <w:rPr>
                <w:rStyle w:val="IndexLink"/>
                <w:rtl w:val="true"/>
              </w:rPr>
              <w:t>الدّکتور عبداللّطیف</w:t>
            </w:r>
            <w:r>
              <w:rPr>
                <w:rStyle w:val="IndexLink"/>
                <w:rtl w:val="true"/>
              </w:rPr>
              <w:tab/>
            </w:r>
            <w:r>
              <w:rPr>
                <w:rStyle w:val="IndexLink"/>
              </w:rPr>
              <w:t>418</w:t>
            </w:r>
          </w:hyperlink>
        </w:p>
        <w:p>
          <w:pPr>
            <w:pStyle w:val="Contents3"/>
            <w:tabs>
              <w:tab w:val="clear" w:pos="8459"/>
              <w:tab w:val="right" w:pos="9026" w:leader="dot"/>
            </w:tabs>
            <w:rPr/>
          </w:pPr>
          <w:hyperlink w:anchor="__RefHeading___Toc972528_237004111">
            <w:r>
              <w:rPr>
                <w:webHidden/>
                <w:rStyle w:val="IndexLink"/>
              </w:rPr>
              <w:t>97</w:t>
            </w:r>
            <w:r>
              <w:rPr>
                <w:rStyle w:val="IndexLink"/>
                <w:rtl w:val="true"/>
              </w:rPr>
              <w:t xml:space="preserve"> - </w:t>
            </w:r>
            <w:r>
              <w:rPr>
                <w:rStyle w:val="IndexLink"/>
                <w:rtl w:val="true"/>
              </w:rPr>
              <w:t>محیی الدّین الدّرویش</w:t>
            </w:r>
            <w:r>
              <w:rPr>
                <w:rStyle w:val="IndexLink"/>
                <w:rtl w:val="true"/>
              </w:rPr>
              <w:tab/>
            </w:r>
            <w:r>
              <w:rPr>
                <w:rStyle w:val="IndexLink"/>
              </w:rPr>
              <w:t>418</w:t>
            </w:r>
          </w:hyperlink>
        </w:p>
        <w:p>
          <w:pPr>
            <w:pStyle w:val="Contents3"/>
            <w:tabs>
              <w:tab w:val="clear" w:pos="8459"/>
              <w:tab w:val="right" w:pos="9026" w:leader="dot"/>
            </w:tabs>
            <w:rPr/>
          </w:pPr>
          <w:hyperlink w:anchor="__RefHeading___Toc972530_237004111">
            <w:r>
              <w:rPr>
                <w:webHidden/>
                <w:rStyle w:val="IndexLink"/>
              </w:rPr>
              <w:t>98</w:t>
            </w:r>
            <w:r>
              <w:rPr>
                <w:rStyle w:val="IndexLink"/>
                <w:rtl w:val="true"/>
              </w:rPr>
              <w:t xml:space="preserve"> - </w:t>
            </w:r>
            <w:r>
              <w:rPr>
                <w:rStyle w:val="IndexLink"/>
                <w:rtl w:val="true"/>
              </w:rPr>
              <w:t>بهجت عبدالواحد صالح</w:t>
            </w:r>
            <w:r>
              <w:rPr>
                <w:rStyle w:val="IndexLink"/>
                <w:rtl w:val="true"/>
              </w:rPr>
              <w:tab/>
            </w:r>
            <w:r>
              <w:rPr>
                <w:rStyle w:val="IndexLink"/>
              </w:rPr>
              <w:t>419</w:t>
            </w:r>
          </w:hyperlink>
        </w:p>
        <w:p>
          <w:pPr>
            <w:pStyle w:val="Contents3"/>
            <w:tabs>
              <w:tab w:val="clear" w:pos="8459"/>
              <w:tab w:val="right" w:pos="9026" w:leader="dot"/>
            </w:tabs>
            <w:rPr/>
          </w:pPr>
          <w:hyperlink w:anchor="__RefHeading___Toc972532_237004111">
            <w:r>
              <w:rPr>
                <w:webHidden/>
                <w:rStyle w:val="IndexLink"/>
              </w:rPr>
              <w:t>99</w:t>
            </w:r>
            <w:r>
              <w:rPr>
                <w:rStyle w:val="IndexLink"/>
                <w:rtl w:val="true"/>
              </w:rPr>
              <w:t xml:space="preserve"> - </w:t>
            </w:r>
            <w:r>
              <w:rPr>
                <w:rStyle w:val="IndexLink"/>
                <w:rtl w:val="true"/>
              </w:rPr>
              <w:t>محمد علی الصّابونی</w:t>
            </w:r>
            <w:r>
              <w:rPr>
                <w:rStyle w:val="IndexLink"/>
                <w:rtl w:val="true"/>
              </w:rPr>
              <w:tab/>
            </w:r>
            <w:r>
              <w:rPr>
                <w:rStyle w:val="IndexLink"/>
              </w:rPr>
              <w:t>420</w:t>
            </w:r>
          </w:hyperlink>
        </w:p>
        <w:p>
          <w:pPr>
            <w:pStyle w:val="Contents3"/>
            <w:tabs>
              <w:tab w:val="clear" w:pos="8459"/>
              <w:tab w:val="right" w:pos="9026" w:leader="dot"/>
            </w:tabs>
            <w:rPr/>
          </w:pPr>
          <w:hyperlink w:anchor="__RefHeading___Toc972534_237004111">
            <w:r>
              <w:rPr>
                <w:webHidden/>
                <w:rStyle w:val="IndexLink"/>
              </w:rPr>
              <w:t>100</w:t>
            </w:r>
            <w:r>
              <w:rPr>
                <w:rStyle w:val="IndexLink"/>
                <w:rtl w:val="true"/>
              </w:rPr>
              <w:t xml:space="preserve"> - </w:t>
            </w:r>
            <w:r>
              <w:rPr>
                <w:rStyle w:val="IndexLink"/>
                <w:rtl w:val="true"/>
              </w:rPr>
              <w:t>الدّکتور سلیمان بن إبراهیم بن عبداللّه اللّاحم</w:t>
            </w:r>
            <w:r>
              <w:rPr>
                <w:rStyle w:val="IndexLink"/>
                <w:rtl w:val="true"/>
              </w:rPr>
              <w:tab/>
            </w:r>
            <w:r>
              <w:rPr>
                <w:rStyle w:val="IndexLink"/>
              </w:rPr>
              <w:t>421</w:t>
            </w:r>
          </w:hyperlink>
        </w:p>
        <w:p>
          <w:pPr>
            <w:pStyle w:val="Contents3"/>
            <w:tabs>
              <w:tab w:val="clear" w:pos="8459"/>
              <w:tab w:val="right" w:pos="9026" w:leader="dot"/>
            </w:tabs>
            <w:rPr/>
          </w:pPr>
          <w:hyperlink w:anchor="__RefHeading___Toc972536_237004111">
            <w:r>
              <w:rPr>
                <w:webHidden/>
                <w:rStyle w:val="IndexLink"/>
              </w:rPr>
              <w:t>101</w:t>
            </w:r>
            <w:r>
              <w:rPr>
                <w:rStyle w:val="IndexLink"/>
                <w:rtl w:val="true"/>
              </w:rPr>
              <w:t xml:space="preserve"> - </w:t>
            </w:r>
            <w:r>
              <w:rPr>
                <w:rStyle w:val="IndexLink"/>
                <w:rtl w:val="true"/>
              </w:rPr>
              <w:t>الدّکتور محمد سالم محیسن</w:t>
            </w:r>
            <w:r>
              <w:rPr>
                <w:rStyle w:val="IndexLink"/>
                <w:rtl w:val="true"/>
              </w:rPr>
              <w:tab/>
            </w:r>
            <w:r>
              <w:rPr>
                <w:rStyle w:val="IndexLink"/>
              </w:rPr>
              <w:t>421</w:t>
            </w:r>
          </w:hyperlink>
        </w:p>
        <w:p>
          <w:pPr>
            <w:pStyle w:val="Contents2"/>
            <w:tabs>
              <w:tab w:val="clear" w:pos="8743"/>
              <w:tab w:val="right" w:pos="9026" w:leader="dot"/>
            </w:tabs>
            <w:rPr/>
          </w:pPr>
          <w:hyperlink w:anchor="__RefHeading___Toc972538_237004111">
            <w:r>
              <w:rPr>
                <w:webHidden/>
                <w:rStyle w:val="IndexLink"/>
                <w:rtl w:val="true"/>
              </w:rPr>
              <w:t>الفصل الثالث</w:t>
            </w:r>
            <w:r>
              <w:rPr>
                <w:rStyle w:val="IndexLink"/>
                <w:rtl w:val="true"/>
              </w:rPr>
              <w:t xml:space="preserve">: </w:t>
            </w:r>
            <w:r>
              <w:rPr>
                <w:rStyle w:val="IndexLink"/>
                <w:rtl w:val="true"/>
              </w:rPr>
              <w:t>فی قراءة الرفع</w:t>
            </w:r>
            <w:r>
              <w:rPr>
                <w:rStyle w:val="IndexLink"/>
                <w:rtl w:val="true"/>
              </w:rPr>
              <w:tab/>
            </w:r>
            <w:r>
              <w:rPr>
                <w:rStyle w:val="IndexLink"/>
              </w:rPr>
              <w:t>423</w:t>
            </w:r>
          </w:hyperlink>
        </w:p>
        <w:p>
          <w:pPr>
            <w:pStyle w:val="Contents3"/>
            <w:tabs>
              <w:tab w:val="clear" w:pos="8459"/>
              <w:tab w:val="right" w:pos="9026" w:leader="dot"/>
            </w:tabs>
            <w:rPr/>
          </w:pPr>
          <w:hyperlink w:anchor="__RefHeading___Toc972540_237004111">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972542_237004111">
            <w:r>
              <w:rPr>
                <w:webHidden/>
                <w:rStyle w:val="IndexLink"/>
              </w:rPr>
              <w:t>1</w:t>
            </w:r>
            <w:r>
              <w:rPr>
                <w:rStyle w:val="IndexLink"/>
                <w:rtl w:val="true"/>
              </w:rPr>
              <w:t xml:space="preserve"> - </w:t>
            </w:r>
            <w:r>
              <w:rPr>
                <w:rStyle w:val="IndexLink"/>
                <w:rtl w:val="true"/>
              </w:rPr>
              <w:t xml:space="preserve">ابن جنّی </w:t>
            </w:r>
            <w:r>
              <w:rPr>
                <w:rStyle w:val="IndexLink"/>
                <w:rtl w:val="true"/>
              </w:rPr>
              <w:t>(</w:t>
            </w:r>
            <w:r>
              <w:rPr>
                <w:rStyle w:val="IndexLink"/>
                <w:rtl w:val="true"/>
              </w:rPr>
              <w:t xml:space="preserve">ت </w:t>
            </w:r>
            <w:r>
              <w:rPr>
                <w:rStyle w:val="IndexLink"/>
              </w:rPr>
              <w:t>392</w:t>
            </w:r>
            <w:r>
              <w:rPr>
                <w:rStyle w:val="IndexLink"/>
                <w:rtl w:val="true"/>
              </w:rPr>
              <w:t xml:space="preserve"> </w:t>
            </w:r>
            <w:r>
              <w:rPr>
                <w:rStyle w:val="IndexLink"/>
                <w:rtl w:val="true"/>
              </w:rPr>
              <w:t xml:space="preserve">ه </w:t>
            </w:r>
            <w:r>
              <w:rPr>
                <w:rStyle w:val="IndexLink"/>
                <w:rtl w:val="true"/>
              </w:rPr>
              <w:t>)</w:t>
              <w:tab/>
            </w:r>
            <w:r>
              <w:rPr>
                <w:rStyle w:val="IndexLink"/>
              </w:rPr>
              <w:t>427</w:t>
            </w:r>
          </w:hyperlink>
        </w:p>
        <w:p>
          <w:pPr>
            <w:pStyle w:val="Contents3"/>
            <w:tabs>
              <w:tab w:val="clear" w:pos="8459"/>
              <w:tab w:val="right" w:pos="9026" w:leader="dot"/>
            </w:tabs>
            <w:rPr/>
          </w:pPr>
          <w:hyperlink w:anchor="__RefHeading___Toc972544_237004111">
            <w:r>
              <w:rPr>
                <w:webHidden/>
                <w:rStyle w:val="IndexLink"/>
              </w:rPr>
              <w:t>2</w:t>
            </w:r>
            <w:r>
              <w:rPr>
                <w:rStyle w:val="IndexLink"/>
                <w:rtl w:val="true"/>
              </w:rPr>
              <w:t xml:space="preserve"> - </w:t>
            </w:r>
            <w:r>
              <w:rPr>
                <w:rStyle w:val="IndexLink"/>
                <w:rtl w:val="true"/>
              </w:rPr>
              <w:t xml:space="preserve">ابن سیده </w:t>
            </w:r>
            <w:r>
              <w:rPr>
                <w:rStyle w:val="IndexLink"/>
                <w:rtl w:val="true"/>
              </w:rPr>
              <w:t>(</w:t>
            </w:r>
            <w:r>
              <w:rPr>
                <w:rStyle w:val="IndexLink"/>
                <w:rtl w:val="true"/>
              </w:rPr>
              <w:t xml:space="preserve">ت </w:t>
            </w:r>
            <w:r>
              <w:rPr>
                <w:rStyle w:val="IndexLink"/>
              </w:rPr>
              <w:t>458</w:t>
            </w:r>
            <w:r>
              <w:rPr>
                <w:rStyle w:val="IndexLink"/>
                <w:rtl w:val="true"/>
              </w:rPr>
              <w:t xml:space="preserve"> </w:t>
            </w:r>
            <w:r>
              <w:rPr>
                <w:rStyle w:val="IndexLink"/>
                <w:rtl w:val="true"/>
              </w:rPr>
              <w:t xml:space="preserve">ه </w:t>
            </w:r>
            <w:r>
              <w:rPr>
                <w:rStyle w:val="IndexLink"/>
                <w:rtl w:val="true"/>
              </w:rPr>
              <w:t>)</w:t>
              <w:tab/>
            </w:r>
            <w:r>
              <w:rPr>
                <w:rStyle w:val="IndexLink"/>
              </w:rPr>
              <w:t>428</w:t>
            </w:r>
          </w:hyperlink>
        </w:p>
        <w:p>
          <w:pPr>
            <w:pStyle w:val="Contents3"/>
            <w:tabs>
              <w:tab w:val="clear" w:pos="8459"/>
              <w:tab w:val="right" w:pos="9026" w:leader="dot"/>
            </w:tabs>
            <w:rPr/>
          </w:pPr>
          <w:hyperlink w:anchor="__RefHeading___Toc972546_237004111">
            <w:r>
              <w:rPr>
                <w:webHidden/>
                <w:rStyle w:val="IndexLink"/>
              </w:rPr>
              <w:t>3</w:t>
            </w:r>
            <w:r>
              <w:rPr>
                <w:rStyle w:val="IndexLink"/>
                <w:rtl w:val="true"/>
              </w:rPr>
              <w:t xml:space="preserve"> - </w:t>
            </w:r>
            <w:r>
              <w:rPr>
                <w:rStyle w:val="IndexLink"/>
                <w:rtl w:val="true"/>
              </w:rPr>
              <w:t xml:space="preserve">الزمخشری </w:t>
            </w:r>
            <w:r>
              <w:rPr>
                <w:rStyle w:val="IndexLink"/>
                <w:rtl w:val="true"/>
              </w:rPr>
              <w:t>(</w:t>
            </w:r>
            <w:r>
              <w:rPr>
                <w:rStyle w:val="IndexLink"/>
                <w:rtl w:val="true"/>
              </w:rPr>
              <w:t xml:space="preserve">ت </w:t>
            </w:r>
            <w:r>
              <w:rPr>
                <w:rStyle w:val="IndexLink"/>
              </w:rPr>
              <w:t>538</w:t>
            </w:r>
            <w:r>
              <w:rPr>
                <w:rStyle w:val="IndexLink"/>
                <w:rtl w:val="true"/>
              </w:rPr>
              <w:t xml:space="preserve"> </w:t>
            </w:r>
            <w:r>
              <w:rPr>
                <w:rStyle w:val="IndexLink"/>
                <w:rtl w:val="true"/>
              </w:rPr>
              <w:t xml:space="preserve">ه </w:t>
            </w:r>
            <w:r>
              <w:rPr>
                <w:rStyle w:val="IndexLink"/>
                <w:rtl w:val="true"/>
              </w:rPr>
              <w:t>)</w:t>
              <w:tab/>
            </w:r>
            <w:r>
              <w:rPr>
                <w:rStyle w:val="IndexLink"/>
              </w:rPr>
              <w:t>428</w:t>
            </w:r>
          </w:hyperlink>
        </w:p>
        <w:p>
          <w:pPr>
            <w:pStyle w:val="Contents3"/>
            <w:tabs>
              <w:tab w:val="clear" w:pos="8459"/>
              <w:tab w:val="right" w:pos="9026" w:leader="dot"/>
            </w:tabs>
            <w:rPr/>
          </w:pPr>
          <w:hyperlink w:anchor="__RefHeading___Toc972548_237004111">
            <w:r>
              <w:rPr>
                <w:webHidden/>
                <w:rStyle w:val="IndexLink"/>
              </w:rPr>
              <w:t>4</w:t>
            </w:r>
            <w:r>
              <w:rPr>
                <w:rStyle w:val="IndexLink"/>
                <w:rtl w:val="true"/>
              </w:rPr>
              <w:t xml:space="preserve"> - </w:t>
            </w:r>
            <w:r>
              <w:rPr>
                <w:rStyle w:val="IndexLink"/>
                <w:rtl w:val="true"/>
              </w:rPr>
              <w:t xml:space="preserve">ابن العربی </w:t>
            </w:r>
            <w:r>
              <w:rPr>
                <w:rStyle w:val="IndexLink"/>
                <w:rtl w:val="true"/>
              </w:rPr>
              <w:t>(</w:t>
            </w:r>
            <w:r>
              <w:rPr>
                <w:rStyle w:val="IndexLink"/>
                <w:rtl w:val="true"/>
              </w:rPr>
              <w:t xml:space="preserve">ت </w:t>
            </w:r>
            <w:r>
              <w:rPr>
                <w:rStyle w:val="IndexLink"/>
              </w:rPr>
              <w:t>543</w:t>
            </w:r>
            <w:r>
              <w:rPr>
                <w:rStyle w:val="IndexLink"/>
                <w:rtl w:val="true"/>
              </w:rPr>
              <w:t xml:space="preserve"> </w:t>
            </w:r>
            <w:r>
              <w:rPr>
                <w:rStyle w:val="IndexLink"/>
                <w:rtl w:val="true"/>
              </w:rPr>
              <w:t xml:space="preserve">ه </w:t>
            </w:r>
            <w:r>
              <w:rPr>
                <w:rStyle w:val="IndexLink"/>
                <w:rtl w:val="true"/>
              </w:rPr>
              <w:t>)</w:t>
              <w:tab/>
            </w:r>
            <w:r>
              <w:rPr>
                <w:rStyle w:val="IndexLink"/>
              </w:rPr>
              <w:t>429</w:t>
            </w:r>
          </w:hyperlink>
        </w:p>
        <w:p>
          <w:pPr>
            <w:pStyle w:val="Contents3"/>
            <w:tabs>
              <w:tab w:val="clear" w:pos="8459"/>
              <w:tab w:val="right" w:pos="9026" w:leader="dot"/>
            </w:tabs>
            <w:rPr/>
          </w:pPr>
          <w:hyperlink w:anchor="__RefHeading___Toc972550_237004111">
            <w:r>
              <w:rPr>
                <w:webHidden/>
                <w:rStyle w:val="IndexLink"/>
              </w:rPr>
              <w:t>5</w:t>
            </w:r>
            <w:r>
              <w:rPr>
                <w:rStyle w:val="IndexLink"/>
                <w:rtl w:val="true"/>
              </w:rPr>
              <w:t xml:space="preserve"> - </w:t>
            </w:r>
            <w:r>
              <w:rPr>
                <w:rStyle w:val="IndexLink"/>
                <w:rtl w:val="true"/>
              </w:rPr>
              <w:t xml:space="preserve">ابن عطیّة الأندلسیّ </w:t>
            </w:r>
            <w:r>
              <w:rPr>
                <w:rStyle w:val="IndexLink"/>
                <w:rtl w:val="true"/>
              </w:rPr>
              <w:t>(</w:t>
            </w:r>
            <w:r>
              <w:rPr>
                <w:rStyle w:val="IndexLink"/>
                <w:rtl w:val="true"/>
              </w:rPr>
              <w:t xml:space="preserve">ت </w:t>
            </w:r>
            <w:r>
              <w:rPr>
                <w:rStyle w:val="IndexLink"/>
              </w:rPr>
              <w:t>546</w:t>
            </w:r>
            <w:r>
              <w:rPr>
                <w:rStyle w:val="IndexLink"/>
                <w:rtl w:val="true"/>
              </w:rPr>
              <w:t xml:space="preserve"> </w:t>
            </w:r>
            <w:r>
              <w:rPr>
                <w:rStyle w:val="IndexLink"/>
                <w:rtl w:val="true"/>
              </w:rPr>
              <w:t xml:space="preserve">ه </w:t>
            </w:r>
            <w:r>
              <w:rPr>
                <w:rStyle w:val="IndexLink"/>
                <w:rtl w:val="true"/>
              </w:rPr>
              <w:t>)</w:t>
              <w:tab/>
            </w:r>
            <w:r>
              <w:rPr>
                <w:rStyle w:val="IndexLink"/>
              </w:rPr>
              <w:t>430</w:t>
            </w:r>
          </w:hyperlink>
        </w:p>
        <w:p>
          <w:pPr>
            <w:pStyle w:val="Contents3"/>
            <w:tabs>
              <w:tab w:val="clear" w:pos="8459"/>
              <w:tab w:val="right" w:pos="9026" w:leader="dot"/>
            </w:tabs>
            <w:rPr/>
          </w:pPr>
          <w:hyperlink w:anchor="__RefHeading___Toc972552_237004111">
            <w:r>
              <w:rPr>
                <w:webHidden/>
                <w:rStyle w:val="IndexLink"/>
              </w:rPr>
              <w:t>6</w:t>
            </w:r>
            <w:r>
              <w:rPr>
                <w:rStyle w:val="IndexLink"/>
                <w:rtl w:val="true"/>
              </w:rPr>
              <w:t xml:space="preserve"> - </w:t>
            </w:r>
            <w:r>
              <w:rPr>
                <w:rStyle w:val="IndexLink"/>
                <w:rtl w:val="true"/>
              </w:rPr>
              <w:t xml:space="preserve">محمود بن أبی الحسن النیّسابوری </w:t>
            </w:r>
            <w:r>
              <w:rPr>
                <w:rStyle w:val="IndexLink"/>
                <w:rtl w:val="true"/>
              </w:rPr>
              <w:t>(</w:t>
            </w:r>
            <w:r>
              <w:rPr>
                <w:rStyle w:val="IndexLink"/>
                <w:rtl w:val="true"/>
              </w:rPr>
              <w:t xml:space="preserve">ت </w:t>
            </w:r>
            <w:r>
              <w:rPr>
                <w:rStyle w:val="IndexLink"/>
              </w:rPr>
              <w:t>553</w:t>
            </w:r>
            <w:r>
              <w:rPr>
                <w:rStyle w:val="IndexLink"/>
                <w:rtl w:val="true"/>
              </w:rPr>
              <w:t xml:space="preserve"> </w:t>
            </w:r>
            <w:r>
              <w:rPr>
                <w:rStyle w:val="IndexLink"/>
                <w:rtl w:val="true"/>
              </w:rPr>
              <w:t xml:space="preserve">ه </w:t>
            </w:r>
            <w:r>
              <w:rPr>
                <w:rStyle w:val="IndexLink"/>
                <w:rtl w:val="true"/>
              </w:rPr>
              <w:t>)</w:t>
              <w:tab/>
            </w:r>
            <w:r>
              <w:rPr>
                <w:rStyle w:val="IndexLink"/>
              </w:rPr>
              <w:t>430</w:t>
            </w:r>
          </w:hyperlink>
        </w:p>
        <w:p>
          <w:pPr>
            <w:pStyle w:val="Contents3"/>
            <w:tabs>
              <w:tab w:val="clear" w:pos="8459"/>
              <w:tab w:val="right" w:pos="9026" w:leader="dot"/>
            </w:tabs>
            <w:rPr/>
          </w:pPr>
          <w:hyperlink w:anchor="__RefHeading___Toc972554_237004111">
            <w:r>
              <w:rPr>
                <w:webHidden/>
                <w:rStyle w:val="IndexLink"/>
              </w:rPr>
              <w:t>7</w:t>
            </w:r>
            <w:r>
              <w:rPr>
                <w:rStyle w:val="IndexLink"/>
                <w:rtl w:val="true"/>
              </w:rPr>
              <w:t xml:space="preserve"> - </w:t>
            </w:r>
            <w:r>
              <w:rPr>
                <w:rStyle w:val="IndexLink"/>
                <w:rtl w:val="true"/>
              </w:rPr>
              <w:t xml:space="preserve">أبو البقاء </w:t>
            </w:r>
            <w:r>
              <w:rPr>
                <w:rStyle w:val="IndexLink"/>
                <w:rtl w:val="true"/>
              </w:rPr>
              <w:t>(</w:t>
            </w:r>
            <w:r>
              <w:rPr>
                <w:rStyle w:val="IndexLink"/>
                <w:rtl w:val="true"/>
              </w:rPr>
              <w:t xml:space="preserve">ت </w:t>
            </w:r>
            <w:r>
              <w:rPr>
                <w:rStyle w:val="IndexLink"/>
              </w:rPr>
              <w:t>616</w:t>
            </w:r>
            <w:r>
              <w:rPr>
                <w:rStyle w:val="IndexLink"/>
                <w:rtl w:val="true"/>
              </w:rPr>
              <w:t xml:space="preserve"> </w:t>
            </w:r>
            <w:r>
              <w:rPr>
                <w:rStyle w:val="IndexLink"/>
                <w:rtl w:val="true"/>
              </w:rPr>
              <w:t xml:space="preserve">ه </w:t>
            </w:r>
            <w:r>
              <w:rPr>
                <w:rStyle w:val="IndexLink"/>
                <w:rtl w:val="true"/>
              </w:rPr>
              <w:t>)</w:t>
              <w:tab/>
            </w:r>
            <w:r>
              <w:rPr>
                <w:rStyle w:val="IndexLink"/>
              </w:rPr>
              <w:t>430</w:t>
            </w:r>
          </w:hyperlink>
        </w:p>
        <w:p>
          <w:pPr>
            <w:pStyle w:val="Contents3"/>
            <w:tabs>
              <w:tab w:val="clear" w:pos="8459"/>
              <w:tab w:val="right" w:pos="9026" w:leader="dot"/>
            </w:tabs>
            <w:rPr/>
          </w:pPr>
          <w:hyperlink w:anchor="__RefHeading___Toc972556_237004111">
            <w:r>
              <w:rPr>
                <w:webHidden/>
                <w:rStyle w:val="IndexLink"/>
              </w:rPr>
              <w:t>8</w:t>
            </w:r>
            <w:r>
              <w:rPr>
                <w:rStyle w:val="IndexLink"/>
                <w:rtl w:val="true"/>
              </w:rPr>
              <w:t xml:space="preserve"> - </w:t>
            </w:r>
            <w:r>
              <w:rPr>
                <w:rStyle w:val="IndexLink"/>
                <w:rtl w:val="true"/>
              </w:rPr>
              <w:t xml:space="preserve">بیان الحق النیسابوری </w:t>
            </w:r>
            <w:r>
              <w:rPr>
                <w:rStyle w:val="IndexLink"/>
                <w:rtl w:val="true"/>
              </w:rPr>
              <w:t>(</w:t>
            </w:r>
            <w:r>
              <w:rPr>
                <w:rStyle w:val="IndexLink"/>
                <w:rtl w:val="true"/>
              </w:rPr>
              <w:t xml:space="preserve">ت </w:t>
            </w:r>
            <w:r>
              <w:rPr>
                <w:rStyle w:val="IndexLink"/>
              </w:rPr>
              <w:t>555</w:t>
            </w:r>
            <w:r>
              <w:rPr>
                <w:rStyle w:val="IndexLink"/>
                <w:rtl w:val="true"/>
              </w:rPr>
              <w:t xml:space="preserve"> </w:t>
            </w:r>
            <w:r>
              <w:rPr>
                <w:rStyle w:val="IndexLink"/>
                <w:rtl w:val="true"/>
              </w:rPr>
              <w:t xml:space="preserve">ه </w:t>
            </w:r>
            <w:r>
              <w:rPr>
                <w:rStyle w:val="IndexLink"/>
                <w:rtl w:val="true"/>
              </w:rPr>
              <w:t>)</w:t>
              <w:tab/>
            </w:r>
            <w:r>
              <w:rPr>
                <w:rStyle w:val="IndexLink"/>
              </w:rPr>
              <w:t>431</w:t>
            </w:r>
          </w:hyperlink>
        </w:p>
        <w:p>
          <w:pPr>
            <w:pStyle w:val="Contents3"/>
            <w:tabs>
              <w:tab w:val="clear" w:pos="8459"/>
              <w:tab w:val="right" w:pos="9026" w:leader="dot"/>
            </w:tabs>
            <w:rPr/>
          </w:pPr>
          <w:hyperlink w:anchor="__RefHeading___Toc972558_237004111">
            <w:r>
              <w:rPr>
                <w:webHidden/>
                <w:rStyle w:val="IndexLink"/>
              </w:rPr>
              <w:t>9</w:t>
            </w:r>
            <w:r>
              <w:rPr>
                <w:rStyle w:val="IndexLink"/>
                <w:rtl w:val="true"/>
              </w:rPr>
              <w:t xml:space="preserve"> - </w:t>
            </w:r>
            <w:r>
              <w:rPr>
                <w:rStyle w:val="IndexLink"/>
                <w:rtl w:val="true"/>
              </w:rPr>
              <w:t xml:space="preserve">القرطبیّ </w:t>
            </w:r>
            <w:r>
              <w:rPr>
                <w:rStyle w:val="IndexLink"/>
                <w:rtl w:val="true"/>
              </w:rPr>
              <w:t>(</w:t>
            </w:r>
            <w:r>
              <w:rPr>
                <w:rStyle w:val="IndexLink"/>
                <w:rtl w:val="true"/>
              </w:rPr>
              <w:t xml:space="preserve">ت </w:t>
            </w:r>
            <w:r>
              <w:rPr>
                <w:rStyle w:val="IndexLink"/>
              </w:rPr>
              <w:t>671</w:t>
            </w:r>
            <w:r>
              <w:rPr>
                <w:rStyle w:val="IndexLink"/>
                <w:rtl w:val="true"/>
              </w:rPr>
              <w:t xml:space="preserve"> </w:t>
            </w:r>
            <w:r>
              <w:rPr>
                <w:rStyle w:val="IndexLink"/>
                <w:rtl w:val="true"/>
              </w:rPr>
              <w:t xml:space="preserve">ه </w:t>
            </w:r>
            <w:r>
              <w:rPr>
                <w:rStyle w:val="IndexLink"/>
                <w:rtl w:val="true"/>
              </w:rPr>
              <w:t>)</w:t>
              <w:tab/>
            </w:r>
            <w:r>
              <w:rPr>
                <w:rStyle w:val="IndexLink"/>
              </w:rPr>
              <w:t>432</w:t>
            </w:r>
          </w:hyperlink>
        </w:p>
        <w:p>
          <w:pPr>
            <w:pStyle w:val="Contents3"/>
            <w:tabs>
              <w:tab w:val="clear" w:pos="8459"/>
              <w:tab w:val="right" w:pos="9026" w:leader="dot"/>
            </w:tabs>
            <w:rPr/>
          </w:pPr>
          <w:hyperlink w:anchor="__RefHeading___Toc972560_237004111">
            <w:r>
              <w:rPr>
                <w:webHidden/>
                <w:rStyle w:val="IndexLink"/>
              </w:rPr>
              <w:t>10</w:t>
            </w:r>
            <w:r>
              <w:rPr>
                <w:rStyle w:val="IndexLink"/>
                <w:rtl w:val="true"/>
              </w:rPr>
              <w:t xml:space="preserve"> - </w:t>
            </w:r>
            <w:r>
              <w:rPr>
                <w:rStyle w:val="IndexLink"/>
                <w:rtl w:val="true"/>
              </w:rPr>
              <w:t xml:space="preserve">البیضاوی </w:t>
            </w:r>
            <w:r>
              <w:rPr>
                <w:rStyle w:val="IndexLink"/>
                <w:rtl w:val="true"/>
              </w:rPr>
              <w:t>(</w:t>
            </w:r>
            <w:r>
              <w:rPr>
                <w:rStyle w:val="IndexLink"/>
                <w:rtl w:val="true"/>
              </w:rPr>
              <w:t xml:space="preserve">ت </w:t>
            </w:r>
            <w:r>
              <w:rPr>
                <w:rStyle w:val="IndexLink"/>
              </w:rPr>
              <w:t>682</w:t>
            </w:r>
            <w:r>
              <w:rPr>
                <w:rStyle w:val="IndexLink"/>
                <w:rtl w:val="true"/>
              </w:rPr>
              <w:t xml:space="preserve"> </w:t>
            </w:r>
            <w:r>
              <w:rPr>
                <w:rStyle w:val="IndexLink"/>
                <w:rtl w:val="true"/>
              </w:rPr>
              <w:t xml:space="preserve">ه </w:t>
            </w:r>
            <w:r>
              <w:rPr>
                <w:rStyle w:val="IndexLink"/>
                <w:rtl w:val="true"/>
              </w:rPr>
              <w:t>)</w:t>
              <w:tab/>
            </w:r>
            <w:r>
              <w:rPr>
                <w:rStyle w:val="IndexLink"/>
              </w:rPr>
              <w:t>433</w:t>
            </w:r>
          </w:hyperlink>
        </w:p>
        <w:p>
          <w:pPr>
            <w:pStyle w:val="Contents3"/>
            <w:tabs>
              <w:tab w:val="clear" w:pos="8459"/>
              <w:tab w:val="right" w:pos="9026" w:leader="dot"/>
            </w:tabs>
            <w:rPr/>
          </w:pPr>
          <w:hyperlink w:anchor="__RefHeading___Toc972562_237004111">
            <w:r>
              <w:rPr>
                <w:webHidden/>
                <w:rStyle w:val="IndexLink"/>
              </w:rPr>
              <w:t>11</w:t>
            </w:r>
            <w:r>
              <w:rPr>
                <w:rStyle w:val="IndexLink"/>
                <w:rtl w:val="true"/>
              </w:rPr>
              <w:t xml:space="preserve"> - </w:t>
            </w:r>
            <w:r>
              <w:rPr>
                <w:rStyle w:val="IndexLink"/>
                <w:rtl w:val="true"/>
              </w:rPr>
              <w:t xml:space="preserve">أبو حیّان </w:t>
            </w:r>
            <w:r>
              <w:rPr>
                <w:rStyle w:val="IndexLink"/>
                <w:rtl w:val="true"/>
              </w:rPr>
              <w:t>(</w:t>
            </w:r>
            <w:r>
              <w:rPr>
                <w:rStyle w:val="IndexLink"/>
                <w:rtl w:val="true"/>
              </w:rPr>
              <w:t xml:space="preserve">ت </w:t>
            </w:r>
            <w:r>
              <w:rPr>
                <w:rStyle w:val="IndexLink"/>
              </w:rPr>
              <w:t>745</w:t>
            </w:r>
            <w:r>
              <w:rPr>
                <w:rStyle w:val="IndexLink"/>
                <w:rtl w:val="true"/>
              </w:rPr>
              <w:t xml:space="preserve"> </w:t>
            </w:r>
            <w:r>
              <w:rPr>
                <w:rStyle w:val="IndexLink"/>
                <w:rtl w:val="true"/>
              </w:rPr>
              <w:t xml:space="preserve">ه </w:t>
            </w:r>
            <w:r>
              <w:rPr>
                <w:rStyle w:val="IndexLink"/>
                <w:rtl w:val="true"/>
              </w:rPr>
              <w:t>)</w:t>
              <w:tab/>
            </w:r>
            <w:r>
              <w:rPr>
                <w:rStyle w:val="IndexLink"/>
              </w:rPr>
              <w:t>433</w:t>
            </w:r>
          </w:hyperlink>
        </w:p>
        <w:p>
          <w:pPr>
            <w:pStyle w:val="Contents3"/>
            <w:tabs>
              <w:tab w:val="clear" w:pos="8459"/>
              <w:tab w:val="right" w:pos="9026" w:leader="dot"/>
            </w:tabs>
            <w:rPr/>
          </w:pPr>
          <w:hyperlink w:anchor="__RefHeading___Toc972564_237004111">
            <w:r>
              <w:rPr>
                <w:webHidden/>
                <w:rStyle w:val="IndexLink"/>
              </w:rPr>
              <w:t>12</w:t>
            </w:r>
            <w:r>
              <w:rPr>
                <w:rStyle w:val="IndexLink"/>
                <w:rtl w:val="true"/>
              </w:rPr>
              <w:t xml:space="preserve"> - </w:t>
            </w:r>
            <w:r>
              <w:rPr>
                <w:rStyle w:val="IndexLink"/>
                <w:rtl w:val="true"/>
              </w:rPr>
              <w:t xml:space="preserve">السّمین الحلبی </w:t>
            </w:r>
            <w:r>
              <w:rPr>
                <w:rStyle w:val="IndexLink"/>
                <w:rtl w:val="true"/>
              </w:rPr>
              <w:t>(</w:t>
            </w:r>
            <w:r>
              <w:rPr>
                <w:rStyle w:val="IndexLink"/>
                <w:rtl w:val="true"/>
              </w:rPr>
              <w:t xml:space="preserve">ت </w:t>
            </w:r>
            <w:r>
              <w:rPr>
                <w:rStyle w:val="IndexLink"/>
              </w:rPr>
              <w:t>756</w:t>
            </w:r>
            <w:r>
              <w:rPr>
                <w:rStyle w:val="IndexLink"/>
                <w:rtl w:val="true"/>
              </w:rPr>
              <w:t xml:space="preserve"> </w:t>
            </w:r>
            <w:r>
              <w:rPr>
                <w:rStyle w:val="IndexLink"/>
                <w:rtl w:val="true"/>
              </w:rPr>
              <w:t xml:space="preserve">ه </w:t>
            </w:r>
            <w:r>
              <w:rPr>
                <w:rStyle w:val="IndexLink"/>
                <w:rtl w:val="true"/>
              </w:rPr>
              <w:t>)</w:t>
              <w:tab/>
            </w:r>
            <w:r>
              <w:rPr>
                <w:rStyle w:val="IndexLink"/>
              </w:rPr>
              <w:t>434</w:t>
            </w:r>
          </w:hyperlink>
        </w:p>
        <w:p>
          <w:pPr>
            <w:pStyle w:val="Contents3"/>
            <w:tabs>
              <w:tab w:val="clear" w:pos="8459"/>
              <w:tab w:val="right" w:pos="9026" w:leader="dot"/>
            </w:tabs>
            <w:rPr/>
          </w:pPr>
          <w:hyperlink w:anchor="__RefHeading___Toc972566_237004111">
            <w:r>
              <w:rPr>
                <w:webHidden/>
                <w:rStyle w:val="IndexLink"/>
              </w:rPr>
              <w:t>13</w:t>
            </w:r>
            <w:r>
              <w:rPr>
                <w:rStyle w:val="IndexLink"/>
                <w:rtl w:val="true"/>
              </w:rPr>
              <w:t xml:space="preserve"> - </w:t>
            </w:r>
            <w:r>
              <w:rPr>
                <w:rStyle w:val="IndexLink"/>
                <w:rtl w:val="true"/>
              </w:rPr>
              <w:t xml:space="preserve">الدّمشقی الحنبلی </w:t>
            </w:r>
            <w:r>
              <w:rPr>
                <w:rStyle w:val="IndexLink"/>
                <w:rtl w:val="true"/>
              </w:rPr>
              <w:t>(</w:t>
            </w:r>
            <w:r>
              <w:rPr>
                <w:rStyle w:val="IndexLink"/>
                <w:rtl w:val="true"/>
              </w:rPr>
              <w:t xml:space="preserve">ت بعد </w:t>
            </w:r>
            <w:r>
              <w:rPr>
                <w:rStyle w:val="IndexLink"/>
              </w:rPr>
              <w:t>880</w:t>
            </w:r>
            <w:r>
              <w:rPr>
                <w:rStyle w:val="IndexLink"/>
                <w:rtl w:val="true"/>
              </w:rPr>
              <w:t xml:space="preserve"> </w:t>
            </w:r>
            <w:r>
              <w:rPr>
                <w:rStyle w:val="IndexLink"/>
                <w:rtl w:val="true"/>
              </w:rPr>
              <w:t xml:space="preserve">ه </w:t>
            </w:r>
            <w:r>
              <w:rPr>
                <w:rStyle w:val="IndexLink"/>
                <w:rtl w:val="true"/>
              </w:rPr>
              <w:t>)</w:t>
              <w:tab/>
            </w:r>
            <w:r>
              <w:rPr>
                <w:rStyle w:val="IndexLink"/>
              </w:rPr>
              <w:t>434</w:t>
            </w:r>
          </w:hyperlink>
        </w:p>
        <w:p>
          <w:pPr>
            <w:pStyle w:val="Contents3"/>
            <w:tabs>
              <w:tab w:val="clear" w:pos="8459"/>
              <w:tab w:val="right" w:pos="9026" w:leader="dot"/>
            </w:tabs>
            <w:rPr/>
          </w:pPr>
          <w:hyperlink w:anchor="__RefHeading___Toc972568_237004111">
            <w:r>
              <w:rPr>
                <w:webHidden/>
                <w:rStyle w:val="IndexLink"/>
              </w:rPr>
              <w:t>14</w:t>
            </w:r>
            <w:r>
              <w:rPr>
                <w:rStyle w:val="IndexLink"/>
                <w:rtl w:val="true"/>
              </w:rPr>
              <w:t xml:space="preserve"> - </w:t>
            </w:r>
            <w:r>
              <w:rPr>
                <w:rStyle w:val="IndexLink"/>
                <w:rtl w:val="true"/>
              </w:rPr>
              <w:t xml:space="preserve">السّیوطیّ </w:t>
            </w:r>
            <w:r>
              <w:rPr>
                <w:rStyle w:val="IndexLink"/>
                <w:rtl w:val="true"/>
              </w:rPr>
              <w:t>(</w:t>
            </w:r>
            <w:r>
              <w:rPr>
                <w:rStyle w:val="IndexLink"/>
                <w:rtl w:val="true"/>
              </w:rPr>
              <w:t xml:space="preserve">ت </w:t>
            </w:r>
            <w:r>
              <w:rPr>
                <w:rStyle w:val="IndexLink"/>
              </w:rPr>
              <w:t>911</w:t>
            </w:r>
            <w:r>
              <w:rPr>
                <w:rStyle w:val="IndexLink"/>
                <w:rtl w:val="true"/>
              </w:rPr>
              <w:t xml:space="preserve"> </w:t>
            </w:r>
            <w:r>
              <w:rPr>
                <w:rStyle w:val="IndexLink"/>
                <w:rtl w:val="true"/>
              </w:rPr>
              <w:t xml:space="preserve">ه </w:t>
            </w:r>
            <w:r>
              <w:rPr>
                <w:rStyle w:val="IndexLink"/>
                <w:rtl w:val="true"/>
              </w:rPr>
              <w:t>)</w:t>
              <w:tab/>
            </w:r>
            <w:r>
              <w:rPr>
                <w:rStyle w:val="IndexLink"/>
              </w:rPr>
              <w:t>434</w:t>
            </w:r>
          </w:hyperlink>
        </w:p>
        <w:p>
          <w:pPr>
            <w:pStyle w:val="Contents3"/>
            <w:tabs>
              <w:tab w:val="clear" w:pos="8459"/>
              <w:tab w:val="right" w:pos="9026" w:leader="dot"/>
            </w:tabs>
            <w:rPr/>
          </w:pPr>
          <w:hyperlink w:anchor="__RefHeading___Toc972570_237004111">
            <w:r>
              <w:rPr>
                <w:webHidden/>
                <w:rStyle w:val="IndexLink"/>
              </w:rPr>
              <w:t>15</w:t>
            </w:r>
            <w:r>
              <w:rPr>
                <w:rStyle w:val="IndexLink"/>
                <w:rtl w:val="true"/>
              </w:rPr>
              <w:t xml:space="preserve"> - </w:t>
            </w:r>
            <w:r>
              <w:rPr>
                <w:rStyle w:val="IndexLink"/>
                <w:rtl w:val="true"/>
              </w:rPr>
              <w:t xml:space="preserve">أبو السّعود </w:t>
            </w:r>
            <w:r>
              <w:rPr>
                <w:rStyle w:val="IndexLink"/>
                <w:rtl w:val="true"/>
              </w:rPr>
              <w:t>(</w:t>
            </w:r>
            <w:r>
              <w:rPr>
                <w:rStyle w:val="IndexLink"/>
                <w:rtl w:val="true"/>
              </w:rPr>
              <w:t xml:space="preserve">ت </w:t>
            </w:r>
            <w:r>
              <w:rPr>
                <w:rStyle w:val="IndexLink"/>
              </w:rPr>
              <w:t>951</w:t>
            </w:r>
            <w:r>
              <w:rPr>
                <w:rStyle w:val="IndexLink"/>
                <w:rtl w:val="true"/>
              </w:rPr>
              <w:t xml:space="preserve"> </w:t>
            </w:r>
            <w:r>
              <w:rPr>
                <w:rStyle w:val="IndexLink"/>
                <w:rtl w:val="true"/>
              </w:rPr>
              <w:t xml:space="preserve">ه </w:t>
            </w:r>
            <w:r>
              <w:rPr>
                <w:rStyle w:val="IndexLink"/>
                <w:rtl w:val="true"/>
              </w:rPr>
              <w:t>)</w:t>
              <w:tab/>
            </w:r>
            <w:r>
              <w:rPr>
                <w:rStyle w:val="IndexLink"/>
              </w:rPr>
              <w:t>435</w:t>
            </w:r>
          </w:hyperlink>
        </w:p>
        <w:p>
          <w:pPr>
            <w:pStyle w:val="Contents3"/>
            <w:tabs>
              <w:tab w:val="clear" w:pos="8459"/>
              <w:tab w:val="right" w:pos="9026" w:leader="dot"/>
            </w:tabs>
            <w:rPr/>
          </w:pPr>
          <w:hyperlink w:anchor="__RefHeading___Toc972572_237004111">
            <w:r>
              <w:rPr>
                <w:webHidden/>
                <w:rStyle w:val="IndexLink"/>
              </w:rPr>
              <w:t>16</w:t>
            </w:r>
            <w:r>
              <w:rPr>
                <w:rStyle w:val="IndexLink"/>
                <w:rtl w:val="true"/>
              </w:rPr>
              <w:t xml:space="preserve"> - </w:t>
            </w:r>
            <w:r>
              <w:rPr>
                <w:rStyle w:val="IndexLink"/>
                <w:rtl w:val="true"/>
              </w:rPr>
              <w:t xml:space="preserve">صاحب الإتحاف </w:t>
            </w:r>
            <w:r>
              <w:rPr>
                <w:rStyle w:val="IndexLink"/>
                <w:rtl w:val="true"/>
              </w:rPr>
              <w:t>(</w:t>
            </w:r>
            <w:r>
              <w:rPr>
                <w:rStyle w:val="IndexLink"/>
                <w:rtl w:val="true"/>
              </w:rPr>
              <w:t xml:space="preserve">ت </w:t>
            </w:r>
            <w:r>
              <w:rPr>
                <w:rStyle w:val="IndexLink"/>
              </w:rPr>
              <w:t>1117</w:t>
            </w:r>
            <w:r>
              <w:rPr>
                <w:rStyle w:val="IndexLink"/>
                <w:rtl w:val="true"/>
              </w:rPr>
              <w:t xml:space="preserve"> </w:t>
            </w:r>
            <w:r>
              <w:rPr>
                <w:rStyle w:val="IndexLink"/>
                <w:rtl w:val="true"/>
              </w:rPr>
              <w:t xml:space="preserve">ه </w:t>
            </w:r>
            <w:r>
              <w:rPr>
                <w:rStyle w:val="IndexLink"/>
                <w:rtl w:val="true"/>
              </w:rPr>
              <w:t>)</w:t>
              <w:tab/>
            </w:r>
            <w:r>
              <w:rPr>
                <w:rStyle w:val="IndexLink"/>
              </w:rPr>
              <w:t>435</w:t>
            </w:r>
          </w:hyperlink>
        </w:p>
        <w:p>
          <w:pPr>
            <w:pStyle w:val="Contents3"/>
            <w:tabs>
              <w:tab w:val="clear" w:pos="8459"/>
              <w:tab w:val="right" w:pos="9026" w:leader="dot"/>
            </w:tabs>
            <w:rPr/>
          </w:pPr>
          <w:hyperlink w:anchor="__RefHeading___Toc972574_237004111">
            <w:r>
              <w:rPr>
                <w:webHidden/>
                <w:rStyle w:val="IndexLink"/>
              </w:rPr>
              <w:t>17</w:t>
            </w:r>
            <w:r>
              <w:rPr>
                <w:rStyle w:val="IndexLink"/>
                <w:rtl w:val="true"/>
              </w:rPr>
              <w:t xml:space="preserve"> - </w:t>
            </w:r>
            <w:r>
              <w:rPr>
                <w:rStyle w:val="IndexLink"/>
                <w:rtl w:val="true"/>
              </w:rPr>
              <w:t xml:space="preserve">المیرزا محمد المشهدی القمّی </w:t>
            </w:r>
            <w:r>
              <w:rPr>
                <w:rStyle w:val="IndexLink"/>
                <w:rtl w:val="true"/>
              </w:rPr>
              <w:t>(</w:t>
            </w:r>
            <w:r>
              <w:rPr>
                <w:rStyle w:val="IndexLink"/>
                <w:rtl w:val="true"/>
              </w:rPr>
              <w:t xml:space="preserve">ت </w:t>
            </w:r>
            <w:r>
              <w:rPr>
                <w:rStyle w:val="IndexLink"/>
              </w:rPr>
              <w:t>1125</w:t>
            </w:r>
            <w:r>
              <w:rPr>
                <w:rStyle w:val="IndexLink"/>
                <w:rtl w:val="true"/>
              </w:rPr>
              <w:t xml:space="preserve"> </w:t>
            </w:r>
            <w:r>
              <w:rPr>
                <w:rStyle w:val="IndexLink"/>
                <w:rtl w:val="true"/>
              </w:rPr>
              <w:t xml:space="preserve">ه </w:t>
            </w:r>
            <w:r>
              <w:rPr>
                <w:rStyle w:val="IndexLink"/>
                <w:rtl w:val="true"/>
              </w:rPr>
              <w:t>)</w:t>
              <w:tab/>
            </w:r>
            <w:r>
              <w:rPr>
                <w:rStyle w:val="IndexLink"/>
              </w:rPr>
              <w:t>436</w:t>
            </w:r>
          </w:hyperlink>
        </w:p>
        <w:p>
          <w:pPr>
            <w:pStyle w:val="Contents3"/>
            <w:tabs>
              <w:tab w:val="clear" w:pos="8459"/>
              <w:tab w:val="right" w:pos="9026" w:leader="dot"/>
            </w:tabs>
            <w:rPr/>
          </w:pPr>
          <w:hyperlink w:anchor="__RefHeading___Toc972576_237004111">
            <w:r>
              <w:rPr>
                <w:webHidden/>
                <w:rStyle w:val="IndexLink"/>
              </w:rPr>
              <w:t>18</w:t>
            </w:r>
            <w:r>
              <w:rPr>
                <w:rStyle w:val="IndexLink"/>
                <w:rtl w:val="true"/>
              </w:rPr>
              <w:t xml:space="preserve"> - </w:t>
            </w:r>
            <w:r>
              <w:rPr>
                <w:rStyle w:val="IndexLink"/>
                <w:rtl w:val="true"/>
              </w:rPr>
              <w:t xml:space="preserve">الشنقیطیّ </w:t>
            </w:r>
            <w:r>
              <w:rPr>
                <w:rStyle w:val="IndexLink"/>
                <w:rtl w:val="true"/>
              </w:rPr>
              <w:t>(</w:t>
            </w:r>
            <w:r>
              <w:rPr>
                <w:rStyle w:val="IndexLink"/>
                <w:rtl w:val="true"/>
              </w:rPr>
              <w:t xml:space="preserve">ت </w:t>
            </w:r>
            <w:r>
              <w:rPr>
                <w:rStyle w:val="IndexLink"/>
              </w:rPr>
              <w:t>1393</w:t>
            </w:r>
            <w:r>
              <w:rPr>
                <w:rStyle w:val="IndexLink"/>
                <w:rtl w:val="true"/>
              </w:rPr>
              <w:t xml:space="preserve"> </w:t>
            </w:r>
            <w:r>
              <w:rPr>
                <w:rStyle w:val="IndexLink"/>
                <w:rtl w:val="true"/>
              </w:rPr>
              <w:t xml:space="preserve">ه </w:t>
            </w:r>
            <w:r>
              <w:rPr>
                <w:rStyle w:val="IndexLink"/>
                <w:rtl w:val="true"/>
              </w:rPr>
              <w:t>)</w:t>
              <w:tab/>
            </w:r>
            <w:r>
              <w:rPr>
                <w:rStyle w:val="IndexLink"/>
              </w:rPr>
              <w:t>436</w:t>
            </w:r>
          </w:hyperlink>
        </w:p>
        <w:p>
          <w:pPr>
            <w:pStyle w:val="Contents3"/>
            <w:tabs>
              <w:tab w:val="clear" w:pos="8459"/>
              <w:tab w:val="right" w:pos="9026" w:leader="dot"/>
            </w:tabs>
            <w:rPr/>
          </w:pPr>
          <w:hyperlink w:anchor="__RefHeading___Toc972578_237004111">
            <w:r>
              <w:rPr>
                <w:webHidden/>
                <w:rStyle w:val="IndexLink"/>
              </w:rPr>
              <w:t>19</w:t>
            </w:r>
            <w:r>
              <w:rPr>
                <w:rStyle w:val="IndexLink"/>
                <w:rtl w:val="true"/>
              </w:rPr>
              <w:t xml:space="preserve"> - </w:t>
            </w:r>
            <w:r>
              <w:rPr>
                <w:rStyle w:val="IndexLink"/>
                <w:rtl w:val="true"/>
              </w:rPr>
              <w:t>الدّکتور یاسین جاسم</w:t>
            </w:r>
            <w:r>
              <w:rPr>
                <w:rStyle w:val="IndexLink"/>
                <w:rtl w:val="true"/>
              </w:rPr>
              <w:tab/>
            </w:r>
            <w:r>
              <w:rPr>
                <w:rStyle w:val="IndexLink"/>
              </w:rPr>
              <w:t>436</w:t>
            </w:r>
          </w:hyperlink>
        </w:p>
        <w:p>
          <w:pPr>
            <w:pStyle w:val="Contents3"/>
            <w:tabs>
              <w:tab w:val="clear" w:pos="8459"/>
              <w:tab w:val="right" w:pos="9026" w:leader="dot"/>
            </w:tabs>
            <w:rPr/>
          </w:pPr>
          <w:hyperlink w:anchor="__RefHeading___Toc972580_237004111">
            <w:r>
              <w:rPr>
                <w:webHidden/>
                <w:rStyle w:val="IndexLink"/>
              </w:rPr>
              <w:t>20</w:t>
            </w:r>
            <w:r>
              <w:rPr>
                <w:rStyle w:val="IndexLink"/>
                <w:rtl w:val="true"/>
              </w:rPr>
              <w:t xml:space="preserve"> - </w:t>
            </w:r>
            <w:r>
              <w:rPr>
                <w:rStyle w:val="IndexLink"/>
                <w:rtl w:val="true"/>
              </w:rPr>
              <w:t>الدّکتور عبداللّطیف الخطیب</w:t>
            </w:r>
            <w:r>
              <w:rPr>
                <w:rStyle w:val="IndexLink"/>
                <w:rtl w:val="true"/>
              </w:rPr>
              <w:tab/>
            </w:r>
            <w:r>
              <w:rPr>
                <w:rStyle w:val="IndexLink"/>
              </w:rPr>
              <w:t>436</w:t>
            </w:r>
          </w:hyperlink>
        </w:p>
        <w:p>
          <w:pPr>
            <w:pStyle w:val="Contents2"/>
            <w:tabs>
              <w:tab w:val="clear" w:pos="8743"/>
              <w:tab w:val="right" w:pos="9026" w:leader="dot"/>
            </w:tabs>
            <w:rPr/>
          </w:pPr>
          <w:hyperlink w:anchor="__RefHeading___Toc972582_237004111">
            <w:r>
              <w:rPr>
                <w:webHidden/>
                <w:rStyle w:val="IndexLink"/>
                <w:rtl w:val="true"/>
              </w:rPr>
              <w:t>الفصل الرابع</w:t>
            </w:r>
            <w:r>
              <w:rPr>
                <w:rStyle w:val="IndexLink"/>
                <w:rtl w:val="true"/>
              </w:rPr>
              <w:t xml:space="preserve">: </w:t>
            </w:r>
            <w:r>
              <w:rPr>
                <w:rStyle w:val="IndexLink"/>
                <w:rtl w:val="true"/>
              </w:rPr>
              <w:t>فی الجرّ بالجوار</w:t>
            </w:r>
            <w:r>
              <w:rPr>
                <w:rStyle w:val="IndexLink"/>
                <w:rtl w:val="true"/>
              </w:rPr>
              <w:tab/>
            </w:r>
            <w:r>
              <w:rPr>
                <w:rStyle w:val="IndexLink"/>
              </w:rPr>
              <w:t>439</w:t>
            </w:r>
          </w:hyperlink>
        </w:p>
        <w:p>
          <w:pPr>
            <w:pStyle w:val="Contents3"/>
            <w:tabs>
              <w:tab w:val="clear" w:pos="8459"/>
              <w:tab w:val="right" w:pos="9026" w:leader="dot"/>
            </w:tabs>
            <w:rPr/>
          </w:pPr>
          <w:hyperlink w:anchor="__RefHeading___Toc972584_237004111">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972586_237004111">
            <w:r>
              <w:rPr>
                <w:webHidden/>
                <w:rStyle w:val="IndexLink"/>
              </w:rPr>
              <w:t>1</w:t>
            </w:r>
            <w:r>
              <w:rPr>
                <w:rStyle w:val="IndexLink"/>
                <w:rtl w:val="true"/>
              </w:rPr>
              <w:t xml:space="preserve"> - </w:t>
            </w:r>
            <w:r>
              <w:rPr>
                <w:rStyle w:val="IndexLink"/>
                <w:rtl w:val="true"/>
              </w:rPr>
              <w:t>موقف سیبویه من الجرّ بالجوار</w:t>
            </w:r>
            <w:r>
              <w:rPr>
                <w:rStyle w:val="IndexLink"/>
                <w:rtl w:val="true"/>
              </w:rPr>
              <w:tab/>
            </w:r>
            <w:r>
              <w:rPr>
                <w:rStyle w:val="IndexLink"/>
              </w:rPr>
              <w:t>441</w:t>
            </w:r>
          </w:hyperlink>
        </w:p>
        <w:p>
          <w:pPr>
            <w:pStyle w:val="Contents3"/>
            <w:tabs>
              <w:tab w:val="clear" w:pos="8459"/>
              <w:tab w:val="right" w:pos="9026" w:leader="dot"/>
            </w:tabs>
            <w:rPr/>
          </w:pPr>
          <w:hyperlink w:anchor="__RefHeading___Toc972588_237004111">
            <w:r>
              <w:rPr>
                <w:webHidden/>
                <w:rStyle w:val="IndexLink"/>
              </w:rPr>
              <w:t>2</w:t>
            </w:r>
            <w:r>
              <w:rPr>
                <w:rStyle w:val="IndexLink"/>
                <w:rtl w:val="true"/>
              </w:rPr>
              <w:t xml:space="preserve"> - </w:t>
            </w:r>
            <w:r>
              <w:rPr>
                <w:rStyle w:val="IndexLink"/>
                <w:rtl w:val="true"/>
              </w:rPr>
              <w:t xml:space="preserve">موقف الفرّاء </w:t>
            </w:r>
            <w:r>
              <w:rPr>
                <w:rStyle w:val="IndexLink"/>
                <w:rtl w:val="true"/>
              </w:rPr>
              <w:t>(</w:t>
            </w:r>
            <w:r>
              <w:rPr>
                <w:rStyle w:val="IndexLink"/>
                <w:rtl w:val="true"/>
              </w:rPr>
              <w:t xml:space="preserve">ت </w:t>
            </w:r>
            <w:r>
              <w:rPr>
                <w:rStyle w:val="IndexLink"/>
              </w:rPr>
              <w:t>207</w:t>
            </w:r>
            <w:r>
              <w:rPr>
                <w:rStyle w:val="IndexLink"/>
                <w:rtl w:val="true"/>
              </w:rPr>
              <w:t xml:space="preserve"> </w:t>
            </w:r>
            <w:r>
              <w:rPr>
                <w:rStyle w:val="IndexLink"/>
                <w:rtl w:val="true"/>
              </w:rPr>
              <w:t xml:space="preserve">ه </w:t>
            </w:r>
            <w:r>
              <w:rPr>
                <w:rStyle w:val="IndexLink"/>
                <w:rtl w:val="true"/>
              </w:rPr>
              <w:t>)</w:t>
              <w:tab/>
            </w:r>
            <w:r>
              <w:rPr>
                <w:rStyle w:val="IndexLink"/>
              </w:rPr>
              <w:t>443</w:t>
            </w:r>
          </w:hyperlink>
        </w:p>
        <w:p>
          <w:pPr>
            <w:pStyle w:val="Contents3"/>
            <w:tabs>
              <w:tab w:val="clear" w:pos="8459"/>
              <w:tab w:val="right" w:pos="9026" w:leader="dot"/>
            </w:tabs>
            <w:rPr/>
          </w:pPr>
          <w:hyperlink w:anchor="__RefHeading___Toc972590_237004111">
            <w:r>
              <w:rPr>
                <w:webHidden/>
                <w:rStyle w:val="IndexLink"/>
              </w:rPr>
              <w:t>3</w:t>
            </w:r>
            <w:r>
              <w:rPr>
                <w:rStyle w:val="IndexLink"/>
                <w:rtl w:val="true"/>
              </w:rPr>
              <w:t xml:space="preserve"> - </w:t>
            </w:r>
            <w:r>
              <w:rPr>
                <w:rStyle w:val="IndexLink"/>
                <w:rtl w:val="true"/>
              </w:rPr>
              <w:t xml:space="preserve">موقف الأخفش </w:t>
            </w:r>
            <w:r>
              <w:rPr>
                <w:rStyle w:val="IndexLink"/>
                <w:rtl w:val="true"/>
              </w:rPr>
              <w:t>(</w:t>
            </w:r>
            <w:r>
              <w:rPr>
                <w:rStyle w:val="IndexLink"/>
                <w:rtl w:val="true"/>
              </w:rPr>
              <w:t xml:space="preserve">ت </w:t>
            </w:r>
            <w:r>
              <w:rPr>
                <w:rStyle w:val="IndexLink"/>
              </w:rPr>
              <w:t>215</w:t>
            </w:r>
            <w:r>
              <w:rPr>
                <w:rStyle w:val="IndexLink"/>
                <w:rtl w:val="true"/>
              </w:rPr>
              <w:t xml:space="preserve"> </w:t>
            </w:r>
            <w:r>
              <w:rPr>
                <w:rStyle w:val="IndexLink"/>
                <w:rtl w:val="true"/>
              </w:rPr>
              <w:t xml:space="preserve">ه </w:t>
            </w:r>
            <w:r>
              <w:rPr>
                <w:rStyle w:val="IndexLink"/>
                <w:rtl w:val="true"/>
              </w:rPr>
              <w:t>)</w:t>
              <w:tab/>
            </w:r>
            <w:r>
              <w:rPr>
                <w:rStyle w:val="IndexLink"/>
              </w:rPr>
              <w:t>445</w:t>
            </w:r>
          </w:hyperlink>
        </w:p>
        <w:p>
          <w:pPr>
            <w:pStyle w:val="Contents3"/>
            <w:tabs>
              <w:tab w:val="clear" w:pos="8459"/>
              <w:tab w:val="right" w:pos="9026" w:leader="dot"/>
            </w:tabs>
            <w:rPr/>
          </w:pPr>
          <w:hyperlink w:anchor="__RefHeading___Toc972592_237004111">
            <w:r>
              <w:rPr>
                <w:webHidden/>
                <w:rStyle w:val="IndexLink"/>
              </w:rPr>
              <w:t>4</w:t>
            </w:r>
            <w:r>
              <w:rPr>
                <w:rStyle w:val="IndexLink"/>
                <w:rtl w:val="true"/>
              </w:rPr>
              <w:t xml:space="preserve"> - </w:t>
            </w:r>
            <w:r>
              <w:rPr>
                <w:rStyle w:val="IndexLink"/>
                <w:rtl w:val="true"/>
              </w:rPr>
              <w:t xml:space="preserve">موقف النّحاس </w:t>
            </w:r>
            <w:r>
              <w:rPr>
                <w:rStyle w:val="IndexLink"/>
                <w:rtl w:val="true"/>
              </w:rPr>
              <w:t>(</w:t>
            </w:r>
            <w:r>
              <w:rPr>
                <w:rStyle w:val="IndexLink"/>
                <w:rtl w:val="true"/>
              </w:rPr>
              <w:t xml:space="preserve">ت </w:t>
            </w:r>
            <w:r>
              <w:rPr>
                <w:rStyle w:val="IndexLink"/>
              </w:rPr>
              <w:t>338</w:t>
            </w:r>
            <w:r>
              <w:rPr>
                <w:rStyle w:val="IndexLink"/>
                <w:rtl w:val="true"/>
              </w:rPr>
              <w:t xml:space="preserve"> </w:t>
            </w:r>
            <w:r>
              <w:rPr>
                <w:rStyle w:val="IndexLink"/>
                <w:rtl w:val="true"/>
              </w:rPr>
              <w:t xml:space="preserve">ه </w:t>
            </w:r>
            <w:r>
              <w:rPr>
                <w:rStyle w:val="IndexLink"/>
                <w:rtl w:val="true"/>
              </w:rPr>
              <w:t>)</w:t>
              <w:tab/>
            </w:r>
            <w:r>
              <w:rPr>
                <w:rStyle w:val="IndexLink"/>
              </w:rPr>
              <w:t>446</w:t>
            </w:r>
          </w:hyperlink>
        </w:p>
        <w:p>
          <w:pPr>
            <w:pStyle w:val="Contents3"/>
            <w:tabs>
              <w:tab w:val="clear" w:pos="8459"/>
              <w:tab w:val="right" w:pos="9026" w:leader="dot"/>
            </w:tabs>
            <w:rPr/>
          </w:pPr>
          <w:hyperlink w:anchor="__RefHeading___Toc972594_237004111">
            <w:r>
              <w:rPr>
                <w:webHidden/>
                <w:rStyle w:val="IndexLink"/>
              </w:rPr>
              <w:t>5</w:t>
            </w:r>
            <w:r>
              <w:rPr>
                <w:rStyle w:val="IndexLink"/>
                <w:rtl w:val="true"/>
              </w:rPr>
              <w:t xml:space="preserve"> - </w:t>
            </w:r>
            <w:r>
              <w:rPr>
                <w:rStyle w:val="IndexLink"/>
                <w:rtl w:val="true"/>
              </w:rPr>
              <w:t xml:space="preserve">موقف السیرافی </w:t>
            </w:r>
            <w:r>
              <w:rPr>
                <w:rStyle w:val="IndexLink"/>
                <w:rtl w:val="true"/>
              </w:rPr>
              <w:t>(</w:t>
            </w:r>
            <w:r>
              <w:rPr>
                <w:rStyle w:val="IndexLink"/>
                <w:rtl w:val="true"/>
              </w:rPr>
              <w:t xml:space="preserve">ت </w:t>
            </w:r>
            <w:r>
              <w:rPr>
                <w:rStyle w:val="IndexLink"/>
              </w:rPr>
              <w:t>368</w:t>
            </w:r>
            <w:r>
              <w:rPr>
                <w:rStyle w:val="IndexLink"/>
                <w:rtl w:val="true"/>
              </w:rPr>
              <w:t xml:space="preserve"> </w:t>
            </w:r>
            <w:r>
              <w:rPr>
                <w:rStyle w:val="IndexLink"/>
                <w:rtl w:val="true"/>
              </w:rPr>
              <w:t xml:space="preserve">ه </w:t>
            </w:r>
            <w:r>
              <w:rPr>
                <w:rStyle w:val="IndexLink"/>
                <w:rtl w:val="true"/>
              </w:rPr>
              <w:t>)</w:t>
              <w:tab/>
            </w:r>
            <w:r>
              <w:rPr>
                <w:rStyle w:val="IndexLink"/>
              </w:rPr>
              <w:t>447</w:t>
            </w:r>
          </w:hyperlink>
        </w:p>
        <w:p>
          <w:pPr>
            <w:pStyle w:val="Contents3"/>
            <w:tabs>
              <w:tab w:val="clear" w:pos="8459"/>
              <w:tab w:val="right" w:pos="9026" w:leader="dot"/>
            </w:tabs>
            <w:rPr/>
          </w:pPr>
          <w:hyperlink w:anchor="__RefHeading___Toc972596_237004111">
            <w:r>
              <w:rPr>
                <w:webHidden/>
                <w:rStyle w:val="IndexLink"/>
              </w:rPr>
              <w:t>6</w:t>
            </w:r>
            <w:r>
              <w:rPr>
                <w:rStyle w:val="IndexLink"/>
                <w:rtl w:val="true"/>
              </w:rPr>
              <w:t xml:space="preserve"> - </w:t>
            </w:r>
            <w:r>
              <w:rPr>
                <w:rStyle w:val="IndexLink"/>
                <w:rtl w:val="true"/>
              </w:rPr>
              <w:t xml:space="preserve">موقف ابن جنّی </w:t>
            </w:r>
            <w:r>
              <w:rPr>
                <w:rStyle w:val="IndexLink"/>
                <w:rtl w:val="true"/>
              </w:rPr>
              <w:t>(</w:t>
            </w:r>
            <w:r>
              <w:rPr>
                <w:rStyle w:val="IndexLink"/>
                <w:rtl w:val="true"/>
              </w:rPr>
              <w:t xml:space="preserve">ت </w:t>
            </w:r>
            <w:r>
              <w:rPr>
                <w:rStyle w:val="IndexLink"/>
              </w:rPr>
              <w:t>392</w:t>
            </w:r>
            <w:r>
              <w:rPr>
                <w:rStyle w:val="IndexLink"/>
                <w:rtl w:val="true"/>
              </w:rPr>
              <w:t xml:space="preserve"> </w:t>
            </w:r>
            <w:r>
              <w:rPr>
                <w:rStyle w:val="IndexLink"/>
                <w:rtl w:val="true"/>
              </w:rPr>
              <w:t xml:space="preserve">ه </w:t>
            </w:r>
            <w:r>
              <w:rPr>
                <w:rStyle w:val="IndexLink"/>
                <w:rtl w:val="true"/>
              </w:rPr>
              <w:t>)</w:t>
              <w:tab/>
            </w:r>
            <w:r>
              <w:rPr>
                <w:rStyle w:val="IndexLink"/>
              </w:rPr>
              <w:t>447</w:t>
            </w:r>
          </w:hyperlink>
        </w:p>
        <w:p>
          <w:pPr>
            <w:pStyle w:val="Contents3"/>
            <w:tabs>
              <w:tab w:val="clear" w:pos="8459"/>
              <w:tab w:val="right" w:pos="9026" w:leader="dot"/>
            </w:tabs>
            <w:rPr/>
          </w:pPr>
          <w:hyperlink w:anchor="__RefHeading___Toc972598_237004111">
            <w:r>
              <w:rPr>
                <w:webHidden/>
                <w:rStyle w:val="IndexLink"/>
              </w:rPr>
              <w:t>7</w:t>
            </w:r>
            <w:r>
              <w:rPr>
                <w:rStyle w:val="IndexLink"/>
                <w:rtl w:val="true"/>
              </w:rPr>
              <w:t xml:space="preserve"> - </w:t>
            </w:r>
            <w:r>
              <w:rPr>
                <w:rStyle w:val="IndexLink"/>
                <w:rtl w:val="true"/>
              </w:rPr>
              <w:t xml:space="preserve">موقف ابن مالک </w:t>
            </w:r>
            <w:r>
              <w:rPr>
                <w:rStyle w:val="IndexLink"/>
                <w:rtl w:val="true"/>
              </w:rPr>
              <w:t>(</w:t>
            </w:r>
            <w:r>
              <w:rPr>
                <w:rStyle w:val="IndexLink"/>
                <w:rtl w:val="true"/>
              </w:rPr>
              <w:t xml:space="preserve">ت </w:t>
            </w:r>
            <w:r>
              <w:rPr>
                <w:rStyle w:val="IndexLink"/>
              </w:rPr>
              <w:t>672</w:t>
            </w:r>
            <w:r>
              <w:rPr>
                <w:rStyle w:val="IndexLink"/>
                <w:rtl w:val="true"/>
              </w:rPr>
              <w:t xml:space="preserve"> </w:t>
            </w:r>
            <w:r>
              <w:rPr>
                <w:rStyle w:val="IndexLink"/>
                <w:rtl w:val="true"/>
              </w:rPr>
              <w:t xml:space="preserve">ه </w:t>
            </w:r>
            <w:r>
              <w:rPr>
                <w:rStyle w:val="IndexLink"/>
                <w:rtl w:val="true"/>
              </w:rPr>
              <w:t>)</w:t>
              <w:tab/>
            </w:r>
            <w:r>
              <w:rPr>
                <w:rStyle w:val="IndexLink"/>
              </w:rPr>
              <w:t>449</w:t>
            </w:r>
          </w:hyperlink>
        </w:p>
        <w:p>
          <w:pPr>
            <w:pStyle w:val="Contents3"/>
            <w:tabs>
              <w:tab w:val="clear" w:pos="8459"/>
              <w:tab w:val="right" w:pos="9026" w:leader="dot"/>
            </w:tabs>
            <w:rPr/>
          </w:pPr>
          <w:hyperlink w:anchor="__RefHeading___Toc972600_237004111">
            <w:r>
              <w:rPr>
                <w:webHidden/>
                <w:rStyle w:val="IndexLink"/>
              </w:rPr>
              <w:t>8</w:t>
            </w:r>
            <w:r>
              <w:rPr>
                <w:rStyle w:val="IndexLink"/>
                <w:rtl w:val="true"/>
              </w:rPr>
              <w:t xml:space="preserve"> - </w:t>
            </w:r>
            <w:r>
              <w:rPr>
                <w:rStyle w:val="IndexLink"/>
                <w:rtl w:val="true"/>
              </w:rPr>
              <w:t>موقف ابن الأنباریّ</w:t>
            </w:r>
            <w:r>
              <w:rPr>
                <w:rStyle w:val="IndexLink"/>
                <w:rtl w:val="true"/>
              </w:rPr>
              <w:tab/>
            </w:r>
            <w:r>
              <w:rPr>
                <w:rStyle w:val="IndexLink"/>
              </w:rPr>
              <w:t>452</w:t>
            </w:r>
          </w:hyperlink>
        </w:p>
        <w:p>
          <w:pPr>
            <w:pStyle w:val="Contents3"/>
            <w:tabs>
              <w:tab w:val="clear" w:pos="8459"/>
              <w:tab w:val="right" w:pos="9026" w:leader="dot"/>
            </w:tabs>
            <w:rPr/>
          </w:pPr>
          <w:hyperlink w:anchor="__RefHeading___Toc972602_237004111">
            <w:r>
              <w:rPr>
                <w:webHidden/>
                <w:rStyle w:val="IndexLink"/>
              </w:rPr>
              <w:t>9</w:t>
            </w:r>
            <w:r>
              <w:rPr>
                <w:rStyle w:val="IndexLink"/>
                <w:rtl w:val="true"/>
              </w:rPr>
              <w:t xml:space="preserve"> - </w:t>
            </w:r>
            <w:r>
              <w:rPr>
                <w:rStyle w:val="IndexLink"/>
                <w:rtl w:val="true"/>
              </w:rPr>
              <w:t xml:space="preserve">موقف الفخرالرازی صاحب التفسیر </w:t>
            </w:r>
            <w:r>
              <w:rPr>
                <w:rStyle w:val="IndexLink"/>
                <w:rtl w:val="true"/>
              </w:rPr>
              <w:t>(</w:t>
            </w:r>
            <w:r>
              <w:rPr>
                <w:rStyle w:val="IndexLink"/>
                <w:rtl w:val="true"/>
              </w:rPr>
              <w:t xml:space="preserve">ت </w:t>
            </w:r>
            <w:r>
              <w:rPr>
                <w:rStyle w:val="IndexLink"/>
              </w:rPr>
              <w:t>606</w:t>
            </w:r>
            <w:r>
              <w:rPr>
                <w:rStyle w:val="IndexLink"/>
                <w:rtl w:val="true"/>
              </w:rPr>
              <w:t xml:space="preserve"> </w:t>
            </w:r>
            <w:r>
              <w:rPr>
                <w:rStyle w:val="IndexLink"/>
                <w:rtl w:val="true"/>
              </w:rPr>
              <w:t xml:space="preserve">ه </w:t>
            </w:r>
            <w:r>
              <w:rPr>
                <w:rStyle w:val="IndexLink"/>
                <w:rtl w:val="true"/>
              </w:rPr>
              <w:t>)</w:t>
              <w:tab/>
            </w:r>
            <w:r>
              <w:rPr>
                <w:rStyle w:val="IndexLink"/>
              </w:rPr>
              <w:t>458</w:t>
            </w:r>
          </w:hyperlink>
        </w:p>
        <w:p>
          <w:pPr>
            <w:pStyle w:val="Contents3"/>
            <w:tabs>
              <w:tab w:val="clear" w:pos="8459"/>
              <w:tab w:val="right" w:pos="9026" w:leader="dot"/>
            </w:tabs>
            <w:rPr/>
          </w:pPr>
          <w:hyperlink w:anchor="__RefHeading___Toc972604_237004111">
            <w:r>
              <w:rPr>
                <w:webHidden/>
                <w:rStyle w:val="IndexLink"/>
              </w:rPr>
              <w:t>10</w:t>
            </w:r>
            <w:r>
              <w:rPr>
                <w:rStyle w:val="IndexLink"/>
                <w:rtl w:val="true"/>
              </w:rPr>
              <w:t xml:space="preserve"> - </w:t>
            </w:r>
            <w:r>
              <w:rPr>
                <w:rStyle w:val="IndexLink"/>
                <w:rtl w:val="true"/>
              </w:rPr>
              <w:t xml:space="preserve">موقف الجوینی أبی المعالی الشافعیّ </w:t>
            </w:r>
            <w:r>
              <w:rPr>
                <w:rStyle w:val="IndexLink"/>
                <w:rtl w:val="true"/>
              </w:rPr>
              <w:t>(</w:t>
            </w:r>
            <w:r>
              <w:rPr>
                <w:rStyle w:val="IndexLink"/>
                <w:rtl w:val="true"/>
              </w:rPr>
              <w:t xml:space="preserve">ت </w:t>
            </w:r>
            <w:r>
              <w:rPr>
                <w:rStyle w:val="IndexLink"/>
              </w:rPr>
              <w:t>478</w:t>
            </w:r>
            <w:r>
              <w:rPr>
                <w:rStyle w:val="IndexLink"/>
                <w:rtl w:val="true"/>
              </w:rPr>
              <w:t xml:space="preserve"> </w:t>
            </w:r>
            <w:r>
              <w:rPr>
                <w:rStyle w:val="IndexLink"/>
                <w:rtl w:val="true"/>
              </w:rPr>
              <w:t xml:space="preserve">ه </w:t>
            </w:r>
            <w:r>
              <w:rPr>
                <w:rStyle w:val="IndexLink"/>
                <w:rtl w:val="true"/>
              </w:rPr>
              <w:t>)</w:t>
              <w:tab/>
            </w:r>
            <w:r>
              <w:rPr>
                <w:rStyle w:val="IndexLink"/>
              </w:rPr>
              <w:t>461</w:t>
            </w:r>
          </w:hyperlink>
        </w:p>
        <w:p>
          <w:pPr>
            <w:pStyle w:val="Contents3"/>
            <w:tabs>
              <w:tab w:val="clear" w:pos="8459"/>
              <w:tab w:val="right" w:pos="9026" w:leader="dot"/>
            </w:tabs>
            <w:rPr/>
          </w:pPr>
          <w:hyperlink w:anchor="__RefHeading___Toc972606_237004111">
            <w:r>
              <w:rPr>
                <w:webHidden/>
                <w:rStyle w:val="IndexLink"/>
              </w:rPr>
              <w:t>11</w:t>
            </w:r>
            <w:r>
              <w:rPr>
                <w:rStyle w:val="IndexLink"/>
                <w:rtl w:val="true"/>
              </w:rPr>
              <w:t xml:space="preserve"> - </w:t>
            </w:r>
            <w:r>
              <w:rPr>
                <w:rStyle w:val="IndexLink"/>
                <w:rtl w:val="true"/>
              </w:rPr>
              <w:t xml:space="preserve">موقف ابن منظور صاحب اللسان </w:t>
            </w:r>
            <w:r>
              <w:rPr>
                <w:rStyle w:val="IndexLink"/>
                <w:rtl w:val="true"/>
              </w:rPr>
              <w:t>(</w:t>
            </w:r>
            <w:r>
              <w:rPr>
                <w:rStyle w:val="IndexLink"/>
                <w:rtl w:val="true"/>
              </w:rPr>
              <w:t xml:space="preserve">ت </w:t>
            </w:r>
            <w:r>
              <w:rPr>
                <w:rStyle w:val="IndexLink"/>
              </w:rPr>
              <w:t>630</w:t>
            </w:r>
            <w:r>
              <w:rPr>
                <w:rStyle w:val="IndexLink"/>
                <w:rtl w:val="true"/>
              </w:rPr>
              <w:t xml:space="preserve"> </w:t>
            </w:r>
            <w:r>
              <w:rPr>
                <w:rStyle w:val="IndexLink"/>
                <w:rtl w:val="true"/>
              </w:rPr>
              <w:t xml:space="preserve">ه </w:t>
            </w:r>
            <w:r>
              <w:rPr>
                <w:rStyle w:val="IndexLink"/>
                <w:rtl w:val="true"/>
              </w:rPr>
              <w:t>):</w:t>
              <w:tab/>
            </w:r>
            <w:r>
              <w:rPr>
                <w:rStyle w:val="IndexLink"/>
              </w:rPr>
              <w:t>463</w:t>
            </w:r>
          </w:hyperlink>
        </w:p>
        <w:p>
          <w:pPr>
            <w:pStyle w:val="Contents3"/>
            <w:tabs>
              <w:tab w:val="clear" w:pos="8459"/>
              <w:tab w:val="right" w:pos="9026" w:leader="dot"/>
            </w:tabs>
            <w:rPr/>
          </w:pPr>
          <w:hyperlink w:anchor="__RefHeading___Toc972608_237004111">
            <w:r>
              <w:rPr>
                <w:webHidden/>
                <w:rStyle w:val="IndexLink"/>
              </w:rPr>
              <w:t>12</w:t>
            </w:r>
            <w:r>
              <w:rPr>
                <w:rStyle w:val="IndexLink"/>
                <w:rtl w:val="true"/>
              </w:rPr>
              <w:t xml:space="preserve"> - </w:t>
            </w:r>
            <w:r>
              <w:rPr>
                <w:rStyle w:val="IndexLink"/>
                <w:rtl w:val="true"/>
              </w:rPr>
              <w:t>موقف المحقّق الرضی</w:t>
            </w:r>
            <w:r>
              <w:rPr>
                <w:rStyle w:val="IndexLink"/>
                <w:rtl w:val="true"/>
              </w:rPr>
              <w:t>:</w:t>
              <w:tab/>
            </w:r>
            <w:r>
              <w:rPr>
                <w:rStyle w:val="IndexLink"/>
              </w:rPr>
              <w:t>463</w:t>
            </w:r>
          </w:hyperlink>
        </w:p>
        <w:p>
          <w:pPr>
            <w:pStyle w:val="Contents3"/>
            <w:tabs>
              <w:tab w:val="clear" w:pos="8459"/>
              <w:tab w:val="right" w:pos="9026" w:leader="dot"/>
            </w:tabs>
            <w:rPr/>
          </w:pPr>
          <w:hyperlink w:anchor="__RefHeading___Toc972610_237004111">
            <w:r>
              <w:rPr>
                <w:webHidden/>
                <w:rStyle w:val="IndexLink"/>
              </w:rPr>
              <w:t>13</w:t>
            </w:r>
            <w:r>
              <w:rPr>
                <w:rStyle w:val="IndexLink"/>
                <w:rtl w:val="true"/>
              </w:rPr>
              <w:t xml:space="preserve"> - </w:t>
            </w:r>
            <w:r>
              <w:rPr>
                <w:rStyle w:val="IndexLink"/>
                <w:rtl w:val="true"/>
              </w:rPr>
              <w:t xml:space="preserve">موقف ابن هشام الأنصاری </w:t>
            </w:r>
            <w:r>
              <w:rPr>
                <w:rStyle w:val="IndexLink"/>
                <w:rtl w:val="true"/>
              </w:rPr>
              <w:t>(</w:t>
            </w:r>
            <w:r>
              <w:rPr>
                <w:rStyle w:val="IndexLink"/>
                <w:rtl w:val="true"/>
              </w:rPr>
              <w:t xml:space="preserve">ت </w:t>
            </w:r>
            <w:r>
              <w:rPr>
                <w:rStyle w:val="IndexLink"/>
              </w:rPr>
              <w:t>761</w:t>
            </w:r>
            <w:r>
              <w:rPr>
                <w:rStyle w:val="IndexLink"/>
                <w:rtl w:val="true"/>
              </w:rPr>
              <w:t xml:space="preserve"> </w:t>
            </w:r>
            <w:r>
              <w:rPr>
                <w:rStyle w:val="IndexLink"/>
                <w:rtl w:val="true"/>
              </w:rPr>
              <w:t xml:space="preserve">ه </w:t>
            </w:r>
            <w:r>
              <w:rPr>
                <w:rStyle w:val="IndexLink"/>
                <w:rtl w:val="true"/>
              </w:rPr>
              <w:t>)</w:t>
              <w:tab/>
            </w:r>
            <w:r>
              <w:rPr>
                <w:rStyle w:val="IndexLink"/>
              </w:rPr>
              <w:t>465</w:t>
            </w:r>
          </w:hyperlink>
        </w:p>
        <w:p>
          <w:pPr>
            <w:pStyle w:val="Contents3"/>
            <w:tabs>
              <w:tab w:val="clear" w:pos="8459"/>
              <w:tab w:val="right" w:pos="9026" w:leader="dot"/>
            </w:tabs>
            <w:rPr/>
          </w:pPr>
          <w:hyperlink w:anchor="__RefHeading___Toc972612_237004111">
            <w:r>
              <w:rPr>
                <w:webHidden/>
                <w:rStyle w:val="IndexLink"/>
              </w:rPr>
              <w:t>14</w:t>
            </w:r>
            <w:r>
              <w:rPr>
                <w:rStyle w:val="IndexLink"/>
                <w:rtl w:val="true"/>
              </w:rPr>
              <w:t xml:space="preserve"> - </w:t>
            </w:r>
            <w:r>
              <w:rPr>
                <w:rStyle w:val="IndexLink"/>
                <w:rtl w:val="true"/>
              </w:rPr>
              <w:t xml:space="preserve">موقف محمّد بن فرامرز الشهیر بملّا خسرو </w:t>
            </w:r>
            <w:r>
              <w:rPr>
                <w:rStyle w:val="IndexLink"/>
                <w:rtl w:val="true"/>
              </w:rPr>
              <w:t>(</w:t>
            </w:r>
            <w:r>
              <w:rPr>
                <w:rStyle w:val="IndexLink"/>
                <w:rtl w:val="true"/>
              </w:rPr>
              <w:t xml:space="preserve">ت </w:t>
            </w:r>
            <w:r>
              <w:rPr>
                <w:rStyle w:val="IndexLink"/>
              </w:rPr>
              <w:t>885</w:t>
            </w:r>
            <w:r>
              <w:rPr>
                <w:rStyle w:val="IndexLink"/>
                <w:rtl w:val="true"/>
              </w:rPr>
              <w:t xml:space="preserve"> </w:t>
            </w:r>
            <w:r>
              <w:rPr>
                <w:rStyle w:val="IndexLink"/>
                <w:rtl w:val="true"/>
              </w:rPr>
              <w:t xml:space="preserve">ه </w:t>
            </w:r>
            <w:r>
              <w:rPr>
                <w:rStyle w:val="IndexLink"/>
                <w:rtl w:val="true"/>
              </w:rPr>
              <w:t>)</w:t>
              <w:tab/>
            </w:r>
            <w:r>
              <w:rPr>
                <w:rStyle w:val="IndexLink"/>
              </w:rPr>
              <w:t>469</w:t>
            </w:r>
          </w:hyperlink>
        </w:p>
        <w:p>
          <w:pPr>
            <w:pStyle w:val="Contents3"/>
            <w:tabs>
              <w:tab w:val="clear" w:pos="8459"/>
              <w:tab w:val="right" w:pos="9026" w:leader="dot"/>
            </w:tabs>
            <w:rPr/>
          </w:pPr>
          <w:hyperlink w:anchor="__RefHeading___Toc972614_237004111">
            <w:r>
              <w:rPr>
                <w:webHidden/>
                <w:rStyle w:val="IndexLink"/>
              </w:rPr>
              <w:t>15</w:t>
            </w:r>
            <w:r>
              <w:rPr>
                <w:rStyle w:val="IndexLink"/>
                <w:rtl w:val="true"/>
              </w:rPr>
              <w:t xml:space="preserve"> - </w:t>
            </w:r>
            <w:r>
              <w:rPr>
                <w:rStyle w:val="IndexLink"/>
                <w:rtl w:val="true"/>
              </w:rPr>
              <w:t xml:space="preserve">موقف السیوطیّ </w:t>
            </w:r>
            <w:r>
              <w:rPr>
                <w:rStyle w:val="IndexLink"/>
                <w:rtl w:val="true"/>
              </w:rPr>
              <w:t>(</w:t>
            </w:r>
            <w:r>
              <w:rPr>
                <w:rStyle w:val="IndexLink"/>
                <w:rtl w:val="true"/>
              </w:rPr>
              <w:t xml:space="preserve">ت </w:t>
            </w:r>
            <w:r>
              <w:rPr>
                <w:rStyle w:val="IndexLink"/>
              </w:rPr>
              <w:t>911</w:t>
            </w:r>
            <w:r>
              <w:rPr>
                <w:rStyle w:val="IndexLink"/>
                <w:rtl w:val="true"/>
              </w:rPr>
              <w:t xml:space="preserve"> </w:t>
            </w:r>
            <w:r>
              <w:rPr>
                <w:rStyle w:val="IndexLink"/>
                <w:rtl w:val="true"/>
              </w:rPr>
              <w:t xml:space="preserve">ه </w:t>
            </w:r>
            <w:r>
              <w:rPr>
                <w:rStyle w:val="IndexLink"/>
                <w:rtl w:val="true"/>
              </w:rPr>
              <w:t>)</w:t>
              <w:tab/>
            </w:r>
            <w:r>
              <w:rPr>
                <w:rStyle w:val="IndexLink"/>
              </w:rPr>
              <w:t>471</w:t>
            </w:r>
          </w:hyperlink>
        </w:p>
        <w:p>
          <w:pPr>
            <w:pStyle w:val="Contents3"/>
            <w:tabs>
              <w:tab w:val="clear" w:pos="8459"/>
              <w:tab w:val="right" w:pos="9026" w:leader="dot"/>
            </w:tabs>
            <w:rPr/>
          </w:pPr>
          <w:hyperlink w:anchor="__RefHeading___Toc972616_237004111">
            <w:r>
              <w:rPr>
                <w:webHidden/>
                <w:rStyle w:val="IndexLink"/>
              </w:rPr>
              <w:t>16</w:t>
            </w:r>
            <w:r>
              <w:rPr>
                <w:rStyle w:val="IndexLink"/>
                <w:rtl w:val="true"/>
              </w:rPr>
              <w:t xml:space="preserve"> - </w:t>
            </w:r>
            <w:r>
              <w:rPr>
                <w:rStyle w:val="IndexLink"/>
                <w:rtl w:val="true"/>
              </w:rPr>
              <w:t xml:space="preserve">موقف الأنصاری الشافعی زکریّا بن محمّد </w:t>
            </w:r>
            <w:r>
              <w:rPr>
                <w:rStyle w:val="IndexLink"/>
                <w:rtl w:val="true"/>
              </w:rPr>
              <w:t>(</w:t>
            </w:r>
            <w:r>
              <w:rPr>
                <w:rStyle w:val="IndexLink"/>
                <w:rtl w:val="true"/>
              </w:rPr>
              <w:t xml:space="preserve">ت </w:t>
            </w:r>
            <w:r>
              <w:rPr>
                <w:rStyle w:val="IndexLink"/>
              </w:rPr>
              <w:t>926</w:t>
            </w:r>
            <w:r>
              <w:rPr>
                <w:rStyle w:val="IndexLink"/>
                <w:rtl w:val="true"/>
              </w:rPr>
              <w:t xml:space="preserve"> </w:t>
            </w:r>
            <w:r>
              <w:rPr>
                <w:rStyle w:val="IndexLink"/>
                <w:rtl w:val="true"/>
              </w:rPr>
              <w:t xml:space="preserve">ه </w:t>
            </w:r>
            <w:r>
              <w:rPr>
                <w:rStyle w:val="IndexLink"/>
                <w:rtl w:val="true"/>
              </w:rPr>
              <w:t>)</w:t>
              <w:tab/>
            </w:r>
            <w:r>
              <w:rPr>
                <w:rStyle w:val="IndexLink"/>
              </w:rPr>
              <w:t>473</w:t>
            </w:r>
          </w:hyperlink>
        </w:p>
        <w:p>
          <w:pPr>
            <w:pStyle w:val="Contents3"/>
            <w:tabs>
              <w:tab w:val="clear" w:pos="8459"/>
              <w:tab w:val="right" w:pos="9026" w:leader="dot"/>
            </w:tabs>
            <w:rPr/>
          </w:pPr>
          <w:hyperlink w:anchor="__RefHeading___Toc972618_237004111">
            <w:r>
              <w:rPr>
                <w:webHidden/>
                <w:rStyle w:val="IndexLink"/>
              </w:rPr>
              <w:t>17</w:t>
            </w:r>
            <w:r>
              <w:rPr>
                <w:rStyle w:val="IndexLink"/>
                <w:rtl w:val="true"/>
              </w:rPr>
              <w:t xml:space="preserve"> - </w:t>
            </w:r>
            <w:r>
              <w:rPr>
                <w:rStyle w:val="IndexLink"/>
                <w:rtl w:val="true"/>
              </w:rPr>
              <w:t xml:space="preserve">موقف البغدادی </w:t>
            </w:r>
            <w:r>
              <w:rPr>
                <w:rStyle w:val="IndexLink"/>
                <w:rtl w:val="true"/>
              </w:rPr>
              <w:t>(</w:t>
            </w:r>
            <w:r>
              <w:rPr>
                <w:rStyle w:val="IndexLink"/>
                <w:rtl w:val="true"/>
              </w:rPr>
              <w:t xml:space="preserve">ت </w:t>
            </w:r>
            <w:r>
              <w:rPr>
                <w:rStyle w:val="IndexLink"/>
              </w:rPr>
              <w:t>1093</w:t>
            </w:r>
            <w:r>
              <w:rPr>
                <w:rStyle w:val="IndexLink"/>
                <w:rtl w:val="true"/>
              </w:rPr>
              <w:t xml:space="preserve"> </w:t>
            </w:r>
            <w:r>
              <w:rPr>
                <w:rStyle w:val="IndexLink"/>
                <w:rtl w:val="true"/>
              </w:rPr>
              <w:t xml:space="preserve">ه </w:t>
            </w:r>
            <w:r>
              <w:rPr>
                <w:rStyle w:val="IndexLink"/>
                <w:rtl w:val="true"/>
              </w:rPr>
              <w:t>)</w:t>
              <w:tab/>
            </w:r>
            <w:r>
              <w:rPr>
                <w:rStyle w:val="IndexLink"/>
              </w:rPr>
              <w:t>474</w:t>
            </w:r>
          </w:hyperlink>
        </w:p>
        <w:p>
          <w:pPr>
            <w:pStyle w:val="Contents3"/>
            <w:tabs>
              <w:tab w:val="clear" w:pos="8459"/>
              <w:tab w:val="right" w:pos="9026" w:leader="dot"/>
            </w:tabs>
            <w:rPr/>
          </w:pPr>
          <w:hyperlink w:anchor="__RefHeading___Toc972620_237004111">
            <w:r>
              <w:rPr>
                <w:webHidden/>
                <w:rStyle w:val="IndexLink"/>
              </w:rPr>
              <w:t>18</w:t>
            </w:r>
            <w:r>
              <w:rPr>
                <w:rStyle w:val="IndexLink"/>
                <w:rtl w:val="true"/>
              </w:rPr>
              <w:t xml:space="preserve"> - </w:t>
            </w:r>
            <w:r>
              <w:rPr>
                <w:rStyle w:val="IndexLink"/>
                <w:rtl w:val="true"/>
              </w:rPr>
              <w:t xml:space="preserve">موقف الصبّان </w:t>
            </w:r>
            <w:r>
              <w:rPr>
                <w:rStyle w:val="IndexLink"/>
                <w:rtl w:val="true"/>
              </w:rPr>
              <w:t>(</w:t>
            </w:r>
            <w:r>
              <w:rPr>
                <w:rStyle w:val="IndexLink"/>
                <w:rtl w:val="true"/>
              </w:rPr>
              <w:t xml:space="preserve">ت </w:t>
            </w:r>
            <w:r>
              <w:rPr>
                <w:rStyle w:val="IndexLink"/>
              </w:rPr>
              <w:t>1206</w:t>
            </w:r>
            <w:r>
              <w:rPr>
                <w:rStyle w:val="IndexLink"/>
                <w:rtl w:val="true"/>
              </w:rPr>
              <w:t xml:space="preserve"> </w:t>
            </w:r>
            <w:r>
              <w:rPr>
                <w:rStyle w:val="IndexLink"/>
                <w:rtl w:val="true"/>
              </w:rPr>
              <w:t xml:space="preserve">ه </w:t>
            </w:r>
            <w:r>
              <w:rPr>
                <w:rStyle w:val="IndexLink"/>
                <w:rtl w:val="true"/>
              </w:rPr>
              <w:t>)</w:t>
              <w:tab/>
            </w:r>
            <w:r>
              <w:rPr>
                <w:rStyle w:val="IndexLink"/>
              </w:rPr>
              <w:t>477</w:t>
            </w:r>
          </w:hyperlink>
        </w:p>
        <w:p>
          <w:pPr>
            <w:pStyle w:val="Contents3"/>
            <w:tabs>
              <w:tab w:val="clear" w:pos="8459"/>
              <w:tab w:val="right" w:pos="9026" w:leader="dot"/>
            </w:tabs>
            <w:rPr/>
          </w:pPr>
          <w:hyperlink w:anchor="__RefHeading___Toc972622_237004111">
            <w:r>
              <w:rPr>
                <w:webHidden/>
                <w:rStyle w:val="IndexLink"/>
              </w:rPr>
              <w:t>19</w:t>
            </w:r>
            <w:r>
              <w:rPr>
                <w:rStyle w:val="IndexLink"/>
                <w:rtl w:val="true"/>
              </w:rPr>
              <w:t xml:space="preserve"> - </w:t>
            </w:r>
            <w:r>
              <w:rPr>
                <w:rStyle w:val="IndexLink"/>
                <w:rtl w:val="true"/>
              </w:rPr>
              <w:t>موقف أبی العباس أحمد بن محمد بن المهدی ابن عجیبة</w:t>
            </w:r>
            <w:r>
              <w:rPr>
                <w:rStyle w:val="IndexLink"/>
                <w:rtl w:val="true"/>
              </w:rPr>
              <w:tab/>
            </w:r>
            <w:r>
              <w:rPr>
                <w:rStyle w:val="IndexLink"/>
              </w:rPr>
              <w:t>478</w:t>
            </w:r>
          </w:hyperlink>
        </w:p>
        <w:p>
          <w:pPr>
            <w:pStyle w:val="Contents3"/>
            <w:tabs>
              <w:tab w:val="clear" w:pos="8459"/>
              <w:tab w:val="right" w:pos="9026" w:leader="dot"/>
            </w:tabs>
            <w:rPr/>
          </w:pPr>
          <w:hyperlink w:anchor="__RefHeading___Toc972624_237004111">
            <w:r>
              <w:rPr>
                <w:webHidden/>
                <w:rStyle w:val="IndexLink"/>
              </w:rPr>
              <w:t>20</w:t>
            </w:r>
            <w:r>
              <w:rPr>
                <w:rStyle w:val="IndexLink"/>
                <w:rtl w:val="true"/>
              </w:rPr>
              <w:t xml:space="preserve"> - </w:t>
            </w:r>
            <w:r>
              <w:rPr>
                <w:rStyle w:val="IndexLink"/>
                <w:rtl w:val="true"/>
              </w:rPr>
              <w:t xml:space="preserve">موقف الشوکانی </w:t>
            </w:r>
            <w:r>
              <w:rPr>
                <w:rStyle w:val="IndexLink"/>
                <w:rtl w:val="true"/>
              </w:rPr>
              <w:t>(</w:t>
            </w:r>
            <w:r>
              <w:rPr>
                <w:rStyle w:val="IndexLink"/>
                <w:rtl w:val="true"/>
              </w:rPr>
              <w:t xml:space="preserve">ت </w:t>
            </w:r>
            <w:r>
              <w:rPr>
                <w:rStyle w:val="IndexLink"/>
              </w:rPr>
              <w:t>1250</w:t>
            </w:r>
            <w:r>
              <w:rPr>
                <w:rStyle w:val="IndexLink"/>
                <w:rtl w:val="true"/>
              </w:rPr>
              <w:t xml:space="preserve"> </w:t>
            </w:r>
            <w:r>
              <w:rPr>
                <w:rStyle w:val="IndexLink"/>
                <w:rtl w:val="true"/>
              </w:rPr>
              <w:t xml:space="preserve">ه </w:t>
            </w:r>
            <w:r>
              <w:rPr>
                <w:rStyle w:val="IndexLink"/>
                <w:rtl w:val="true"/>
              </w:rPr>
              <w:t>)</w:t>
              <w:tab/>
            </w:r>
            <w:r>
              <w:rPr>
                <w:rStyle w:val="IndexLink"/>
              </w:rPr>
              <w:t>479</w:t>
            </w:r>
          </w:hyperlink>
        </w:p>
        <w:p>
          <w:pPr>
            <w:pStyle w:val="Contents3"/>
            <w:tabs>
              <w:tab w:val="clear" w:pos="8459"/>
              <w:tab w:val="right" w:pos="9026" w:leader="dot"/>
            </w:tabs>
            <w:rPr/>
          </w:pPr>
          <w:hyperlink w:anchor="__RefHeading___Toc972626_237004111">
            <w:r>
              <w:rPr>
                <w:webHidden/>
                <w:rStyle w:val="IndexLink"/>
              </w:rPr>
              <w:t>21</w:t>
            </w:r>
            <w:r>
              <w:rPr>
                <w:rStyle w:val="IndexLink"/>
                <w:rtl w:val="true"/>
              </w:rPr>
              <w:t xml:space="preserve"> - </w:t>
            </w:r>
            <w:r>
              <w:rPr>
                <w:rStyle w:val="IndexLink"/>
                <w:rtl w:val="true"/>
              </w:rPr>
              <w:t>موقف الدّکتور سلیمان بن إبراهیم بن عبداللّه اللّاحم</w:t>
            </w:r>
            <w:r>
              <w:rPr>
                <w:rStyle w:val="IndexLink"/>
                <w:rtl w:val="true"/>
              </w:rPr>
              <w:tab/>
            </w:r>
            <w:r>
              <w:rPr>
                <w:rStyle w:val="IndexLink"/>
              </w:rPr>
              <w:t>479</w:t>
            </w:r>
          </w:hyperlink>
        </w:p>
        <w:p>
          <w:pPr>
            <w:pStyle w:val="Contents3"/>
            <w:tabs>
              <w:tab w:val="clear" w:pos="8459"/>
              <w:tab w:val="right" w:pos="9026" w:leader="dot"/>
            </w:tabs>
            <w:rPr/>
          </w:pPr>
          <w:hyperlink w:anchor="__RefHeading___Toc972628_237004111">
            <w:r>
              <w:rPr>
                <w:webHidden/>
                <w:rStyle w:val="IndexLink"/>
              </w:rPr>
              <w:t>22</w:t>
            </w:r>
            <w:r>
              <w:rPr>
                <w:rStyle w:val="IndexLink"/>
                <w:rtl w:val="true"/>
              </w:rPr>
              <w:t xml:space="preserve"> - </w:t>
            </w:r>
            <w:r>
              <w:rPr>
                <w:rStyle w:val="IndexLink"/>
                <w:rtl w:val="true"/>
              </w:rPr>
              <w:t>موقف النُّحاة المعاصرین والجرّ بالجوار</w:t>
            </w:r>
            <w:r>
              <w:rPr>
                <w:rStyle w:val="IndexLink"/>
                <w:rtl w:val="true"/>
              </w:rPr>
              <w:t>:</w:t>
              <w:tab/>
            </w:r>
            <w:r>
              <w:rPr>
                <w:rStyle w:val="IndexLink"/>
              </w:rPr>
              <w:t>480</w:t>
            </w:r>
          </w:hyperlink>
        </w:p>
        <w:p>
          <w:pPr>
            <w:pStyle w:val="Contents2"/>
            <w:tabs>
              <w:tab w:val="clear" w:pos="8743"/>
              <w:tab w:val="right" w:pos="9026" w:leader="dot"/>
            </w:tabs>
            <w:rPr/>
          </w:pPr>
          <w:hyperlink w:anchor="__RefHeading___Toc972630_237004111">
            <w:r>
              <w:rPr>
                <w:webHidden/>
                <w:rStyle w:val="IndexLink"/>
                <w:rtl w:val="true"/>
              </w:rPr>
              <w:t>المصار والمراجع</w:t>
            </w:r>
            <w:r>
              <w:rPr>
                <w:rStyle w:val="IndexLink"/>
                <w:rtl w:val="true"/>
              </w:rPr>
              <w:tab/>
            </w:r>
            <w:r>
              <w:rPr>
                <w:rStyle w:val="IndexLink"/>
              </w:rPr>
              <w:t>483</w:t>
            </w:r>
          </w:hyperlink>
        </w:p>
        <w:p>
          <w:pPr>
            <w:pStyle w:val="Contents2"/>
            <w:tabs>
              <w:tab w:val="clear" w:pos="8743"/>
              <w:tab w:val="right" w:pos="9026" w:leader="dot"/>
            </w:tabs>
            <w:rPr/>
          </w:pPr>
          <w:hyperlink w:anchor="__RefHeading___Toc972632_237004111">
            <w:r>
              <w:rPr>
                <w:webHidden/>
                <w:rStyle w:val="IndexLink"/>
                <w:rtl w:val="true"/>
              </w:rPr>
              <w:t>الفهرست</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93_70380"/>
      <w:bookmarkStart w:id="1" w:name="pg6193_70380"/>
      <w:bookmarkEnd w:id="1"/>
    </w:p>
    <w:p>
      <w:pPr>
        <w:pStyle w:val="Heading2"/>
        <w:numPr>
          <w:ilvl w:val="1"/>
          <w:numId w:val="1"/>
        </w:numPr>
        <w:rPr/>
      </w:pPr>
      <w:bookmarkStart w:id="2" w:name="pg6193_70380"/>
      <w:bookmarkStart w:id="3" w:name="__RefHeading___Toc972054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الوضوء و إشکالیة الدلالة بین القراءة و النحو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شهرستانی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العتبةالحسینیةالمقدسه، قسم‌الشوون‌الفکریه والثقافیه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2056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آیة الوضوء و إشکالیة الدلالة بین القراءة و النحو المأثور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علی شهرستانی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193_70394"/>
    </w:p>
    <w:p>
      <w:pPr>
        <w:pStyle w:val="Heading2"/>
        <w:numPr>
          <w:ilvl w:val="1"/>
          <w:numId w:val="1"/>
        </w:numPr>
        <w:rPr/>
      </w:pPr>
      <w:bookmarkStart w:id="8" w:name="__RefHeading___Toc972058_237004111"/>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إن القرآن الذی بین أیدی المسلمین الیوم هو کتاب اللّه المنزل علی سید الأنبیاء والمرسلین محمد بن عبداللّه بلا زیادة ولا نقصان، بل لا یمکن أن تطاله ید التحریف والتبدیل لوجود الضمان الإلهی 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وضَّحْتُ هذا الأمر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المحفوظ، قراءة جدیدة فی تاریخ جمع القرآن وما روی فی تحریفه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المواظبة علی قراءة القرآن علی عهد الرسول صلی الله علیه و آله، والاهتمام بکتابته، وحفظه، وتعلیمه، والنظر فیه، والروایة فی فضل ختمه، وتلاوة الرسول والآل والصحابة لآیاته وسوره فی صلواتهم آناء اللیل وأطراف النهار حافظت علی </w:t>
      </w:r>
    </w:p>
    <w:p>
      <w:pPr>
        <w:pStyle w:val="BookText"/>
        <w:rPr/>
      </w:pPr>
      <w:r>
        <w:rPr>
          <w:rFonts w:ascii="IRNazanin" w:hAnsi="IRNazanin" w:eastAsia="IRNazanin"/>
          <w:color w:val="111111"/>
          <w:sz w:val="28"/>
          <w:sz w:val="28"/>
          <w:szCs w:val="28"/>
          <w:rtl w:val="true"/>
          <w:lang w:bidi="fa-IR"/>
        </w:rPr>
        <w:t>أصالته ونقاوته، وأبعدته عن التحریف والزیادة والنقصان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لا یعنی سدّ باب البحث عن بعض الاُمور المرتبطة به، کالبحث عن تاریخ جمع القرآن، وهل جُمع علی عهد رسول اللّه أم من بعده؟ وما قیل عن الحجاج بن یوسف، وأنّه غیّر اثنی عشر مورداً فی مصحف عثمان بعد تداوله، بل ما هی أهداف ثورة القراء التی قامت ضده؟ وموضوع نشوء القراءات،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عن رسول اللّه صلی الله علیه و آله عند أهل السنة، ورؤیة أهل البیت فی ذلک والنَّسْخ ودعوی وجود اللحن فی القرآن وأن العرب ستقومه بالسنتها، وأمثالها من البحوث المرتبطة بالقرآن الکریم، فإنّها جدیرة بالبحث، لأنّ القرآن شیءٌ، وبیان تاریخه والقراءات وما یماثلها شیءٌ آخر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لکنّنا الیوم نری أنّ بعض المتحاملین، یرون عکس ذلک، فالباحث لو شکک فی جمع عثمان للمصاحف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قالوه فی جمع أبی بکر وعمر، وذهب إلی کون القرآن کان محفوظاً مجموعاً عند الصحابة علی عهد رسول اللّه صلی الله علیه و آله فی 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لاتُّهم بالتشکیک فی الثوابت، ونقضه للمُسَلَّم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شک فی صحة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أو قال بهذا القول أو ذاک فیه، أو نقل هذه الروایة أو تلک، أو تساءَل عن هذا الموضوع أو ذاک لاتُّهم بالتحریف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أمران أساسیان یرتبطان بموضوع القراءة القرآنیة لآیة الوضوء یجب الإشارة إلیهما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القرآن الکریم یذکر کلّیّات الأمور ویَکِلُ تفاصیلها إلی </w:t>
      </w:r>
    </w:p>
    <w:p>
      <w:pPr>
        <w:pStyle w:val="BookText"/>
        <w:rPr/>
      </w:pPr>
      <w:r>
        <w:rPr>
          <w:rFonts w:ascii="IRNazanin" w:hAnsi="IRNazanin" w:eastAsia="IRNazanin"/>
          <w:color w:val="111111"/>
          <w:sz w:val="28"/>
          <w:sz w:val="28"/>
          <w:szCs w:val="28"/>
          <w:rtl w:val="true"/>
          <w:lang w:bidi="fa-IR"/>
        </w:rPr>
        <w:t>الرسول، فمن العسیر أن تجد فی القرآن حکماً تاماً یبیّن تفاصیل حکمٍ شرعیٍّ بحیث یستغنی عن بیان السنة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 النادر فی القرآن لا تراه إلّافی بیان حکم الوضوء، فالباری جل وعلا خاطب المؤمنین فی کتابه بأنّ علیهم إذا أرادوا الدخول إلی الصلاة أن یتوضّؤوا، وأن هذا الوضوء لا یتحقق إلّابغسلتین ومسحتین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فالمغسولان هما الوجه والیدان، وأمّا الممسوحان فهما الرأس والرجلان، لقوله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هو حکم اللّه فی کتابه، واکده رسول اللّه بسنته من خلال بعض أصحابه، إذ اشتهر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کتاب اللّه إلّاالمسح</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فی کتاب اللّه المسح</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إذ لا تعارض بین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أنس بن مالک معترضاً علی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الحجاج نزل القرآن بالمسح</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 الإمام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رأیت رسول اللّه مسح ظهورهما لظننت أن بطونهما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تعریض بالآراء الاستحسانیة التی اتی بها مخالفوا المسح لدعم وتقویم غسل الأرجل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 علیه السلام استدل علی المسح بالکتاب والسنة معاً، ثمّ راح یفنّد الرأی </w:t>
      </w:r>
    </w:p>
    <w:p>
      <w:pPr>
        <w:pStyle w:val="BookText"/>
        <w:rPr/>
      </w:pPr>
      <w:r>
        <w:rPr>
          <w:rFonts w:ascii="IRNazanin" w:hAnsi="IRNazanin" w:eastAsia="IRNazanin"/>
          <w:color w:val="111111"/>
          <w:sz w:val="28"/>
          <w:sz w:val="28"/>
          <w:szCs w:val="28"/>
          <w:rtl w:val="true"/>
          <w:lang w:bidi="fa-IR"/>
        </w:rPr>
        <w:t>القائل بأنّ الأقدام هی أقرب إلی الخبث، والذی نشأ متأخراً بعد تشریع عثمان بن عفان للغسل</w:t>
      </w:r>
      <w:r>
        <w:rPr>
          <w:rStyle w:val="FootnoteAnchor"/>
          <w:rtl w:val="true"/>
        </w:rPr>
        <w:footnoteReference w:id="8"/>
      </w:r>
      <w:r>
        <w:rPr>
          <w:rFonts w:ascii="IRNazanin" w:hAnsi="IRNazanin" w:eastAsia="IRNazanin"/>
          <w:color w:val="111111"/>
          <w:sz w:val="28"/>
          <w:sz w:val="28"/>
          <w:szCs w:val="28"/>
          <w:rtl w:val="true"/>
          <w:lang w:bidi="fa-IR"/>
        </w:rPr>
        <w:t>، فأرسل الإمام ظهور المسح علی الأرجل من کتاب اللّه، إرسال المسلّمات، ولم یجعل مجالاً لاحتمال الغسل أبداً فیه؛ لظهور المسح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فأراد أن یوضح هذا الأمر الثابت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المسح الظاهر من أمر اللّه فی القرآن یختص بمسح ظاهر القدمین فقط؛ لأنّه رأی رسول اللّه صلی الله علیه و آله مسح ظهورهما فقط دون بطونهما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احتج بالسنة النبویة المبارکة مع القرآن، وأنْ لا تعارض بین فعل الرسول والآیة القرآنیة، وبذلک فند الرأی القائل بأن السنة النبویة کانت جاریة بالمسح علی الخفین أو غسل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فنّد ثالثاً الرأی، فقال فی جوابهم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للرأی حجیة فی مقابل فعل النبیّ صلی الله علیه و آله لکان باطن القدمین أحقّ بالمسح من ظاهرهما لقربه من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استدل به أمثال الحجّاج علی الغسل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النقولات المسحیّة عن علیّ، وابن عباس، وأنس بن مالک حملت معها أدلّتها القویة من القرآن، والسنة، وردّ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بعکس الطرف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روایات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لم تجرؤ أن تقدّم سوی ادّعاء لا یُعلَمُ مدی مصداقیته ووثاقته، إذ الأدلة التعضیدیة کقوله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أجنبیّة عما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کانوا قد استدلوا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إمکان الاستفادة منها لمشروعیة غسل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 منه ما هو إلّاحکم یتعلق بالعقب الذی هو معرض للنجاسة، فلا یمکن الاستدلال به علی أنّه فعل الرسول وحکم القرآن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الحال بالنسبة إلی الإسباغ، فهو حکم کمالی للوضوء ولا یدل علی غسل </w:t>
      </w:r>
    </w:p>
    <w:p>
      <w:pPr>
        <w:pStyle w:val="BookText"/>
        <w:rPr/>
      </w:pP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زعماء العامّة قد جدّوا لتعضید الغسل بصرف الظهور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بقراءة النصب، وأخری بادّعاء النسخ، وثالثة بادعاء أنّ القرآن نزل بالمسح وجاءت السنّة بالغسل ورابعة بقوله صلی الله علیه و آله ویل للأعقاب من النار</w:t>
      </w:r>
      <w:r>
        <w:rPr>
          <w:rStyle w:val="FootnoteAnchor"/>
          <w:rtl w:val="true"/>
        </w:rPr>
        <w:footnoteReference w:id="9"/>
      </w:r>
      <w:r>
        <w:rPr>
          <w:rFonts w:ascii="IRNazanin" w:hAnsi="IRNazanin" w:eastAsia="IRNazanin"/>
          <w:color w:val="111111"/>
          <w:sz w:val="28"/>
          <w:sz w:val="28"/>
          <w:szCs w:val="28"/>
          <w:rtl w:val="true"/>
          <w:lang w:bidi="fa-IR"/>
        </w:rPr>
        <w:t>، وما ضارعها من وجوه غیر علمیة، حتی قال ابن حزم فی بعض مواطن ردّه علی أبی حنیفة ومالک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وأبطلتم 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یدّعی مخالفنا ومخالفکم أننا سامحنا أنفسنا وسامحتم أنفسکم فیه، وأنّه لا یدلّ علی المنعِ من مسحها، وقد قال بمسحها طائفة من الصحابة والتابعین ومن بعدهم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أنّهم جدّوا لتعضید الغسل تارة بصرف الظهور القرآنی وأُخری بروایتهم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الغسل هو المسح وزیادة وما شابه ذلک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نعاود السؤال تارة أخری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خصّ اللّه تعالی بیان حکم الوضوء تفصیلاً فی القرآن، دون الأحکام الشرعیّة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یصرّ أهل السنة علی غسل الأرجل، مع اعتقادهم بأنّ القرآن نزل بالمسح کما جاء فی کلمات أعلامهم</w:t>
      </w:r>
      <w:r>
        <w:rPr>
          <w:rStyle w:val="FootnoteAnchor"/>
          <w:rtl w:val="true"/>
        </w:rPr>
        <w:footnoteReference w:id="11"/>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أَتُرَی أن اللّه تعالی انزل هذه الآیة کی یوضح عمق التحریف الذی سیقع فی الاُمة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بهم یغیرون الثوابت تحت طائلة الاستحسان والمصلحة والاجتهاد والرأی، ویجعلون الآیات المحکمة فی القرآن آیات </w:t>
      </w:r>
    </w:p>
    <w:p>
      <w:pPr>
        <w:pStyle w:val="BookText"/>
        <w:rPr/>
      </w:pPr>
      <w:r>
        <w:rPr>
          <w:rFonts w:ascii="IRNazanin" w:hAnsi="IRNazanin" w:eastAsia="IRNazanin"/>
          <w:color w:val="111111"/>
          <w:sz w:val="28"/>
          <w:sz w:val="28"/>
          <w:szCs w:val="28"/>
          <w:rtl w:val="true"/>
          <w:lang w:bidi="fa-IR"/>
        </w:rPr>
        <w:t>متشابهة کی یستفیدوا منها فی استدلالاتهم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تراهم باطروحتهم</w:t>
      </w:r>
      <w:r>
        <w:rPr>
          <w:rStyle w:val="FootnoteAnchor"/>
          <w:rtl w:val="true"/>
        </w:rPr>
        <w:footnoteReference w:id="12"/>
      </w:r>
      <w:r>
        <w:rPr>
          <w:rFonts w:ascii="IRNazanin" w:hAnsi="IRNazanin" w:eastAsia="IRNazanin"/>
          <w:color w:val="111111"/>
          <w:sz w:val="28"/>
          <w:sz w:val="28"/>
          <w:szCs w:val="28"/>
          <w:rtl w:val="true"/>
          <w:lang w:bidi="fa-IR"/>
        </w:rPr>
        <w:t xml:space="preserve">تلک یحدثون التصادم بین الکتاب والسنة فیقولون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قاضیة علی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لم تکن سنة ثابتة عن رسول اللّه ولو کانت ثابته فلا مبرر لاختلاف المسلمین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الأنکی من کلّ ذلک أنّک تراهم یرجّحون کلمات أئمتهم علی کلام الباری والحدیث الصحیح، بل یجعلونها قاضیة علی الآیة، والحدیث الصحیح، وقول الصحابی، قال الصاوی فی حاشیته علی تفسیر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تقلید ما عدا المذاهب الأربعة ولو وافق قولَ الصحابة، والحدیثَ الصحیح، والآیةَ، فالخارجُ عن المذاهب الأربعة ضالٌّ مضلٌّ، وربّما أدّاه ذلک للکفر؛ لأنّ الأخذ بظواهر الکتاب والسنة من أصول الکفر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أتساءل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افتراض التعارض التامّ المستقرّ بین سنّة النبی صلی الله علیه و آله الآمرة بغسل القدمین کما یقولون، وبین صریح القرآن الآمر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یمکن أن نتصور التعارض التامّ بین هذه السنّة وبین ما هو مبیَّنٌ تماماً ومفسَّرٌ کاملاً فی کتاب اللّه، کآیة الوضوء؟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افتراض التعارض والتناقض والتنافی والتصادم بین آیات القرآن المبیَّنة المفسّرة المفصّلة فی نفس القرآن، وبین سنّة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یمکن ذلک؟ </w:t>
      </w:r>
    </w:p>
    <w:p>
      <w:pPr>
        <w:pStyle w:val="BookText"/>
        <w:rPr/>
      </w:pPr>
      <w:r>
        <w:rPr>
          <w:rFonts w:ascii="IRNazanin" w:hAnsi="IRNazanin" w:eastAsia="IRNazanin"/>
          <w:color w:val="111111"/>
          <w:sz w:val="28"/>
          <w:sz w:val="28"/>
          <w:szCs w:val="28"/>
          <w:rtl w:val="true"/>
          <w:lang w:bidi="fa-IR"/>
        </w:rPr>
        <w:t>نعم، هناک جماعة من علماء أهل السنة ادعو النسخ فی آیة الوضوء مع أنّهم جازمون بأنّ الآیة ظاهرة فی مسح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غیر واحد منهم، قال بلزوم الغسل، بدعوی ان السنة جرت به، فالسنة تکون ناسخة لما فی الکتاب العزیز حسب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النسخ لطالما أثارت انتباهنا؛ فإنّ قدماء أهل السنّة إذا أعجزهم شیء، لجأوا إلی دعوی النسخ بسرعة البرق، فقالوا عن کل شیء صریح بأنّه منسوخ، ولو لَحَظْتَ مسألة المتعة الصریحة فی القرآن والسنّة لرأیتهم یقولون بأنّها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کتابة حدیث رسول اللّه یقولون عنها بأنّها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المسح علی الکعبین یقولون بأنَّ المسح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یذعنون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أذان رسول اللّه، لکنّهم یدّعون نسخها، وقد خاطبهم السیّد المرتضی من علماء الإمامیة فی کتابه الانتصار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ادُّعی أن ذلک نُسِخَ ورُفِعَ، وعلی من ادَّعی النسخ الدلالة وما یجدها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أکثر ما یدّعونه فی النسخ وأمثاله، باهتٌ لا یشفع له علم، ولا یعضده دلیل، ولا یقوم علیه برهان؟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بحوثنا فی التشریع وملابسات الأحکام، تحاول الوقوف علی جذور المسائل التاریخیّة المؤثرة فی بناء التشریع شکلاً ومحتوی ومضموناً؛ من خلال استقراء الأقوال فی تلک المسألة، کان علینا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بیان تاریخ اختلاف المسلمین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نأتی باسماء المفسرین والنحویین والفقهاء والوقوف علی کیفیة استدلالهم بالآیة الکریمة، ثم مناقشتها طبقاً للتسلسل التاریخی </w:t>
      </w:r>
    </w:p>
    <w:p>
      <w:pPr>
        <w:pStyle w:val="BookText"/>
        <w:rPr/>
      </w:pPr>
      <w:r>
        <w:rPr>
          <w:rFonts w:ascii="IRNazanin" w:hAnsi="IRNazanin" w:eastAsia="IRNazanin"/>
          <w:color w:val="111111"/>
          <w:sz w:val="28"/>
          <w:sz w:val="28"/>
          <w:szCs w:val="28"/>
          <w:rtl w:val="true"/>
          <w:lang w:bidi="fa-IR"/>
        </w:rPr>
        <w:t>لوفیاتهم، لاعتقادنا بضرورة الشمولیة وفی البحث ونقل الأقوال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التساؤلات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تفریعاتها العلمیّة وملابساتها الشرعیة وتداعیاتها العقائدیة وجذورها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توقفک علیها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بأن قوام اللغة العربیة بقواعدها، فلا یمکن فهم کتاب اللّه تعالی، وکلام رسوله الأمین إلّابتلک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المؤسف أن نری بعض الناس یتعمق فی طلب النحو ویخترع وجوهاً جدیدة باطلة للانتصار لمذهبه، وهذا منهی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الصادق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انهمک فی طلب النحو سلب الخشوع</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العربیة یحرّفون الکلم عن مواضعه</w:t>
      </w:r>
      <w:r>
        <w:rPr>
          <w:rStyle w:val="FootnoteAnchor"/>
          <w:rtl w:val="true"/>
        </w:rPr>
        <w:footnoteReference w:id="16"/>
      </w:r>
      <w:r>
        <w:rPr>
          <w:rFonts w:ascii="IRNazanin" w:hAnsi="IRNazanin" w:eastAsia="IRNazanin"/>
          <w:color w:val="111111"/>
          <w:sz w:val="28"/>
          <w:sz w:val="28"/>
          <w:szCs w:val="28"/>
          <w:rtl w:val="true"/>
          <w:lang w:bidi="fa-IR"/>
        </w:rPr>
        <w:t>وهذا ما رأیناه واضحاً عندهم فی تفسیرهم لآیة الوضوء،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إن الحقیقة فی آیة الوضوء ظاهرة مکشوفة وصریح القرآن دال علی المسح، وقد اعترف بذلک بعض من له إنصاف والمام بالقواعد الأدبیّة والتّفسیریة من أهل السنّة، إلّاأنّ کثیراً منهم تمحّلوا بوجوه غریبة للفرار عن هذه الحقیقة وتمسکوا بأشیاء لا حقیقة لها فی میزان العلم والأدب والتّفسیر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الأشارة إلی عمدة أدلتهم فی هذه المسألة علی نحو الفهرسة والاجمال لتکون مقدمة للبحث، ومن خلالها یمکن التعرف علی بعض تأویلاتهم التی لا یقبلها الذوق السلیم، وکیف بهم یصححون غسل الأرجل بتلک الوجوه السقیمة، محیلین القارئ إلی مظان وجود أجوبتنا فی 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وباعتقادی أن ما قدمناه هنا کاف لمن یرید الاختصار ولا یرید التفصیل، وإلیک الوجوه التی استدلوا بها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ذکره أبو عبیدة 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قراءة الجرّ من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 والماتریدی، والأزهری، وأبی علی الفارسی، والزمخشری، والواحدی النیسابوری، وأبی المعالی الجوینی، وعماد الدین الکیا الهرّاس، وأبی الفضل رشید الدین المیبدی، وابن عطیة الاندلسی، والشیخ الطبرسی صاحب التفسیر، ومحمود بن أبی الحسن النیسابوری، وبیان الحق النیسابوری، وأبی عبداللّه الفسوی، وابن الجوزی الحنبلی البغدادی، وأبی البقاء البغدادی العکبری، وأبی شامة، وأبی البرکات النّسفی، وابن تیمیّة الحرّانی، والتفتازانی، وابن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جاء أیضاً فی قراءة النصب فی کلام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الأخفش، والزّجاج، والجصّاص، وابن خالویه، والأزهری، والثعلبی، وأبی المعالی الجوینی، وأبی المظفّر السمعانی، والکیا الهرّاس، وأبی الفضل رشید الدین المیبدی، والزمخشری، وابن الجوزی صاحب زاد المسیر، والفخرالرازی، وأبی شامة، والقرطبی، والبیضاوی، وابن تیمیّة الحرانی، وأبی السَّعود، والمظهری النقشبندی الحنفی، والنووی الجاوی، ومحمد علی الصّابونی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قراءة الرّفع فی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الحق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الفصل الخاص بالجوار فی کلام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الأنباری، وملا خسرو، والصبّان، وابن عجیبة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 عن استدلالهم بالتحدید عند الکلام فی هذه القراءة مع الزّجاج وغیره ممن ذکرناهم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عنهم قبلنا من علمائنا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الرازی فی تفسیره، </w:t>
      </w:r>
    </w:p>
    <w:p>
      <w:pPr>
        <w:pStyle w:val="BookText"/>
        <w:rPr/>
      </w:pPr>
      <w:r>
        <w:rPr>
          <w:rFonts w:ascii="IRNazanin" w:hAnsi="IRNazanin" w:eastAsia="IRNazanin"/>
          <w:color w:val="111111"/>
          <w:sz w:val="28"/>
          <w:sz w:val="28"/>
          <w:szCs w:val="28"/>
          <w:rtl w:val="true"/>
          <w:lang w:bidi="fa-IR"/>
        </w:rPr>
        <w:t>والطبرسی فی تفسیره، والشهید الأوّل، والمقداد بن عبداللّه السّیوری، والعاملی بهاء الدین المشتهر بالشیخ البهائی، والعلّامة الجواد الکاظمی، وصاحب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کلامهم فی فصل قراءة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أجابهم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وأبی الفتوح الرازی، والقطب الراوندی، والمحقق الحلی، والشیخ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ذکرنا کلامهم فی فصل قراءة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قراءة الجر من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الکلام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الأخفش، والوهبی الإباضی، والزّجاج، والماتریدی، والنّحاس، والجصّاص، والأزهری، وابن خالویه، ومکیّ بن أبی طالب القیسی، وابن زنجلة، والثعلبی، والماوردی صاحب التفسیر، وابن سیدة، وابن عبدالبرّ، والزمخشری، وأبی المعالی الجوینی، وأبی المظفّر السمعانی، والکیا الهرّاس، والغزالی الطوسی، والبغوی، ورشید الدین المیبدی، ومحمود بن أبی الحسن النیسابوری، وبیان الحق النیسابوری، والسیّد ابن زهرة الحلبی، وابن الفرس الأندلسی، وابن الجوزی الحنبلی صاحب زاد المسیر، والفخرالرازی، وأبی البقاء البغدادی العکبری، والسمعانی، والقرطبی، والبیضاوی، والنّسفی، والخازن، ونظام الدین النیسابوری، وابن جزیّ الکلبی، وأبی حیان الأندلسی، والسمین الحلبی، والتفتازانی، وجلال الدین المحلی، والبقاعی، والدمشقی الحنبلی، والسیوطی، وإبراهیم بن محمد الحنفی الحلبی، والمظهری النقشبندی، والصبان، وابن عجیبة الحسنی، والآلوسی، والنووی الجاوی، والشنقیطی، والدکتور یاسین جاسم، والدکتور عبداللطیف الخطیب، والدکتور سلیمان بن إبراهیم اللّاحم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الجرّ بالجوار فی فصل قراءة النّصب من کتابنا هذا فی کلام کل من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المعالی الجوینی، والفقیه یوسف، والآلوسی، والقاسمی، والدکتور الزّحیلی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أجبناهم عن هذه الخرافة فی کلام اللّه تعالی عند الکلام فی هذه القراءة مع کل ممن ذکرناهم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وأجابهم أیضاً من علمائنا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والطبرسی، والقطب الراوندی، والمحقق الحلی، وعلی بن محمد القمی، والعلامة الحلّی، والشهید الأول، والمقداد السیوری، والشهید الثانی، والمولی الکاشانی، والشیخ البهائی، والجواد الکاظمی، والمحقق الخوانساری، والمیرزا محمد المشهدی القمی، والسیّد عبداللّه الشبّر، وصاحب الجواهر، والآلوسی من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بالجرّ علی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الفصل المخصوص به فی آخر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عنه هو ونقضه، کما أنا قد أجبنا عنه أیضاً، وکذا الزمخشری عند الکلام مع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استدل به الأخفش فی هذا الفصل، وأجاب عنه کما أجبناه أیضاً، وللتأکد راجع موقف سایر المذکورین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یتّضح 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المتعاطفین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ذکره فی فصل قراءة الجر، عند الکلام مع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مریم الفسوی، والقرطبی، والبیضاوی، وابن تیمیّة الحرّانی، وأبی السّعود، وإبراهیم بن محمد الحنفی الحلبی، والقاضی محمد المظهری النقشبندی، والآلوسی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 عنه بما یلیق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کلام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وبالأخص حین مناقشتنا لکلام الآلوسی فراجع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أیضاً فی فصل قراءة النّصب عند ذکر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الأخفش، والدینوری، والطبری صاحب التفسیر، والجصّاص، وابن خالویه، وابن زنجلة، وابن سیدة، والبغوی، وأبی البقاء البغدادی، وابن عصفور الأشبیلی، والقرطبی، وأبی البرکات النّسفی، وأبی حیان الأندلسی، والسّمین الحلبی، وابن کثیر، والبناء </w:t>
      </w:r>
    </w:p>
    <w:p>
      <w:pPr>
        <w:pStyle w:val="BookText"/>
        <w:rPr/>
      </w:pPr>
      <w:r>
        <w:rPr>
          <w:rFonts w:ascii="IRNazanin" w:hAnsi="IRNazanin" w:eastAsia="IRNazanin"/>
          <w:color w:val="111111"/>
          <w:sz w:val="28"/>
          <w:sz w:val="28"/>
          <w:szCs w:val="28"/>
          <w:rtl w:val="true"/>
          <w:lang w:bidi="fa-IR"/>
        </w:rPr>
        <w:t>صاحب الإتحاف، ومحمد بن عمر النووی الجاوی، والشنقیطی، وابن عاشور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أنا قد أجبناهم فی هذا الفصل أیضاً، وبالأخص عند کلامنا مع الطبری، والجصاص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أجابهم بعض علمائنا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الرازی، والعلّامة الحلّی، والشهید الأوّل، والشهید الثانی، والمیرزا محمد القمی، والسید عبداللّه الشُّبّر، وصاحب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ذکر الفصل بین المتعاطفین فی فصل الجر بالجوار عند الکلام عن موقف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وابن الأنباری، وابن هشام الأنصاری، مع جوابنا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العطف للاشتراک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الوهبی الاباضیّ، والنحّاس، وأبی المعالی الجوینی، والکیا الهرّاس، والآلوسی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أجبناهم هناک، کما أجابهم العلّامة الحلّی من علمائنا أیضاً، وقد استدل به الجصاص أیضاً فی فصل قراءة النّصب، لکنا أجبناه وأجابه الشیخ الطّوسی 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روایات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الاستدلال بأمثال هذه الروایة فی قراءة الجر عند عرض کلام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الکیا الهرّاس، وأبی حیان الأندلسی، والآلوسی، وابن زنجلة، والثّعلبی، والواحدی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قراءة النصب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والشیخ مصطفی المراغی، ومحیی الدین الدّرویش، والصّابونی، والدّکتور سلیمان اللّاحم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أجبنا عنها فی قراءة الجر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والکیاالهرّاس، والنّسفی، وأبی حیان الأندلسی، والآلوسی، وابن زنجلة، </w:t>
      </w:r>
    </w:p>
    <w:p>
      <w:pPr>
        <w:pStyle w:val="BookText"/>
        <w:rPr/>
      </w:pPr>
      <w:r>
        <w:rPr>
          <w:rFonts w:ascii="IRNazanin" w:hAnsi="IRNazanin" w:eastAsia="IRNazanin"/>
          <w:color w:val="111111"/>
          <w:sz w:val="28"/>
          <w:sz w:val="28"/>
          <w:szCs w:val="28"/>
          <w:rtl w:val="true"/>
          <w:lang w:bidi="fa-IR"/>
        </w:rPr>
        <w:t>والثعلبی، والواحدی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قراءة النّصب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وابن عاشور، والشیخ مصطفی المراغی، ومحیی الدین الدّرویش، والصابونی، والدکتور سلیمان اللّاحم، وقلنا إنّ حملهم تلک الروایات علی الغسل، لیس إلّالسوء فهمهم إیاها، وعدم درکهم الصحیح لمعناها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المسح وتأویلهم إیّاها بالغسل الخفیف أو المسح علی الخفین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جاءت تلک الروایات فی قراءة الجر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وأبی زکریا الفرّاء، وهود بن المحکم الهوّاری، والوهبیّ الإباضی، وابن جریر الطبری، والنحاس، والثعلبی، والماوردی، وبیان الحق النیسابوری، وابن کثیر، والفیروزآبادی، والآلوسی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قراءة النصب عند عرض رأی الجصاص، مجیبین عن کلامهم بما لا مزید علیه فی القراءتین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 والنّصب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استدللنا علی المسح بقول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عرض رأی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بن المحکم الهواری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والوهبی الأباضی، وابن جریر الطبری صاحب التفسیر، والماوردی، والبغوی، والعلّامة الحلّی، وابن کثیر، والفیروزآبادی، والمقداد السیوری، والمولی الکاشانی، والآلوسی، والشوکانی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قراءة النصب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والقاسمی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ابن کثیر الرّوایات الدالة علی المسح من قول الشیعة وغیرهم فی قراءة الجرّ،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الغسل واستدلالهم بها فی قراءة الجر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تلک الروایات وکیفیة استدلالهم بها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الأزهری، </w:t>
      </w:r>
    </w:p>
    <w:p>
      <w:pPr>
        <w:pStyle w:val="BookText"/>
        <w:rPr/>
      </w:pPr>
      <w:r>
        <w:rPr>
          <w:rFonts w:ascii="IRNazanin" w:hAnsi="IRNazanin" w:eastAsia="IRNazanin"/>
          <w:color w:val="111111"/>
          <w:sz w:val="28"/>
          <w:sz w:val="28"/>
          <w:szCs w:val="28"/>
          <w:rtl w:val="true"/>
          <w:lang w:bidi="fa-IR"/>
        </w:rPr>
        <w:t>الثعلبی، وابن عبدالبر، وأبی شامة، وابن کثیر، والفقیه یوسف، والسید رشید رضا، وابن عاشور، وابن عبیدان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قراءة النصب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والماوردی، وأبی المعالی الجوینی، ورشید الدین المیبدی، والسمعانی، والقاسمیّ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اجبنا عنها فی القراءتین، وأتینا بجواب أنس عن مقالة الحجاج فی فصل قراءة الجر عند عرضنا لرأی الثعلبی، والماوردی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فصل قراءة النّصب عند الکلام مع القاسمی، وما کتبناه فی البحث الروائی من کتابنا وضوء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القرآن علی المذهب والهوی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إلی هذا الموضوع فی قراءة الجرّ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 والماتریدی، وابن زنجلة، وأبی المعالی الجوینی، والسّمین الحلبی، ومحمد بن عمر النووی الجاوی، والسّالمی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قراءة النّصب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النّسفی، والتفتازانی، والزرکشی، ومحمد أبی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قراءة الجر بالجوار عند عرض موقف الشوکانی، وقد أجبنا عنهم فی فصل القراءتین، وفی فصل الجر بالجوار، کما أجاب عنهم الشیخ البهائی فی فصل قراءة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آیات من القرآن المجید حاولوا أن یستدلوا بوجوهها النحویة واللغویة علی رأیهم فی الغسل، وقد أجبناهم وأجابهم قبلنا بعض علمائنا، وهی کمایلی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فی سورة الواقعة علی الجر بالجوار، والتی ذکرناها فی قراءة الجرّ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والسمرقندی، </w:t>
      </w:r>
    </w:p>
    <w:p>
      <w:pPr>
        <w:pStyle w:val="BookText"/>
        <w:rPr/>
      </w:pPr>
      <w:r>
        <w:rPr>
          <w:rFonts w:ascii="IRNazanin" w:hAnsi="IRNazanin" w:eastAsia="IRNazanin"/>
          <w:color w:val="111111"/>
          <w:sz w:val="28"/>
          <w:sz w:val="28"/>
          <w:szCs w:val="28"/>
          <w:rtl w:val="true"/>
          <w:lang w:bidi="fa-IR"/>
        </w:rPr>
        <w:t>وابن زنجلة، وأبی المظفر السمعانی، وأبی البقاء البغدادی، والآلوسی، والشنقیطی، وقد أجبنا عنهم، کما أجابهم الشیخ الطوسی، والمحقق الحلّی، والعلّامة الحلّی، والمقداد السیوری والشهید الثانی، والشیخ البهائی قبلنا فی تلک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الجر من سورة البروج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جاء ذکرها عند عرض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 والشنقیطی، وجوابنا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 والتی ذکرت فی فصل قراءة الجر عند عرض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 وأبی البقاء، وأبی السّعود، والشنقیطی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فصل الجر بالجوار عند عرض موقف ملاخسرو، وقد أجبناهم، وأجابهم علماؤنا،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المقداد السیوری والشهید الثانی فی الفصلین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قراءة الجر عند عرض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البقاء، والشنقیطی، وملا خسرو، وفیه جوابنا،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ثِیَابُ سُندُسٍ خُضْرٌ وَإِسْتَبْرَقٌ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فصل قراءة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عند عرض رأی ابن کثیر، وأجبنا عنه فی ذلک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 بِالسُّوقِ وَالأَعْنَاقِ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فصل قراءة الجر عند عرض 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والشیخ الطوسی، والمحقق الحلّی، وجوابهم وجوابنا عنه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وَلَحْمِ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الواقعة فی فصل قراءة الجر عند عرض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وجوابنا عنه فی هذا الفصل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 فی فصل قراءة الجرّ عند عرض رأی کلّ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الفارسی، والشریف المرتضی، والفسوی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فصل قراءة النصب عند عرض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وابن زهرة، وأجبنا عنهم فی الفصلین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ظَنَنتُمْ أَن لَن یَبْعَثَ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ذکرها فی فصل قراءة الجر عند عرض رأی الفارسی والشریف المرتضی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فصل قراءة النّصب فی معرض کلام الشیخ الطوسی، والقطب الراوندی، وابن زهرة الحلبی، والمحقق الحلّی، وقد مرّ جوابهم وجوابنا فی الفصلین المذکورین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 عَلَیْهِ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الکهف، وقد جاء ذکرها فی فصل قراءة الجر عند عرض رأی کلّ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الفارسی، والشریف المرتضی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قراءة النّصب فی معرض کلام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والقطب الراوندی، وابن زهرة الحلبی، وقد مرّ جوابهم فی الفصلین وجوابنا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استدلوا بأشعار من العرب علی ما یرتأون من الغسل ونحن أجبنا عنها، وکذلک أجابهم بعض علمائنا من قدیم الزمان إلی یومنا هذا، وإلیک موارد استدلالهم بتلک الأشعار فی هذا الکتاب وأماکن وجودها، مثل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وشعر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مکبول</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وَنَعامُها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متقلّداً سیفاً ورمحا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اناس فی بجاد مزمل</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همّالة عیناها</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القدّ مجنوبِ</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الخُشّعُ</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غرابها</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جائیا</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سبب ترعی به الماءَ والشَّجَر</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سوافی المورّ والقطر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ألبان وتمر وأقط</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لبانات ویسأم سالم</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یَذهَبْنَ فی نجدٍ وغَوْراً غَائراً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اطبخوا لی جبّة وقمیصا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بالجبالِ ولا الحدیدا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وتسکب عینای الدموع لتجمدا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وعینیه إن مولاه کان له وفر</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 حیَاةَ لِمَنْ تُنادِی</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صفیف شِواءٍ أو قَدیر مُعجَّلِ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ملساءَ لیس بها خالٌ ولا ندبُ</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وصل إذا انحلّت عری الذنب</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لونَ أرضِهِ </w:t>
      </w:r>
    </w:p>
    <w:p>
      <w:pPr>
        <w:pStyle w:val="BookText"/>
        <w:rPr/>
      </w:pPr>
      <w:r>
        <w:rPr>
          <w:rFonts w:ascii="Amiri" w:hAnsi="Amiri" w:eastAsia="Amiri" w:cs="Amiri"/>
          <w:color w:val="111111"/>
          <w:sz w:val="28"/>
          <w:sz w:val="28"/>
          <w:szCs w:val="28"/>
          <w:rtl w:val="true"/>
          <w:lang w:bidi="ar-SA"/>
        </w:rPr>
        <w:t>سماؤُهُ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طیّنت بالفدن السِّیاعا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 موقِفٌ مِنْکِ الوَداعا</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لنا کانوا کرامٍ</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المدینةِ والجبالُ الخُشّعُ</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ربّ أخا عون بن مخراق</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 ممطول مُعَنّیً غَریمها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ولم أطلب قلیل من المال</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الجوادا</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کلّ ذی دینٍ فوفّی غریمه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زجّجن الحواجب والعیونا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فی عقال الأسر مکبول</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نسج العنکبوت المُرْمَلِ</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 المزْبُورُ والمختومُ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موثوقٍ من الأرض تذهبُ</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قُطْناً بمُسْتَحْصِدِ الأوتار </w:t>
      </w:r>
    </w:p>
    <w:p>
      <w:pPr>
        <w:pStyle w:val="BookText"/>
        <w:rPr/>
      </w:pPr>
      <w:r>
        <w:rPr>
          <w:rFonts w:ascii="Amiri" w:hAnsi="Amiri" w:eastAsia="Amiri" w:cs="Amiri"/>
          <w:color w:val="111111"/>
          <w:sz w:val="28"/>
          <w:sz w:val="28"/>
          <w:szCs w:val="28"/>
          <w:rtl w:val="true"/>
          <w:lang w:bidi="ar-SA"/>
        </w:rPr>
        <w:t>مَحْلُوجِ</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بالجَلْهَتَیْنِ ظباؤها وَنَعامُها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هموزِ الناب لیس لکم بسیّی</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مَعَدٍّ فلتَزعْکَ العَوَاذِلُ</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 بلّغ ذوی الزوجات کلّهم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فی الأدیم الکتاب</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سبب ترعی به الماءَ والشَّجَر</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وشعر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سیّار</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ملخص ما استدلوا به علی غسل الأرجل وهی کانت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أی أنّهم أرادوا أن یقولوا بأن رسول اللّه صلی الله علیه و آله غسل رجلیه وأن السنة قاضیة علی القرآن، لکنا أجبنا هذا الأدعاء فی البحث الروائی من هذه الدراسة وقلنا بأن رسول اللّه لا یخالف القرآن وأنّه مسح علی قدمیه،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الرّوایات مثل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 وما روی عن الإمام علیّ بأنّه غسل رجلیه وأمثالها، ومناقشتنا لتلک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الفصل بین المتعاطفین لنکتة وتقسیم الفصل بالأجنبی وغیره کما عن ابن مالک فی فصل الجر بالجوار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إجماع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العلماء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إجماع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أقوالهم أنّه فعل الصحابة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غسل الأرجل هو قول أکثر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اقتضاء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بالجوار وذکرهم شواهد من الآیات والأشعار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هو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الخفیف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الاشارة إلی عدم الإسراف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العطف علی الوجوه والأیدی وعدم إضرار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البلل لا یمرّ بالأرجل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الأولویة فی اجتماع العاملین وکون الأولی إعمال الأقرب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اتضح لک بأنّ الاختلاف فی القراءات وما ذکروه من وجوه أدبیّة ولغویّة فی آیة الوضوء کان من توالی الاختلاف فی الخلافة الإلهیة، وأنّهم جدّوا فی تکثیر تلک الوجوه وتنویعها لتأیید مذهب عثمان بن عفان فی الغسل، مع أنّ بعض الصحابة والتابعین وتابعی التابعین وحتی بعض المفسرین من أهل السنة کانوا لا یقبلون بوضوء عثمان وقد تهجموا علیه عثمان لما فعله من إحداثات، فی الست الأخیرة من حیاته، مؤکدین بأن إحداثات عثمان هی أحداثات دینیة ولیست بسوءِ سیرة فقط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إنّهم اعتبروا ما رواه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الذی اسر فی 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عن رسول اللّه هو أصح ما روی فی هذا الباب، لماذا؟ وکیف؟ فعثمان بن عفان لم یکن مقبولاً عند الصحابة فی الست الأواخر، فقد اعترض علیه طلحة</w:t>
      </w:r>
      <w:r>
        <w:rPr>
          <w:rStyle w:val="FootnoteAnchor"/>
          <w:rtl w:val="true"/>
        </w:rPr>
        <w:footnoteReference w:id="64"/>
      </w:r>
      <w:r>
        <w:rPr>
          <w:rFonts w:ascii="IRNazanin" w:hAnsi="IRNazanin" w:eastAsia="IRNazanin"/>
          <w:color w:val="111111"/>
          <w:sz w:val="28"/>
          <w:sz w:val="28"/>
          <w:szCs w:val="28"/>
          <w:rtl w:val="true"/>
          <w:lang w:bidi="fa-IR"/>
        </w:rPr>
        <w:t>وابن مسعود</w:t>
      </w:r>
      <w:r>
        <w:rPr>
          <w:rStyle w:val="FootnoteAnchor"/>
          <w:rtl w:val="true"/>
        </w:rPr>
        <w:footnoteReference w:id="65"/>
      </w:r>
      <w:r>
        <w:rPr>
          <w:rFonts w:ascii="IRNazanin" w:hAnsi="IRNazanin" w:eastAsia="IRNazanin"/>
          <w:color w:val="111111"/>
          <w:sz w:val="28"/>
          <w:sz w:val="28"/>
          <w:szCs w:val="28"/>
          <w:rtl w:val="true"/>
          <w:lang w:bidi="fa-IR"/>
        </w:rPr>
        <w:t>وعمرو بن العاص</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ومالک الأشتر</w:t>
      </w:r>
      <w:r>
        <w:rPr>
          <w:rStyle w:val="FootnoteAnchor"/>
          <w:rtl w:val="true"/>
        </w:rPr>
        <w:footnoteReference w:id="67"/>
      </w:r>
      <w:r>
        <w:rPr>
          <w:rFonts w:ascii="IRNazanin" w:hAnsi="IRNazanin" w:eastAsia="IRNazanin"/>
          <w:color w:val="111111"/>
          <w:sz w:val="28"/>
          <w:sz w:val="28"/>
          <w:szCs w:val="28"/>
          <w:rtl w:val="true"/>
          <w:lang w:bidi="fa-IR"/>
        </w:rPr>
        <w:t>وأبو ذر</w:t>
      </w:r>
      <w:r>
        <w:rPr>
          <w:rStyle w:val="FootnoteAnchor"/>
          <w:rtl w:val="true"/>
        </w:rPr>
        <w:footnoteReference w:id="68"/>
      </w:r>
      <w:r>
        <w:rPr>
          <w:rFonts w:ascii="IRNazanin" w:hAnsi="IRNazanin" w:eastAsia="IRNazanin"/>
          <w:color w:val="111111"/>
          <w:sz w:val="28"/>
          <w:sz w:val="28"/>
          <w:szCs w:val="28"/>
          <w:rtl w:val="true"/>
          <w:lang w:bidi="fa-IR"/>
        </w:rPr>
        <w:t>، وعبدالرحمن بن عوف</w:t>
      </w:r>
      <w:r>
        <w:rPr>
          <w:rStyle w:val="FootnoteAnchor"/>
          <w:rtl w:val="true"/>
        </w:rPr>
        <w:footnoteReference w:id="69"/>
      </w:r>
      <w:r>
        <w:rPr>
          <w:rFonts w:ascii="IRNazanin" w:hAnsi="IRNazanin" w:eastAsia="IRNazanin"/>
          <w:color w:val="111111"/>
          <w:sz w:val="28"/>
          <w:sz w:val="28"/>
          <w:szCs w:val="28"/>
          <w:rtl w:val="true"/>
          <w:lang w:bidi="fa-IR"/>
        </w:rPr>
        <w:t>، بل قال فیه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Style w:val="FootnoteAnchor"/>
          <w:rtl w:val="true"/>
        </w:rPr>
        <w:footnoteReference w:id="70"/>
      </w:r>
      <w:r>
        <w:rPr>
          <w:rFonts w:ascii="IRNazanin" w:hAnsi="IRNazanin" w:eastAsia="IRNazanin"/>
          <w:color w:val="111111"/>
          <w:sz w:val="28"/>
          <w:sz w:val="28"/>
          <w:szCs w:val="28"/>
          <w:rtl w:val="true"/>
          <w:lang w:bidi="fa-IR"/>
        </w:rPr>
        <w:t>، وجاء فی کتاب صفین عن عمرو بن العاص أنّه قال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w:t>
      </w:r>
      <w:r>
        <w:rPr>
          <w:rStyle w:val="FootnoteAnchor"/>
          <w:rtl w:val="true"/>
        </w:rPr>
        <w:footnoteReference w:id="71"/>
      </w:r>
      <w:r>
        <w:rPr>
          <w:rFonts w:ascii="IRNazanin" w:hAnsi="IRNazanin" w:eastAsia="IRNazanin"/>
          <w:color w:val="111111"/>
          <w:sz w:val="28"/>
          <w:sz w:val="28"/>
          <w:szCs w:val="28"/>
          <w:rtl w:val="true"/>
          <w:lang w:bidi="fa-IR"/>
        </w:rPr>
        <w:t>، 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یغیّر دیننا فقتلناه</w:t>
      </w:r>
      <w:r>
        <w:rPr>
          <w:rStyle w:val="FootnoteAnchor"/>
          <w:rtl w:val="true"/>
        </w:rPr>
        <w:footnoteReference w:id="72"/>
      </w:r>
      <w:r>
        <w:rPr>
          <w:rFonts w:ascii="IRNazanin" w:hAnsi="IRNazanin" w:eastAsia="IRNazanin"/>
          <w:color w:val="111111"/>
          <w:sz w:val="28"/>
          <w:sz w:val="28"/>
          <w:szCs w:val="28"/>
          <w:rtl w:val="true"/>
          <w:lang w:bidi="fa-IR"/>
        </w:rPr>
        <w:t>، وقد حکمت عائشة بقتله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تعنی ورود أمثال هذه النصوص عن هؤلاء الصحابة فی عثمان، وفیهم من شهدوا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ماذا نفعل برسالة مَنْ بالمدینة من أصحاب محمد إلی من بالأمصار،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الجهاد فهلموا إلیه فإنّ دین محمد قد أفسده خلیفتکم فأقیموه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قول هاشم 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قتله أصحاب محمّد وأبناء أصحابه وقرّاء الناس، </w:t>
      </w:r>
    </w:p>
    <w:p>
      <w:pPr>
        <w:pStyle w:val="BookText"/>
        <w:rPr/>
      </w:pPr>
      <w:r>
        <w:rPr>
          <w:rFonts w:ascii="IRNazanin" w:hAnsi="IRNazanin" w:eastAsia="IRNazanin"/>
          <w:color w:val="111111"/>
          <w:sz w:val="28"/>
          <w:sz w:val="28"/>
          <w:szCs w:val="28"/>
          <w:rtl w:val="true"/>
          <w:lang w:bidi="fa-IR"/>
        </w:rPr>
        <w:t>حیث أحدث وخالف حکم الکتاب، وأصحاب محمّد هم أهل الدین وأولی</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عبدة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اللّه لمن بلغه وقرأه، وقد شرکناک فی قراءته، ومتی لم یعمل القارئ بما فیه کان حجّة علیه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الخلیفة المبتلی الخاطئ، الحائد عن سنّة نبیّه، النابذ لحکم القرآن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وکلها تشیر إلی أن الصحابة کانوا غیر راضین عن سلوک عثمان، کان هذا جانب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رؤیة اخری تدافع عن عثمان، فقد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إقراره بصحة الأخبار الواردة فی عمار بن یاسر کقول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عادی عماراً عاداه اللّه ومن أبغض عماراً أبغضه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قتله أبو الغادیة یسار بن سبع السلمی، شهد بیعة الرضوان فهو من شهداء اللّه بأنّه علم ما فی قلبه، وأنزل السکینة علیه ورضی عنه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فأبو الغادیة متأوّل مجتهد، مخطئ، باغ، مأجور أجراً واحداً، ولیس هذا کقَتَلَةِ عثمان رضی الله عنه لأنّهم لا مجال لهم للاجتهاد فی قتله؛ لأنّه لم یقتل أحداً، ولا حارب ولا قاتل، ولا دافع، ولا زنی بعد إحصان، ولا ارتد؛ فیسوغَ المحاربة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فساق محاربون سافکون دماً حراماً عمداً بلا تأویل علی سبیل الظلم والعدوان، فهم فسّاق ملعونون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فنساءل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أبو الغادیة مجتهداً متأوّلاً مأجوراً أجراً واحداً؟ فکیف لا یکون قَتَلَةُ عثمان من المجتهدین أیضاً، وتری بینهم کبار الصحابة وقراء الأمة، وعائشة زوجة الرسول؟</w:t>
      </w:r>
    </w:p>
    <w:p>
      <w:pPr>
        <w:pStyle w:val="BookText"/>
        <w:rPr/>
      </w:pPr>
      <w:r>
        <w:rPr>
          <w:rFonts w:ascii="IRNazanin" w:hAnsi="IRNazanin" w:eastAsia="IRNazanin"/>
          <w:color w:val="111111"/>
          <w:sz w:val="28"/>
          <w:sz w:val="28"/>
          <w:szCs w:val="28"/>
          <w:rtl w:val="true"/>
          <w:lang w:bidi="fa-IR"/>
        </w:rPr>
        <w:t>بل ماذا یعنی قول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هذا کقَتَلَةِ عثمان لأنّهم لا مجال لهم للاجتهاد فی قتله؛ لأنّه لم یقتل أحداً، ولا حارب، ولا قاتل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معناه أنّ هذه الأمور کانت موجودة فی الصحابی الجلیل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سَوَّغت الاجتهاد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افترضا بأنّ قتلة عثمان کانوا فساقاً ملعونین، فما یقول ابن حزم وغیره من أعلام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یدّعون أنّ جمیع أهل بیعة الرضوان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عبدالرحمن بن عدیس البلوی الذی کان من قتلة عثمان بل هو من رؤسائهم، وهو من المبایعین تحت الشجرة؟</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شهد بیعة الرضوان مغفوراً له، بل بین هؤلاء من صرح النبی بکونه من أهل النار کأبی الغادیة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وسالبه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وبینهم من نصب العداوة لعلی بعد رسول اللّه وهو من أهل النار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 بین رضا اللّه عند وجود سبب الرضوان وبین سخطه عند صدور موجب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تنافی بین الایمان والارتداد من شخص واحد فی زمانین، فقد یکون اللّه قد رضی عن شخص لفعلة قدَّمها، ثم غضب علیه لعمل آخر صدر عنه، فَرِضا اللّه مشروط ببقائهم علی عهد اللّه وعدم انحرافهم عن سبیله إلی آخر حیاتهم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اللّه سبحانه بهذه الآیات وأمثالها لا یعطی لأحد صک الغفران ما دام فی الحیاة، فاللّه یرضی عنهم لهجرتهم وسابقتهم فی الإسلام وإیمانهم باللّه والیوم الآخر، أما لو ارتد بعض السابقین الأوَّلین فلا تبقی لهم مزیّة الإیمان، وذلک مثل عبداللّه بن جحش، وهو من السابقین فی الهجرة إلی الحبشة، لکنّه ارتدّ بعد ذلک، </w:t>
      </w:r>
    </w:p>
    <w:p>
      <w:pPr>
        <w:pStyle w:val="BookText"/>
        <w:rPr/>
      </w:pPr>
      <w:r>
        <w:rPr>
          <w:rFonts w:ascii="IRNazanin" w:hAnsi="IRNazanin" w:eastAsia="IRNazanin"/>
          <w:color w:val="111111"/>
          <w:sz w:val="28"/>
          <w:sz w:val="28"/>
          <w:szCs w:val="28"/>
          <w:rtl w:val="true"/>
          <w:lang w:bidi="fa-IR"/>
        </w:rPr>
        <w:t xml:space="preserve">ومثل عبداللّه بن سعد بن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الوحی حسب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آواه عثمان کی لا تناله ید العدالة؛ لرجوعه إلی مشرکی قریش واستهزائه باللّه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بن عنفوة بن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ارتد عن الإسلام وشارک مسیلمة الکذاب فی عداوة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النصوص تؤکد علی أنّ رضا اللّه لم یکن علی إطلاقه، بل مقید باستمرار الاستقامة علی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صنیع عثمان رضی الله عنه فی جمعه القرآن یُعَدّ له بأنّه من مناقبه العظام، وقد طعن علیه بعض أهل الزیغ، فانکشف عواره ووضحت فضائحه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أبوبکر محمد بن القاسم بن بشار بن محمد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أهل الفضل والعقل یعرفون من شرف القرآن وعلوّ منزلته ما یوجبه الحق والإنصاف والدیانة، وینفون عنه قول المبطلین وتمویه الملحدین وتحریف الزائغین، حتی نبغ فی زماننا هذا زائغ عن الملة وهجم علی الأمة بما یحاول به إبطال الشریعة التی لا یزال اللّه یؤیدها ویثبت أسسها وینمی فرعها ویحرسها من معایب أُولی الجنف والجور ومکائد أهل العداوة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فزعم أنّ المصحف الذی جمعه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أصحاب رسول اللّه علی تصویبه فیما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یشتمل علی جمیع القرآن، إذ کان قد سقط منه خمسمائة حرف قد قرأت ببعضها وساقرأ ببقیتها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ونوائب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سقط من القرآن علی جماعة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ونوائب الدهر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أَخَذَتِ الْأَرْضُ زُخْرُفَها وَ ازَّیَّنَتْ وَ ظَنَّ أَهْلُها أَنَّهُمْ قادِرُونَ عَلَیْها أَتاها أَمْرُنا لَیْلاً أَوْ نَهاراً فَجَعَلْناها حَصِیداً کَأَنْ لَمْ تَغْنَ بِالْأَمْسِ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لیهلکها إلّابذنوب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فادّعی هذا الإنسان أنّه سقط عن أهل الإسلام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مما یدعی حروفاً کثیرة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یسبق للقلوب الضعیفة ووضع الحکمة فی غیر أهلها لبیَّنت جمیعَ ما سقط من مصحف عثمان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تطرُّف من الشعرانی ومن ذلک الزائغ من أتباع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فی کلام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أقبله، لکنّی ارید أن اؤکد بأنّ الأمة لم تتّفق علی تصحیح عمل عثمان فی کل ما فعله، بل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العصور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یخدش فی عثمان وفعله، وهذا کاف لدحض الإجماع علی صحة فعله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علیک بأنّا کنّا قد قدمنا البحثین التاریخی والروائی علی البحث القرآنی من دراستنا حول وضوء النبیّ لادّعائهم بأن السنة جرت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ثبت فی البحثین السابقین بأن السنة لم تجرِ بالغسل بل إنّ عثمان بن عفان وموالیه کانوا هم وراء الوضوء الغسلی، وأن السنة المنظورة فی تلک الأخبار هی سنة عثمان والأمویین لا سنة رسول اللّه، جئنا هنا الآن لندرس الآیة السادسة من سورة المائدة المبارکة، 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وحسبما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قراءتان مشهورتان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وقراءة </w:t>
      </w:r>
    </w:p>
    <w:p>
      <w:pPr>
        <w:pStyle w:val="BookText"/>
        <w:rPr/>
      </w:pPr>
      <w:r>
        <w:rPr>
          <w:rFonts w:ascii="IRNazanin" w:hAnsi="IRNazanin" w:eastAsia="IRNazanin"/>
          <w:color w:val="111111"/>
          <w:sz w:val="28"/>
          <w:sz w:val="28"/>
          <w:szCs w:val="28"/>
          <w:rtl w:val="true"/>
          <w:lang w:bidi="fa-IR"/>
        </w:rPr>
        <w:t>غیر مشهورة وهی الرفع، وهذه القراءات الثلاث هی موضوع البحث فی هذا الکتاب بفصوله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والمفسرون والنحاة والقراء اختلفوا فی مفادها ونتائجها وثمراتها بعد الاتفاق علی صحّتها، متواترة وغیر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اختلاف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طهارة 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المسح أو الغسل؟ کان فی جانب من جوانبه من خلفیّات هاتین القراءتین</w:t>
      </w:r>
      <w:r>
        <w:rPr>
          <w:rStyle w:val="FootnoteAnchor"/>
          <w:rtl w:val="true"/>
        </w:rPr>
        <w:footnoteReference w:id="82"/>
      </w:r>
      <w:r>
        <w:rPr>
          <w:rFonts w:ascii="IRNazanin" w:hAnsi="IRNazanin" w:eastAsia="IRNazanin"/>
          <w:color w:val="111111"/>
          <w:sz w:val="28"/>
          <w:sz w:val="28"/>
          <w:szCs w:val="28"/>
          <w:rtl w:val="true"/>
          <w:lang w:bidi="fa-IR"/>
        </w:rPr>
        <w:t>المشهورتین ونتائجهما،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القراءات الثلاث؛ لأنّ حجّة الجمیع هی هذه الآیة، وکیفیّة قراءتهم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کان البحث عن القراءات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بحثاً جدّیّاً منا یستوجب إفراده فی مجلد، ذاکرین أدلّة کل طرف، مع تحرّر کامل عن العصبیّة، باحثین فی دراستنا عن الحقیقة التی هی ضالّة کلّ مسلم منصف للأخذ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جاعلین هذا القسم من الدراسة</w:t>
      </w:r>
      <w:r>
        <w:rPr>
          <w:rStyle w:val="FootnoteAnchor"/>
          <w:rtl w:val="true"/>
        </w:rPr>
        <w:footnoteReference w:id="83"/>
      </w:r>
      <w:r>
        <w:rPr>
          <w:rFonts w:ascii="IRNazanin" w:hAnsi="IRNazanin" w:eastAsia="IRNazanin"/>
          <w:color w:val="111111"/>
          <w:sz w:val="28"/>
          <w:sz w:val="28"/>
          <w:szCs w:val="28"/>
          <w:rtl w:val="true"/>
          <w:lang w:bidi="fa-IR"/>
        </w:rPr>
        <w:t>فی أربعة فصول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فیه عن قراءَة الجرّ، وکیفیّة استدلالهم بها علی غسل الأرجل، ثمّ جوابنا لهم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فیه عن قراءة النصب، وکیفیّة استدلالهم بها علی غسل الأرجل، وجوابنا لهم، ثمّ بیان الوجه الصحیح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تکلمنا فیه حول بعض القراءات الشاذّة کقراءة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تکلمنا فی الجر بالجوار ناقلین آراء النحویین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ختمنا بحثنا بإعطاء خلاصة إجمالیة لمواضیع البحث القرآنی لآیة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للّه‌رب العالمین</w:t>
      </w:r>
    </w:p>
    <w:p>
      <w:pPr>
        <w:pStyle w:val="BookText"/>
        <w:rPr/>
      </w:pPr>
      <w:r>
        <w:rPr>
          <w:rFonts w:ascii="IRNazanin" w:hAnsi="IRNazanin" w:eastAsia="IRNazanin"/>
          <w:color w:val="111111"/>
          <w:sz w:val="28"/>
          <w:sz w:val="28"/>
          <w:szCs w:val="28"/>
          <w:rtl w:val="true"/>
          <w:lang w:bidi="fa-IR"/>
        </w:rPr>
        <w:t>المؤلف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0" w:name="pg6193_70509"/>
    </w:p>
    <w:p>
      <w:pPr>
        <w:pStyle w:val="Heading2"/>
        <w:numPr>
          <w:ilvl w:val="1"/>
          <w:numId w:val="1"/>
        </w:numPr>
        <w:rPr/>
      </w:pPr>
      <w:bookmarkStart w:id="11" w:name="__RefHeading___Toc972060_237004111"/>
      <w:bookmarkStart w:id="12" w:name="_Toc4"/>
      <w:bookmarkEnd w:id="10"/>
      <w:bookmarkEnd w:id="11"/>
      <w:r>
        <w:rPr>
          <w:rtl w:val="true"/>
        </w:rPr>
        <w:t>القُرّاء وآیة الوضوء</w:t>
      </w:r>
      <w:bookmarkEnd w:id="1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72062_237004111"/>
      <w:bookmarkStart w:id="14" w:name="_Toc5"/>
      <w:bookmarkEnd w:id="13"/>
      <w:r>
        <w:rPr>
          <w:rtl w:val="true"/>
        </w:rPr>
        <w:t>اشارة</w:t>
      </w:r>
      <w:bookmarkEnd w:id="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عقد رجال من الفریقین العزم علی ان یجمعوا الوجوه القرانیة ویبحثوا عن أسنادها، وکان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خرّیج مدرسة الإمام زین العابدین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صنّف فی القراءة، کما نصّ علیه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وهم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زعم أنّ أوّل من صنّف فی القراءات هو أبو عبید القاسم بن سلام</w:t>
      </w:r>
      <w:r>
        <w:rPr>
          <w:rStyle w:val="FootnoteAnchor"/>
          <w:rtl w:val="true"/>
        </w:rPr>
        <w:footnoteReference w:id="85"/>
      </w:r>
      <w:r>
        <w:rPr>
          <w:rFonts w:ascii="IRNazanin" w:hAnsi="IRNazanin" w:eastAsia="IRNazanin"/>
          <w:color w:val="111111"/>
          <w:sz w:val="28"/>
          <w:sz w:val="28"/>
          <w:szCs w:val="28"/>
          <w:rtl w:val="true"/>
          <w:lang w:bidi="fa-IR"/>
        </w:rPr>
        <w:t xml:space="preserve">، لأنّه کان قد مات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فی حین أن أبان بن تغلب قد مات قبله بثلاث وثمانین سنة، أی فی سنة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نصّ علیه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فإنّ الأوّل هو أبان بن تغلب، ثمّ الف بعده حمزة بن حبیب الزیات المقرئ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السبعة </w:t>
      </w:r>
    </w:p>
    <w:p>
      <w:pPr>
        <w:pStyle w:val="BookText"/>
        <w:rPr/>
      </w:pPr>
      <w:r>
        <w:rPr>
          <w:rFonts w:ascii="IRNazanin" w:hAnsi="IRNazanin" w:eastAsia="IRNazanin"/>
          <w:color w:val="111111"/>
          <w:sz w:val="28"/>
          <w:sz w:val="28"/>
          <w:szCs w:val="28"/>
          <w:rtl w:val="true"/>
          <w:lang w:bidi="fa-IR"/>
        </w:rPr>
        <w:t xml:space="preserve">من أصحاب الإمام الصادق علیه السلام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 حمزة فی سنة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یکون حمزة متقدّماً علی أبی عبید بستّ وستّین سنة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توجیه ما ذهب إلیه السیوطیّ إلی أنّه یرید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العلّامة الصدر فی التأسیس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هارون بن موسی الأعور المتوفّی لمتوفّی قبل سنة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کتب منهم فی القراءات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ألّف یعقوب بن إسحاق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جمع فیه الوجوه القرآنیّة، واختلاف القراءات فیها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بعد ذلک جمع أبو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فی کتاب وجعلها خمساً وعشرین قراءةً مع السبعة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وصنّف من بعده محمّد بن یزید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القراءة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أبوبکر 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قِراءات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المائة الثالثة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بلی انقسمت القراءات القرآنیة إلی شاذّةٍ ومتواترة، وغلب وصف الشاذّة علی ما عدا السبع المتواترة المجموعة فی کتاب ابن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والقرّاء الفوا کتباً کثیرة فی القراءات وأسنادها، وبعدها باشر أهل العربیّة بتالیف کتباً فی الاحتجاج لها، فکان جمعُ القراءات هو الخطوة الأُولی، والاحتجاج لها الخطوة الثانیة، وهما خطوتان متعاقبتان فی الوصول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أسرار اللغة العربیة هو امکان تغییر المعنی بأدنی تغییر لفظیّ؛ بحیث إنّه لولا التغییر اللفظی المتعلّق بالقراءة لما حدث ذلک التغییر المعنوی، ولذلک رأینا من الضروری أفراد مجلد خاص بالقراءات الثلاث فی آیة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القراءات بمرور الأیام أخذت تتکاثر حتی اوصل أبو عبید القاسم بن سلام القراءات إلی نحو ثلاثین قراءة، وتوسع فیها آخرون حتی أوصلوها بها إلی نحو خمسین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ابن مجاهد حصرها فی سبعة،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عبدالرحمن، أبو 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بن العلاء، أبو عمرو،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أبو عمرو،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بهدلة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حبیب الزیات، أبو عمارة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حمزة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أضیف إلیها ثلاثة آخرون،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القعقاع، أبو جعفر المخزومی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إسحاق، أبو محمد الحضرمی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هشام بن ثعلب، أبو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 سبط الخیاط المتوفی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مکان یزید بن القعقاع کُلاًّ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محیصن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عبدالرحمن بن محیصن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والأعمش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ابن الجزری علی تخصیص ابن مجاهد هؤلاء بالسبعة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ذکروا من الأئمّة فی کتبهم أکثر من سبعین ممن هو أعلی رتبة وأجل قدراً من هؤلاء،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یظن ظانّ أن هؤلاء السبعة المتأخرین قراءة کل واحد منهم أحد الحروف المنصوص علیها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أهل السنة إلی تواتر تلک القراءات السبعة عن الرسول صلی الله علیه و آله، وألحقوا بها الثلاثة المکملة للعشرة، وهی قراءة أبی جعفر یزید ابن القعقاع، ویعقوب بن إسحاق الحضرمی، وخلف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القراءات الأربع الباقیة،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قراءات الأعمش، وابن مُحیّصن، والحسن البصری، والیزیدی، فعدوها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الجعبری فی شرح الشاطبیه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 القراء اصطلحوا علی أن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للإمام، والروایة للآخذ عنه مطلقاً، والطریق للآخذ عن الراوی،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نافع، روایة قالون، طریق أبی نشیط، لیعلم منشأ الخلاف، فکما أن لکل امام راو فلکل راو طریق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فإلیک الآن اسماء الأئمّة، ثم الرواة عنهم، ثم الطرق المودیة إلیهم، ذکرین اسماء الذین قراءة بالجر والنصب من السبعة، ثم أسماء المفسرین والعلماء الذین قرءوا بالجر والنصب والرفع، وأخیراً عرض آراء النحویین وأنّها مؤیّدة لأیّ من تلک القراءات؟ </w:t>
      </w:r>
      <w:bookmarkStart w:id="15" w:name="pg6193_70529"/>
    </w:p>
    <w:p>
      <w:pPr>
        <w:pStyle w:val="Heading3"/>
        <w:numPr>
          <w:ilvl w:val="2"/>
          <w:numId w:val="1"/>
        </w:numPr>
        <w:rPr/>
      </w:pPr>
      <w:bookmarkStart w:id="16" w:name="__RefHeading___Toc972064_237004111"/>
      <w:bookmarkStart w:id="17" w:name="_Toc6"/>
      <w:bookmarkEnd w:id="15"/>
      <w:bookmarkEnd w:id="16"/>
      <w:r>
        <w:rPr>
          <w:rtl w:val="true"/>
        </w:rPr>
        <w:t>القرّاء بالجرِّ</w:t>
      </w:r>
      <w:bookmarkEnd w:id="17"/>
    </w:p>
    <w:p>
      <w:pPr>
        <w:pStyle w:val="Heading4"/>
        <w:numPr>
          <w:ilvl w:val="3"/>
          <w:numId w:val="1"/>
        </w:numPr>
        <w:rPr/>
      </w:pPr>
      <w:bookmarkStart w:id="18" w:name="__RefHeading___Toc972066_237004111"/>
      <w:bookmarkStart w:id="19" w:name="_Toc7"/>
      <w:bookmarkEnd w:id="18"/>
      <w:r>
        <w:rPr>
          <w:rtl w:val="true"/>
        </w:rPr>
        <w:t>اشارة</w:t>
      </w:r>
      <w:bookmarkEnd w:id="19"/>
    </w:p>
    <w:p>
      <w:p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Heading4"/>
        <w:numPr>
          <w:ilvl w:val="3"/>
          <w:numId w:val="1"/>
        </w:numPr>
        <w:rPr/>
      </w:pPr>
      <w:bookmarkStart w:id="20" w:name="__RefHeading___Toc972068_237004111"/>
      <w:bookmarkStart w:id="21" w:name="_Toc8"/>
      <w:bookmarkEnd w:id="20"/>
      <w:r>
        <w:rPr/>
        <w:t>1</w:t>
      </w:r>
      <w:r>
        <w:rPr>
          <w:rtl w:val="true"/>
        </w:rPr>
        <w:t xml:space="preserve"> - </w:t>
      </w:r>
      <w:r>
        <w:rPr>
          <w:rtl w:val="true"/>
        </w:rPr>
        <w:t>ابن کثیر المکّیّ</w:t>
      </w:r>
      <w:r>
        <w:rPr>
          <w:rtl w:val="true"/>
        </w:rPr>
        <w:t>:</w:t>
      </w:r>
      <w:bookmarkEnd w:id="21"/>
    </w:p>
    <w:p>
      <w:pPr>
        <w:pStyle w:val="BookText"/>
        <w:rPr/>
      </w:pP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معبد، عبداللّه بن کثیر العطّار الدَّاریّ، الفارسیّ الأصل، إمام القرّاء لأهل مکّة، ولد سنة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وأنس بن مالک،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بن دِرْهم، وحمّاد بن سلمة بن دِینارٍ، والخلیل بن أحمد الفراهیدیُّ، وعیسی بن عمر الثقفیّ، وأبو عمرو بن العَلاء النحویّ القارئ، 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فصیحاً بلیغاً مفوَّهاً، طویلاً، جسیماً، علیه السکینة والوقار</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یزل مجتمعاً علیه فی القراءة بمکّة حتّی توفّی</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الحسن، أحمد بن محمّد بن عبداللّه البزّی، مقرئ مکّة ومؤذّن المسجد الحرام، أصله من فارس، ولد سنة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طریق أبی ربیعة، محمد بن إسحاق بن ربعی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عن طریق الحسن بن الحباب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الموصلی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وعمر بن محمد بن عبدالصمد بن الیث بن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الحباب فمن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صالح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وعبدالواحد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عمر، محمّد بن عبدالرحمن المخزومیّ بالولاء، المکّیّ،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طریق أحمد بن موسی بن العباس 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شنبوذ،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مجاهد من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الحسین المشهور بالسامری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وصالح بن محمد بن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شنبوذ من طریقی</w:t>
      </w:r>
      <w:r>
        <w:rPr>
          <w:rFonts w:eastAsia="IRNazanin" w:cs="IRNazanin"/>
          <w:color w:val="111111"/>
          <w:sz w:val="28"/>
          <w:szCs w:val="28"/>
          <w:rtl w:val="true"/>
          <w:lang w:bidi="fa-IR"/>
        </w:rPr>
        <w:t xml:space="preserve">: </w:t>
      </w:r>
      <w:bookmarkStart w:id="22" w:name="pg6193_70536"/>
    </w:p>
    <w:p>
      <w:pPr>
        <w:pStyle w:val="BookText"/>
        <w:rPr/>
      </w:pPr>
      <w:bookmarkEnd w:id="2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المعافی بن زکریا، أبو 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أحمد الشنبوذی الشطوی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Heading4"/>
        <w:numPr>
          <w:ilvl w:val="3"/>
          <w:numId w:val="1"/>
        </w:numPr>
        <w:rPr/>
      </w:pPr>
      <w:bookmarkStart w:id="23" w:name="__RefHeading___Toc972070_237004111"/>
      <w:bookmarkStart w:id="24" w:name="_Toc9"/>
      <w:bookmarkEnd w:id="23"/>
      <w:r>
        <w:rPr/>
        <w:t>2</w:t>
      </w:r>
      <w:r>
        <w:rPr>
          <w:rtl w:val="true"/>
        </w:rPr>
        <w:t xml:space="preserve"> - </w:t>
      </w:r>
      <w:r>
        <w:rPr>
          <w:rtl w:val="true"/>
        </w:rPr>
        <w:t>أبو جعفر المدنیّ</w:t>
      </w:r>
      <w:r>
        <w:rPr>
          <w:rtl w:val="true"/>
        </w:rPr>
        <w:t>:</w:t>
      </w:r>
      <w:bookmarkEnd w:id="24"/>
    </w:p>
    <w:p>
      <w:pPr>
        <w:pStyle w:val="BookText"/>
        <w:rPr/>
      </w:pPr>
      <w:r>
        <w:rPr>
          <w:rFonts w:ascii="IRNazanin" w:hAnsi="IRNazanin" w:eastAsia="IRNazanin"/>
          <w:color w:val="111111"/>
          <w:sz w:val="28"/>
          <w:sz w:val="28"/>
          <w:szCs w:val="28"/>
          <w:rtl w:val="true"/>
          <w:lang w:bidi="fa-IR"/>
        </w:rPr>
        <w:t xml:space="preserve">وهو أبو جعفر، یزید بن القعقاع المخزومیّ المدنیّ القارئ، مولی عبداللّه بن عیّاش بن ابی ربیعة، المتوفّی سنة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أحد العشرة، عرض القراءة علی عبداللّه بن عیّاش وعبداللّه بن عبّاس وأبی هریرة، وروی عنهم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وردان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طریق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هبة اللّه بن جعفر عن أصحابهما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فالفضل بن شاذان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عثمان بن شبیب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محمد بن أحمد بن هارون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وهبة اللّه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بن أحمد الحمامی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بن حماز، أبو ربیع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طریق سلیمان بن داود، أبو أیوب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الدوری عن إسماعیل بن جعفر بن أبی کثیر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5" w:name="pg6193_70540"/>
    </w:p>
    <w:p>
      <w:pPr>
        <w:pStyle w:val="BookText"/>
        <w:rPr/>
      </w:pPr>
      <w:bookmarkEnd w:id="25"/>
      <w:r>
        <w:rPr>
          <w:rFonts w:ascii="IRNazanin" w:hAnsi="IRNazanin" w:eastAsia="IRNazanin"/>
          <w:color w:val="111111"/>
          <w:sz w:val="28"/>
          <w:sz w:val="28"/>
          <w:szCs w:val="28"/>
          <w:rtl w:val="true"/>
          <w:lang w:bidi="fa-IR"/>
        </w:rPr>
        <w:t>فالهاشمی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بن إبراهیم بن زرین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والازرق الجمال 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والدوری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عبداللّه بن عبدالنفاح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وجعفر بن عبداللّه بن الصباح بن نهشل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26" w:name="__RefHeading___Toc972072_237004111"/>
      <w:bookmarkStart w:id="27" w:name="_Toc10"/>
      <w:bookmarkEnd w:id="26"/>
      <w:r>
        <w:rPr/>
        <w:t>3</w:t>
      </w:r>
      <w:r>
        <w:rPr>
          <w:rtl w:val="true"/>
        </w:rPr>
        <w:t xml:space="preserve"> - </w:t>
      </w:r>
      <w:r>
        <w:rPr>
          <w:rtl w:val="true"/>
        </w:rPr>
        <w:t>أبو عمرو بن العَلاء</w:t>
      </w:r>
      <w:r>
        <w:rPr>
          <w:rtl w:val="true"/>
        </w:rPr>
        <w:t>:</w:t>
      </w:r>
      <w:bookmarkEnd w:id="27"/>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عمرو، زَبَّان بن العَلاء التمیمیّ المازنیّ البصریّ، ولد سنة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المبارکة، کان أعلم الناس بالقرآن والعربیّة والشعر؛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کنیته اسمه، وقیل غیر ذلک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أبو عمر، حفص بن عمر بن عبدالعزیز الأزدیّ البغدادیّ النحویّ الضریر، المتوفّی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طریق عبدالرحمن بن عبدوس، أبو الزعراء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فرح بن جبریل، أبو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فالبغدادی من طریقی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bookmarkStart w:id="28" w:name="pg6193_70543"/>
    </w:p>
    <w:p>
      <w:pPr>
        <w:pStyle w:val="BookText"/>
        <w:rPr/>
      </w:pPr>
      <w:bookmarkEnd w:id="2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یعقوب، أبو العباس المعدل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جریر الرقی أبو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والمطوعی، عنه فعنه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شعیب، صالح بن زیاد السوسیّ الرَّقِّیّ، المتوفّی سنة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مقرئ ضابط، أخذ القراءة عرضاً وسماعاً عن أبی محمّد الیزیدیّ، وقرأ علی حفص قراءة عاصم، مات عن عمر یناهز السبعین سنة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طریق موسی ابن جریر الرقی الضریر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موسی ابن جمهور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جریر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والحسین بن محمد بن 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جمهور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الشذائی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الشنبوذی الشطوی</w:t>
      </w:r>
      <w:r>
        <w:rPr>
          <w:rFonts w:eastAsia="IRNazanin" w:cs="IRNazanin"/>
          <w:color w:val="111111"/>
          <w:sz w:val="28"/>
          <w:szCs w:val="28"/>
          <w:rtl w:val="true"/>
          <w:lang w:bidi="fa-IR"/>
        </w:rPr>
        <w:t>.</w:t>
      </w:r>
    </w:p>
    <w:p>
      <w:pPr>
        <w:pStyle w:val="Heading4"/>
        <w:numPr>
          <w:ilvl w:val="3"/>
          <w:numId w:val="1"/>
        </w:numPr>
        <w:rPr/>
      </w:pPr>
      <w:bookmarkStart w:id="29" w:name="__RefHeading___Toc972074_237004111"/>
      <w:bookmarkStart w:id="30" w:name="_Toc11"/>
      <w:bookmarkEnd w:id="29"/>
      <w:r>
        <w:rPr/>
        <w:t>4</w:t>
      </w:r>
      <w:r>
        <w:rPr>
          <w:rtl w:val="true"/>
        </w:rPr>
        <w:t xml:space="preserve"> - </w:t>
      </w:r>
      <w:r>
        <w:rPr>
          <w:rtl w:val="true"/>
        </w:rPr>
        <w:t>حمزة</w:t>
      </w:r>
      <w:r>
        <w:rPr>
          <w:rtl w:val="true"/>
        </w:rPr>
        <w:t>:</w:t>
      </w:r>
      <w:bookmarkEnd w:id="3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عمارة، حمزة بن حبیب الزیّات الکوفیّ، التیمیّ بالوَلاء، ولد سنة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مشاهیر القرّاء السبعة، کان من موالی التَّیْم فنسب إلیهم، وکان یجلب الزَّیْت من الکوفة إلی حُلْوان، ویجلب الجبن والجوز إلی الکوفة، ومات بحُلْوان، انعقد الإجماع علی تَلقّی قراءته بالقبول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القراءة عرضاً عن سلیمان الأعمش، وحُمران بن أَعْیَن، وأبی إسحاق السبیعیّ، وجعفر بن محمّد الصادق</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خلف بن هشام الأسدیّ مَولاهم البزّار المقرئُ البغدادیّ، ولد سنة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وهو مختفٍ من الجهمیّة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أحد القرّاء العشرة، وأحد الرواة عن سلیم عن حمزة، أخذ القرآن عرضاً عن سلیمِ بن عیسی الحنفی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وعبدِالرحمن بن أبی حمّاد عن حمزة، وأبی زید الأنصاریّ عن المفضّل 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الحروف عن إسحاق المسیّبیّ، ویحیی بن آدم، وسمع من الکسائیّ ولم یقرأ علیه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خلف یأخذ بمذهب حمزة، إلّاأنّه خالفه فی مائة وعشرین حرفاً فی اختیاره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طریق ابن عثمان، ومحمد بن الحسن بن یعقوب بن مقسم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عبیداللّه بن حمدان ابن صالح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والمطوعی، أربعتهم عن إدریس بن عبدالکریم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1" w:name="pg6193_70548"/>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عیسی، خلّاد بن خالد الشَّیبانیّ بالوَلاء، الصَّیْرفیّ الکوفیّ، 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القراءة عن سلیم ورواها عن حسین‌بن علیّالجُعفیّ عن أبی‌بکر، وعن أبی بکر نفسه عن عاصم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شاذان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الهیتم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والقاسم ابن یزید الوزان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وسلیمان بن عبدالرحمن الطلحی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أربعتهم عن خلاد</w:t>
      </w:r>
      <w:r>
        <w:rPr>
          <w:rFonts w:eastAsia="IRNazanin" w:cs="IRNazanin"/>
          <w:color w:val="111111"/>
          <w:sz w:val="28"/>
          <w:szCs w:val="28"/>
          <w:rtl w:val="true"/>
          <w:lang w:bidi="fa-IR"/>
        </w:rPr>
        <w:t>.</w:t>
      </w:r>
    </w:p>
    <w:p>
      <w:pPr>
        <w:pStyle w:val="Heading4"/>
        <w:numPr>
          <w:ilvl w:val="3"/>
          <w:numId w:val="1"/>
        </w:numPr>
        <w:rPr/>
      </w:pPr>
      <w:bookmarkStart w:id="32" w:name="__RefHeading___Toc972076_237004111"/>
      <w:bookmarkStart w:id="33" w:name="_Toc12"/>
      <w:bookmarkEnd w:id="32"/>
      <w:r>
        <w:rPr/>
        <w:t>5</w:t>
      </w:r>
      <w:r>
        <w:rPr>
          <w:rtl w:val="true"/>
        </w:rPr>
        <w:t xml:space="preserve"> - </w:t>
      </w:r>
      <w:r>
        <w:rPr>
          <w:rtl w:val="true"/>
        </w:rPr>
        <w:t xml:space="preserve">عاصم بن أبی النجود </w:t>
      </w:r>
      <w:r>
        <w:rPr>
          <w:rtl w:val="true"/>
        </w:rPr>
        <w:t xml:space="preserve">= </w:t>
      </w:r>
      <w:r>
        <w:rPr>
          <w:rtl w:val="true"/>
        </w:rPr>
        <w:t>بروایة أبی بکر</w:t>
      </w:r>
      <w:r>
        <w:rPr>
          <w:rtl w:val="true"/>
        </w:rPr>
        <w:t>:</w:t>
      </w:r>
      <w:bookmarkEnd w:id="33"/>
    </w:p>
    <w:p>
      <w:p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بکر، عاصم بن بهدلة بن أبی النجود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القراء السبعة من التابعین أخذ القراءة عرضاً عن زر بن حبیش، وأبی عبدالرحمن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عنه فی آیة الوضوء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أحدهما أبو بکر شعبة بن عیّاش، والأخر حفص، وبما أن روایة ابن عیاش کانت فی الجر اتینا باسمه هنا، وأشرنا الطریق إلی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حفص عن عاصم، سنذکرها ضمن قراء النصب، والتی ستأتی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ابن عیّاش عن عاصم فی الجر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أبوبکر شعبة بن عیّاش بن سالم الأسدیّ الأزدیّ النهشلیّ الکوفیّ </w:t>
      </w:r>
    </w:p>
    <w:p>
      <w:pPr>
        <w:pStyle w:val="BookText"/>
        <w:rPr/>
      </w:pPr>
      <w:r>
        <w:rPr>
          <w:rFonts w:ascii="IRNazanin" w:hAnsi="IRNazanin" w:eastAsia="IRNazanin"/>
          <w:color w:val="111111"/>
          <w:sz w:val="28"/>
          <w:sz w:val="28"/>
          <w:szCs w:val="28"/>
          <w:rtl w:val="true"/>
          <w:lang w:bidi="fa-IR"/>
        </w:rPr>
        <w:t>الخیّاط، راوی عاصم، عرض علیه القرآن ثلاث مرّات، وأخذ عنه عطاء بن السائب وأسلم المنقریّ، وأخذ عنه الکسائیّ وخلّاد الصَّیْرفیّ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طریقی یحیی ابن آدم الصلحی أبو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بن محمد العلیمی الأنصاری الکوفی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آدم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أیوب بن زریق، الصریفی أبو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والطیب بن إسماعیل الذهلی، أبو حمدون 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والعلیمی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جعفر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وعثمان بن أحمد الرزاز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 xml:space="preserve">. </w:t>
      </w:r>
      <w:bookmarkStart w:id="34" w:name="pg6193_70554"/>
    </w:p>
    <w:p>
      <w:pPr>
        <w:pStyle w:val="Heading3"/>
        <w:numPr>
          <w:ilvl w:val="2"/>
          <w:numId w:val="1"/>
        </w:numPr>
        <w:rPr/>
      </w:pPr>
      <w:bookmarkStart w:id="35" w:name="__RefHeading___Toc972078_237004111"/>
      <w:bookmarkStart w:id="36" w:name="_Toc13"/>
      <w:bookmarkEnd w:id="34"/>
      <w:bookmarkEnd w:id="35"/>
      <w:r>
        <w:rPr>
          <w:rtl w:val="true"/>
        </w:rPr>
        <w:t>آلْقرّاءِ بالنَّصْب</w:t>
      </w:r>
      <w:bookmarkEnd w:id="36"/>
    </w:p>
    <w:p>
      <w:pPr>
        <w:pStyle w:val="Heading4"/>
        <w:numPr>
          <w:ilvl w:val="3"/>
          <w:numId w:val="1"/>
        </w:numPr>
        <w:rPr/>
      </w:pPr>
      <w:bookmarkStart w:id="37" w:name="__RefHeading___Toc972080_237004111"/>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Heading4"/>
        <w:numPr>
          <w:ilvl w:val="3"/>
          <w:numId w:val="1"/>
        </w:numPr>
        <w:rPr/>
      </w:pPr>
      <w:bookmarkStart w:id="39" w:name="__RefHeading___Toc972082_237004111"/>
      <w:bookmarkStart w:id="40" w:name="_Toc15"/>
      <w:bookmarkEnd w:id="39"/>
      <w:r>
        <w:rPr/>
        <w:t>1</w:t>
      </w:r>
      <w:r>
        <w:rPr>
          <w:rtl w:val="true"/>
        </w:rPr>
        <w:t xml:space="preserve"> - </w:t>
      </w:r>
      <w:r>
        <w:rPr>
          <w:rtl w:val="true"/>
        </w:rPr>
        <w:t>ابن عامر</w:t>
      </w:r>
      <w:r>
        <w:rPr>
          <w:rtl w:val="true"/>
        </w:rPr>
        <w:t>:</w:t>
      </w:r>
      <w:bookmarkEnd w:id="40"/>
    </w:p>
    <w:p>
      <w:pPr>
        <w:pStyle w:val="BookText"/>
        <w:rPr/>
      </w:pP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عبداللّه بن عامر بن یزید، الیَحْصُبِیّ الشامیّ، أحد القرّاء السبعة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القرّاء السبعة من العرب غیره وغیر أبی عمروٍ، والباقون هم مَوالٍ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فی البلقاء بقریة رحاب سنة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بدمشق سنة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قضاء دمشق فی أیّام الولید بن عبدالملک المروانیّ</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الولید، هشام بن عمّار بن نصیر بن میسرة السلمیّ، القاضی الدمشقیّ، من القرّاء المشهورین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القرّاء فی دمشق ومقرئها ومحدِّثها وعالمها، توفّی بها سنة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سنة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 فمن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یزید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أحمد بن عمر الرملی الداجونی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فالحلوانی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عبدان الجزری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والحسین بن علی بن حماد الجمال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والداجونی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والشذائی عنه فعنه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عمرو؛ عبداللّه بن أحمد بن بشیر بن ذکوان القرشیّ الفهریّ، من کبار القرّاء، لم یکن فی عصره أقرأ منه، ولد سنة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بدمشق سنة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 فمن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موسی بن شریک، أبو عبداللّه التغلبی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موسی الصوری الدمشقی،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فالأخفش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النقاش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 بن الضریر المعروف بابن الأخرم عنه فعنه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والصوری فمن طریقی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الرملی الداجونی الکبیر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والمطوعی عنه فعنه</w:t>
      </w:r>
      <w:r>
        <w:rPr>
          <w:rFonts w:eastAsia="IRNazanin" w:cs="IRNazanin"/>
          <w:color w:val="111111"/>
          <w:sz w:val="28"/>
          <w:szCs w:val="28"/>
          <w:rtl w:val="true"/>
          <w:lang w:bidi="fa-IR"/>
        </w:rPr>
        <w:t xml:space="preserve">. </w:t>
      </w:r>
      <w:bookmarkStart w:id="41" w:name="pg6193_70559"/>
    </w:p>
    <w:p>
      <w:pPr>
        <w:pStyle w:val="Heading4"/>
        <w:numPr>
          <w:ilvl w:val="3"/>
          <w:numId w:val="1"/>
        </w:numPr>
        <w:rPr/>
      </w:pPr>
      <w:bookmarkStart w:id="42" w:name="__RefHeading___Toc972084_237004111"/>
      <w:bookmarkStart w:id="43" w:name="_Toc16"/>
      <w:bookmarkEnd w:id="41"/>
      <w:bookmarkEnd w:id="42"/>
      <w:r>
        <w:rPr/>
        <w:t>2</w:t>
      </w:r>
      <w:r>
        <w:rPr>
          <w:rtl w:val="true"/>
        </w:rPr>
        <w:t xml:space="preserve"> - </w:t>
      </w:r>
      <w:r>
        <w:rPr>
          <w:rtl w:val="true"/>
        </w:rPr>
        <w:t>عاصم بروایة حفص</w:t>
      </w:r>
      <w:r>
        <w:rPr>
          <w:rtl w:val="true"/>
        </w:rPr>
        <w:t>:</w:t>
      </w:r>
      <w:bookmarkEnd w:id="43"/>
    </w:p>
    <w:p>
      <w:pPr>
        <w:pStyle w:val="BookText"/>
        <w:rPr/>
      </w:pP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بهدلة الحنّاط، الأسدیّ بالوَلاء، توفّی سنة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کوفیّ، جمع بین الفصاحة والإتقان والتحریر والتجوید، أحسن الناس صوتاً وقراءة بالقرآن، أخذ القراءة عرضاً عن زِرّ بن حبیش، وأبی عبدالرحمن السُّلَمیّ، 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وحفص بن سلیمان، وحمّاد بن زید، وأبوبکر 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بن العلاء، والخلیل بن أحمد، وحمزة بن حبیب الزیّات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حفص عن عاصم فی النصب</w:t>
      </w:r>
    </w:p>
    <w:p>
      <w:pPr>
        <w:pStyle w:val="BookText"/>
        <w:rPr/>
      </w:pPr>
      <w:r>
        <w:rPr>
          <w:rFonts w:ascii="IRNazanin" w:hAnsi="IRNazanin" w:eastAsia="IRNazanin"/>
          <w:color w:val="111111"/>
          <w:sz w:val="28"/>
          <w:sz w:val="28"/>
          <w:szCs w:val="28"/>
          <w:rtl w:val="true"/>
          <w:lang w:bidi="fa-IR"/>
        </w:rPr>
        <w:t>وحفص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حفص بن سلیمان، الأسدیّ الکوفیّ البزّاز، ولد سنة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أبرز أصحاب عاصم وأعلمهم بقراءته، ثقة فی القرآءة ثبت، 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القراءة التی أقرأتک بها فهی القراءة التی قرأت بها علی أبی عبدالرحمن السُّلَمیّ عن أمیرالمؤمنین علیّ بن أبی طالب، وما کان من القراءة التی أقرأتها أبابکر بن عیّاش فهی القراءة التی کنت أعرضها علی زرّ بن حبیش عن ابن مسعود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الصباح النهشلی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بن </w:t>
      </w:r>
      <w:bookmarkStart w:id="44" w:name="pg6193_70562"/>
    </w:p>
    <w:p>
      <w:pPr>
        <w:pStyle w:val="BookText"/>
        <w:rPr/>
      </w:pPr>
      <w:bookmarkEnd w:id="44"/>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الصبیح الضریر، أبو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فعبید بن الصباح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الهاشمی الجوجانی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وأبی طاهر بن أبی هاشم عن الاشنانی 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فمن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حمید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وزرعان بن أحمد بن عیسی الطحان الدقاق عنه فعنه</w:t>
      </w:r>
      <w:r>
        <w:rPr>
          <w:rFonts w:eastAsia="IRNazanin" w:cs="IRNazanin"/>
          <w:color w:val="111111"/>
          <w:sz w:val="28"/>
          <w:szCs w:val="28"/>
          <w:rtl w:val="true"/>
          <w:lang w:bidi="fa-IR"/>
        </w:rPr>
        <w:t>.</w:t>
      </w:r>
    </w:p>
    <w:p>
      <w:pPr>
        <w:pStyle w:val="Heading4"/>
        <w:numPr>
          <w:ilvl w:val="3"/>
          <w:numId w:val="1"/>
        </w:numPr>
        <w:rPr/>
      </w:pPr>
      <w:bookmarkStart w:id="45" w:name="__RefHeading___Toc972086_237004111"/>
      <w:bookmarkStart w:id="46" w:name="_Toc17"/>
      <w:bookmarkEnd w:id="45"/>
      <w:r>
        <w:rPr/>
        <w:t>3</w:t>
      </w:r>
      <w:r>
        <w:rPr>
          <w:rtl w:val="true"/>
        </w:rPr>
        <w:t xml:space="preserve"> - </w:t>
      </w:r>
      <w:r>
        <w:rPr>
          <w:rtl w:val="true"/>
        </w:rPr>
        <w:t>نافع المدنیّ</w:t>
      </w:r>
      <w:r>
        <w:rPr>
          <w:rtl w:val="true"/>
        </w:rPr>
        <w:t>:</w:t>
      </w:r>
      <w:bookmarkEnd w:id="46"/>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رویم،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عبدالرحمن، نافع بن عبدالرحمن بن أبی نُعَیْم، اللیثیّ بالوَلاء، أصله من أصبهان، وکان أسود اللون شدید السَّواد، صبیح الوجه، حسن الخلق، فیه دُعابة، وهو أحد القرّاء السبعة المشهورین، اشتهر فی المدینة، وانتهت إلیه ریاسة القراءة فیها، وأقرأ الناس نیّفاً وسبعین سنة، وتوفّی بها سنة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مولده سنة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موسی، عیسی بن میناء بن وَرْدان المدنیّ، مولی الأنصار، أحد القرّاء المشهورین من أهل المدینة ولادةً ووفاةً، انتهت إلیه الرئاسة فی علوم العربیّة والقراءة فی زمانه بالحجاز، وکان أصمّ یُقْرَأُ علیه القرآن وهو </w:t>
      </w:r>
    </w:p>
    <w:p>
      <w:pPr>
        <w:pStyle w:val="BookText"/>
        <w:rPr/>
      </w:pPr>
      <w:r>
        <w:rPr>
          <w:rFonts w:ascii="IRNazanin" w:hAnsi="IRNazanin" w:eastAsia="IRNazanin"/>
          <w:color w:val="111111"/>
          <w:sz w:val="28"/>
          <w:sz w:val="28"/>
          <w:szCs w:val="28"/>
          <w:rtl w:val="true"/>
          <w:lang w:bidi="fa-IR"/>
        </w:rPr>
        <w:t>ینظر إلی شفتی القارئ، فیردّ علیه اللحن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له، دعاه به نافع القارئ لجودة قراءته، وهی کلمة رومیّة 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هارون الربعی الشهیر بأبی نشیط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وأحمد بن یزید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نشیط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عثمان بن محمد بن جعفر بن بویان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بن سعید أبو الحسن القزاز عن أبی بکر بن الأشعث 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والحلوانی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العباس بن أبی مهران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وجعفر بن محمد بن الهیتم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عثمان بن عدیّ المصریّ من القرّاء الکِبار، وسبب تلقیبه بذلک شدّة بیاضه،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عمر بن یسار المدنی البصری 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عبدالرحیم أبو بکر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فالازرق من طریقی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7" w:name="pg6193_70568"/>
    </w:p>
    <w:p>
      <w:pPr>
        <w:pStyle w:val="BookText"/>
        <w:rPr/>
      </w:pPr>
      <w:bookmarkEnd w:id="4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وعبداللّه بن مالک بن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والاصبهانی فمن طریقی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والحسن بن سعید المطوعی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أصحابه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الأربعة من السبعة الذین قرؤوا بالنصب، وضف إلیهم واحداً من غیرهم، وهو الحضرمیّ المذکور لاحقاً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972088_237004111"/>
      <w:bookmarkStart w:id="49" w:name="_Toc18"/>
      <w:bookmarkEnd w:id="48"/>
      <w:r>
        <w:rPr/>
        <w:t>4</w:t>
      </w:r>
      <w:r>
        <w:rPr>
          <w:rtl w:val="true"/>
        </w:rPr>
        <w:t xml:space="preserve"> - </w:t>
      </w:r>
      <w:r>
        <w:rPr>
          <w:rtl w:val="true"/>
        </w:rPr>
        <w:t>الکسائیّ</w:t>
      </w:r>
      <w:r>
        <w:rPr>
          <w:rtl w:val="true"/>
        </w:rPr>
        <w:t>:</w:t>
      </w:r>
      <w:bookmarkEnd w:id="49"/>
    </w:p>
    <w:p>
      <w:pPr>
        <w:pStyle w:val="BookText"/>
        <w:rPr/>
      </w:pPr>
      <w:r>
        <w:rPr>
          <w:rFonts w:ascii="IRNazanin" w:hAnsi="IRNazanin" w:eastAsia="IRNazanin"/>
          <w:color w:val="111111"/>
          <w:sz w:val="28"/>
          <w:sz w:val="28"/>
          <w:szCs w:val="28"/>
          <w:rtl w:val="true"/>
          <w:lang w:bidi="fa-IR"/>
        </w:rPr>
        <w:t xml:space="preserve">وهو أبوالحسن، علیّ بن حمزة بن عبداللّه، الأسدیّ بالوَلاء، الکوفیّ، کان إماماً فی اللغة، والنَّحْو، والقراءة، من أهل الکوفة، ولد فی إحدی قُراها سنة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وتعلّم بها وتصدّر فی علم النحو، وتنقّل فی البادیة وسکن بغداد، وتوفّی بالریّ سنة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خالد البغدادیّ،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کان ثقةً معروفاً حاذقاً ضابطاً، عرض القراءة علی الکسائیّ وهو من أجلّة أصحابه، وروی الحروف عن حمزة بن القاسم الأحول، وعن الیزیدیّ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إلیه، من</w:t>
      </w:r>
      <w:r>
        <w:rPr>
          <w:rFonts w:eastAsia="IRNazanin" w:cs="IRNazanin"/>
          <w:color w:val="111111"/>
          <w:sz w:val="28"/>
          <w:szCs w:val="28"/>
          <w:rtl w:val="true"/>
          <w:lang w:bidi="fa-IR"/>
        </w:rPr>
        <w:t xml:space="preserve">: </w:t>
      </w:r>
      <w:bookmarkStart w:id="50" w:name="pg6193_70571"/>
    </w:p>
    <w:p>
      <w:pPr>
        <w:pStyle w:val="BookText"/>
        <w:rPr/>
      </w:pPr>
      <w:bookmarkEnd w:id="5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الکسائی الصغیر،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وسلمة بن عاصم البغدادی النحوی،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فالکسائی الصغیر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البغدادی البطی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وإبراهیم بن زیاد القنطری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وسلمة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یحیی النحوی البغدادی المشهور به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فرج الغسانی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عمر حفص بن عمر بن عبدالعزیز، الأزدیّ البغدادیّ النحویّ الضَّریر،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 القرّاء فی عصره، من الثِقات الأَثْبات، وقرأ بالسَّبْعِ وبالشواذّ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والطریق إلیه،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النصیبی الضریر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عثمان الضریر، سعید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فالنصیبی من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ابن الجللدی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وعبداللّه بن أحمد بن دیزویه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عثمان الضریر فمن طریقی ابن أبی هاشم، والشذائی عنه فعنه</w:t>
      </w:r>
      <w:r>
        <w:rPr>
          <w:rFonts w:eastAsia="IRNazanin" w:cs="IRNazanin"/>
          <w:color w:val="111111"/>
          <w:sz w:val="28"/>
          <w:szCs w:val="28"/>
          <w:rtl w:val="true"/>
          <w:lang w:bidi="fa-IR"/>
        </w:rPr>
        <w:t>.</w:t>
      </w:r>
    </w:p>
    <w:p>
      <w:pPr>
        <w:pStyle w:val="Heading4"/>
        <w:numPr>
          <w:ilvl w:val="3"/>
          <w:numId w:val="1"/>
        </w:numPr>
        <w:rPr/>
      </w:pPr>
      <w:bookmarkStart w:id="51" w:name="__RefHeading___Toc972090_237004111"/>
      <w:bookmarkStart w:id="52" w:name="_Toc19"/>
      <w:bookmarkEnd w:id="51"/>
      <w:r>
        <w:rPr/>
        <w:t>5</w:t>
      </w:r>
      <w:r>
        <w:rPr>
          <w:rtl w:val="true"/>
        </w:rPr>
        <w:t xml:space="preserve"> - </w:t>
      </w:r>
      <w:r>
        <w:rPr>
          <w:rtl w:val="true"/>
        </w:rPr>
        <w:t>الحضرمیّ</w:t>
      </w:r>
      <w:r>
        <w:rPr>
          <w:rtl w:val="true"/>
        </w:rPr>
        <w:t>:</w:t>
      </w:r>
      <w:bookmarkEnd w:id="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محمّد، یعقوب بن إسحاق بن زید بن عبداللّه بن أبی إسحاق الحضرمیّ، المولود سنة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والمتوفّی سنة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إمام القراءة فی </w:t>
      </w:r>
    </w:p>
    <w:p>
      <w:pPr>
        <w:pStyle w:val="BookText"/>
        <w:rPr/>
      </w:pPr>
      <w:r>
        <w:rPr>
          <w:rFonts w:ascii="IRNazanin" w:hAnsi="IRNazanin" w:eastAsia="IRNazanin"/>
          <w:color w:val="111111"/>
          <w:sz w:val="28"/>
          <w:sz w:val="28"/>
          <w:szCs w:val="28"/>
          <w:rtl w:val="true"/>
          <w:lang w:bidi="fa-IR"/>
        </w:rPr>
        <w:t>البصرة فی عصره، وأعلم القرّاء بمذاهب النحویین فی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الحروف من الکسائیّ، ومحمّد بن زریق الکوفیّ عن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من حمزة حروفاً، وقرأ علی شهاب بن شرنقة قراءة أبی الأسود عن أمیرالمؤمنین علیّ بن أبی طالب علیه السلام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ابن زنجلة عن ابن الجزریّ القول بعدم الفرق بین قراءة یعقوب الحضرمیّ وقراءة غیره من القرّاء السبعة عند الأئمّة المحقّقین، وإنّ هذا هو الحقّ الذی لا محید عنه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عبداللّه، محمّد بن المتوکّل اللؤلؤیّ البصریّ، المتوفّی سنة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مقرئ حاذق، تعلّم القراءة عرضاً عن یعقوب الحضرمیّ، وصار من أشهر أصحابه وأجلّهم،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یأخذ علی المبتدئین بتحقیق الهمزتین معاً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یأخذ علی الماهر بتخفیف الهمزة الثانیة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إلیه،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الحسن بن سلیمان النخاس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ابن شنبوذ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محمد الشهیر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بن عثمان بن حبشان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أربعتهم عن محمد بن </w:t>
      </w:r>
      <w:bookmarkStart w:id="53" w:name="pg6193_70577"/>
    </w:p>
    <w:p>
      <w:pPr>
        <w:pStyle w:val="BookText"/>
        <w:rPr/>
      </w:pPr>
      <w:bookmarkEnd w:id="53"/>
      <w:r>
        <w:rPr>
          <w:rFonts w:ascii="IRNazanin" w:hAnsi="IRNazanin" w:eastAsia="IRNazanin"/>
          <w:color w:val="111111"/>
          <w:sz w:val="28"/>
          <w:sz w:val="28"/>
          <w:szCs w:val="28"/>
          <w:rtl w:val="true"/>
          <w:lang w:bidi="fa-IR"/>
        </w:rPr>
        <w:t xml:space="preserve">هارون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روح بن 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أبوالحسن روح بن عبدالمؤمن النحویّ البصریّ الهذلیّ بالوَلاء، المتوفّی سنة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مقرئ مشهور من أصحاب الحضرمیّ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إلیه، فمن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وهب 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والزبیر بن أحمد الزبیری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وهب من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المعدل، وحمزة بن علی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والزبیری فمن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بن شنبوذ، وابن حبشان وهو الجوهری الذی مر قبل قلیل عنه فعنه، وأخیراً إلیک الأعمش وهو من غیر السبعة</w:t>
      </w:r>
      <w:r>
        <w:rPr>
          <w:rFonts w:eastAsia="IRNazanin" w:cs="IRNazanin"/>
          <w:color w:val="111111"/>
          <w:sz w:val="28"/>
          <w:szCs w:val="28"/>
          <w:rtl w:val="true"/>
          <w:lang w:bidi="fa-IR"/>
        </w:rPr>
        <w:t>.</w:t>
      </w:r>
    </w:p>
    <w:p>
      <w:pPr>
        <w:pStyle w:val="Heading4"/>
        <w:numPr>
          <w:ilvl w:val="3"/>
          <w:numId w:val="1"/>
        </w:numPr>
        <w:rPr/>
      </w:pPr>
      <w:bookmarkStart w:id="54" w:name="__RefHeading___Toc972092_237004111"/>
      <w:bookmarkStart w:id="55" w:name="_Toc20"/>
      <w:bookmarkEnd w:id="54"/>
      <w:r>
        <w:rPr/>
        <w:t>6</w:t>
      </w:r>
      <w:r>
        <w:rPr>
          <w:rtl w:val="true"/>
        </w:rPr>
        <w:t xml:space="preserve"> - </w:t>
      </w:r>
      <w:r>
        <w:rPr>
          <w:rtl w:val="true"/>
        </w:rPr>
        <w:t>الأعمش</w:t>
      </w:r>
      <w:bookmarkEnd w:id="55"/>
    </w:p>
    <w:p>
      <w:pPr>
        <w:pStyle w:val="BookText"/>
        <w:rPr/>
      </w:pPr>
      <w:r>
        <w:rPr>
          <w:rFonts w:ascii="IRNazanin" w:hAnsi="IRNazanin" w:eastAsia="IRNazanin"/>
          <w:color w:val="111111"/>
          <w:sz w:val="28"/>
          <w:sz w:val="28"/>
          <w:szCs w:val="28"/>
          <w:rtl w:val="true"/>
          <w:lang w:bidi="fa-IR"/>
        </w:rPr>
        <w:t xml:space="preserve">وهو أبو محمّد، سلیمان بن مهران الکوفیّ الأسدیّ بالوَلاء، ولد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مقرئ جلیل صاحب نوادر وحکایات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القراءة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وعاصم بن أبی النَّجود، ومجاهد، وأَبوْ العالیة، وأخذ عنه جماعة عرضاً وسماعاً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حبیب الزیّات، ومحمّد بن عبدالرحمان بن أبی لیلی، وغیرهما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اثنان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المطوعیّ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العبّاس، الحسن بن سعید العبّادانیّ البصریّ </w:t>
      </w:r>
    </w:p>
    <w:p>
      <w:pPr>
        <w:pStyle w:val="BookText"/>
        <w:rPr/>
      </w:pPr>
      <w:r>
        <w:rPr>
          <w:rFonts w:ascii="Amiri" w:hAnsi="Amiri" w:eastAsia="Amiri" w:cs="Amiri"/>
          <w:color w:val="111111"/>
          <w:sz w:val="28"/>
          <w:sz w:val="28"/>
          <w:szCs w:val="28"/>
          <w:rtl w:val="true"/>
          <w:lang w:bidi="ar-SA"/>
        </w:rPr>
        <w:t xml:space="preserve">العَمْریّ،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الشنبوذیّ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أبوالفرج، محمّد بن أحمد بن إبراهیم البغدادیّ، المولود سنة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والمتوفّی سنة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6" w:name="pg6193_70583"/>
    </w:p>
    <w:p>
      <w:pPr>
        <w:pStyle w:val="Heading2"/>
        <w:numPr>
          <w:ilvl w:val="1"/>
          <w:numId w:val="1"/>
        </w:numPr>
        <w:rPr/>
      </w:pPr>
      <w:bookmarkStart w:id="57" w:name="__RefHeading___Toc972094_237004111"/>
      <w:bookmarkStart w:id="58" w:name="_Toc21"/>
      <w:bookmarkEnd w:id="56"/>
      <w:bookmarkEnd w:id="57"/>
      <w:r>
        <w:rPr>
          <w:rtl w:val="true"/>
        </w:rPr>
        <w:t>الفَصْلُ الأوّلُ</w:t>
      </w:r>
      <w:r>
        <w:rPr>
          <w:rtl w:val="true"/>
        </w:rPr>
        <w:t xml:space="preserve">: </w:t>
      </w:r>
      <w:r>
        <w:rPr>
          <w:rtl w:val="true"/>
        </w:rPr>
        <w:t>فِیْ قِراءَةِ الْجَرِّ</w:t>
      </w:r>
      <w:bookmarkEnd w:id="5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972096_237004111"/>
      <w:bookmarkStart w:id="60" w:name="_Toc22"/>
      <w:bookmarkEnd w:id="59"/>
      <w:r>
        <w:rPr>
          <w:rtl w:val="true"/>
        </w:rPr>
        <w:t>اشارة</w:t>
      </w:r>
      <w:bookmarkEnd w:id="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6193_70588"/>
      <w:bookmarkStart w:id="62" w:name="pg6193_70588"/>
      <w:bookmarkEnd w:id="62"/>
    </w:p>
    <w:p>
      <w:pPr>
        <w:pStyle w:val="BookText"/>
        <w:rPr/>
      </w:pPr>
      <w:bookmarkStart w:id="63" w:name="pg6193_70588"/>
      <w:bookmarkEnd w:id="63"/>
      <w:r>
        <w:rPr>
          <w:rFonts w:ascii="IRNazanin" w:hAnsi="IRNazanin" w:eastAsia="IRNazanin"/>
          <w:color w:val="111111"/>
          <w:sz w:val="28"/>
          <w:sz w:val="28"/>
          <w:szCs w:val="28"/>
          <w:rtl w:val="true"/>
          <w:lang w:bidi="fa-IR"/>
        </w:rPr>
        <w:t>هناک مجموعة من القرّاء والعلماء قد قرؤوا آیة الوضوءِ بالجرّ، وإلیک أسماءَهم</w:t>
      </w:r>
      <w:r>
        <w:rPr>
          <w:rFonts w:eastAsia="IRNazanin" w:cs="IRNazanin"/>
          <w:color w:val="111111"/>
          <w:sz w:val="28"/>
          <w:szCs w:val="28"/>
          <w:rtl w:val="true"/>
          <w:lang w:bidi="fa-IR"/>
        </w:rPr>
        <w:t>:</w:t>
      </w:r>
    </w:p>
    <w:p>
      <w:pPr>
        <w:pStyle w:val="Heading3"/>
        <w:numPr>
          <w:ilvl w:val="2"/>
          <w:numId w:val="1"/>
        </w:numPr>
        <w:rPr/>
      </w:pPr>
      <w:bookmarkStart w:id="64" w:name="__RefHeading___Toc972098_237004111"/>
      <w:bookmarkStart w:id="65" w:name="_Toc23"/>
      <w:bookmarkEnd w:id="64"/>
      <w:r>
        <w:rPr/>
        <w:t>1</w:t>
      </w:r>
      <w:r>
        <w:rPr>
          <w:rtl w:val="true"/>
        </w:rPr>
        <w:t xml:space="preserve"> - </w:t>
      </w:r>
      <w:r>
        <w:rPr>
          <w:rtl w:val="true"/>
        </w:rPr>
        <w:t xml:space="preserve">الضحّاک </w:t>
      </w:r>
      <w:r>
        <w:rPr>
          <w:rtl w:val="true"/>
        </w:rPr>
        <w:t>(</w:t>
      </w:r>
      <w:r>
        <w:rPr>
          <w:rtl w:val="true"/>
        </w:rPr>
        <w:t xml:space="preserve">ت </w:t>
      </w:r>
      <w:r>
        <w:rPr/>
        <w:t>105</w:t>
      </w:r>
      <w:r>
        <w:rPr>
          <w:rtl w:val="true"/>
        </w:rPr>
        <w:t xml:space="preserve"> </w:t>
      </w:r>
      <w:r>
        <w:rPr>
          <w:rtl w:val="true"/>
        </w:rPr>
        <w:t xml:space="preserve">ه </w:t>
      </w:r>
      <w:r>
        <w:rPr>
          <w:rtl w:val="true"/>
        </w:rPr>
        <w:t>)</w:t>
      </w:r>
      <w:bookmarkEnd w:id="65"/>
    </w:p>
    <w:p>
      <w:pPr>
        <w:pStyle w:val="BookText"/>
        <w:rPr/>
      </w:pPr>
      <w:r>
        <w:rPr>
          <w:rFonts w:ascii="IRNazanin" w:hAnsi="IRNazanin" w:eastAsia="IRNazanin"/>
          <w:color w:val="111111"/>
          <w:sz w:val="28"/>
          <w:sz w:val="28"/>
          <w:szCs w:val="28"/>
          <w:rtl w:val="true"/>
          <w:lang w:bidi="fa-IR"/>
        </w:rPr>
        <w:t xml:space="preserve">قرأ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المنصوص عنه فی تفسیره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صریحة فی إفادة المسح عطفاً علی الرؤوس المجرورة لفظاً، لکنّه لم یزد علی ذلک، ولم یفصح عن الجرّ بأنّه من باب العطف علی الرؤوس لفظاً، أو من باب المجاورة التی شاعت بین الجمهور فیما بعد، ولکن المطلق عند الإطلاق ینصرف إلی الفرد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العطف علی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ذوی البصائر</w:t>
      </w:r>
      <w:r>
        <w:rPr>
          <w:rFonts w:eastAsia="IRNazanin" w:cs="IRNazanin"/>
          <w:color w:val="111111"/>
          <w:sz w:val="28"/>
          <w:szCs w:val="28"/>
          <w:rtl w:val="true"/>
          <w:lang w:bidi="fa-IR"/>
        </w:rPr>
        <w:t>.</w:t>
      </w:r>
    </w:p>
    <w:p>
      <w:pPr>
        <w:pStyle w:val="Heading3"/>
        <w:numPr>
          <w:ilvl w:val="2"/>
          <w:numId w:val="1"/>
        </w:numPr>
        <w:rPr/>
      </w:pPr>
      <w:bookmarkStart w:id="66" w:name="__RefHeading___Toc972100_237004111"/>
      <w:bookmarkStart w:id="67" w:name="_Toc24"/>
      <w:bookmarkEnd w:id="66"/>
      <w:r>
        <w:rPr/>
        <w:t>2</w:t>
      </w:r>
      <w:r>
        <w:rPr>
          <w:rtl w:val="true"/>
        </w:rPr>
        <w:t xml:space="preserve"> - </w:t>
      </w:r>
      <w:r>
        <w:rPr>
          <w:rtl w:val="true"/>
        </w:rPr>
        <w:t xml:space="preserve">الحسن البصریّ </w:t>
      </w:r>
      <w:r>
        <w:rPr>
          <w:rtl w:val="true"/>
        </w:rPr>
        <w:t>(</w:t>
      </w:r>
      <w:r>
        <w:rPr>
          <w:rtl w:val="true"/>
        </w:rPr>
        <w:t xml:space="preserve">ت </w:t>
      </w:r>
      <w:r>
        <w:rPr/>
        <w:t>110</w:t>
      </w:r>
      <w:r>
        <w:rPr>
          <w:rtl w:val="true"/>
        </w:rPr>
        <w:t xml:space="preserve"> </w:t>
      </w:r>
      <w:r>
        <w:rPr>
          <w:rtl w:val="true"/>
        </w:rPr>
        <w:t xml:space="preserve">ه </w:t>
      </w:r>
      <w:r>
        <w:rPr>
          <w:rtl w:val="true"/>
        </w:rPr>
        <w:t>)</w:t>
      </w:r>
      <w:bookmarkEnd w:id="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تفسیره أنّه یجیز الجرّ عطفاً علی الرؤوس، والحکم فیه المسح کما لا یخفی، کما أنّه یجیز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فیه الغسل علی </w:t>
      </w:r>
      <w:bookmarkStart w:id="68" w:name="pg6193_70591"/>
    </w:p>
    <w:p>
      <w:pPr>
        <w:pStyle w:val="BookText"/>
        <w:rPr/>
      </w:pPr>
      <w:bookmarkEnd w:id="68"/>
      <w:r>
        <w:rPr>
          <w:rFonts w:ascii="IRNazanin" w:hAnsi="IRNazanin" w:eastAsia="IRNazanin"/>
          <w:color w:val="111111"/>
          <w:sz w:val="28"/>
          <w:sz w:val="28"/>
          <w:szCs w:val="28"/>
          <w:rtl w:val="true"/>
          <w:lang w:bidi="fa-IR"/>
        </w:rPr>
        <w:t>الاحتمال، فهو علی حد زعمه لا یتعصّب لرأی دون آخر</w:t>
      </w:r>
      <w:r>
        <w:rPr>
          <w:rStyle w:val="FootnoteAnchor"/>
          <w:rtl w:val="true"/>
        </w:rPr>
        <w:footnoteReference w:id="132"/>
      </w:r>
      <w:r>
        <w:rPr>
          <w:rFonts w:ascii="IRNazanin" w:hAnsi="IRNazanin" w:eastAsia="IRNazanin"/>
          <w:color w:val="111111"/>
          <w:sz w:val="28"/>
          <w:sz w:val="28"/>
          <w:szCs w:val="28"/>
          <w:rtl w:val="true"/>
          <w:lang w:bidi="fa-IR"/>
        </w:rPr>
        <w:t xml:space="preserve">، وسوف نناقش ما ذهب إلیه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قرآءة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بالدلیل والحجة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والمنقول عنه أنّه یجوّز الأمرین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72102_237004111"/>
      <w:bookmarkStart w:id="70" w:name="_Toc25"/>
      <w:bookmarkEnd w:id="69"/>
      <w:r>
        <w:rPr/>
        <w:t>3</w:t>
      </w:r>
      <w:r>
        <w:rPr>
          <w:rtl w:val="true"/>
        </w:rPr>
        <w:t xml:space="preserve"> - </w:t>
      </w:r>
      <w:r>
        <w:rPr>
          <w:rtl w:val="true"/>
        </w:rPr>
        <w:t xml:space="preserve">الشافعیّ </w:t>
      </w:r>
      <w:r>
        <w:rPr>
          <w:rtl w:val="true"/>
        </w:rPr>
        <w:t>(</w:t>
      </w:r>
      <w:r>
        <w:rPr>
          <w:rtl w:val="true"/>
        </w:rPr>
        <w:t xml:space="preserve">ت </w:t>
      </w:r>
      <w:r>
        <w:rPr/>
        <w:t>204</w:t>
      </w:r>
      <w:r>
        <w:rPr>
          <w:rtl w:val="true"/>
        </w:rPr>
        <w:t xml:space="preserve"> </w:t>
      </w:r>
      <w:r>
        <w:rPr>
          <w:rtl w:val="true"/>
        </w:rPr>
        <w:t xml:space="preserve">ه </w:t>
      </w:r>
      <w:r>
        <w:rPr>
          <w:rtl w:val="true"/>
        </w:rPr>
        <w:t>)</w:t>
      </w:r>
      <w:bookmarkEnd w:id="70"/>
    </w:p>
    <w:p>
      <w:pPr>
        <w:pStyle w:val="BookText"/>
        <w:rPr/>
      </w:pPr>
      <w:r>
        <w:rPr>
          <w:rFonts w:ascii="IRNazanin" w:hAnsi="IRNazanin" w:eastAsia="IRNazanin"/>
          <w:color w:val="111111"/>
          <w:sz w:val="28"/>
          <w:sz w:val="28"/>
          <w:szCs w:val="28"/>
          <w:rtl w:val="true"/>
          <w:lang w:bidi="fa-IR"/>
        </w:rPr>
        <w:t>أنکر الشافعیّ قراءة الجرّ، وحکم بقراءة النصب فقط ابتعاداً عن الحقّ الذی لا محیص عنه ولا مناص</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مناقشة کلامه فی الفصل الثانی من هذا الکتاب</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عنوناه هنا حفاظاً علی الامانة العلمیة التی وتبیاناً لموقفه السلبی من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إنکار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یفده أیضاً فی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اعترف بأنّ الدالّ علی الغسل إنّما هو السنّة النبویة لا مقتضی القواعد العربیّة</w:t>
      </w:r>
      <w:r>
        <w:rPr>
          <w:rStyle w:val="FootnoteAnchor"/>
          <w:rtl w:val="true"/>
        </w:rPr>
        <w:footnoteReference w:id="136"/>
      </w:r>
      <w:r>
        <w:rPr>
          <w:rFonts w:ascii="IRNazanin" w:hAnsi="IRNazanin" w:eastAsia="IRNazanin"/>
          <w:color w:val="111111"/>
          <w:sz w:val="28"/>
          <w:sz w:val="28"/>
          <w:szCs w:val="28"/>
          <w:rtl w:val="true"/>
          <w:lang w:bidi="fa-IR"/>
        </w:rPr>
        <w:t>ولا الآیة القرآنیة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بأن کتب الحدیث قد روت عن رسول اللّه صلی الله علیه و آله أنّه مسح علی ظاهر قدمیه</w:t>
      </w:r>
      <w:r>
        <w:rPr>
          <w:rStyle w:val="FootnoteAnchor"/>
          <w:rtl w:val="true"/>
        </w:rPr>
        <w:footnoteReference w:id="137"/>
      </w:r>
      <w:r>
        <w:rPr>
          <w:rFonts w:ascii="IRNazanin" w:hAnsi="IRNazanin" w:eastAsia="IRNazanin"/>
          <w:color w:val="111111"/>
          <w:sz w:val="28"/>
          <w:sz w:val="28"/>
          <w:szCs w:val="28"/>
          <w:rtl w:val="true"/>
          <w:lang w:bidi="fa-IR"/>
        </w:rPr>
        <w:t xml:space="preserve">، وهذا دلیل آخر علی أنّ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هو المسح علی ظهور الأقدام لا غسلها، وأنّ وجود أمثال هذه الروایات یُعارضُ الروایات </w:t>
      </w:r>
      <w:bookmarkStart w:id="71" w:name="pg6193_70594"/>
    </w:p>
    <w:p>
      <w:pPr>
        <w:pStyle w:val="BookText"/>
        <w:rPr/>
      </w:pPr>
      <w:bookmarkEnd w:id="71"/>
      <w:r>
        <w:rPr>
          <w:rFonts w:ascii="Amiri" w:hAnsi="Amiri" w:eastAsia="Amiri" w:cs="Amiri"/>
          <w:color w:val="111111"/>
          <w:sz w:val="28"/>
          <w:sz w:val="28"/>
          <w:szCs w:val="28"/>
          <w:rtl w:val="true"/>
          <w:lang w:bidi="ar-SA"/>
        </w:rPr>
        <w:t>الأُخری الدالّة علی الغَسْل علی زعمهم، والقرآن المجید یَعْضُدُ هذه الروایات المسحیة، لا تلک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المسحیّة المعتضدة بظاهر القرآن تعارض الأخبار الغسلیة المرویة عنه صلی الله علیه و آله، وهذا یدلّ علی صحّة هذا الحدیث المسحی وعدم صحّة تلک الأحادیث الغسلیة، للاتفاق علی أنّ الرسول أمر بطرح الأخبار المعارضة لکتاب اللّه، لأنّه صلی الله علیه و آله لم یقل بما یخالف کتابه العزیز؛ کما صرح بذلک الرازیّ فی تفسیر هذه الآیة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72104_237004111"/>
      <w:bookmarkStart w:id="73" w:name="_Toc26"/>
      <w:bookmarkEnd w:id="72"/>
      <w:r>
        <w:rPr/>
        <w:t>4</w:t>
      </w:r>
      <w:r>
        <w:rPr>
          <w:rtl w:val="true"/>
        </w:rPr>
        <w:t xml:space="preserve"> - </w:t>
      </w:r>
      <w:r>
        <w:rPr>
          <w:rtl w:val="true"/>
        </w:rPr>
        <w:t xml:space="preserve">أبو زکریّا الفرّاء </w:t>
      </w:r>
      <w:r>
        <w:rPr>
          <w:rtl w:val="true"/>
        </w:rPr>
        <w:t>(</w:t>
      </w:r>
      <w:r>
        <w:rPr>
          <w:rtl w:val="true"/>
        </w:rPr>
        <w:t xml:space="preserve">ت </w:t>
      </w:r>
      <w:r>
        <w:rPr/>
        <w:t>207</w:t>
      </w:r>
      <w:r>
        <w:rPr>
          <w:rtl w:val="true"/>
        </w:rPr>
        <w:t xml:space="preserve"> </w:t>
      </w:r>
      <w:r>
        <w:rPr>
          <w:rtl w:val="true"/>
        </w:rPr>
        <w:t xml:space="preserve">ه </w:t>
      </w:r>
      <w:r>
        <w:rPr>
          <w:rtl w:val="true"/>
        </w:rPr>
        <w:t>)</w:t>
      </w:r>
      <w:bookmarkEnd w:id="73"/>
    </w:p>
    <w:p>
      <w:pPr>
        <w:pStyle w:val="BookText"/>
        <w:rPr/>
      </w:pPr>
      <w:r>
        <w:rPr>
          <w:rFonts w:ascii="IRNazanin" w:hAnsi="IRNazanin" w:eastAsia="IRNazanin"/>
          <w:color w:val="111111"/>
          <w:sz w:val="28"/>
          <w:sz w:val="28"/>
          <w:szCs w:val="28"/>
          <w:rtl w:val="true"/>
          <w:lang w:bidi="fa-IR"/>
        </w:rPr>
        <w:t xml:space="preserve">إنّ الفرّاء لم ینصّ علی إحدی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اختار عبارة تحتملهما،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مردودة علی الوجوه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الجملة یحتمل منها أنّه یرید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أی معطوفة علی الوجوه، فتفید الغسل، ویحتمل أن تکون مفیدة للمسح، إلّاأنّها رُدَّت بالسُّنَّةِ إلی الغسل، والاحتمال الثانی هو الأقرب؛ لأَنّ الفرّاء أکّد أنّ القرآن لا یفید إلّاالمسح، وإن ادّعوا بأنّ السنّة جرت بالغَسْل؛ راویاً عن الإمام علیّ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الکتاب بالمسح، و السنّة بالغسل</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اتضح لک سابقاً فی البحث الروائی من کتابنا</w:t>
      </w:r>
      <w:r>
        <w:rPr>
          <w:rStyle w:val="FootnoteAnchor"/>
          <w:rtl w:val="true"/>
        </w:rPr>
        <w:footnoteReference w:id="141"/>
      </w:r>
      <w:r>
        <w:rPr>
          <w:rFonts w:ascii="Amiri" w:hAnsi="Amiri" w:eastAsia="Amiri" w:cs="Amiri"/>
          <w:color w:val="111111"/>
          <w:sz w:val="28"/>
          <w:sz w:val="28"/>
          <w:szCs w:val="28"/>
          <w:rtl w:val="true"/>
          <w:lang w:bidi="ar-SA"/>
        </w:rPr>
        <w:t xml:space="preserve">أنّ الغسل لیس بسنّة </w:t>
      </w:r>
      <w:bookmarkStart w:id="74" w:name="pg6193_70597"/>
    </w:p>
    <w:p>
      <w:pPr>
        <w:pStyle w:val="BookText"/>
        <w:rPr/>
      </w:pPr>
      <w:bookmarkEnd w:id="74"/>
      <w:r>
        <w:rPr>
          <w:rFonts w:ascii="IRNazanin" w:hAnsi="IRNazanin" w:eastAsia="IRNazanin"/>
          <w:color w:val="111111"/>
          <w:sz w:val="28"/>
          <w:sz w:val="28"/>
          <w:szCs w:val="28"/>
          <w:rtl w:val="true"/>
          <w:lang w:bidi="fa-IR"/>
        </w:rPr>
        <w:t xml:space="preserve">رسول اللّه صلی الله علیه و آله، بل هو سنّة عثمان بن عفّان ومَن سار علی نهجه، وأنّ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مکذوبة علی علیّ علیه السلام وأنّه لم یقله؛ لأنّ الکتاب نزل بالمسح، والسنّة أیضاً جاءت بالمسح، وهو المرویّ عنه صلی الله علیه و آله صحیحاً ولو صحّ عنه ذاک فمراده سنة الناس الجاریة بینهم، وهذا بعید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الفرّاء عن الشعبیّ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جبریل علیه السلام بالمسح علی محمّد صلی الله علیه و آله وعلی جمیع الأنبیاء</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الفرّاء لم یردّ نصَّ آیة الوضوء إلّامحتاطاً مُحاذِراً، إذ علم أنّ الإعراب وقواعد کلام العرب لا تساعد علی إِرادَة الغسل أبداً؛ فتشبّث بالسنّة التی قد بیّنّا فیها بأنّ رسول اللّه صلی الله علیه و آله لم یغسل رجلیه إلّاللتنظیف، وهذا ما کان یفعله ابْنَاؤُهُ الْمُعَصْوْمُوْنَ کالإمامین الباقر والصادق علیهم السلام فی بعض الأحیان، فلا یجوز أن تکون سنة عامة مُتَّبَعةً، بدلیل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تلمیذ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فی هود بن المحکم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إلّاالغسل ولا أجد فی کتاب اللّه إلّاالمسح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القرآن بالمسح والسنّة الغسل، یرید به سنة النّاس لا سنة النبی صلی الله علیه و آله، والشاهد جوابه للحجّاج حین سمع أنّه قال بالغسل فأجاب بأنّه صدق اللّه وکذب الحجاج</w:t>
      </w:r>
      <w:r>
        <w:rPr>
          <w:rFonts w:eastAsia="IRNazanin" w:cs="IRNazanin"/>
          <w:color w:val="111111"/>
          <w:sz w:val="28"/>
          <w:szCs w:val="28"/>
          <w:rtl w:val="true"/>
          <w:lang w:bidi="fa-IR"/>
        </w:rPr>
        <w:t>.</w:t>
      </w:r>
    </w:p>
    <w:p>
      <w:pPr>
        <w:pStyle w:val="Heading3"/>
        <w:numPr>
          <w:ilvl w:val="2"/>
          <w:numId w:val="1"/>
        </w:numPr>
        <w:rPr/>
      </w:pPr>
      <w:bookmarkStart w:id="75" w:name="__RefHeading___Toc972106_237004111"/>
      <w:bookmarkStart w:id="76" w:name="_Toc27"/>
      <w:bookmarkEnd w:id="75"/>
      <w:r>
        <w:rPr/>
        <w:t>5</w:t>
      </w:r>
      <w:r>
        <w:rPr>
          <w:rtl w:val="true"/>
        </w:rPr>
        <w:t xml:space="preserve"> - </w:t>
      </w:r>
      <w:r>
        <w:rPr>
          <w:rtl w:val="true"/>
        </w:rPr>
        <w:t xml:space="preserve">أبو عبیدة معمر بن المثنّی </w:t>
      </w:r>
      <w:r>
        <w:rPr>
          <w:rtl w:val="true"/>
        </w:rPr>
        <w:t>(</w:t>
      </w:r>
      <w:r>
        <w:rPr>
          <w:rtl w:val="true"/>
        </w:rPr>
        <w:t xml:space="preserve">ت </w:t>
      </w:r>
      <w:r>
        <w:rPr/>
        <w:t>210</w:t>
      </w:r>
      <w:r>
        <w:rPr>
          <w:rtl w:val="true"/>
        </w:rPr>
        <w:t xml:space="preserve"> </w:t>
      </w:r>
      <w:r>
        <w:rPr>
          <w:rtl w:val="true"/>
        </w:rPr>
        <w:t xml:space="preserve">ه </w:t>
      </w:r>
      <w:r>
        <w:rPr>
          <w:rtl w:val="true"/>
        </w:rPr>
        <w:t>)</w:t>
      </w:r>
      <w:bookmarkEnd w:id="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أبو عبیدة علی الغسل بالجرّ علی الجوار، وبالسنّة، وبالتّحدید إلی الکعبین، وردّ المسح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مسحا مسحتاً إلی الکعبین، لأن المسح علی </w:t>
      </w:r>
      <w:bookmarkStart w:id="77" w:name="pg6193_70599"/>
    </w:p>
    <w:p>
      <w:pPr>
        <w:pStyle w:val="BookText"/>
        <w:rPr/>
      </w:pPr>
      <w:bookmarkEnd w:id="77"/>
      <w:r>
        <w:rPr>
          <w:rFonts w:ascii="IRNazanin" w:hAnsi="IRNazanin" w:eastAsia="IRNazanin"/>
          <w:color w:val="111111"/>
          <w:sz w:val="28"/>
          <w:sz w:val="28"/>
          <w:szCs w:val="28"/>
          <w:rtl w:val="true"/>
          <w:lang w:bidi="fa-IR"/>
        </w:rPr>
        <w:t>ظهر القدم والکعبان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الظّاهران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استدلاله بالجر علی الجوار فقد أجبنا عنه فی الرّقم الآتی عند مناقشتنا مع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استدلاله بالسنة فقد مر الجواب عنه عند کلامنا مع الشافعی، والفراء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التحدید فیأتی الجواب عنه فی بحثنا مع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مسحا مسحتاً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والکعبان هما الظّاهران، یعنی علی طرفی الرجل والمسح علی ظهر القدم فالتّقدیر إلی مجازی الکعبین، ولو کان ظاهر القرآن المسح کما نقول فلابدّ من هذا التقدیر</w:t>
      </w:r>
      <w:r>
        <w:rPr>
          <w:rFonts w:eastAsia="IRNazanin" w:cs="IRNazanin"/>
          <w:color w:val="111111"/>
          <w:sz w:val="28"/>
          <w:szCs w:val="28"/>
          <w:rtl w:val="true"/>
          <w:lang w:bidi="fa-IR"/>
        </w:rPr>
        <w:t>.</w:t>
      </w:r>
    </w:p>
    <w:p>
      <w:pPr>
        <w:pStyle w:val="Heading3"/>
        <w:numPr>
          <w:ilvl w:val="2"/>
          <w:numId w:val="1"/>
        </w:numPr>
        <w:rPr/>
      </w:pPr>
      <w:bookmarkStart w:id="78" w:name="__RefHeading___Toc972108_237004111"/>
      <w:bookmarkStart w:id="79" w:name="_Toc28"/>
      <w:bookmarkEnd w:id="78"/>
      <w:r>
        <w:rPr/>
        <w:t>6</w:t>
      </w:r>
      <w:r>
        <w:rPr>
          <w:rtl w:val="true"/>
        </w:rPr>
        <w:t xml:space="preserve"> - </w:t>
      </w:r>
      <w:r>
        <w:rPr>
          <w:rtl w:val="true"/>
        </w:rPr>
        <w:t xml:space="preserve">الأخفش الاوسط البلخیّ سعید بن مسعدة المجاشعیّ </w:t>
      </w:r>
      <w:r>
        <w:rPr>
          <w:rtl w:val="true"/>
        </w:rPr>
        <w:t>(</w:t>
      </w:r>
      <w:r>
        <w:rPr>
          <w:rtl w:val="true"/>
        </w:rPr>
        <w:t xml:space="preserve">ت </w:t>
      </w:r>
      <w:r>
        <w:rPr/>
        <w:t>215</w:t>
      </w:r>
      <w:r>
        <w:rPr>
          <w:rtl w:val="true"/>
        </w:rPr>
        <w:t xml:space="preserve"> </w:t>
      </w:r>
      <w:r>
        <w:rPr>
          <w:rtl w:val="true"/>
        </w:rPr>
        <w:t xml:space="preserve">ه </w:t>
      </w:r>
      <w:r>
        <w:rPr>
          <w:rtl w:val="true"/>
        </w:rPr>
        <w:t>)</w:t>
      </w:r>
      <w:bookmarkEnd w:id="79"/>
    </w:p>
    <w:p>
      <w:pPr>
        <w:pStyle w:val="BookText"/>
        <w:rPr/>
      </w:pPr>
      <w:r>
        <w:rPr>
          <w:rFonts w:ascii="IRNazanin" w:hAnsi="IRNazanin" w:eastAsia="IRNazanin"/>
          <w:color w:val="111111"/>
          <w:sz w:val="28"/>
          <w:sz w:val="28"/>
          <w:szCs w:val="28"/>
          <w:rtl w:val="true"/>
          <w:lang w:bidi="fa-IR"/>
        </w:rPr>
        <w:t>قال الاخفش الاوسط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ویَجُوزُ الجرّ علی الإتباع وهو فی المعنی الغسل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وجوهکم وأرجلکم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منصوب، وعلامة النصب الفتحة، فلِمَ کسر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معطوف علی المنصوب،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جرّ للمجاورة، أی وقع فی جوار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 حفظاً للمشاکلة وحسن الجوار، فأُعرب بإعرابه لفظاً وهو منصوب تقدیراً، وقدیماً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یؤخذ الجار بذنب الجار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المجاورة</w:t>
      </w:r>
    </w:p>
    <w:p>
      <w:pPr>
        <w:pStyle w:val="BookText"/>
        <w:rPr/>
      </w:pPr>
      <w:r>
        <w:rPr>
          <w:rFonts w:ascii="Amiri" w:hAnsi="Amiri" w:eastAsia="Amiri" w:cs="Amiri"/>
          <w:color w:val="111111"/>
          <w:sz w:val="28"/>
          <w:sz w:val="28"/>
          <w:szCs w:val="28"/>
          <w:rtl w:val="true"/>
          <w:lang w:bidi="ar-SA"/>
        </w:rPr>
        <w:t>استدلّ الأخفش علی ذلک بقول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وهو مضاف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والضبّ مجرور بإضافة الجُحْر إلیه، وعلامة جرّه الکسرة الظاهرة،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صفة للجُحْر،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مبتدءٍ ومرفوعٌ، وعلامة رفعه الضمّة الظاهرة، فینبغی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لأنّه صفة للمرفوع، ویجب المطابقة بین الصفة والموصوف فی الإعراب، ولکنّه جرّ لفظاً لوقوعه فی مجاورة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مجرور لفظاً ومرفوع تقدیراً، وهذا هو الجرّ بالجوار، وهو ثابت فی کلام العرب، فکذا آیة الوضوء تحمل علی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علی الغسل، وإعراب النصب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الدلیل من وجوه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بالجوار لو ثبت فی کلام العرب فهو فی غایة الضعف اتّفاقاً، فلا یحمل علیه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أجمع المسلمون علی أنّه أفصح الکلام </w:t>
      </w:r>
    </w:p>
    <w:p>
      <w:pPr>
        <w:pStyle w:val="BookText"/>
        <w:rPr/>
      </w:pPr>
      <w:r>
        <w:rPr>
          <w:rFonts w:ascii="IRNazanin" w:hAnsi="IRNazanin" w:eastAsia="IRNazanin"/>
          <w:color w:val="111111"/>
          <w:sz w:val="28"/>
          <w:sz w:val="28"/>
          <w:szCs w:val="28"/>
          <w:rtl w:val="true"/>
          <w:lang w:bidi="fa-IR"/>
        </w:rPr>
        <w:t>وأقواه، فلا یمکن توجیهه فی الآیة؛ لاختصاصه بالضرورة، وکلام اللّه أعلی وأجلّ من ذلک، ولذا قال الأخفش معترفاً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والنصب أجود وأسلم من هذا الاضطرار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الجرّ بالجوار فی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الأکثر فیه الرفع کما نصّ علیه ابن هشام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المُغْنِی</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اللبس ولا اختلاف معنی الکلام، بل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بالخراب والعُمْران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فهو لو قرئ بالجرّ لما أوجب التباس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الآیة من هذا القبیل؛ فإنّ الجرّ فیها یوجب التباس المعنی؛ أی التباس الغسل بالمسح، ویُخْرِجُ الآیة عن المحکمات ویُدرجها فی المتشابهات، إذ الآیة فی تلک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فیها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بالجوار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الغسل، فکذا یحتمل کونها مجرورة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علی المسح</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وضع علم الإعراب دفع الالتباس بین المعانی، کما فی حکایة أمیرالمؤمنین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القارئ الذی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بَرِیءٌ مِنَ الْمُشْرِکِینَ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بالجرّ؛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بریء من المشرکین ومن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خطأ، والإعراب الصحیح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ورسولُه بریئان من المشرکین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فالإعراب له دَوْر أساسی فی إفادة المعانی، ولاسیّما إذا کان إهماله یوجب فساداً فی المعنی، فکیف یهمل الإعراب فی الآیة ویجرّ بالجوار الذی هو منشأ الالتباس؟ 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مغسولة حقیقةً وأُجری فیه الجرّ بالجوار لانقلب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یدور علی الإعراب، أو یدور الإعراب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المسح، وهو خطأ ونقض للغرض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الجرّ بالجوار فی الآیة یوجب الالتباس،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غسلها، فکذا یمکن مسحها، ولا یتبیّن المراد منها مع هذا الإعراب الذی یلزم منه نقض الغرض من وضع علم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بالجوار ممّا أنکره السیرافیّ وابن جنیّ وهما هما، وتأوّلا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الجُحْرُ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حذف الضمیر للعلم به، وحوّل الإسناد إلی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حسنِ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الوجهُ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أتی بضمیر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مکانه لتقدّم ذکره فاستتر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جنّیّ</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جُحْرُهُ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أُنیب المضاف إلیه عن المضاف، فارتفع </w:t>
      </w:r>
    </w:p>
    <w:p>
      <w:pPr>
        <w:pStyle w:val="BookText"/>
        <w:rPr/>
      </w:pPr>
      <w:r>
        <w:rPr>
          <w:rFonts w:ascii="IRNazanin" w:hAnsi="IRNazanin" w:eastAsia="IRNazanin"/>
          <w:color w:val="111111"/>
          <w:sz w:val="28"/>
          <w:sz w:val="28"/>
          <w:szCs w:val="28"/>
          <w:rtl w:val="true"/>
          <w:lang w:bidi="fa-IR"/>
        </w:rPr>
        <w:t>واستتر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اعترض ابن هشام علی ما ذهبا إلیه طبقاً لمذهبه النحوی البصری،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ویلزمهما استتار الضمیر مع جریان الصفة علی غیر من هی له، وذلک لا یجوز عند البصریّین وإن أُمِن اللبس</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یجاب عن ذلک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جائز عندهما وعند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أهون من حمل الکلام علی الجرّ بالجوار الذی هو مرجوح بالنسبة إلی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المحققون من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بالجوار ورد فی النعت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فیه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التوکید نادراً؛ کقول أبی الغریب النصری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 بَلِّغْ ذوی الزَّوْجاتِ کُلِّهمُ أنْ لیس وصلٌ إذا انحلّتْ عُرَی الذَّنَبِ</w:t>
      </w:r>
      <w:r>
        <w:rPr>
          <w:rStyle w:val="FootnoteAnchor"/>
          <w:rtl w:val="true"/>
        </w:rPr>
        <w:footnoteReference w:id="15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أنشدنیه أبو الجرّاح 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 الذی قُلْتُهُ أنا، ثمّ استنشدته إیّاه فأنشدنیه بالخفض</w:t>
      </w:r>
      <w:r>
        <w:rPr>
          <w:rFonts w:eastAsia="IRNazanin" w:cs="IRNazanin"/>
          <w:color w:val="111111"/>
          <w:sz w:val="28"/>
          <w:szCs w:val="28"/>
          <w:rtl w:val="true"/>
          <w:lang w:bidi="fa-IR"/>
        </w:rPr>
        <w:t xml:space="preserve">. </w:t>
      </w:r>
      <w:bookmarkStart w:id="80" w:name="pg6193_70613"/>
    </w:p>
    <w:p>
      <w:pPr>
        <w:pStyle w:val="BookText"/>
        <w:rPr/>
      </w:pPr>
      <w:bookmarkEnd w:id="80"/>
      <w:r>
        <w:rPr>
          <w:rFonts w:ascii="IRNazanin" w:hAnsi="IRNazanin" w:eastAsia="IRNazanin"/>
          <w:color w:val="111111"/>
          <w:sz w:val="28"/>
          <w:sz w:val="28"/>
          <w:szCs w:val="28"/>
          <w:rtl w:val="true"/>
          <w:lang w:bidi="fa-IR"/>
        </w:rPr>
        <w:t xml:space="preserve">ولا یکون الجرّ بالجوار فی عطف النسق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العاطف یمنع من التجاور، کما صرّح به ابن هشام فی القاعدة الثانیة من الباب الثامن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البغدادی فی خزانته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جرّ الجوار فی العطف، فقد قال أبو حیان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فی کلامهم، ولذلک ضعُف جداً قول من حمل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من خفض علی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بینه وبین النعت کون الاسم فی باب النعت تابعاً لما قبله من غیر وَسِاطة شیء، فهو أشدُّ له مجاورة، بخلاف العطف، إذ قد فصل بین الاسمین حرفَ العطف، وجاز إظهار العامل فی بعض المواضع، فبعُدت المجاورة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الأخفش الجرّ فی الآیة بالجرّ فی المثال المرویّ عن العرب قیاس مع الفارق، إذ المجاورة فی المثال ممکنة، لأنّها فی النعت ولا یمکن فی الآیة؛ لأنّ العاطف یمنع منها</w:t>
      </w:r>
      <w:r>
        <w:rPr>
          <w:rFonts w:eastAsia="IRNazanin" w:cs="IRNazanin"/>
          <w:color w:val="111111"/>
          <w:sz w:val="28"/>
          <w:szCs w:val="28"/>
          <w:rtl w:val="true"/>
          <w:lang w:bidi="fa-IR"/>
        </w:rPr>
        <w:t>.</w:t>
      </w:r>
    </w:p>
    <w:p>
      <w:pPr>
        <w:pStyle w:val="Heading3"/>
        <w:numPr>
          <w:ilvl w:val="2"/>
          <w:numId w:val="1"/>
        </w:numPr>
        <w:rPr/>
      </w:pPr>
      <w:bookmarkStart w:id="81" w:name="__RefHeading___Toc972110_237004111"/>
      <w:bookmarkStart w:id="82" w:name="_Toc29"/>
      <w:bookmarkEnd w:id="81"/>
      <w:r>
        <w:rPr/>
        <w:t>7</w:t>
      </w:r>
      <w:r>
        <w:rPr>
          <w:rtl w:val="true"/>
        </w:rPr>
        <w:t xml:space="preserve"> - </w:t>
      </w:r>
      <w:r>
        <w:rPr>
          <w:rtl w:val="true"/>
        </w:rPr>
        <w:t xml:space="preserve">المحاسبیّ </w:t>
      </w:r>
      <w:r>
        <w:rPr>
          <w:rtl w:val="true"/>
        </w:rPr>
        <w:t>(</w:t>
      </w:r>
      <w:r>
        <w:rPr>
          <w:rtl w:val="true"/>
        </w:rPr>
        <w:t xml:space="preserve">ت </w:t>
      </w:r>
      <w:r>
        <w:rPr/>
        <w:t>243</w:t>
      </w:r>
      <w:r>
        <w:rPr>
          <w:rtl w:val="true"/>
        </w:rPr>
        <w:t xml:space="preserve"> </w:t>
      </w:r>
      <w:r>
        <w:rPr>
          <w:rtl w:val="true"/>
        </w:rPr>
        <w:t xml:space="preserve">ه </w:t>
      </w:r>
      <w:r>
        <w:rPr>
          <w:rtl w:val="true"/>
        </w:rPr>
        <w:t>)</w:t>
      </w:r>
      <w:bookmarkEnd w:id="82"/>
    </w:p>
    <w:p>
      <w:pPr>
        <w:pStyle w:val="BookText"/>
        <w:rPr/>
      </w:pPr>
      <w:r>
        <w:rPr>
          <w:rFonts w:ascii="IRNazanin" w:hAnsi="IRNazanin" w:eastAsia="IRNazanin"/>
          <w:color w:val="111111"/>
          <w:sz w:val="28"/>
          <w:sz w:val="28"/>
          <w:szCs w:val="28"/>
          <w:rtl w:val="true"/>
          <w:lang w:bidi="fa-IR"/>
        </w:rPr>
        <w:t xml:space="preserve">قرأ المحاسبیّ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وحمله علی الجرّ بالجوار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بالباء، وهی مشترکة بالکلام الأوّل من المغسول، والعرب تفعل هذا بالجوار للمعنی علی الأوّل، 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 علی الغسل إنّما جاء تقلیداً للأخفش؛ إذ هو أوّل من قال </w:t>
      </w:r>
      <w:bookmarkStart w:id="83" w:name="pg6193_70616"/>
    </w:p>
    <w:p>
      <w:pPr>
        <w:pStyle w:val="BookText"/>
        <w:rPr/>
      </w:pPr>
      <w:bookmarkEnd w:id="83"/>
      <w:r>
        <w:rPr>
          <w:rFonts w:ascii="IRNazanin" w:hAnsi="IRNazanin" w:eastAsia="IRNazanin"/>
          <w:color w:val="111111"/>
          <w:sz w:val="28"/>
          <w:sz w:val="28"/>
          <w:szCs w:val="28"/>
          <w:rtl w:val="true"/>
          <w:lang w:bidi="fa-IR"/>
        </w:rPr>
        <w:t xml:space="preserve">بالإعراب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ثمّ قاس الآیة بقول العرب، والمحاسبیّ قلّده، وقد تقدم ابطالنا کلام الاخفش</w:t>
      </w:r>
      <w:r>
        <w:rPr>
          <w:rStyle w:val="FootnoteAnchor"/>
          <w:rtl w:val="true"/>
        </w:rPr>
        <w:footnoteReference w:id="158"/>
      </w:r>
      <w:r>
        <w:rPr>
          <w:rFonts w:ascii="IRNazanin" w:hAnsi="IRNazanin" w:eastAsia="IRNazanin"/>
          <w:color w:val="111111"/>
          <w:sz w:val="28"/>
          <w:sz w:val="28"/>
          <w:szCs w:val="28"/>
          <w:rtl w:val="true"/>
          <w:lang w:bidi="fa-IR"/>
        </w:rPr>
        <w:t>، ولذا فقد بطل کلام المحاسبیّ الذی لا یبلغ منزلة الأخفش اللغویة</w:t>
      </w:r>
      <w:r>
        <w:rPr>
          <w:rFonts w:eastAsia="IRNazanin" w:cs="IRNazanin"/>
          <w:color w:val="111111"/>
          <w:sz w:val="28"/>
          <w:szCs w:val="28"/>
          <w:rtl w:val="true"/>
          <w:lang w:bidi="fa-IR"/>
        </w:rPr>
        <w:t>.</w:t>
      </w:r>
    </w:p>
    <w:p>
      <w:pPr>
        <w:pStyle w:val="Heading3"/>
        <w:numPr>
          <w:ilvl w:val="2"/>
          <w:numId w:val="1"/>
        </w:numPr>
        <w:rPr/>
      </w:pPr>
      <w:bookmarkStart w:id="84" w:name="__RefHeading___Toc972112_237004111"/>
      <w:bookmarkStart w:id="85" w:name="_Toc30"/>
      <w:bookmarkEnd w:id="84"/>
      <w:r>
        <w:rPr/>
        <w:t>8</w:t>
      </w:r>
      <w:r>
        <w:rPr>
          <w:rtl w:val="true"/>
        </w:rPr>
        <w:t xml:space="preserve"> - </w:t>
      </w:r>
      <w:r>
        <w:rPr>
          <w:rtl w:val="true"/>
        </w:rPr>
        <w:t xml:space="preserve">هود بن الُمحکّم الهوّاریّ </w:t>
      </w:r>
      <w:r>
        <w:rPr>
          <w:rtl w:val="true"/>
        </w:rPr>
        <w:t>(</w:t>
      </w:r>
      <w:r>
        <w:rPr>
          <w:rtl w:val="true"/>
        </w:rPr>
        <w:t>من علماء القرن الثالث الهجری</w:t>
      </w:r>
      <w:r>
        <w:rPr>
          <w:rtl w:val="true"/>
        </w:rPr>
        <w:t>)</w:t>
      </w:r>
      <w:bookmarkEnd w:id="85"/>
    </w:p>
    <w:p>
      <w:pPr>
        <w:pStyle w:val="BookText"/>
        <w:rPr/>
      </w:pPr>
      <w:r>
        <w:rPr>
          <w:rFonts w:ascii="Amiri" w:hAnsi="Amiri" w:eastAsia="Amiri" w:cs="Amiri"/>
          <w:color w:val="111111"/>
          <w:sz w:val="28"/>
          <w:sz w:val="28"/>
          <w:szCs w:val="28"/>
          <w:rtl w:val="true"/>
          <w:lang w:bidi="ar-SA"/>
        </w:rPr>
        <w:t>لم ینصّ الرَّجل علی الجرّ کما نصّ علی النصب، إلّاأنّه روی المسح عن ابن عبّاس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الناس إلّاالغسل، ولا أجد فی کتاب اللّه إلّاالمسح</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ظاهر فی قراءة الجرّ، وأنّه یفید المسح، ولو قرئ بالنصب أیضاً لاحتمل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المجرورة بالباء الزائدة التبعیضیّة 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الرضی فی شرحه علی الکافیة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للتبعیض؛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اللغة لا یعرفون هذا المعنی، بل یورده الفقهاء، ومذهبه أنّها زائدةٌ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72114_237004111"/>
      <w:bookmarkStart w:id="87" w:name="_Toc31"/>
      <w:bookmarkEnd w:id="86"/>
      <w:r>
        <w:rPr/>
        <w:t>9</w:t>
      </w:r>
      <w:r>
        <w:rPr>
          <w:rtl w:val="true"/>
        </w:rPr>
        <w:t xml:space="preserve"> - </w:t>
      </w:r>
      <w:r>
        <w:rPr>
          <w:rtl w:val="true"/>
        </w:rPr>
        <w:t>محمّد بن یوسف الوهبیّ الإباضیّ المصعبیّ</w:t>
      </w:r>
      <w:bookmarkEnd w:id="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 الوهبیّ الإباضیّ أنّ الجرّ إنّما یکون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لا یفید </w:t>
      </w:r>
    </w:p>
    <w:p>
      <w:pPr>
        <w:pStyle w:val="BookText"/>
        <w:rPr/>
      </w:pPr>
      <w:r>
        <w:rPr>
          <w:rFonts w:ascii="IRNazanin" w:hAnsi="IRNazanin" w:eastAsia="IRNazanin"/>
          <w:color w:val="111111"/>
          <w:sz w:val="28"/>
          <w:sz w:val="28"/>
          <w:szCs w:val="28"/>
          <w:rtl w:val="true"/>
          <w:lang w:bidi="fa-IR"/>
        </w:rPr>
        <w:t xml:space="preserve">المسح ولا یوجبه، بل یفید الغسل الخفیف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استدرک علی قوله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العطف یقتضی تشارک المتعاطفین فی الحکم، فکیف تعترفون 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تفرّقون فی الحکم بینهما بأنّ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بمعناه الحقیقیّ،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بمعناه المجازی وهو الغسل الخفیف، وهذا جمع بین الحقیقة والمجاز، وتفریق الحکم فی المتعاطفین، والکلّ مجمعون علی بطلانه؟</w:t>
      </w:r>
    </w:p>
    <w:p>
      <w:pPr>
        <w:pStyle w:val="BookText"/>
        <w:rPr/>
      </w:pP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التخلّص من ذلک إنّما یتیسّر بعموم المجاز؛ وهو بإرادة الوضوء الخفیف للرؤوس والأرجل، ففی الرؤوس المسح، وفی الأرجل الغسل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 زعمه بما نقله عن أبی زید الأنصاریّ وأبی حاتم وابن الأنباریّ والفارسیّ من أنّ المسح الغسل الخفیف</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المجاز یُخرِجُ الآیة عن کونها من آیات الأحکام المحکمة، ویفتح باب التلاعب بالأحکام علی مصراعیه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إنّما نزل علی لسان قریش وهم أفصح قبائل العرب، فأُسلوبه هو أُسلوب کلامهم، ولو عرضت هذا الکلام علی منصف غیر متعصّب لرأیٍ دون آخر، لما فهم من هذا العطف إلّاالمسح، وذلک قانون المتعاطفین، فإنّ حروف العطف موضوعة لغرض الوصل بین المتشارکین فی الحکم، وإلّا لکان </w:t>
      </w:r>
    </w:p>
    <w:p>
      <w:pPr>
        <w:pStyle w:val="BookText"/>
        <w:rPr/>
      </w:pPr>
      <w:r>
        <w:rPr>
          <w:rFonts w:ascii="IRNazanin" w:hAnsi="IRNazanin" w:eastAsia="IRNazanin"/>
          <w:color w:val="111111"/>
          <w:sz w:val="28"/>
          <w:sz w:val="28"/>
          <w:szCs w:val="28"/>
          <w:rtl w:val="true"/>
          <w:lang w:bidi="fa-IR"/>
        </w:rPr>
        <w:t>العطف عبثاً ولغواً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نحمل القرآن علی الرأی والهوی لم نحتج إلی تلک التأویلات التی اعترف المتأوّلون بفسادها أیضاً؛ وإنّما ذکروها لتوجیه الخروج علی القوانین العلمیّة، والتمرّد علی المنطق، والشطط علی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الرجل اعترف بأنّ الاعتراض علیه وارد، ثمّ حاول التفصّی عنه بعموم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خطأ، لأنّ عموم المجاز أیضاً مجاز آخر أوسع من الأوّل، وهو لا یحفظ الحقیقة والمجاز الأوّل جنباً إلی جنبٍ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اختلفوا فی وقوع المجاز فی القرآن، فمن قائل بوقوعه، ومنهم عزّ الدین عبدالسلام، وأحمد بن حنبل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مانعٍ منه،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ابن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والقشیریّ، وابن خویز منداد، وأبو العبّاس بن القاصّ، وداود الظاهریّ، ومنذر بن سعید البلوطیّ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مسلم بن یحیی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حامد فی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القرآن مجاز</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والأُستاذ أبو إسحاق إذ أنکر المجاز فی اللغة، فلئن یُنکره فی القرآن من طریق أولی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ودلیلهم أنّ المتکلّم لا یعدل عن الحقیقة إلی المجاز إلّاإذا ضاقت به الحقیقة فیستعیر، وهو محال علی 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وبلغت المذاهب فی المجاز خمسة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مطلقاً؛ وهو المنسوب إلی أبی إسحاق الشیرازیّ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فی القرآن وحده؛ وقد ذکرنا أسماء القائلین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فی القرآن والحدیث دون ما عداهما؛ وهو رأی ابن داود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الوقوع مطلقاً؛ وهو القول المشهور وأحمد بن حنبل وعزّ الدین عبدالسلام</w:t>
      </w:r>
      <w:r>
        <w:rPr>
          <w:rStyle w:val="FootnoteAnchor"/>
          <w:rtl w:val="true"/>
        </w:rPr>
        <w:footnoteReference w:id="167"/>
      </w:r>
      <w:r>
        <w:rPr>
          <w:rFonts w:ascii="IRNazanin" w:hAnsi="IRNazanin" w:eastAsia="IRNazanin"/>
          <w:color w:val="111111"/>
          <w:sz w:val="28"/>
          <w:sz w:val="28"/>
          <w:szCs w:val="28"/>
          <w:rtl w:val="true"/>
          <w:lang w:bidi="fa-IR"/>
        </w:rPr>
        <w:t>وقد تقدم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ما فیه حکم شرعیّ وغیره؛ وهذا قول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هذه المسألة أنّه إن أُرید بالقرآن نفس الکلام القدیم فلا مجاز فیه، أو الألفاظ الدالّة علیه فلا شکّ فی اشتمالها علیه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نقول بوقوعه فی القرآن، ولکن لیس بهذا النِّطاق الواسع الذی ادّعاه الوهبیّ الإباضیّ وقومه، بل له مواضع یستحسن فیها ویستعذب، ولیس هذا منها، ووافقنا علی هذا الزرکشیّ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مرادنا بوقوعه فی القرآن علی نحو أسالیب العرب المستعذبة، لا المجاز البعید المستکره، وقد توسّع فیه قوم فضلّوا</w:t>
      </w:r>
      <w:r>
        <w:rPr>
          <w:rStyle w:val="FootnoteAnchor"/>
          <w:rtl w:val="true"/>
        </w:rPr>
        <w:footnoteReference w:id="1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أصل المجاز، وأمّا المجاز عن المجاز الذی یدّعیه الوهبیّ الإباضیّ ویعبّر عنه بعموم المجاز، فقد أنکره الآمدیّ، وهو فحل الفحول فی علم الأُصول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والوهبیّ أحسّ بضعف استدلاله بادئ ذی بدءٍ والتجأ إلی الجرّ بالجوار والمعنی علی الغسل، فکان کمن انتقل من قطرات المطر إلی وابل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استجار من الجرّ بالجوار، حیث إنّه ممتنع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یمنع من التجاور کما صرّح به ابن هشام فی القاعدة الثانیة من الباب الثامن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بالشذوذ، واعترف بأنّ الجرّ بالجوار ضعیف لمکان العطف، فحمل القرآن علی الشذوذ</w:t>
      </w:r>
      <w:r>
        <w:rPr>
          <w:rStyle w:val="FootnoteAnchor"/>
          <w:rtl w:val="true"/>
        </w:rPr>
        <w:footnoteReference w:id="171"/>
      </w:r>
      <w:r>
        <w:rPr>
          <w:rFonts w:ascii="IRNazanin" w:hAnsi="IRNazanin" w:eastAsia="IRNazanin"/>
          <w:color w:val="111111"/>
          <w:sz w:val="28"/>
          <w:sz w:val="28"/>
          <w:szCs w:val="28"/>
          <w:rtl w:val="true"/>
          <w:lang w:bidi="fa-IR"/>
        </w:rPr>
        <w:t>، وهو فی ذلک کما 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کالمستجیر من الرَّمضاء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والوهبیّ وإن جدّ لعطف القرآن حسبما یرید، لکن الحقّ ینطق منصفاً وعنیداً فنقل عن ابن عبّاس المسح بعبارتین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الناس إلّاالغسل وما وجدت فی کتاب اللّه إلّاالمسح</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غسلتان ومسحتان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بالمسح والسنّة بالغسل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مثل ذلک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کلامه 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والشعبیّ</w:t>
      </w:r>
      <w:r>
        <w:rPr>
          <w:rFonts w:eastAsia="IRNazanin" w:cs="IRNazanin"/>
          <w:color w:val="111111"/>
          <w:sz w:val="28"/>
          <w:szCs w:val="28"/>
          <w:rtl w:val="true"/>
          <w:lang w:bidi="fa-IR"/>
        </w:rPr>
        <w:t xml:space="preserve">. </w:t>
      </w:r>
      <w:bookmarkStart w:id="88" w:name="pg6193_70632"/>
    </w:p>
    <w:p>
      <w:pPr>
        <w:pStyle w:val="BookText"/>
        <w:rPr/>
      </w:pPr>
      <w:bookmarkEnd w:id="88"/>
      <w:r>
        <w:rPr>
          <w:rFonts w:ascii="IRNazanin" w:hAnsi="IRNazanin" w:eastAsia="IRNazanin"/>
          <w:color w:val="111111"/>
          <w:sz w:val="28"/>
          <w:sz w:val="28"/>
          <w:szCs w:val="28"/>
          <w:rtl w:val="true"/>
          <w:lang w:bidi="fa-IR"/>
        </w:rPr>
        <w:t>کلّ هذه الروایات التی أوردها دلیل علی أنّ الجرّ هو القراءة الصحیحة فی القرآن، وهذا یعنی المسح نزولاً علی حکم القواعد المستنبطة من أسالیب کلام العرب</w:t>
      </w:r>
      <w:r>
        <w:rPr>
          <w:rFonts w:eastAsia="IRNazanin" w:cs="IRNazanin"/>
          <w:color w:val="111111"/>
          <w:sz w:val="28"/>
          <w:szCs w:val="28"/>
          <w:rtl w:val="true"/>
          <w:lang w:bidi="fa-IR"/>
        </w:rPr>
        <w:t>.</w:t>
      </w:r>
    </w:p>
    <w:p>
      <w:pPr>
        <w:pStyle w:val="Heading3"/>
        <w:numPr>
          <w:ilvl w:val="2"/>
          <w:numId w:val="1"/>
        </w:numPr>
        <w:rPr/>
      </w:pPr>
      <w:bookmarkStart w:id="89" w:name="__RefHeading___Toc972116_237004111"/>
      <w:bookmarkStart w:id="90" w:name="_Toc32"/>
      <w:bookmarkEnd w:id="89"/>
      <w:r>
        <w:rPr/>
        <w:t>10</w:t>
      </w:r>
      <w:r>
        <w:rPr>
          <w:rtl w:val="true"/>
        </w:rPr>
        <w:t xml:space="preserve"> - </w:t>
      </w:r>
      <w:r>
        <w:rPr>
          <w:rtl w:val="true"/>
        </w:rPr>
        <w:t xml:space="preserve">عبداللّه بن محمد بن وهب الدینوری </w:t>
      </w:r>
      <w:r>
        <w:rPr>
          <w:rtl w:val="true"/>
        </w:rPr>
        <w:t>(</w:t>
      </w:r>
      <w:r>
        <w:rPr>
          <w:rtl w:val="true"/>
        </w:rPr>
        <w:t xml:space="preserve">ت </w:t>
      </w:r>
      <w:r>
        <w:rPr/>
        <w:t>308</w:t>
      </w:r>
      <w:r>
        <w:rPr>
          <w:rtl w:val="true"/>
        </w:rPr>
        <w:t xml:space="preserve"> </w:t>
      </w:r>
      <w:r>
        <w:rPr>
          <w:rtl w:val="true"/>
        </w:rPr>
        <w:t xml:space="preserve">ه </w:t>
      </w:r>
      <w:r>
        <w:rPr>
          <w:rtl w:val="true"/>
        </w:rPr>
        <w:t>)</w:t>
      </w:r>
      <w:bookmarkEnd w:id="90"/>
    </w:p>
    <w:p>
      <w:pPr>
        <w:pStyle w:val="BookText"/>
        <w:rPr/>
      </w:pPr>
      <w:r>
        <w:rPr>
          <w:rFonts w:ascii="IRNazanin" w:hAnsi="IRNazanin" w:eastAsia="IRNazanin"/>
          <w:color w:val="111111"/>
          <w:sz w:val="28"/>
          <w:sz w:val="28"/>
          <w:szCs w:val="28"/>
          <w:rtl w:val="true"/>
          <w:lang w:bidi="fa-IR"/>
        </w:rPr>
        <w:t>قال الدینوری فی فی الجرّ بالمسح علی الخفین، وفی النّصب بالغسل من غیر توضیح</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قراءة الجرّ لا تلازم المسح علی الخفین، بل 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حکمه، علی أنّ الجر لو دلّت علی المسح علی الخفیّن فماذا فی الآیة یدل حکم الأرجل؟</w:t>
      </w:r>
    </w:p>
    <w:p>
      <w:pPr>
        <w:pStyle w:val="Heading3"/>
        <w:numPr>
          <w:ilvl w:val="2"/>
          <w:numId w:val="1"/>
        </w:numPr>
        <w:rPr/>
      </w:pPr>
      <w:bookmarkStart w:id="91" w:name="__RefHeading___Toc972118_237004111"/>
      <w:bookmarkStart w:id="92" w:name="_Toc33"/>
      <w:bookmarkEnd w:id="91"/>
      <w:r>
        <w:rPr/>
        <w:t>11</w:t>
      </w:r>
      <w:r>
        <w:rPr>
          <w:rtl w:val="true"/>
        </w:rPr>
        <w:t xml:space="preserve"> - </w:t>
      </w:r>
      <w:r>
        <w:rPr>
          <w:rtl w:val="true"/>
        </w:rPr>
        <w:t xml:space="preserve">ابن جریر الطبریّ </w:t>
      </w:r>
      <w:r>
        <w:rPr>
          <w:rtl w:val="true"/>
        </w:rPr>
        <w:t>(</w:t>
      </w:r>
      <w:r>
        <w:rPr>
          <w:rtl w:val="true"/>
        </w:rPr>
        <w:t xml:space="preserve">ت </w:t>
      </w:r>
      <w:r>
        <w:rPr/>
        <w:t>310</w:t>
      </w:r>
      <w:r>
        <w:rPr>
          <w:rtl w:val="true"/>
        </w:rPr>
        <w:t xml:space="preserve"> </w:t>
      </w:r>
      <w:r>
        <w:rPr>
          <w:rtl w:val="true"/>
        </w:rPr>
        <w:t xml:space="preserve">ه </w:t>
      </w:r>
      <w:r>
        <w:rPr>
          <w:rtl w:val="true"/>
        </w:rPr>
        <w:t>)</w:t>
      </w:r>
      <w:bookmarkEnd w:id="92"/>
    </w:p>
    <w:p>
      <w:pPr>
        <w:pStyle w:val="BookText"/>
        <w:rPr/>
      </w:pPr>
      <w:r>
        <w:rPr>
          <w:rFonts w:ascii="IRNazanin" w:hAnsi="IRNazanin" w:eastAsia="IRNazanin"/>
          <w:color w:val="111111"/>
          <w:sz w:val="28"/>
          <w:sz w:val="28"/>
          <w:szCs w:val="28"/>
          <w:rtl w:val="true"/>
          <w:lang w:bidi="fa-IR"/>
        </w:rPr>
        <w:t xml:space="preserve">صوّب ابن جریر الطبریّ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النصب فسیأتی</w:t>
      </w:r>
      <w:r>
        <w:rPr>
          <w:rStyle w:val="FootnoteAnchor"/>
          <w:rtl w:val="true"/>
        </w:rPr>
        <w:footnoteReference w:id="176"/>
      </w:r>
      <w:r>
        <w:rPr>
          <w:rFonts w:ascii="IRNazanin" w:hAnsi="IRNazanin" w:eastAsia="IRNazanin"/>
          <w:color w:val="111111"/>
          <w:sz w:val="28"/>
          <w:sz w:val="28"/>
          <w:szCs w:val="28"/>
          <w:rtl w:val="true"/>
          <w:lang w:bidi="fa-IR"/>
        </w:rPr>
        <w:t>ذکر رأیه فیها حیث یحملها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الجرّ فإنّه یحمله علی المسح عطفاً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للأرجل المجرورة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الرؤوس، وقال بعد أنْ صوّبهما جمیعاً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ذلک وإن کان کذلک، وکانت القراءتان کلتاهما حسناً صواباً، </w:t>
      </w:r>
    </w:p>
    <w:p>
      <w:pPr>
        <w:pStyle w:val="BookText"/>
        <w:rPr/>
      </w:pPr>
      <w:r>
        <w:rPr>
          <w:rFonts w:ascii="IRNazanin" w:hAnsi="IRNazanin" w:eastAsia="IRNazanin"/>
          <w:color w:val="111111"/>
          <w:sz w:val="28"/>
          <w:sz w:val="28"/>
          <w:szCs w:val="28"/>
          <w:rtl w:val="true"/>
          <w:lang w:bidi="fa-IR"/>
        </w:rPr>
        <w:t>فأعجب القراءتین إلیّ أن أقرأها قراءة من قرأ ذلک خفضاً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علی ذلک بأدلّة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فی عموم الرجلین بمسحهما بالماء غسلهما، وفی إمرار الید وما قام مقام الید علیهما مسحهما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فالعطف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قربه منه أولی من العطف به علی الأیدی، وقد حیل بینه وبینهما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فالطبریّ بهذا التوجیه إنّما أراد أن یحفظ کرامة علماء السنّة ویخلّصهم من مخالفة نصوص الکتاب والسنّة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القواعد العربیّة ونزولاً علی حکم الکتاب والسنّة التی أورد الطبریّ طرفاً منها وهی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الروایات الحاکمة بآلْمَسْحِ، وهی عدّة روایات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عکرمة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مسحتان وغسلتان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أنس تکذیباً للحجّاج بن یوسف الثقفیّ بقوله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وکذب الحجّاج،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بِرُؤُسِکُمْ </w:t>
      </w:r>
    </w:p>
    <w:p>
      <w:pPr>
        <w:pStyle w:val="BookText"/>
        <w:rPr/>
      </w:pP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الرجلین غسل، إنّما نزل فیهما المسح</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جابر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رأسک و قدمیک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جبریل بالمسح</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لإثبات ذلک بآیة التیمّم، فإنّها آمرة بأن یمسح ما کان غسلاً ویُلْغَی ما کان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عنه المغیرة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بالتیمّم فیما أمر به الغسل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والأعمش، ومجاهد، والشعبیّ، وأبی جعفر علیه السلام، والضحّاک بروایة سلمة عنه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الحارث، عن القاسم بن سلّام، عن هیثم، عن یعلی بن عطاء، عن أبیه، عن أوس بن أبی أوس،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أتی سباطة قوم، فتوضّأ ومسح علی قدمیه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روایة محمّد بن عبید المحاربیّ، عن أبی مالک الجنبیّ، عن مسلم، عن حَبّة العُرَنیّ، قال</w:t>
      </w:r>
      <w:r>
        <w:rPr>
          <w:rFonts w:eastAsia="Amiri" w:cs="Amiri" w:ascii="Amiri" w:hAnsi="Amiri"/>
          <w:color w:val="111111"/>
          <w:sz w:val="28"/>
          <w:szCs w:val="28"/>
          <w:rtl w:val="true"/>
          <w:lang w:bidi="ar-SA"/>
        </w:rPr>
        <w:t xml:space="preserve">: </w:t>
      </w:r>
      <w:bookmarkStart w:id="93" w:name="pg6193_70641"/>
    </w:p>
    <w:p>
      <w:pPr>
        <w:pStyle w:val="BookText"/>
        <w:rPr/>
      </w:pPr>
      <w:bookmarkEnd w:id="93"/>
      <w:r>
        <w:rPr>
          <w:rFonts w:ascii="Amiri" w:hAnsi="Amiri" w:eastAsia="Amiri" w:cs="Amiri"/>
          <w:color w:val="111111"/>
          <w:sz w:val="28"/>
          <w:sz w:val="28"/>
          <w:szCs w:val="28"/>
          <w:rtl w:val="true"/>
          <w:lang w:bidi="ar-SA"/>
        </w:rPr>
        <w:t xml:space="preserve">رأیت علیّ بن أبی طالب علیه السلام شرب فی الرَّحْبة قائماً، ثمّ توضّأ ومسح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قدمیه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رأیت رسول الله صنع</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هذه الروایات تؤکّد لزوم المسح علی القدمین، لأنّ جبریل علیه السلام قد نزل بالمسح علی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94" w:name="__RefHeading___Toc972120_237004111"/>
      <w:bookmarkStart w:id="95" w:name="_Toc34"/>
      <w:bookmarkEnd w:id="94"/>
      <w:r>
        <w:rPr/>
        <w:t>12</w:t>
      </w:r>
      <w:r>
        <w:rPr>
          <w:rtl w:val="true"/>
        </w:rPr>
        <w:t xml:space="preserve"> - </w:t>
      </w:r>
      <w:r>
        <w:rPr>
          <w:rtl w:val="true"/>
        </w:rPr>
        <w:t xml:space="preserve">الزجّاج </w:t>
      </w:r>
      <w:r>
        <w:rPr>
          <w:rtl w:val="true"/>
        </w:rPr>
        <w:t>(</w:t>
      </w:r>
      <w:r>
        <w:rPr>
          <w:rtl w:val="true"/>
        </w:rPr>
        <w:t xml:space="preserve">ت </w:t>
      </w:r>
      <w:r>
        <w:rPr/>
        <w:t>311</w:t>
      </w:r>
      <w:r>
        <w:rPr>
          <w:rtl w:val="true"/>
        </w:rPr>
        <w:t xml:space="preserve"> </w:t>
      </w:r>
      <w:r>
        <w:rPr>
          <w:rtl w:val="true"/>
        </w:rPr>
        <w:t xml:space="preserve">ه </w:t>
      </w:r>
      <w:r>
        <w:rPr>
          <w:rtl w:val="true"/>
        </w:rPr>
        <w:t>)</w:t>
      </w:r>
      <w:bookmarkEnd w:id="95"/>
    </w:p>
    <w:p>
      <w:pPr>
        <w:pStyle w:val="BookText"/>
        <w:rPr/>
      </w:pPr>
      <w:r>
        <w:rPr>
          <w:rFonts w:ascii="IRNazanin" w:hAnsi="IRNazanin" w:eastAsia="IRNazanin"/>
          <w:color w:val="111111"/>
          <w:sz w:val="28"/>
          <w:sz w:val="28"/>
          <w:szCs w:val="28"/>
          <w:rtl w:val="true"/>
          <w:lang w:bidi="fa-IR"/>
        </w:rPr>
        <w:t xml:space="preserve">لقد حکم الزجّاج فی قراءة الجرّ بحکمین متناقضین، حیث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إنّما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المسح، وأنّ جبریل نزل به، والسنّة الغسل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 بعض أهل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جَرٌّ علی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أشدّ الإنکار،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الخفض علی الجوار فلا یکون فی کلمات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حمل المسح الذی هو مفاد الجرّ علی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بالتحدید، وزعم أنّ التحدید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علی أنّ المراد من المسح الغسل، وسیأتی</w:t>
      </w:r>
      <w:r>
        <w:rPr>
          <w:rStyle w:val="FootnoteAnchor"/>
          <w:rtl w:val="true"/>
        </w:rPr>
        <w:footnoteReference w:id="188"/>
      </w:r>
      <w:r>
        <w:rPr>
          <w:rFonts w:ascii="Amiri" w:hAnsi="Amiri" w:eastAsia="Amiri" w:cs="Amiri"/>
          <w:color w:val="111111"/>
          <w:sz w:val="28"/>
          <w:sz w:val="28"/>
          <w:szCs w:val="28"/>
          <w:rtl w:val="true"/>
          <w:lang w:bidi="ar-SA"/>
        </w:rPr>
        <w:t>ذکره تفصیّلاً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الجرّ بالجوار أشدّ الإنکار، ولکنّه ناقَضَ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أفتی بجواز الجرّ بالجوار، ورأی 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المجاورة،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منصوبة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جرّت لوقوعه فی مجاورة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وعبّر عنه </w:t>
      </w:r>
    </w:p>
    <w:p>
      <w:pPr>
        <w:pStyle w:val="BookText"/>
        <w:rPr/>
      </w:pPr>
      <w:r>
        <w:rPr>
          <w:rFonts w:ascii="Amiri" w:hAnsi="Amiri" w:eastAsia="Amiri" w:cs="Amiri"/>
          <w:color w:val="111111"/>
          <w:sz w:val="28"/>
          <w:sz w:val="28"/>
          <w:szCs w:val="28"/>
          <w:rtl w:val="true"/>
          <w:lang w:bidi="ar-SA"/>
        </w:rPr>
        <w:t>بالمطابقة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المطابقة باب حسن جدّاً</w:t>
      </w:r>
      <w:r>
        <w:rPr>
          <w:rStyle w:val="FootnoteAnchor"/>
          <w:rtl w:val="true"/>
        </w:rPr>
        <w:footnoteReference w:id="1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علی ذلک بأدلّة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سیبویه</w:t>
      </w:r>
      <w:r>
        <w:rPr>
          <w:rStyle w:val="FootnoteAnchor"/>
          <w:rtl w:val="true"/>
        </w:rPr>
        <w:footnoteReference w:id="190"/>
      </w:r>
      <w:r>
        <w:rPr>
          <w:rFonts w:ascii="Amiri" w:hAnsi="Amiri" w:eastAsia="Amiri" w:cs="Amiri"/>
          <w:color w:val="111111"/>
          <w:sz w:val="28"/>
          <w:sz w:val="28"/>
          <w:szCs w:val="28"/>
          <w:rtl w:val="true"/>
          <w:lang w:bidi="ar-SA"/>
        </w:rPr>
        <w:t>عن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ترکهم الرَّفْع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وجرّوه حرصاً علی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حیان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آرْتِشاف الضَّرَب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لم یتبَع النعتُ فیه المنعوت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 الرفع؛ لاَنَّهُ وَصْفٌ للجُحر لا للضب، لکنَّهُ جُرَّ لمجاورته المجرور، وهذا الذی یقولون فیه الخفض علی الجوار، وهذا رواه سیبویه وغیره عن العرب بالرفع، وهو الأصل والقیاس الجرُّ فحمله الأکثرون علی أنه صفة للجُحر، لکنهم جرُّوه للمجاورة کما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الفراء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یخفضُ بالجوار إلّاما استعملته العرب کذلک، فلا یُقاس علی ما استعمل ما لا یستعمل</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والخفضُ علی الجوار قال به الجمهور من أهل البصرة والکوفة، ورام إخراج ذلک عنه السیرافی وابن جنی علی اختلاف فی التقدیر، فقدره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 الجحرُ منه،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مِنهُ؛ حُذف الضمیر للعلم به، ثَمّ أضمر الجحر فصار خرِبٌ، ولم یَبْرُزْ الضمیر کما لم یَبْرُز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أبَواهُ لا قاعدین،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قاعدین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علی رجلٍ وَلَمْ یَبْرُزُ الضمیر؛ لأنه لو بَرز لقال لا قاعد هُما، وقدَّره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 جحْرُهُ، ثُمَّ نُقل الضمیر فصارَ خرِب الجحرُ ثمَّ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جَرٌّ صحیح، وهو نعت للضب، وتقدیرهما خطأ</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تقدم الجواب عن هذا الدلیل مفصّلاً</w:t>
      </w:r>
      <w:r>
        <w:rPr>
          <w:rStyle w:val="FootnoteAnchor"/>
          <w:rtl w:val="true"/>
        </w:rPr>
        <w:footnoteReference w:id="193"/>
      </w:r>
      <w:r>
        <w:rPr>
          <w:rFonts w:ascii="IRNazanin" w:hAnsi="IRNazanin" w:eastAsia="IRNazanin"/>
          <w:color w:val="111111"/>
          <w:sz w:val="28"/>
          <w:sz w:val="28"/>
          <w:szCs w:val="28"/>
          <w:rtl w:val="true"/>
          <w:lang w:bidi="fa-IR"/>
        </w:rPr>
        <w:t>؛ فلا نعیده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اللّام تبعاً للدال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بتغییر حرکة اللّام لمطابقة ما قبله وهی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الحسن غیّرَ حرکة اللام الجارّة علی وِفْق حرکة الدال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الضمّة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آیة الوضوء، غیّروا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بما یوافق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الجرّ حرصاً علی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مجمعون علی فصاحة کتاب اللّه وخلوّه من أسباب الإخلال بالفصاحة، وقراءة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أنّ القرآن نزلَ علی وفقها، لأنّها قراءة شاذّة لا یحمل علیه الفصیح المقیس، وهی مشتملة علی التنافر بحسب الذوق، وشهادة أهل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القول باشتمال القرآن علی التنافر،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غِنیً عن أن یفرض علی نفسه موافقة الحسن وغیره بالخروج عن القیاس السلیم وإثبات الشواذّ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بکسر الدال لمتابعة ما بعده</w:t>
      </w:r>
      <w:r>
        <w:rPr>
          <w:rStyle w:val="FootnoteAnchor"/>
          <w:rtl w:val="true"/>
        </w:rPr>
        <w:footnoteReference w:id="194"/>
      </w:r>
      <w:r>
        <w:rPr>
          <w:rFonts w:ascii="IRNazanin" w:hAnsi="IRNazanin" w:eastAsia="IRNazanin"/>
          <w:color w:val="111111"/>
          <w:sz w:val="28"/>
          <w:sz w:val="28"/>
          <w:szCs w:val="28"/>
          <w:rtl w:val="true"/>
          <w:lang w:bidi="fa-IR"/>
        </w:rPr>
        <w:t xml:space="preserve">وهی حرکة اللّام الجارّة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قراءة الحسن، وهی أیضاً تدلّ علی حرصهم علی المطابقة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الجواب عن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شاذّة، مخلّ بالفصاحته، یوجب </w:t>
      </w:r>
    </w:p>
    <w:p>
      <w:pPr>
        <w:pStyle w:val="BookText"/>
        <w:rPr/>
      </w:pPr>
      <w:r>
        <w:rPr>
          <w:rFonts w:ascii="IRNazanin" w:hAnsi="IRNazanin" w:eastAsia="IRNazanin"/>
          <w:color w:val="111111"/>
          <w:sz w:val="28"/>
          <w:sz w:val="28"/>
          <w:szCs w:val="28"/>
          <w:rtl w:val="true"/>
          <w:lang w:bidi="fa-IR"/>
        </w:rPr>
        <w:t>التّنافر علی أنّه عل یتابع ما قبل لما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أبی جعفر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لِلْمَلائِکَةِ اسْجُدُوا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التاء تبعاً للجیم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القرآن نزل علی لغة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أجمع علیه أهل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ینزل علی لغة أبی جعفر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أبی حاتم فی اختیاره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بکسر الحاء تبعاً للقاف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الدلیل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أبی حاتم وغیره عن یعقوب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بَغْیُکُمْ عَلی أَنْفُسِکُمْ مَتاعَ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بکسر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لأنفسکم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والدلیل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أبی جعفر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أَمْرٍ 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فکذا آیة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مجرورة للمطابقة والمجاورة، وأصل إعرابه النصب عطفاً علی الوجوه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التشبث بتلک القراءات الشاذة حقیقة، لا یحمل علیها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الجرّ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للمسح هُوَ ما دَلَّتْ علیه الروایات الواردة عن النبیّ صلی الله علیه و آله بإجماع أهل القبلة، ویقتضیه القانون النحویّ المشهور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والتأویلات المنقولة عنهم کلّها لحمل القرآن علی المذهب الذی یأخذون به </w:t>
      </w:r>
      <w:bookmarkStart w:id="96" w:name="pg6193_70654"/>
    </w:p>
    <w:p>
      <w:pPr>
        <w:pStyle w:val="BookText"/>
        <w:rPr/>
      </w:pPr>
      <w:bookmarkEnd w:id="96"/>
      <w:r>
        <w:rPr>
          <w:rFonts w:ascii="IRNazanin" w:hAnsi="IRNazanin" w:eastAsia="IRNazanin"/>
          <w:color w:val="111111"/>
          <w:sz w:val="28"/>
          <w:sz w:val="28"/>
          <w:szCs w:val="28"/>
          <w:rtl w:val="true"/>
          <w:lang w:bidi="fa-IR"/>
        </w:rPr>
        <w:t>وهذا لا یخفی فسادُه علی المنصف المتأمّل، وما نزل علیها من اللّه تعالی وعلی القراءات من سلطان</w:t>
      </w:r>
      <w:r>
        <w:rPr>
          <w:rFonts w:eastAsia="IRNazanin" w:cs="IRNazanin"/>
          <w:color w:val="111111"/>
          <w:sz w:val="28"/>
          <w:szCs w:val="28"/>
          <w:rtl w:val="true"/>
          <w:lang w:bidi="fa-IR"/>
        </w:rPr>
        <w:t>.</w:t>
      </w:r>
    </w:p>
    <w:p>
      <w:pPr>
        <w:pStyle w:val="Heading3"/>
        <w:numPr>
          <w:ilvl w:val="2"/>
          <w:numId w:val="1"/>
        </w:numPr>
        <w:rPr/>
      </w:pPr>
      <w:bookmarkStart w:id="97" w:name="__RefHeading___Toc972122_237004111"/>
      <w:bookmarkStart w:id="98" w:name="_Toc35"/>
      <w:bookmarkEnd w:id="97"/>
      <w:r>
        <w:rPr/>
        <w:t>13</w:t>
      </w:r>
      <w:r>
        <w:rPr>
          <w:rtl w:val="true"/>
        </w:rPr>
        <w:t xml:space="preserve"> - </w:t>
      </w:r>
      <w:r>
        <w:rPr>
          <w:rtl w:val="true"/>
        </w:rPr>
        <w:t xml:space="preserve">العیّاشیّ السمرقندیّ </w:t>
      </w:r>
      <w:r>
        <w:rPr>
          <w:rtl w:val="true"/>
        </w:rPr>
        <w:t>(</w:t>
      </w:r>
      <w:r>
        <w:rPr>
          <w:rtl w:val="true"/>
        </w:rPr>
        <w:t xml:space="preserve">ت </w:t>
      </w:r>
      <w:r>
        <w:rPr/>
        <w:t>320</w:t>
      </w:r>
      <w:r>
        <w:rPr>
          <w:rtl w:val="true"/>
        </w:rPr>
        <w:t xml:space="preserve"> </w:t>
      </w:r>
      <w:r>
        <w:rPr>
          <w:rtl w:val="true"/>
        </w:rPr>
        <w:t xml:space="preserve">ه </w:t>
      </w:r>
      <w:r>
        <w:rPr>
          <w:rtl w:val="true"/>
        </w:rPr>
        <w:t>)</w:t>
      </w:r>
      <w:bookmarkEnd w:id="98"/>
    </w:p>
    <w:p>
      <w:pPr>
        <w:pStyle w:val="BookText"/>
        <w:rPr/>
      </w:pPr>
      <w:r>
        <w:rPr>
          <w:rFonts w:ascii="IRNazanin" w:hAnsi="IRNazanin" w:eastAsia="IRNazanin"/>
          <w:color w:val="111111"/>
          <w:sz w:val="28"/>
          <w:sz w:val="28"/>
          <w:szCs w:val="28"/>
          <w:rtl w:val="true"/>
          <w:lang w:bidi="fa-IR"/>
        </w:rPr>
        <w:t xml:space="preserve">لم یشک العیّاشیّ السمرقندیّ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مجرورة لفظاً منصوبة تقدیراً أو محلّاً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الرأیین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المسح، کما تقتضیه قواعد العربیّة، وتدلّ علیه الأحادیث النبویّة بطرق الشیعة والسنّة، واعترف به غیر واحد من أعلام السنّة بأنّ القرآن نزل بآلْمَسْحِ، لکنّهم ادّعوا أنّ السنّة جرت بالغسل، وهذا ما أثبتنا بطلانه فی البحث الروائی من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رؤوسکم وأرجلکم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الإعراب مجمع علی صحّته بین النحویین لا مناقشة لأحد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تخلّص عن الجرّ بالمجاورة، وقد اجمع النحاة علی بطلانه فی العطف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التجاور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واتفقوا علی ضعفه فی غیر العطف بالحرف فی کلام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اللّه فی الطرف الأعلی من البلاغة، فلا یحمل علی الوجه الضعیف کما صرّح بذلک غیر واحد من المعربین والمفسّرین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72124_237004111"/>
      <w:bookmarkStart w:id="100" w:name="_Toc36"/>
      <w:bookmarkEnd w:id="99"/>
      <w:r>
        <w:rPr/>
        <w:t>14</w:t>
      </w:r>
      <w:r>
        <w:rPr>
          <w:rtl w:val="true"/>
        </w:rPr>
        <w:t xml:space="preserve"> - </w:t>
      </w:r>
      <w:r>
        <w:rPr>
          <w:rtl w:val="true"/>
        </w:rPr>
        <w:t xml:space="preserve">البغدادیّ </w:t>
      </w:r>
      <w:r>
        <w:rPr>
          <w:rtl w:val="true"/>
        </w:rPr>
        <w:t>(</w:t>
      </w:r>
      <w:r>
        <w:rPr>
          <w:rtl w:val="true"/>
        </w:rPr>
        <w:t xml:space="preserve">ت </w:t>
      </w:r>
      <w:r>
        <w:rPr/>
        <w:t>324</w:t>
      </w:r>
      <w:r>
        <w:rPr>
          <w:rtl w:val="true"/>
        </w:rPr>
        <w:t xml:space="preserve"> </w:t>
      </w:r>
      <w:r>
        <w:rPr>
          <w:rtl w:val="true"/>
        </w:rPr>
        <w:t xml:space="preserve">ه </w:t>
      </w:r>
      <w:r>
        <w:rPr>
          <w:rtl w:val="true"/>
        </w:rPr>
        <w:t>)</w:t>
      </w:r>
      <w:bookmarkEnd w:id="10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البغدادیّ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کثیر وحمزة وأبی عمرو، وعاصم </w:t>
      </w:r>
      <w:bookmarkStart w:id="101" w:name="pg6193_70657"/>
    </w:p>
    <w:p>
      <w:pPr>
        <w:pStyle w:val="BookText"/>
        <w:rPr/>
      </w:pPr>
      <w:bookmarkEnd w:id="101"/>
      <w:r>
        <w:rPr>
          <w:rFonts w:ascii="IRNazanin" w:hAnsi="IRNazanin" w:eastAsia="IRNazanin"/>
          <w:color w:val="111111"/>
          <w:sz w:val="28"/>
          <w:sz w:val="28"/>
          <w:szCs w:val="28"/>
          <w:rtl w:val="true"/>
          <w:lang w:bidi="fa-IR"/>
        </w:rPr>
        <w:t>بروایة أبی بکر عنه</w:t>
      </w:r>
      <w:r>
        <w:rPr>
          <w:rStyle w:val="FootnoteAnchor"/>
          <w:rtl w:val="true"/>
        </w:rPr>
        <w:footnoteReference w:id="199"/>
      </w:r>
      <w:r>
        <w:rPr>
          <w:rFonts w:ascii="IRNazanin" w:hAnsi="IRNazanin" w:eastAsia="IRNazanin"/>
          <w:color w:val="111111"/>
          <w:sz w:val="28"/>
          <w:sz w:val="28"/>
          <w:szCs w:val="28"/>
          <w:rtl w:val="true"/>
          <w:lang w:bidi="fa-IR"/>
        </w:rPr>
        <w:t xml:space="preserve">، ولم یُبَیّن 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 باب المجاورة کما یدّعیه بعض القوم، أو من باب العطف علی لفظ الرؤوس کما هو مقتضی أُصول العربیّة وأُسلوب کلام الفصحاء؟ فجعل نفسه فی مندوحة عن التعیین الذی اختلفوا فیه</w:t>
      </w:r>
      <w:r>
        <w:rPr>
          <w:rFonts w:eastAsia="IRNazanin" w:cs="IRNazanin"/>
          <w:color w:val="111111"/>
          <w:sz w:val="28"/>
          <w:szCs w:val="28"/>
          <w:rtl w:val="true"/>
          <w:lang w:bidi="fa-IR"/>
        </w:rPr>
        <w:t>.</w:t>
      </w:r>
    </w:p>
    <w:p>
      <w:pPr>
        <w:pStyle w:val="Heading3"/>
        <w:numPr>
          <w:ilvl w:val="2"/>
          <w:numId w:val="1"/>
        </w:numPr>
        <w:rPr/>
      </w:pPr>
      <w:bookmarkStart w:id="102" w:name="__RefHeading___Toc972126_237004111"/>
      <w:bookmarkStart w:id="103" w:name="_Toc37"/>
      <w:bookmarkEnd w:id="102"/>
      <w:r>
        <w:rPr/>
        <w:t>15</w:t>
      </w:r>
      <w:r>
        <w:rPr>
          <w:rtl w:val="true"/>
        </w:rPr>
        <w:t xml:space="preserve"> - </w:t>
      </w:r>
      <w:r>
        <w:rPr>
          <w:rtl w:val="true"/>
        </w:rPr>
        <w:t xml:space="preserve">أبو منصور الماتریدیّ </w:t>
      </w:r>
      <w:r>
        <w:rPr>
          <w:rtl w:val="true"/>
        </w:rPr>
        <w:t>(</w:t>
      </w:r>
      <w:r>
        <w:rPr>
          <w:rtl w:val="true"/>
        </w:rPr>
        <w:t xml:space="preserve">ت </w:t>
      </w:r>
      <w:r>
        <w:rPr/>
        <w:t>333</w:t>
      </w:r>
      <w:r>
        <w:rPr>
          <w:rtl w:val="true"/>
        </w:rPr>
        <w:t xml:space="preserve"> </w:t>
      </w:r>
      <w:r>
        <w:rPr>
          <w:rtl w:val="true"/>
        </w:rPr>
        <w:t xml:space="preserve">ه </w:t>
      </w:r>
      <w:r>
        <w:rPr>
          <w:rtl w:val="true"/>
        </w:rPr>
        <w:t>)</w:t>
      </w:r>
      <w:bookmarkEnd w:id="103"/>
    </w:p>
    <w:p>
      <w:pPr>
        <w:pStyle w:val="BookText"/>
        <w:rPr/>
      </w:pPr>
      <w:r>
        <w:rPr>
          <w:rFonts w:ascii="IRNazanin" w:hAnsi="IRNazanin" w:eastAsia="IRNazanin"/>
          <w:color w:val="111111"/>
          <w:sz w:val="28"/>
          <w:sz w:val="28"/>
          <w:szCs w:val="28"/>
          <w:rtl w:val="true"/>
          <w:lang w:bidi="fa-IR"/>
        </w:rPr>
        <w:t>لم یجد الماتریدیّ مناصاً عن حمل الجرّ علی المسح عطفاً علی الرؤوس، لکنّه حمل المسح علی المسح علی الخفّین أوّلاً بشبهة أنّه تناقض، إذ إنّه لا یجوز أن یأمر بالغسل والمسح جمیعاً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تحت حکمه نزولاً علی حکم العطف؛ فیکون الأمر فیها المسح، ولکنّهم أبوا إلّاالغسل بمقتضی التحدید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وزعموا أنّ هذا قرینة علی الغسل فی الأرجل، فیکون حکمها الغسل تارةً والمسح تارة أُخری، وهذا تناقض، وأرادوا التفصّی عن التناقض المزعوم،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 لا یکون من باب العطف علی الرؤوس، بل یکون من باب الجرّ بالجوار حتّی لا یلزم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الذی أوردهم الموارد هو التحرّز عن مخالفة ما یذهبون إلیه، وهذا هو الذی حرّضهم وشجّعهم علی الخروج عن القواعد الصحیحة والتمرّد علی الأدلّة، </w:t>
      </w:r>
      <w:bookmarkStart w:id="104" w:name="pg6193_70660"/>
    </w:p>
    <w:p>
      <w:pPr>
        <w:pStyle w:val="BookText"/>
        <w:rPr/>
      </w:pPr>
      <w:bookmarkEnd w:id="104"/>
      <w:r>
        <w:rPr>
          <w:rFonts w:ascii="IRNazanin" w:hAnsi="IRNazanin" w:eastAsia="IRNazanin"/>
          <w:color w:val="111111"/>
          <w:sz w:val="28"/>
          <w:sz w:val="28"/>
          <w:szCs w:val="28"/>
          <w:rtl w:val="true"/>
          <w:lang w:bidi="fa-IR"/>
        </w:rPr>
        <w:t xml:space="preserve">ونسبة کلام اللّه إلی ما هو بریء مِنْهُ، وأنّ الانقیاد التام لمذاهبهم حملهم علی مخالفة کتاب اللّه، فإنّ القوم لم یسمحوا لأنفسهم أن یخالفوا المذهب الذی اجتهد فی مقابل نصّ الکتاب والسنّة النبویّة، بل سمحوا لأئمّة المذاهب بمخالفة الکتاب والسنّة حتی قالوا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تقلید ماعدا المذاهب الأربعة حتی لو وافق قول الصحابة والحدیث الصحیح، و الآیة، فالخارج عن المذاهب الأربعة ضال مضل، وربما اداه ذلک إلی الکفر، لان الأخذ بظواهر الکتاب والسنة من اصول الکفر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علمت هذا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 لا یفید إلّاالمسح علی القدمین بحکم العطف، وهذا یوافق القواعد ونصّ الکتاب والأخبار الصحیحة عن النبیّ صلی الله علیه و آله</w:t>
      </w:r>
      <w:r>
        <w:rPr>
          <w:rStyle w:val="FootnoteAnchor"/>
          <w:rtl w:val="true"/>
        </w:rPr>
        <w:footnoteReference w:id="202"/>
      </w:r>
      <w:r>
        <w:rPr>
          <w:rFonts w:ascii="IRNazanin" w:hAnsi="IRNazanin" w:eastAsia="IRNazanin"/>
          <w:color w:val="111111"/>
          <w:sz w:val="28"/>
          <w:sz w:val="28"/>
          <w:szCs w:val="28"/>
          <w:rtl w:val="true"/>
          <w:lang w:bidi="fa-IR"/>
        </w:rPr>
        <w:t>، ولا عیب فیه سوی أنّه لا یوافق مذهب قوم بأعیانهم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التحدید الذی زعمه الماتریدیّ أنّه قرینة لِلغسل فهذا سیأتی الکلام فیه لاحقاً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الجرّ بالجوار فهو ضعیف فی کلام العرب فضلاً عن کلام اللّه، فلا یحمل علیه القرآن أَلبتّة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972128_237004111"/>
      <w:bookmarkStart w:id="106" w:name="_Toc38"/>
      <w:bookmarkEnd w:id="105"/>
      <w:r>
        <w:rPr/>
        <w:t>16</w:t>
      </w:r>
      <w:r>
        <w:rPr>
          <w:rtl w:val="true"/>
        </w:rPr>
        <w:t xml:space="preserve"> - </w:t>
      </w:r>
      <w:r>
        <w:rPr>
          <w:rtl w:val="true"/>
        </w:rPr>
        <w:t xml:space="preserve">الفضل بن شاذان النیسابوری </w:t>
      </w:r>
      <w:r>
        <w:rPr>
          <w:rtl w:val="true"/>
        </w:rPr>
        <w:t>(</w:t>
      </w:r>
      <w:r>
        <w:rPr>
          <w:rtl w:val="true"/>
        </w:rPr>
        <w:t xml:space="preserve">ت </w:t>
      </w:r>
      <w:r>
        <w:rPr/>
        <w:t>260</w:t>
      </w:r>
      <w:r>
        <w:rPr>
          <w:rtl w:val="true"/>
        </w:rPr>
        <w:t xml:space="preserve"> </w:t>
      </w:r>
      <w:r>
        <w:rPr>
          <w:rtl w:val="true"/>
        </w:rPr>
        <w:t xml:space="preserve">ه </w:t>
      </w:r>
      <w:r>
        <w:rPr>
          <w:rtl w:val="true"/>
        </w:rPr>
        <w:t>)</w:t>
      </w:r>
      <w:bookmarkEnd w:id="1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الفضل بن شاذان مخاطباً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إجمعتم علی غسل الرجلین والمسح علی الخفیّن، وادعیتم أن النبی صلی الله علیه و آله عمل بخلاف ما نزل به القرآن ثمّ رویتم فی </w:t>
      </w:r>
      <w:bookmarkStart w:id="107" w:name="pg6193_70663"/>
    </w:p>
    <w:p>
      <w:pPr>
        <w:pStyle w:val="BookText"/>
        <w:rPr/>
      </w:pPr>
      <w:bookmarkEnd w:id="107"/>
      <w:r>
        <w:rPr>
          <w:rFonts w:ascii="IRNazanin" w:hAnsi="IRNazanin" w:eastAsia="IRNazanin"/>
          <w:color w:val="111111"/>
          <w:sz w:val="28"/>
          <w:sz w:val="28"/>
          <w:szCs w:val="28"/>
          <w:rtl w:val="true"/>
          <w:lang w:bidi="fa-IR"/>
        </w:rPr>
        <w:t xml:space="preserve">ذلک أحادیث، أنّ رسول اللّه صلی الله علیه و آله فعل خلاف ما امره اللّه وانزل علیه به القرآن، وقد قال اللّه جل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ماءنزل إلیکم من ربکم و لا تتبعوا من دونه أولیاء</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 وزعمتم أنّه اتّبع غیر ما اوحی إلیه، وذلک ان المسح علی الرأس والرجلین ناطق بهما الکتاب، وکانت روایتکم الکاذبة اوثق عندکم من القرآن الناطق، فصدقتم بما لا تدرون لعله من ا لمنافقین الذین ذکرهم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 یَمُدُّهُمْ 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فترکتم فرض الوضوء لقولهم، فترکتم ما لا تشکّون أنّ اللّه أنزله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الفضل بن شاذان من علماء الشیعة الأقدمین أدرک أربعة من أئمة أهل البیت علیهم السلام هم علی الرضا، والجواد والنُّقی والعسکری علیهم السلام، فهو أعرف بما تقوله الشیعة تبعاً لأئمتهم علیهم السلام، وکذلک أعرف بما تقوله السنّة ومن این ومتی نشأ قولهم بغسل الرجلین فی الوضوء فیدل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إجمعتم علی 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الغسل لهما لیس فی عهد رسول اللّه صلی الله علیه و آله ولا فی عهد أبی بکر وعمر</w:t>
      </w:r>
      <w:r>
        <w:rPr>
          <w:rFonts w:eastAsia="IRNazanin" w:cs="IRNazanin"/>
          <w:color w:val="111111"/>
          <w:sz w:val="28"/>
          <w:szCs w:val="28"/>
          <w:rtl w:val="true"/>
          <w:lang w:bidi="fa-IR"/>
        </w:rPr>
        <w:t>.</w:t>
      </w:r>
    </w:p>
    <w:p>
      <w:pPr>
        <w:pStyle w:val="Heading3"/>
        <w:numPr>
          <w:ilvl w:val="2"/>
          <w:numId w:val="1"/>
        </w:numPr>
        <w:rPr/>
      </w:pPr>
      <w:bookmarkStart w:id="108" w:name="__RefHeading___Toc972130_237004111"/>
      <w:bookmarkStart w:id="109" w:name="_Toc39"/>
      <w:bookmarkEnd w:id="108"/>
      <w:r>
        <w:rPr/>
        <w:t>17</w:t>
      </w:r>
      <w:r>
        <w:rPr>
          <w:rtl w:val="true"/>
        </w:rPr>
        <w:t xml:space="preserve"> - </w:t>
      </w:r>
      <w:r>
        <w:rPr>
          <w:rtl w:val="true"/>
        </w:rPr>
        <w:t xml:space="preserve">الجصّاص </w:t>
      </w:r>
      <w:r>
        <w:rPr>
          <w:rtl w:val="true"/>
        </w:rPr>
        <w:t>(</w:t>
      </w:r>
      <w:r>
        <w:rPr>
          <w:rtl w:val="true"/>
        </w:rPr>
        <w:t xml:space="preserve">ت </w:t>
      </w:r>
      <w:r>
        <w:rPr/>
        <w:t>270</w:t>
      </w:r>
      <w:r>
        <w:rPr>
          <w:rtl w:val="true"/>
        </w:rPr>
        <w:t xml:space="preserve"> </w:t>
      </w:r>
      <w:r>
        <w:rPr>
          <w:rtl w:val="true"/>
        </w:rPr>
        <w:t xml:space="preserve">ه </w:t>
      </w:r>
      <w:r>
        <w:rPr>
          <w:rtl w:val="true"/>
        </w:rPr>
        <w:t>)</w:t>
      </w:r>
      <w:bookmarkEnd w:id="1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الجصّاص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 ابن </w:t>
      </w:r>
    </w:p>
    <w:p>
      <w:pPr>
        <w:pStyle w:val="BookText"/>
        <w:rPr/>
      </w:pPr>
      <w:r>
        <w:rPr>
          <w:rFonts w:ascii="IRNazanin" w:hAnsi="IRNazanin" w:eastAsia="IRNazanin"/>
          <w:color w:val="111111"/>
          <w:sz w:val="28"/>
          <w:sz w:val="28"/>
          <w:szCs w:val="28"/>
          <w:rtl w:val="true"/>
          <w:lang w:bidi="fa-IR"/>
        </w:rPr>
        <w:t>عبّاس، والحسن، وعکرمة، وحمزة، وابن کثیر، ثمّ احتمل له وجهین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مجرورة بالباء الزائدة، والمفاد هو المسح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کما تری خالٍ من الإیرادات التی فی قراءة النصب عطفاً علی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الجرّ بالمجاورة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 لذلک بدلیلین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بعضهم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فخفضهنّ بالمجاورة</w:t>
      </w:r>
      <w:r>
        <w:rPr>
          <w:rStyle w:val="FootnoteAnchor"/>
          <w:rtl w:val="true"/>
        </w:rPr>
        <w:footnoteReference w:id="208"/>
      </w:r>
      <w:r>
        <w:rPr>
          <w:rFonts w:ascii="Amiri" w:hAnsi="Amiri" w:eastAsia="Amiri" w:cs="Amiri"/>
          <w:color w:val="111111"/>
          <w:sz w:val="28"/>
          <w:sz w:val="28"/>
          <w:szCs w:val="28"/>
          <w:rtl w:val="true"/>
          <w:lang w:bidi="ar-SA"/>
        </w:rPr>
        <w:t>، وهنّ معطوفات فی المعنی علی الولدان، لأنّهنّ یُطَفْنَ ولا یطاف بهنّ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راکب إلی آل بسطام بن قیس فخاطب</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بالمجاورة، وهو معطوف علی المرفوع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والقوافی مجرورة، ألا تری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فنل مثلها فی مثلها أو فَلُمْهُمُ علی دارمیّ بین لیلی وغالب</w:t>
      </w:r>
      <w:r>
        <w:rPr>
          <w:rStyle w:val="FootnoteAnchor"/>
          <w:rtl w:val="true"/>
        </w:rPr>
        <w:footnoteReference w:id="21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الدلیلان باطلان؛ </w:t>
      </w:r>
    </w:p>
    <w:p>
      <w:pPr>
        <w:pStyle w:val="BookText"/>
        <w:rPr/>
      </w:pPr>
      <w:r>
        <w:rPr>
          <w:rFonts w:ascii="Amiri" w:hAnsi="Amiri" w:eastAsia="Amiri" w:cs="Amiri"/>
          <w:color w:val="111111"/>
          <w:sz w:val="28"/>
          <w:sz w:val="28"/>
          <w:szCs w:val="28"/>
          <w:rtl w:val="true"/>
          <w:lang w:bidi="ar-SA"/>
        </w:rPr>
        <w:t>أمّا بطلان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فی قراءة بعضهم فلیس بمجرورٍ علی الجوار، بل یحتمل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یطفن ولا یطاف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 بل لا یمتنع أن یطاف بالحور العین کما یطاف بالکأس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من جملة ما یطاف بهنّ الفاکهة واللحم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جنّات النعیم وفی مقارنة أو معاشرة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أبو علیّ الفارسیّ</w:t>
      </w:r>
      <w:r>
        <w:rPr>
          <w:rStyle w:val="FootnoteAnchor"/>
          <w:rtl w:val="true"/>
        </w:rPr>
        <w:footnoteReference w:id="21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بِحُورٍ 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کثیر ونافع وعاصم وأبی عمرو وابن عامر، والجرّ فیه عن المفضّل عن عاصم، وحمزة والکسائیّ، وخرّج الرفع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وخبراً والجملة 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فیهنّ الطواف ولا الإطافة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 حملاً علی جنّات النعیم،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 فی جنّات النعیم وفی حُوْرٍ عین</w:t>
      </w:r>
      <w:r>
        <w:rPr>
          <w:rStyle w:val="FootnoteAnchor"/>
          <w:rtl w:val="true"/>
        </w:rPr>
        <w:footnoteReference w:id="21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مقارنة حور عین ومعاشرة حور عینٍ فحذف </w:t>
      </w:r>
    </w:p>
    <w:p>
      <w:pPr>
        <w:pStyle w:val="BookText"/>
        <w:rPr/>
      </w:pPr>
      <w:r>
        <w:rPr>
          <w:rFonts w:ascii="IRNazanin" w:hAnsi="IRNazanin" w:eastAsia="IRNazanin"/>
          <w:color w:val="111111"/>
          <w:sz w:val="28"/>
          <w:sz w:val="28"/>
          <w:szCs w:val="28"/>
          <w:rtl w:val="true"/>
          <w:lang w:bidi="fa-IR"/>
        </w:rPr>
        <w:t>المضاف،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قام الاحتمال بطل الاستدلال کما نصّ علیه ابن جنّیّ فی 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بطلان الثانی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الشعر الذی أورده أبو العلاء المعرّیّ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الفرزدق؛ الشاعر المشهور</w:t>
      </w:r>
      <w:r>
        <w:rPr>
          <w:rStyle w:val="FootnoteAnchor"/>
          <w:rtl w:val="true"/>
        </w:rPr>
        <w:footnoteReference w:id="214"/>
      </w:r>
      <w:r>
        <w:rPr>
          <w:rFonts w:ascii="IRNazanin" w:hAnsi="IRNazanin" w:eastAsia="IRNazanin"/>
          <w:color w:val="111111"/>
          <w:sz w:val="28"/>
          <w:sz w:val="28"/>
          <w:szCs w:val="28"/>
          <w:rtl w:val="true"/>
          <w:lang w:bidi="fa-IR"/>
        </w:rPr>
        <w:t xml:space="preserve">، لو کان الجرّ فیه جرّاً بالمجاورة لکان مشتملاً علی الإقواءَ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مرفوع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والإقواء من عیوب القوافی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تحریک المجرور بحرکتین مختلفتین غیر متباعدتین مثل الکسرة والضمّة، وهو قبیح عمّن هو أدنی رتبةً من الفرزدق، فکیف یصدر عنه مع أنّه دلیل العجز والإفحام، والفرزدق بعید عنه بمراحل؟</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حملوه علی أنّه أراد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أنت راکب إلی آل بسطام وآل خاطب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قوم یصلح أن یخطب إلیهم</w:t>
      </w:r>
      <w:r>
        <w:rPr>
          <w:rFonts w:eastAsia="IRNazanin" w:cs="IRNazanin"/>
          <w:color w:val="111111"/>
          <w:sz w:val="28"/>
          <w:szCs w:val="28"/>
          <w:rtl w:val="true"/>
          <w:lang w:bidi="fa-IR"/>
        </w:rPr>
        <w:t xml:space="preserve">. </w:t>
      </w:r>
      <w:bookmarkStart w:id="110" w:name="pg6193_70676"/>
    </w:p>
    <w:p>
      <w:pPr>
        <w:pStyle w:val="BookText"/>
        <w:rPr/>
      </w:pPr>
      <w:bookmarkEnd w:id="11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المخاطبة، وهو یأمر جریراً بذلک، وعلی هذا صرّح المعرّیّ أبو العلاء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أُستاذ الشعر وأسبق من غیره فی معرفة فحواه ومغازیه،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أذهب إلیه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لجریر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خاطبهم یخاطبهم خطاباً، کما تقول للرجل إذا لُمْتَهُ علی شیء فسکت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 أی هاتِ حجّتک علی ما فعلت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72132_237004111"/>
      <w:bookmarkStart w:id="112" w:name="_Toc40"/>
      <w:bookmarkEnd w:id="111"/>
      <w:r>
        <w:rPr/>
        <w:t>18</w:t>
      </w:r>
      <w:r>
        <w:rPr>
          <w:rtl w:val="true"/>
        </w:rPr>
        <w:t xml:space="preserve"> - </w:t>
      </w:r>
      <w:r>
        <w:rPr>
          <w:rtl w:val="true"/>
        </w:rPr>
        <w:t xml:space="preserve">أبو جعفر أحمد بن محمّد بن إسماعیل النحّاس </w:t>
      </w:r>
      <w:r>
        <w:rPr>
          <w:rtl w:val="true"/>
        </w:rPr>
        <w:t>(</w:t>
      </w:r>
      <w:r>
        <w:rPr>
          <w:rtl w:val="true"/>
        </w:rPr>
        <w:t xml:space="preserve">ت </w:t>
      </w:r>
      <w:r>
        <w:rPr/>
        <w:t>328</w:t>
      </w:r>
      <w:r>
        <w:rPr>
          <w:rtl w:val="true"/>
        </w:rPr>
        <w:t xml:space="preserve"> </w:t>
      </w:r>
      <w:r>
        <w:rPr>
          <w:rtl w:val="true"/>
        </w:rPr>
        <w:t xml:space="preserve">ه </w:t>
      </w:r>
      <w:r>
        <w:rPr>
          <w:rtl w:val="true"/>
        </w:rPr>
        <w:t>)</w:t>
      </w:r>
      <w:bookmarkEnd w:id="112"/>
    </w:p>
    <w:p>
      <w:pPr>
        <w:pStyle w:val="BookText"/>
        <w:rPr/>
      </w:pPr>
      <w:r>
        <w:rPr>
          <w:rFonts w:ascii="IRNazanin" w:hAnsi="IRNazanin" w:eastAsia="IRNazanin"/>
          <w:color w:val="111111"/>
          <w:sz w:val="28"/>
          <w:sz w:val="28"/>
          <w:szCs w:val="28"/>
          <w:rtl w:val="true"/>
          <w:lang w:bidi="fa-IR"/>
        </w:rPr>
        <w:t xml:space="preserve">حمل النحّاس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بالجوار، ونقل ذلک عن الأخفش وأبی عبیدة، والمعنی علی الغسل،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ونظیره رأی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 هذا القول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القول غلط عظیم؛ لأنّ الجوار لا یجوز فی الکلام أن یقاس علیه؛ وإنّما هو غلط،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الإقواء فی الشعر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من باب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 المعطوف والمعطوف علیه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بمعناه بالنسبة إلی المعطوف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وبمعنی الغسل بالنسبة إلی المعطوف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w:t>
      </w:r>
    </w:p>
    <w:p>
      <w:pPr>
        <w:pStyle w:val="BookText"/>
        <w:rPr/>
      </w:pPr>
      <w:r>
        <w:rPr>
          <w:rFonts w:ascii="IRNazanin" w:hAnsi="IRNazanin" w:eastAsia="IRNazanin"/>
          <w:color w:val="111111"/>
          <w:sz w:val="28"/>
          <w:sz w:val="28"/>
          <w:szCs w:val="28"/>
          <w:rtl w:val="true"/>
          <w:lang w:bidi="fa-IR"/>
        </w:rPr>
        <w:t>المسح بمعنی الغسل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واحتجّوا لهذا الوجه الثانی بقول 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المسح والغسل واحد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الشعبیّ من أنّ جبریل نزل بالمسح، والغسل سنّة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أمیرالمؤمنین علیه السلام من أنّه علیه السلام أجاز المسح</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أنّا قد أجبنا عن الأخیرین سابقاً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الدراسة فسوف نکتفی بالتعلیق علی الأوّلین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کفانا نفسه مؤونة الردّ علیه باعترافه بأنّه غلط عظیم، وأنّه لا یحمل علیه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تضعیفه عن غیر واحدٍ من الأعلام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أنّ ما استدلّ به إلغاء لأثر العاطف فی الکلام، وأنّ وجوده کعدمه فی عدم إفادة معنیً وعدم ترتّب شیء علیه، والإجماع علی خلافه، فإنّهم صرّحوا علی أنّ العطف یقتضی تشریک المتعاطفین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المسح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حملنا المعطوف علی الغسل فقد أخرجناه عن التشریک مع المعطوف علیه، إذ العامل فیه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واعترف النحّاس بأنّه باقٍ علی معناه الحقیقیّ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المعطوف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بهذا المعنی فی </w:t>
      </w:r>
      <w:bookmarkStart w:id="113" w:name="pg6193_70682"/>
    </w:p>
    <w:p>
      <w:pPr>
        <w:pStyle w:val="BookText"/>
        <w:rPr/>
      </w:pPr>
      <w:bookmarkEnd w:id="113"/>
      <w:r>
        <w:rPr>
          <w:rFonts w:ascii="IRNazanin" w:hAnsi="IRNazanin" w:eastAsia="IRNazanin"/>
          <w:color w:val="111111"/>
          <w:sz w:val="28"/>
          <w:sz w:val="28"/>
          <w:szCs w:val="28"/>
          <w:rtl w:val="true"/>
          <w:lang w:bidi="fa-IR"/>
        </w:rPr>
        <w:t xml:space="preserve">جانب المعطوف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بمعنی الغسل کما یدّعیه، فهذا لا یقتضی التشریک، وهو خلاف قانون العطف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نقله عن أبی زید الأنصاری فسیأتی الکلام علیه ورده فی ضوء مناقشة کلام الآلوسی والطبرسی نقلاً عن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النحّاس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بأنّ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منسوخ بفعل النبیّ صلی الله علیه و آله</w:t>
      </w:r>
      <w:r>
        <w:rPr>
          <w:rStyle w:val="FootnoteAnchor"/>
          <w:rtl w:val="true"/>
        </w:rPr>
        <w:footnoteReference w:id="223"/>
      </w:r>
      <w:r>
        <w:rPr>
          <w:rFonts w:ascii="IRNazanin" w:hAnsi="IRNazanin" w:eastAsia="IRNazanin"/>
          <w:color w:val="111111"/>
          <w:sz w:val="28"/>
          <w:sz w:val="28"/>
          <w:szCs w:val="28"/>
          <w:rtl w:val="true"/>
          <w:lang w:bidi="fa-IR"/>
        </w:rPr>
        <w:t>، وحیث أبطلنا الدعوی الثانیة فی الأجزاء السابقة من دراستنا هذه، تبقی الدعوی الأُولی علی حالها وهی الصحّة</w:t>
      </w:r>
      <w:r>
        <w:rPr>
          <w:rFonts w:eastAsia="IRNazanin" w:cs="IRNazanin"/>
          <w:color w:val="111111"/>
          <w:sz w:val="28"/>
          <w:szCs w:val="28"/>
          <w:rtl w:val="true"/>
          <w:lang w:bidi="fa-IR"/>
        </w:rPr>
        <w:t>.</w:t>
      </w:r>
    </w:p>
    <w:p>
      <w:pPr>
        <w:pStyle w:val="Heading3"/>
        <w:numPr>
          <w:ilvl w:val="2"/>
          <w:numId w:val="1"/>
        </w:numPr>
        <w:rPr/>
      </w:pPr>
      <w:bookmarkStart w:id="114" w:name="__RefHeading___Toc972134_237004111"/>
      <w:bookmarkStart w:id="115" w:name="_Toc41"/>
      <w:bookmarkEnd w:id="114"/>
      <w:r>
        <w:rPr/>
        <w:t>19</w:t>
      </w:r>
      <w:r>
        <w:rPr>
          <w:rtl w:val="true"/>
        </w:rPr>
        <w:t xml:space="preserve"> - </w:t>
      </w:r>
      <w:r>
        <w:rPr>
          <w:rtl w:val="true"/>
        </w:rPr>
        <w:t xml:space="preserve">الأزهری أبو منصور </w:t>
      </w:r>
      <w:r>
        <w:rPr>
          <w:rtl w:val="true"/>
        </w:rPr>
        <w:t>(</w:t>
      </w:r>
      <w:r>
        <w:rPr>
          <w:rtl w:val="true"/>
        </w:rPr>
        <w:t xml:space="preserve">ت </w:t>
      </w:r>
      <w:r>
        <w:rPr/>
        <w:t>370</w:t>
      </w:r>
      <w:r>
        <w:rPr>
          <w:rtl w:val="true"/>
        </w:rPr>
        <w:t xml:space="preserve"> </w:t>
      </w:r>
      <w:r>
        <w:rPr>
          <w:rtl w:val="true"/>
        </w:rPr>
        <w:t xml:space="preserve">ه </w:t>
      </w:r>
      <w:r>
        <w:rPr>
          <w:rtl w:val="true"/>
        </w:rPr>
        <w:t>)</w:t>
      </w:r>
      <w:bookmarkEnd w:id="115"/>
    </w:p>
    <w:p>
      <w:pPr>
        <w:pStyle w:val="BookText"/>
        <w:rPr/>
      </w:pPr>
      <w:r>
        <w:rPr>
          <w:rFonts w:ascii="IRNazanin" w:hAnsi="IRNazanin" w:eastAsia="IRNazanin"/>
          <w:color w:val="111111"/>
          <w:sz w:val="28"/>
          <w:sz w:val="28"/>
          <w:szCs w:val="28"/>
          <w:rtl w:val="true"/>
          <w:lang w:bidi="fa-IR"/>
        </w:rPr>
        <w:t>قال الأزهری فی 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بالمسح والسنّة بالغسل، وقال بعض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الجوار، وقال أبو إسحاق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الخفض علی الجوار لا یجوز فی کتاب اللّه، إنّما یجوز ذلک فی ضرورة الشّعر، ولکنّ المسح علی هذه القراءة کالغسل، ویدل علی تحدیده إلی الکعبین کما جاء التحدید فی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تحدید فی القرآن وکذلک فی التیمم من غیر تحدید فهذا کلّه یوجب غسل الرجلین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قراءة الجرّ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السنّة بینت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الأرجل، وذلک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المسح فی کلام العرب هو الغسل ومن جعله مسحا کمسح الرؤوس خطوطاً بالأصابع فقد خالف ما صح عن رسول اللّه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للاعقاب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واخبرنی أبوبکر بن عثمان عن أبی حاتم عن أبی زید الأنصاری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عن العرب یکون غسلاً فلابدّ من غسل الرجلین إلی الکعبین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الجرّ بالمجاورة فقد أجاب عنه بأنّه فی ضرورة الشّعر، والقرآن لیس بشعر، وکذا أجاب عنه ابن خالویه کما یأتی فی الرقم الآتی بأنّه اضطرار فی الشعر وفی الأمثال، والقرآن لا یحمل علی الضرورة والفاظ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التّحدید فیأتی عند عرضنا لکلام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السنّة المدّعاة ودلالتها علی الغسل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 صلی الله علیه و آله غسل رجلیه، وویل لبطون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أنّه صلی الله علیه و آله غسل رجلیه؛ بل معارضة تلک الروایات مع الروایات الدالّة علی مسحه صلی الله علیه و آله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رسول اللّه قد غسل قدمیه فقد کان للنّظافة والنّقاوة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المذکورة لا دلالة لها علی غسل الرجلین بل معناها هو التحرّز عن النّجاسة والبول، التی کانت العرب مبتلیً بها، فکان النبی صلی الله علیه و آله یذکرهم للیتحرّزوا عنها بالنسبة إلی عراقیبهم وأعقابهم وبطون اقدامهم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16" w:name="pg6193_70689"/>
    </w:p>
    <w:p>
      <w:pPr>
        <w:pStyle w:val="Heading3"/>
        <w:numPr>
          <w:ilvl w:val="2"/>
          <w:numId w:val="1"/>
        </w:numPr>
        <w:rPr/>
      </w:pPr>
      <w:bookmarkStart w:id="117" w:name="__RefHeading___Toc972136_237004111"/>
      <w:bookmarkStart w:id="118" w:name="_Toc42"/>
      <w:bookmarkEnd w:id="116"/>
      <w:bookmarkEnd w:id="117"/>
      <w:r>
        <w:rPr/>
        <w:t>20</w:t>
      </w:r>
      <w:r>
        <w:rPr>
          <w:rtl w:val="true"/>
        </w:rPr>
        <w:t xml:space="preserve"> - </w:t>
      </w:r>
      <w:r>
        <w:rPr>
          <w:rtl w:val="true"/>
        </w:rPr>
        <w:t xml:space="preserve">ابن خالویه </w:t>
      </w:r>
      <w:r>
        <w:rPr>
          <w:rtl w:val="true"/>
        </w:rPr>
        <w:t>(</w:t>
      </w:r>
      <w:r>
        <w:rPr>
          <w:rtl w:val="true"/>
        </w:rPr>
        <w:t xml:space="preserve">ت </w:t>
      </w:r>
      <w:r>
        <w:rPr/>
        <w:t>370</w:t>
      </w:r>
      <w:r>
        <w:rPr>
          <w:rtl w:val="true"/>
        </w:rPr>
        <w:t xml:space="preserve"> </w:t>
      </w:r>
      <w:r>
        <w:rPr>
          <w:rtl w:val="true"/>
        </w:rPr>
        <w:t xml:space="preserve">ه </w:t>
      </w:r>
      <w:r>
        <w:rPr>
          <w:rtl w:val="true"/>
        </w:rPr>
        <w:t>)</w:t>
      </w:r>
      <w:bookmarkEnd w:id="118"/>
    </w:p>
    <w:p>
      <w:pPr>
        <w:pStyle w:val="BookText"/>
        <w:rPr/>
      </w:pPr>
      <w:r>
        <w:rPr>
          <w:rFonts w:ascii="Amiri" w:hAnsi="Amiri" w:eastAsia="Amiri" w:cs="Amiri"/>
          <w:color w:val="111111"/>
          <w:sz w:val="28"/>
          <w:sz w:val="28"/>
          <w:szCs w:val="28"/>
          <w:rtl w:val="true"/>
          <w:lang w:bidi="ar-SA"/>
        </w:rPr>
        <w:t xml:space="preserve">سلک آلرَّجُلُ بُنَیّاتِ آلطَّریْقِ، وَقَفا علی غَیْرِ سَدَدٍ سواهُ فی حمل القرآن علی الغسل، لکن لَیْسَ من جهة الإعراب والقواعد، بل زعم کغیره من الجمهور أنّ السنّة دلّت علی ذلک، والحال أنّ تلک القراءة من ناحیة الإعراب تدلّ علی المسح بحکم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التنزیل کان بهذا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کلامه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النحو والبلاغة یشهدان بالمسح، لکن السنّة جرت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اعترف بأنّ المسح صریح القرآن وما نزل به جبریل علیه السلام علی النبیّ صلی الله علیه و آله، وإذا کان القرآن نزل بالمسح وهؤلاء قبلوا نزوله به، فلابدّ أن یکون غسلُ النبیّ صلی الله علیه و آله رجلیه خلافاً لما أنزل اللّه تعالی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وأنّی لِلْمسلم أن یحمل أفعال النبیّ صلی الله علیه و آله علی خلاف ما أنزل اللّه، واللّه سبحانه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خالویه حمل الجرّ علی العطف علی الرؤوس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والحجة لمن خفض أنّ اللّه تعالی أنزل القرآن بالمسح علی الرأس والرِجل ثم عادت السنة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الجرّ بالجوار، لأنّه مستعمل فی نظم الشعر للاضطرار وفی الأمثال، والقرآن لا یحمل علی الضرورة وألفاظ الأمثال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19" w:name="pg6193_70692"/>
    </w:p>
    <w:p>
      <w:pPr>
        <w:pStyle w:val="Heading3"/>
        <w:numPr>
          <w:ilvl w:val="2"/>
          <w:numId w:val="1"/>
        </w:numPr>
        <w:rPr/>
      </w:pPr>
      <w:bookmarkStart w:id="120" w:name="__RefHeading___Toc972138_237004111"/>
      <w:bookmarkStart w:id="121" w:name="_Toc43"/>
      <w:bookmarkEnd w:id="119"/>
      <w:bookmarkEnd w:id="120"/>
      <w:r>
        <w:rPr/>
        <w:t>21</w:t>
      </w:r>
      <w:r>
        <w:rPr>
          <w:rtl w:val="true"/>
        </w:rPr>
        <w:t xml:space="preserve"> - </w:t>
      </w:r>
      <w:r>
        <w:rPr>
          <w:rtl w:val="true"/>
        </w:rPr>
        <w:t xml:space="preserve">السمرقندیّ </w:t>
      </w:r>
      <w:r>
        <w:rPr>
          <w:rtl w:val="true"/>
        </w:rPr>
        <w:t>(</w:t>
      </w:r>
      <w:r>
        <w:rPr>
          <w:rtl w:val="true"/>
        </w:rPr>
        <w:t xml:space="preserve">ت </w:t>
      </w:r>
      <w:r>
        <w:rPr/>
        <w:t>373</w:t>
      </w:r>
      <w:r>
        <w:rPr>
          <w:rtl w:val="true"/>
        </w:rPr>
        <w:t xml:space="preserve"> </w:t>
      </w:r>
      <w:r>
        <w:rPr>
          <w:rtl w:val="true"/>
        </w:rPr>
        <w:t xml:space="preserve">ه </w:t>
      </w:r>
      <w:r>
        <w:rPr>
          <w:rtl w:val="true"/>
        </w:rPr>
        <w:t>)</w:t>
      </w:r>
      <w:bookmarkEnd w:id="121"/>
    </w:p>
    <w:p>
      <w:pPr>
        <w:pStyle w:val="BookText"/>
        <w:rPr/>
      </w:pPr>
      <w:r>
        <w:rPr>
          <w:rFonts w:ascii="IRNazanin" w:hAnsi="IRNazanin" w:eastAsia="IRNazanin"/>
          <w:color w:val="111111"/>
          <w:sz w:val="28"/>
          <w:sz w:val="28"/>
          <w:szCs w:val="28"/>
          <w:rtl w:val="true"/>
          <w:lang w:bidi="fa-IR"/>
        </w:rPr>
        <w:t>واحتمل السمرقندیّ لها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الآیة علی المسح، لکنّه قیّده بالمسح علی الخُفّین استدلالاً بالسنّة، ونحن استدلالنا فی بحوثنا السابقة علی أنّ المسح علی الخفّین هو ما أمر به عمر بن الخطاب الناس، ولم یثبت عن رسول اللّه صلی الله علیه و آله أنّه فعله، والمطلق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المسح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یحمل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العطف علی الأیدی والجرّ بالمجاورة، واستدلّ لهذا الوجه بقوله تعالی فی سورة 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فی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فصیح، والقرآن لا یحمل علیه، وإن قلنا جَدَلاً بثبوته فی کلام العرب الفصحاء فهو ثابت فی 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یجری فی العطف، لأنّ العاطف یمنع من التجاور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غیر واحد من النحویّین</w:t>
      </w:r>
      <w:r>
        <w:rPr>
          <w:rStyle w:val="FootnoteAnchor"/>
          <w:rtl w:val="true"/>
        </w:rPr>
        <w:footnoteReference w:id="229"/>
      </w:r>
      <w:r>
        <w:rPr>
          <w:rFonts w:ascii="IRNazanin" w:hAnsi="IRNazanin" w:eastAsia="IRNazanin"/>
          <w:color w:val="111111"/>
          <w:sz w:val="28"/>
          <w:sz w:val="28"/>
          <w:szCs w:val="28"/>
          <w:rtl w:val="true"/>
          <w:lang w:bidi="fa-IR"/>
        </w:rPr>
        <w:t>، وسیأتی عرض آرائهم فی الخاتمة، وعلیه فقراءة الجرّ لا یمکن حملها علی الغسل بحالٍ</w:t>
      </w:r>
      <w:r>
        <w:rPr>
          <w:rFonts w:eastAsia="IRNazanin" w:cs="IRNazanin"/>
          <w:color w:val="111111"/>
          <w:sz w:val="28"/>
          <w:szCs w:val="28"/>
          <w:rtl w:val="true"/>
          <w:lang w:bidi="fa-IR"/>
        </w:rPr>
        <w:t>.</w:t>
      </w:r>
    </w:p>
    <w:p>
      <w:pPr>
        <w:pStyle w:val="Heading3"/>
        <w:numPr>
          <w:ilvl w:val="2"/>
          <w:numId w:val="1"/>
        </w:numPr>
        <w:rPr/>
      </w:pPr>
      <w:bookmarkStart w:id="122" w:name="__RefHeading___Toc972140_237004111"/>
      <w:bookmarkStart w:id="123" w:name="_Toc44"/>
      <w:bookmarkEnd w:id="122"/>
      <w:r>
        <w:rPr/>
        <w:t>22</w:t>
      </w:r>
      <w:r>
        <w:rPr>
          <w:rtl w:val="true"/>
        </w:rPr>
        <w:t xml:space="preserve"> - </w:t>
      </w:r>
      <w:r>
        <w:rPr>
          <w:rtl w:val="true"/>
        </w:rPr>
        <w:t xml:space="preserve">أبو علی الفارسیّ </w:t>
      </w:r>
      <w:r>
        <w:rPr>
          <w:rtl w:val="true"/>
        </w:rPr>
        <w:t>(</w:t>
      </w:r>
      <w:r>
        <w:rPr>
          <w:rtl w:val="true"/>
        </w:rPr>
        <w:t xml:space="preserve">ت </w:t>
      </w:r>
      <w:r>
        <w:rPr/>
        <w:t>377</w:t>
      </w:r>
      <w:r>
        <w:rPr>
          <w:rtl w:val="true"/>
        </w:rPr>
        <w:t xml:space="preserve"> </w:t>
      </w:r>
      <w:r>
        <w:rPr>
          <w:rtl w:val="true"/>
        </w:rPr>
        <w:t xml:space="preserve">ه </w:t>
      </w:r>
      <w:r>
        <w:rPr>
          <w:rtl w:val="true"/>
        </w:rPr>
        <w:t>)</w:t>
      </w:r>
      <w:bookmarkEnd w:id="1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الفارسیّ بآلْجَرِّ، ولکن لما کان القانون النحویّ لا یفید إلّاالمسح، أراد من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الکلام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واتفقوا علی أنّ العاملین إذا اجتمعا فی التنزیل فالوجه أن تحمل علی الأقرب منهما دون الأبعد، واستدلّ علی ذلک بآیات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أَنَّهُمْ ظَنُّوا کَما ظَنَنْتُمْ أَنْ لَنْ یَبْعَثَ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رأی القارئ بالجرّ أنّ العاملین إذا اجتمعا حمل الکلام علی أقربهما إلی المعمول، حمل فی هذه الآیة علی أقربهما وهو الباء دون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إلّاأنّ الفارسیّ حمل المسح علی الغسل متشبّثاً بدلیلین عَلِیْلَیْنِ هما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زعم الفارسیّ أنّه غیر متّهم بالکذب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بمعنی الغسل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ذلک بما رواه عن أبی عبیدة أنّ المسح ورد بمعنی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 بِالسُّوقِ وَ الْأَعْناقِ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التوقیت والتحدید، وإنّما ورد فی المغسول لا الممسوح علی ما 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الدلیلین سوف یأتی تفصیله عند عرضنا لآراء الشریف المرتضی، فلا نطیل الکلام فیه هاهنا، مکتفین فی الإجابة عنه بالإجمال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باطل، لأنّ الحمل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الحمل علی المجاز، لکونه خلاف الأصل علی ما صرّح به الأُصولیّون، والمسح معناه واضح لکلّ أحد، فلا یحمل علی المجاز إلّابقرینة قویّة، والنقل عن مجهول لا یوجب صرف اللفظ عن معناه الحقیقیّ ولا یصلح قرینةً للمجاز المختلق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نقله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کلام العرب آلْفُصَحاءِ، یشهد بذلک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الجملة،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 ألفاظ لم تعرف فی الجاهلیّة، لأنّهم لم یکونوا یعرفون الصلاة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للوضوء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معانٍ شرعیّة استعملت بعد الإسلام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لم یرد نقل صحیح عن البلغاء الإسلامیّین بوقوع هذا المجاز فی کلام العرب فهو مردود علی ناقله، وموضوع لنصرة مذهب یخالف صریح القرآن علی مذهب آخر یوافقه، والکلام صریح بأنّه مختلق وموضوع فی الأزمنة اللّاحقة نصرةً لرأی عثمان بن عفّان الذی أحدث وضوءاً جدیداً، فأراد أنصاره الأمویون أن یؤیّدوا موقفه من کلام العرب، لکن صریح القرآن وفهم المتشرّعة وأهل </w:t>
      </w:r>
      <w:bookmarkStart w:id="124" w:name="pg6193_70698"/>
    </w:p>
    <w:p>
      <w:pPr>
        <w:pStyle w:val="BookText"/>
        <w:rPr/>
      </w:pPr>
      <w:bookmarkEnd w:id="124"/>
      <w:r>
        <w:rPr>
          <w:rFonts w:ascii="IRNazanin" w:hAnsi="IRNazanin" w:eastAsia="IRNazanin"/>
          <w:color w:val="111111"/>
          <w:sz w:val="28"/>
          <w:sz w:val="28"/>
          <w:szCs w:val="28"/>
          <w:rtl w:val="true"/>
          <w:lang w:bidi="fa-IR"/>
        </w:rPr>
        <w:t>الدین من الصحابة والتابعین ردّ کلامهم وأثبت سقم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التحدید یرد فی کلّ ما یقتضی التحدید عرفاً کالأیدی، فلأنّه یشمل الکفّ والمرفق والعضد، فقد عیّنه الشارع إلی المرافق والأرجل حیث حدّده إلی الکعبین، إذ لو لم یحدّدهما لاحتمل اللفظ الغسل لکلِّ الید، والمسح لکلِّ الرجل، والاحتمال هو الذی یقتضی التحدید، وهو کما یمکن أن یکون فی جانب الغسل، فکذا یحتمل أن یکون فی جانب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لم یکن اللفظ محتملاً للوجهین لم یکن التحدید محتاجاً إلیه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الوجه مغسول اتفاقاً بلا تحدید، والرؤوس ممسوحة اتفاقاً بلا تحدید</w:t>
      </w:r>
      <w:r>
        <w:rPr>
          <w:rFonts w:eastAsia="IRNazanin" w:cs="IRNazanin"/>
          <w:color w:val="111111"/>
          <w:sz w:val="28"/>
          <w:szCs w:val="28"/>
          <w:rtl w:val="true"/>
          <w:lang w:bidi="fa-IR"/>
        </w:rPr>
        <w:t>.</w:t>
      </w:r>
    </w:p>
    <w:p>
      <w:pPr>
        <w:pStyle w:val="Heading3"/>
        <w:numPr>
          <w:ilvl w:val="2"/>
          <w:numId w:val="1"/>
        </w:numPr>
        <w:rPr/>
      </w:pPr>
      <w:bookmarkStart w:id="125" w:name="__RefHeading___Toc972142_237004111"/>
      <w:bookmarkStart w:id="126" w:name="_Toc45"/>
      <w:bookmarkEnd w:id="125"/>
      <w:r>
        <w:rPr/>
        <w:t>23</w:t>
      </w:r>
      <w:r>
        <w:rPr>
          <w:rtl w:val="true"/>
        </w:rPr>
        <w:t xml:space="preserve"> - </w:t>
      </w:r>
      <w:r>
        <w:rPr>
          <w:rtl w:val="true"/>
        </w:rPr>
        <w:t xml:space="preserve">مکّیّ بن أبی طالب القیسیّ </w:t>
      </w:r>
      <w:r>
        <w:rPr>
          <w:rtl w:val="true"/>
        </w:rPr>
        <w:t>(</w:t>
      </w:r>
      <w:r>
        <w:rPr>
          <w:rtl w:val="true"/>
        </w:rPr>
        <w:t xml:space="preserve">ت </w:t>
      </w:r>
      <w:r>
        <w:rPr/>
        <w:t>386</w:t>
      </w:r>
      <w:r>
        <w:rPr>
          <w:rtl w:val="true"/>
        </w:rPr>
        <w:t xml:space="preserve"> </w:t>
      </w:r>
      <w:r>
        <w:rPr>
          <w:rtl w:val="true"/>
        </w:rPr>
        <w:t xml:space="preserve">ه </w:t>
      </w:r>
      <w:r>
        <w:rPr>
          <w:rtl w:val="true"/>
        </w:rPr>
        <w:t>)</w:t>
      </w:r>
      <w:bookmarkEnd w:id="126"/>
    </w:p>
    <w:p>
      <w:pPr>
        <w:pStyle w:val="BookText"/>
        <w:rPr/>
      </w:pPr>
      <w:r>
        <w:rPr>
          <w:rFonts w:ascii="IRNazanin" w:hAnsi="IRNazanin" w:eastAsia="IRNazanin"/>
          <w:color w:val="111111"/>
          <w:sz w:val="28"/>
          <w:sz w:val="28"/>
          <w:szCs w:val="28"/>
          <w:rtl w:val="true"/>
          <w:lang w:bidi="fa-IR"/>
        </w:rPr>
        <w:t>تعرّض القیسیّ فی توجیه هذه القراءة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یکون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ویقدّر ما یوجب الغسل،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ادّعی أنّ الآیة مع ذلک محکمة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یحتاج إلی الموجب، وهو هنا مفقود، إذ المعنی فی الآیة لا یطلبه، فلِم تقدّر بلا سبب؟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خلاف الأصل</w:t>
      </w:r>
      <w:r>
        <w:rPr>
          <w:rStyle w:val="FootnoteAnchor"/>
          <w:rtl w:val="true"/>
        </w:rPr>
        <w:footnoteReference w:id="232"/>
      </w:r>
      <w:r>
        <w:rPr>
          <w:rFonts w:ascii="IRNazanin" w:hAnsi="IRNazanin" w:eastAsia="IRNazanin"/>
          <w:color w:val="111111"/>
          <w:sz w:val="28"/>
          <w:sz w:val="28"/>
          <w:szCs w:val="28"/>
          <w:rtl w:val="true"/>
          <w:lang w:bidi="fa-IR"/>
        </w:rPr>
        <w:t xml:space="preserve">لا یُصار إلیه إلّابدلیل، وما هو الدلیل الذی اضطرّنا إلی تقدیر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الآیة تحکم بأنّه لو کان مقدّراً لکان مسحاً، وهو المرجّح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التقدیر مؤیّد باللفظ </w:t>
      </w:r>
    </w:p>
    <w:p>
      <w:pPr>
        <w:pStyle w:val="BookText"/>
        <w:rPr/>
      </w:pPr>
      <w:r>
        <w:rPr>
          <w:rFonts w:ascii="Amiri" w:hAnsi="Amiri" w:eastAsia="Amiri" w:cs="Amiri"/>
          <w:color w:val="111111"/>
          <w:sz w:val="28"/>
          <w:sz w:val="28"/>
          <w:szCs w:val="28"/>
          <w:rtl w:val="true"/>
          <w:lang w:bidi="ar-SA"/>
        </w:rPr>
        <w:t>والمعنی وَأَعْلَقُ بمحکمیة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نسلّم بأنّ الآیة محکمة لا متشابهة، وهذه التأویلات ضعیفة ردیئة لا تلیق بکتاب اللّه، وأنّهم أخرجوها عن المحکمات وأدرجوها فی المتشابهات تقویة لرأی عثمان بن عفّان الذی أحدث الوضوء الغسلی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علی الجوار والمعنی علی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احتمله الأخفش وأبو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کفانا مؤونة الاستدلال علی ردّه حیث ضعّفه وبعّده،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لا یحمل القرآن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تفید المسح، إلّاأنّ المسح 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الغسل، وادّعی أنّ المسح فی اللغة یقع بمعنی الغسل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سنبحث عن مدی صحّة هذا القول فیما سیأتی</w:t>
      </w:r>
      <w:r>
        <w:rPr>
          <w:rStyle w:val="FootnoteAnchor"/>
          <w:rtl w:val="true"/>
        </w:rPr>
        <w:footnoteReference w:id="234"/>
      </w:r>
      <w:r>
        <w:rPr>
          <w:rFonts w:ascii="IRNazanin" w:hAnsi="IRNazanin" w:eastAsia="IRNazanin"/>
          <w:color w:val="111111"/>
          <w:sz w:val="28"/>
          <w:sz w:val="28"/>
          <w:szCs w:val="28"/>
          <w:rtl w:val="true"/>
          <w:lang w:bidi="fa-IR"/>
        </w:rPr>
        <w:t>، وقد ذکرنا الجواب عنه إجمالاً</w:t>
      </w:r>
      <w:r>
        <w:rPr>
          <w:rStyle w:val="FootnoteAnchor"/>
          <w:rtl w:val="true"/>
        </w:rPr>
        <w:footnoteReference w:id="235"/>
      </w:r>
      <w:r>
        <w:rPr>
          <w:rFonts w:ascii="IRNazanin" w:hAnsi="IRNazanin" w:eastAsia="IRNazanin"/>
          <w:color w:val="111111"/>
          <w:sz w:val="28"/>
          <w:sz w:val="28"/>
          <w:szCs w:val="28"/>
          <w:rtl w:val="true"/>
          <w:lang w:bidi="fa-IR"/>
        </w:rPr>
        <w:t>، ونبیّنه هاهنا بلفظ واضح،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الغسل والمسح متغایران لفظاً ومعنیً، کما هو متفق علیه بین أهل اللسان قاطبة، فحمل المسح علی الغسل أو بخلافه مجاز، وهو وإن کان یقع کثیراً فی لغة العرب وأنّه من وجوه البلاغة، إلّاأنّه یجب أن یقرن بقرینة، وأن یکون مشتملاً علی نکتة، وإلّا فهو کذب یشین کلام البشر، فکیف بکلام خالق القوی والقدر؟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لنا أنْ نسأل من یدّعی ذلک عن القرینة، وعن نکتة المجاز المفقودتین </w:t>
      </w:r>
      <w:bookmarkStart w:id="127" w:name="pg6193_70702"/>
    </w:p>
    <w:p>
      <w:pPr>
        <w:pStyle w:val="BookText"/>
        <w:rPr/>
      </w:pPr>
      <w:bookmarkEnd w:id="127"/>
      <w:r>
        <w:rPr>
          <w:rFonts w:ascii="IRNazanin" w:hAnsi="IRNazanin" w:eastAsia="IRNazanin"/>
          <w:color w:val="111111"/>
          <w:sz w:val="28"/>
          <w:sz w:val="28"/>
          <w:szCs w:val="28"/>
          <w:rtl w:val="true"/>
          <w:lang w:bidi="fa-IR"/>
        </w:rPr>
        <w:t>فی محلّ البحث</w:t>
      </w:r>
      <w:r>
        <w:rPr>
          <w:rFonts w:eastAsia="IRNazanin" w:cs="IRNazanin"/>
          <w:color w:val="111111"/>
          <w:sz w:val="28"/>
          <w:szCs w:val="28"/>
          <w:rtl w:val="true"/>
          <w:lang w:bidi="fa-IR"/>
        </w:rPr>
        <w:t>.</w:t>
      </w:r>
    </w:p>
    <w:p>
      <w:pPr>
        <w:pStyle w:val="Heading3"/>
        <w:numPr>
          <w:ilvl w:val="2"/>
          <w:numId w:val="1"/>
        </w:numPr>
        <w:rPr/>
      </w:pPr>
      <w:bookmarkStart w:id="128" w:name="__RefHeading___Toc972144_237004111"/>
      <w:bookmarkStart w:id="129" w:name="_Toc46"/>
      <w:bookmarkEnd w:id="128"/>
      <w:r>
        <w:rPr/>
        <w:t>24</w:t>
      </w:r>
      <w:r>
        <w:rPr>
          <w:rtl w:val="true"/>
        </w:rPr>
        <w:t xml:space="preserve"> - </w:t>
      </w:r>
      <w:r>
        <w:rPr>
          <w:rtl w:val="true"/>
        </w:rPr>
        <w:t xml:space="preserve">أحمد بن محمد الهروی صاحب الأزهری </w:t>
      </w:r>
      <w:r>
        <w:rPr>
          <w:rtl w:val="true"/>
        </w:rPr>
        <w:t>(</w:t>
      </w:r>
      <w:r>
        <w:rPr>
          <w:rtl w:val="true"/>
        </w:rPr>
        <w:t xml:space="preserve">ت </w:t>
      </w:r>
      <w:r>
        <w:rPr/>
        <w:t>401</w:t>
      </w:r>
      <w:r>
        <w:rPr>
          <w:rtl w:val="true"/>
        </w:rPr>
        <w:t xml:space="preserve"> </w:t>
      </w:r>
      <w:r>
        <w:rPr>
          <w:rtl w:val="true"/>
        </w:rPr>
        <w:t xml:space="preserve">ه </w:t>
      </w:r>
      <w:r>
        <w:rPr>
          <w:rtl w:val="true"/>
        </w:rPr>
        <w:t>)</w:t>
      </w:r>
      <w:bookmarkEnd w:id="129"/>
    </w:p>
    <w:p>
      <w:pPr>
        <w:pStyle w:val="BookText"/>
        <w:rPr/>
      </w:pPr>
      <w:r>
        <w:rPr>
          <w:rFonts w:ascii="IRNazanin" w:hAnsi="IRNazanin" w:eastAsia="IRNazanin"/>
          <w:color w:val="111111"/>
          <w:sz w:val="28"/>
          <w:sz w:val="28"/>
          <w:szCs w:val="28"/>
          <w:rtl w:val="true"/>
          <w:lang w:bidi="fa-IR"/>
        </w:rPr>
        <w:t xml:space="preserve">نقل الهروی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الأزهری عن أبی زید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هو الغسل ویقال للرّچل إذا توضأ وغسل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تمسّح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اللّه ما بک أی غسل عنک وطهرّک من الذّنوب</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لا ننکر أنّ المسح جاء بمعنی الغسل، ولکنّه مجاز من باب تسمیة الکلّ باسم الجزء لو صحّ قول أبی زید، والروایة به من 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اللّه ما بک وطهرک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مجاز والقرینة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لو بقی منها شیء ولم یمسحها اللّه فیکون الدعاء به باطلاً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المسح بمعنی الغسل فی کل استعمالاته یلزم غسل الرأس فی الوضوء ولم یقل به أحد</w:t>
      </w:r>
      <w:r>
        <w:rPr>
          <w:rFonts w:eastAsia="IRNazanin" w:cs="IRNazanin"/>
          <w:color w:val="111111"/>
          <w:sz w:val="28"/>
          <w:szCs w:val="28"/>
          <w:rtl w:val="true"/>
          <w:lang w:bidi="fa-IR"/>
        </w:rPr>
        <w:t>!</w:t>
      </w:r>
    </w:p>
    <w:p>
      <w:pPr>
        <w:pStyle w:val="Heading3"/>
        <w:numPr>
          <w:ilvl w:val="2"/>
          <w:numId w:val="1"/>
        </w:numPr>
        <w:rPr/>
      </w:pPr>
      <w:bookmarkStart w:id="130" w:name="__RefHeading___Toc972146_237004111"/>
      <w:bookmarkStart w:id="131" w:name="_Toc47"/>
      <w:bookmarkEnd w:id="130"/>
      <w:r>
        <w:rPr/>
        <w:t>25</w:t>
      </w:r>
      <w:r>
        <w:rPr>
          <w:rtl w:val="true"/>
        </w:rPr>
        <w:t xml:space="preserve"> - </w:t>
      </w:r>
      <w:r>
        <w:rPr>
          <w:rtl w:val="true"/>
        </w:rPr>
        <w:t xml:space="preserve">ابن زنجلة </w:t>
      </w:r>
      <w:r>
        <w:rPr>
          <w:rtl w:val="true"/>
        </w:rPr>
        <w:t>(</w:t>
      </w:r>
      <w:r>
        <w:rPr>
          <w:rtl w:val="true"/>
        </w:rPr>
        <w:t xml:space="preserve">ت </w:t>
      </w:r>
      <w:r>
        <w:rPr/>
        <w:t>403</w:t>
      </w:r>
      <w:r>
        <w:rPr>
          <w:rtl w:val="true"/>
        </w:rPr>
        <w:t xml:space="preserve"> </w:t>
      </w:r>
      <w:r>
        <w:rPr>
          <w:rtl w:val="true"/>
        </w:rPr>
        <w:t xml:space="preserve">ه </w:t>
      </w:r>
      <w:r>
        <w:rPr>
          <w:rtl w:val="true"/>
        </w:rPr>
        <w:t>)</w:t>
      </w:r>
      <w:bookmarkEnd w:id="1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زنجلة الجر عن ابن کثیر، وأبی عمرو، وحمزة، وأبی بکر عطفاً علی لفظ الرؤوس، ولم یتمکّن من أن ینکر أنّ الجرّ یفید المسح لا غیر، واعترف بأنّ الروایة الصحیحة عن ابن عبّاس وردت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w:t>
      </w:r>
    </w:p>
    <w:p>
      <w:pPr>
        <w:pStyle w:val="BookText"/>
        <w:rPr/>
      </w:pP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جبریل بالمسح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تری أنّه أهمل ما کان مسحاً ومسح ما کان غسلاً فی التیمّم</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ابن زنجلة صار إلی التأویل عطفاً للقرآن علی الهوی، وما یرید أن یذهب إلیه، فأجاب عن إفادة الجرّ للمسح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فقهاء الأمصار بأنّ السنّة جرت بغسل الأرجل، وهذا یوجب حمل المسح علی الغسل فی صورة الجرّ نزولاً علی حکمهم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کان اجتهاداً قبال النصّ وهو باطل، وکلّ حکم خالف کتاب اللّه فهو زُوْرٌ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مراراً أنّ القرآن لا یحمل علی الضعیف والشاذّ، لأنّهما لم یردا فی الکلام الفصیح، مع أنّ قیاس عطف النسق علی النعت خطأ آخر، وقد ورد علی الضعف فی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فی باب عطف النسق بحالٍ، وهذا ما سنتحدث عنه فی الفصل الرابع من هذا القسم خلال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النحویّون وآیة الوضوء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یعطف بالاسم علی الاسم ومعناه یختلف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لا یطاف بهنّ علی أزواجهن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الواو استئنافیة لا عاطفة، والدلیل ما قاله هو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لا یطاف بهنّ علی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فالعطف یفسد المعنی ولا ضرورة ملجئة إلی العطف؛ لأنّه کلام اللّه وهو لا یحمل علی الضرورات بالاتفاق، والاستئناف خالٍ من الفساد،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للعمل فی المعطوف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کذلک، فکیف یمکن العطف ودلیل عدم العطف اختلاف المعنی وفساده کما ذکر؟ وهذا دلیل لنا علی الفرّاء لا له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البقاء العکبری فی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یکون مستانفاً، وأن یکون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بالرفع، وفیه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یطفن علیهم للتنّعمِ، لا للخدمة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حورٌ أو عندهم، أو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ونساؤهم 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ویُقرأ بالنصب علی 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یعطون أو یُجَازون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وبالجرِّ عطفاً علی أکواب فی اللفظ دون المعنی؛ لأِنَّ الحورَ لا یُطاف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معطوف علی جنَّات؛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وفی حور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بعده، والجملة اسمیّة، فلو کانت الواو للعطف، لکان عطفاً للجملة الثانیة علی مجموع الجملة الأُولی، وکانتا مختلفتین اسمیّة وفعلیّة، وهو فی الکلام الفصیح مانع آخر عن العطف، إذ الأُولی رعایة التناسب، فکیف یهمل التناسب فی أفصح الکلام وهو الذکر الحکیم؟ </w:t>
      </w:r>
      <w:bookmarkStart w:id="132" w:name="pg6193_70709"/>
    </w:p>
    <w:p>
      <w:pPr>
        <w:pStyle w:val="Heading3"/>
        <w:numPr>
          <w:ilvl w:val="2"/>
          <w:numId w:val="1"/>
        </w:numPr>
        <w:rPr/>
      </w:pPr>
      <w:bookmarkStart w:id="133" w:name="__RefHeading___Toc972148_237004111"/>
      <w:bookmarkStart w:id="134" w:name="_Toc48"/>
      <w:bookmarkEnd w:id="132"/>
      <w:bookmarkEnd w:id="133"/>
      <w:r>
        <w:rPr/>
        <w:t>26</w:t>
      </w:r>
      <w:r>
        <w:rPr>
          <w:rtl w:val="true"/>
        </w:rPr>
        <w:t xml:space="preserve"> - </w:t>
      </w:r>
      <w:r>
        <w:rPr>
          <w:rtl w:val="true"/>
        </w:rPr>
        <w:t xml:space="preserve">الثعلبیّ </w:t>
      </w:r>
      <w:r>
        <w:rPr>
          <w:rtl w:val="true"/>
        </w:rPr>
        <w:t>(</w:t>
      </w:r>
      <w:r>
        <w:rPr>
          <w:rtl w:val="true"/>
        </w:rPr>
        <w:t xml:space="preserve">ت </w:t>
      </w:r>
      <w:r>
        <w:rPr/>
        <w:t>427</w:t>
      </w:r>
      <w:r>
        <w:rPr>
          <w:rtl w:val="true"/>
        </w:rPr>
        <w:t xml:space="preserve"> </w:t>
      </w:r>
      <w:r>
        <w:rPr>
          <w:rtl w:val="true"/>
        </w:rPr>
        <w:t xml:space="preserve">ه </w:t>
      </w:r>
      <w:r>
        <w:rPr>
          <w:rtl w:val="true"/>
        </w:rPr>
        <w:t>)</w:t>
      </w:r>
      <w:bookmarkEnd w:id="134"/>
    </w:p>
    <w:p>
      <w:pPr>
        <w:pStyle w:val="BookText"/>
        <w:rPr/>
      </w:pPr>
      <w:r>
        <w:rPr>
          <w:rFonts w:ascii="IRNazanin" w:hAnsi="IRNazanin" w:eastAsia="IRNazanin"/>
          <w:color w:val="111111"/>
          <w:sz w:val="28"/>
          <w:sz w:val="28"/>
          <w:szCs w:val="28"/>
          <w:rtl w:val="true"/>
          <w:lang w:bidi="fa-IR"/>
        </w:rPr>
        <w:t xml:space="preserve">روی الثعلبیّ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والحسن، وعلقمة، والشعبیّ، وأبی حاتم، وذکر فی توجیه الجرّ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الرؤوس، والمسح بمعنی الغسل، والباء للتعمیم،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 أی 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أبی زید الأنصاریّ وأبی حاتم السجستانیّ</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علی الجوار لفظاً لا معنیً؛ کقول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 هذِهِ الْقَرْیَةِ الظّالِمِ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ورأیت زوجک فی الوغی متقلّداً سیفاً ورمحا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والرمح لا یتقلّد وإنّما یحمل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لبید صاحب المعلّقة المشهورة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فَعَلا فروعُ الأَیْهُقَانِ وأطفلت بالجَلْهَتَیْنِ ظباؤها وَنَعامُها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والنعام لا تطفل وإنّما تفرخ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المسح علی الأرجل لقرب الجوار،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رأس زید ویده ورجله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فی العمامة رأسه وفی الکُمّ یده وفی الخفّ رجله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کان إذا رکع وضع یده علی رکبتیه، ولیس المراد أنّه لم یکن بینهما حائل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رجع الثعلبیّ فی الوجه الثالث إلی الحقّ صار مبسوط الیدین من ناحیة الأدلّة، وأوردها بعد أن صرّح بأنّ قوماً من العلماء أجری الآیة علی ظاهرها وأجازوا المسح علی القدمین،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أنس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عُلَیَّةَ، عن حمید بن موسی بن أنس أنّه قال لأنس ونحن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خطبنا بالأهواز فذکر الطهر،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وجوهکم وأیدیکم وامسحوا برؤوسکم، فإنّه لیس شیء من ابن آدم أقرب إلی خبثه من قدمیه، فاغسلوا بطونهما وظهورهما وکعبهما وعراقیبهما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اللّه وکذب الحجّاج،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وکان أنس إذا مسح قدمیه 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الحسن والشعبیّ،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جبریل بالمسح، ألا تری المتیمّم یمسح ما کان غسلاً، ویلغی ما کان 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یونس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رجلیه ولا یغسلهما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ونقل عن قتادة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افترض اللّه غسلین ومسحین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عن داود بن علیّ الأصبهانیّ وابن جریر الطبریّ وَأَبی یعلی أنّ المتوضّئ یتخیّر بین المسح والغسل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من هذه الوجوه هو الوجه الثالث، وهو لا یحتاج إلی توجیه وجواب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 فهو باطل لما سیجیء فی عرض آراء السید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رحمه الله الآتی بعد قلیل وأنّ ما قالوه فی تفسیر المسح بمعنی الغسل ینافیه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تمسّحت بمعنی توضّأت، لأنّ الوضوء أعمّ من الغسل والمسح، إذ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بالاتفاق، فتوضّأت یشمله، ولو صَحَّتْ هذه العبارة،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أعمّ ولم تُفدهم ولو کانت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علیهم 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قولهم صحیحاً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ادّعاءهم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بمعنی الغسل، وهو إنّما یتمّ علی هذا التقدیر، لا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التَّوضُّؤَ أعمّ من الغسل والمسح، والعام لا یدلّ علی الخاصّ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الوجه الثانی وهو الجرّ بالجوار فقد أجمع الحذّاق من أهل العربیّة علی منعه فی القرآن، لأنّه أفصح الکلام، ولیس لغیر الفصیح سبیل إلیه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w:t>
      </w:r>
      <w:r>
        <w:rPr>
          <w:rStyle w:val="FootnoteAnchor"/>
          <w:rtl w:val="true"/>
        </w:rPr>
        <w:footnoteReference w:id="246"/>
      </w:r>
      <w:r>
        <w:rPr>
          <w:rFonts w:ascii="IRNazanin" w:hAnsi="IRNazanin" w:eastAsia="IRNazanin"/>
          <w:color w:val="111111"/>
          <w:sz w:val="28"/>
          <w:sz w:val="28"/>
          <w:szCs w:val="28"/>
          <w:rtl w:val="true"/>
          <w:lang w:bidi="fa-IR"/>
        </w:rPr>
        <w:t xml:space="preserve">لا تفیده،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مشتقّة یجب أن تطابق موصوفها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الإعراب،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الوصف، وهی من باب الوصف </w:t>
      </w:r>
    </w:p>
    <w:p>
      <w:pPr>
        <w:pStyle w:val="BookText"/>
        <w:rPr/>
      </w:pPr>
      <w:r>
        <w:rPr>
          <w:rFonts w:ascii="IRNazanin" w:hAnsi="IRNazanin" w:eastAsia="IRNazanin"/>
          <w:color w:val="111111"/>
          <w:sz w:val="28"/>
          <w:sz w:val="28"/>
          <w:szCs w:val="28"/>
          <w:rtl w:val="true"/>
          <w:lang w:bidi="fa-IR"/>
        </w:rPr>
        <w:t>بحال متعلّق الموصوف، ولذا لم تطابق الموصوف من ناحیة التذکیر والتأنیث</w:t>
      </w:r>
      <w:r>
        <w:rPr>
          <w:rStyle w:val="FootnoteAnchor"/>
          <w:rtl w:val="true"/>
        </w:rPr>
        <w:footnoteReference w:id="247"/>
      </w:r>
      <w:r>
        <w:rPr>
          <w:rFonts w:ascii="IRNazanin" w:hAnsi="IRNazanin" w:eastAsia="IRNazanin"/>
          <w:color w:val="111111"/>
          <w:sz w:val="28"/>
          <w:sz w:val="28"/>
          <w:szCs w:val="28"/>
          <w:rtl w:val="true"/>
          <w:lang w:bidi="fa-IR"/>
        </w:rPr>
        <w:t xml:space="preserve">، وهی فی تقدیر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موصولة، والصلة لابدّ أن تکون جملةً، فالأصل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الیظلم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یظلم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لکنّهم کرهوا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صورتها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وإن لم یکن لدخول الموصولة علی الفعل مانع بالأصالة، فعدلوا عن الفعل إلی الوصف، وقالوا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 فی معانیه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خفض الظالم لأنّه نعت للأهل، فلما أعاد الأهل علی القریة، کان فعل ما أضیف إلیها بمنزلة فعلها؛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بالرجل الواسعِة داره، وکما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صنته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قراءة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اخرجنا من القریة التی کانت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نُسب الظلم إلی القریة، وإنما الظلم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 من التنزیل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من قریةٍ اهلکناها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 القریة التی کنا فیها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العکبری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الألف واللام بمعنی التی، ولم یؤنث اسمُ الفاعل وإن کان نعتاً للقریة فی اللفظ؛ لأنّه قد عمل فی الاسم الظاهر المذکرَّ؛ وهو أهل؛ وکلُ اسم فاعل إذا جَرَی علی غیر مَن هُوَ له فتذکیره وتأنیثه علی حسب الاسْمِ الظاهر الذی عمل فیه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فهو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هنداً یضرب أبوها زیداً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والجرّ فی الآیة لا یَکُوْنُ من باب المجاورة، بل من باب مطابقة الصفة </w:t>
      </w:r>
    </w:p>
    <w:p>
      <w:pPr>
        <w:pStyle w:val="BookText"/>
        <w:rPr/>
      </w:pPr>
      <w:r>
        <w:rPr>
          <w:rFonts w:ascii="IRNazanin" w:hAnsi="IRNazanin" w:eastAsia="IRNazanin"/>
          <w:color w:val="111111"/>
          <w:sz w:val="28"/>
          <w:sz w:val="28"/>
          <w:szCs w:val="28"/>
          <w:rtl w:val="true"/>
          <w:lang w:bidi="fa-IR"/>
        </w:rPr>
        <w:t>الموصوف فی الإعراب</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والثعلبیّ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جعله وصفاً للقریة، لأنّه مذکّر والقریة مؤنّث، والتابعیّة غیر ممکنة، وما دری أنّ الوصف قسمان، وهذا من القسم الذی لا یجوز فیه المطابقة، فحمله علی الجرّ بالجوار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والبیت لا صلة له بمحلّ البحث،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العامل المحذوف بالقرینة،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العامل المذکور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قبیل عطف الوصف علی الوصف، وهو جائز فی کلام العرب قدیماً وحدیثاً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w:t>
      </w:r>
      <w:r>
        <w:rPr>
          <w:rStyle w:val="FootnoteAnchor"/>
          <w:rtl w:val="true"/>
        </w:rPr>
        <w:footnoteReference w:id="252"/>
      </w:r>
      <w:r>
        <w:rPr>
          <w:rFonts w:ascii="IRNazanin" w:hAnsi="IRNazanin" w:eastAsia="IRNazanin"/>
          <w:color w:val="111111"/>
          <w:sz w:val="28"/>
          <w:sz w:val="28"/>
          <w:szCs w:val="28"/>
          <w:rtl w:val="true"/>
          <w:lang w:bidi="fa-IR"/>
        </w:rPr>
        <w:t xml:space="preserve">لیست کذلک، یعنی من قبیل عطف العامل المحذوف علی العامل المذکور،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 فیهما واحد،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یفید إلّاالمسح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لو صحّ ما قال فهو إنّما یصحّ حیث لا التباس، حیث إنّ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الالتباس اعتماداً علی القرینة العرفیّة، لأنّ الرمح یحمل </w:t>
      </w:r>
      <w:bookmarkStart w:id="135" w:name="pg6193_70719"/>
    </w:p>
    <w:p>
      <w:pPr>
        <w:pStyle w:val="BookText"/>
        <w:rPr/>
      </w:pPr>
      <w:bookmarkEnd w:id="135"/>
      <w:r>
        <w:rPr>
          <w:rFonts w:ascii="IRNazanin" w:hAnsi="IRNazanin" w:eastAsia="IRNazanin"/>
          <w:color w:val="111111"/>
          <w:sz w:val="28"/>
          <w:sz w:val="28"/>
          <w:szCs w:val="28"/>
          <w:rtl w:val="true"/>
          <w:lang w:bidi="fa-IR"/>
        </w:rPr>
        <w:t xml:space="preserve">ولا یتقلّد، وفی الآیة التباس، لأنّ الأرجل کما یمکن أن تغسل فکذا یمکن أن تُمسح، فالعطف یوجب الالتباس وعدم إرادة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حکمها الغسل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مانع من العطف حیث لا قرینة، بل القرینة فی جانب المسح نزولاً علی حکم الأُسلوب العربی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الجواب عن البیت الثانی،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النظر إلی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عطفاً علیها أیضاً لکان جوازه بالنظر إلی وجود القرینة وعدم الالتباس</w:t>
      </w:r>
      <w:r>
        <w:rPr>
          <w:rStyle w:val="FootnoteAnchor"/>
          <w:rtl w:val="true"/>
        </w:rPr>
        <w:footnoteReference w:id="253"/>
      </w:r>
      <w:r>
        <w:rPr>
          <w:rFonts w:ascii="IRNazanin" w:hAnsi="IRNazanin" w:eastAsia="IRNazanin"/>
          <w:color w:val="111111"/>
          <w:sz w:val="28"/>
          <w:sz w:val="28"/>
          <w:szCs w:val="28"/>
          <w:rtl w:val="true"/>
          <w:lang w:bidi="fa-IR"/>
        </w:rPr>
        <w:t>، وهذا مفقود فی الآیة کما تری</w:t>
      </w:r>
      <w:r>
        <w:rPr>
          <w:rFonts w:eastAsia="IRNazanin" w:cs="IRNazanin"/>
          <w:color w:val="111111"/>
          <w:sz w:val="28"/>
          <w:szCs w:val="28"/>
          <w:rtl w:val="true"/>
          <w:lang w:bidi="fa-IR"/>
        </w:rPr>
        <w:t>.</w:t>
      </w:r>
    </w:p>
    <w:p>
      <w:pPr>
        <w:pStyle w:val="Heading3"/>
        <w:numPr>
          <w:ilvl w:val="2"/>
          <w:numId w:val="1"/>
        </w:numPr>
        <w:rPr/>
      </w:pPr>
      <w:bookmarkStart w:id="136" w:name="__RefHeading___Toc972150_237004111"/>
      <w:bookmarkStart w:id="137" w:name="_Toc49"/>
      <w:bookmarkEnd w:id="136"/>
      <w:r>
        <w:rPr/>
        <w:t>27</w:t>
      </w:r>
      <w:r>
        <w:rPr>
          <w:rtl w:val="true"/>
        </w:rPr>
        <w:t xml:space="preserve"> - </w:t>
      </w:r>
      <w:r>
        <w:rPr>
          <w:rtl w:val="true"/>
        </w:rPr>
        <w:t xml:space="preserve">الشریف المرتضی علیّ بن الحسین علم الهدی رحمه الله </w:t>
      </w:r>
      <w:r>
        <w:rPr>
          <w:rtl w:val="true"/>
        </w:rPr>
        <w:t>(</w:t>
      </w:r>
      <w:r>
        <w:rPr>
          <w:rtl w:val="true"/>
        </w:rPr>
        <w:t xml:space="preserve">ت </w:t>
      </w:r>
      <w:r>
        <w:rPr/>
        <w:t>436</w:t>
      </w:r>
      <w:r>
        <w:rPr>
          <w:rtl w:val="true"/>
        </w:rPr>
        <w:t xml:space="preserve"> </w:t>
      </w:r>
      <w:r>
        <w:rPr>
          <w:rtl w:val="true"/>
        </w:rPr>
        <w:t xml:space="preserve">ه </w:t>
      </w:r>
      <w:r>
        <w:rPr>
          <w:rtl w:val="true"/>
        </w:rPr>
        <w:t>)</w:t>
      </w:r>
      <w:bookmarkEnd w:id="137"/>
    </w:p>
    <w:p>
      <w:pPr>
        <w:pStyle w:val="BookText"/>
        <w:rPr/>
      </w:pPr>
      <w:r>
        <w:rPr>
          <w:rFonts w:ascii="IRNazanin" w:hAnsi="IRNazanin" w:eastAsia="IRNazanin"/>
          <w:color w:val="111111"/>
          <w:sz w:val="28"/>
          <w:sz w:val="28"/>
          <w:szCs w:val="28"/>
          <w:rtl w:val="true"/>
          <w:lang w:bidi="fa-IR"/>
        </w:rPr>
        <w:t>والشریف المرتضی یری قراءة الجرِّ أَوّلی من قراءة النصب فی إِفادَةِ المسح، وإن کان النصب یفید ذلک أیضاً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النصب یحتاج إلی عامل النصب، والعامل فیه یحتمل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یُقَدَّرُ لها عامِلٌ محذوفٌ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تکون معطوفة علی موضع الجارّ والمجرور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لبعدها عن عامل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إعمال العامل الأقرب أولی من إعمال الأبعد، وذلک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ظَنُّوا کَما ظَنَنْتُمْ أَنْ لَنْ یَبْعَثَ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وکذا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عبداللّه، وأکرمت خالداً وبشراً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حکم الجملة الماضیة التی قد انقطع حکمها ووقع الخروج عنها هو لحن وخروج عن مقتضی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مستقلّة بنفسها، وقد انقطع حکمها بالتجاوز لها إلی جملة أُخری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برؤوسکم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النصب بمحذوف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لأمرین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لا فرق بین أن تقدّر محذوفاً هو الغسل، وبین أن تقدّر محذوفاً هو 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 الحذف لا یُصار إلیه إلّاعند الضرورة، وإذا استقلّ الکلام بنفسه من غیر تقدیر محذوف لم یجز حمله علی محذوف</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الحمل،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النصب علی موضع 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وشائع إلّاأنّه موجب للمسح دون الغسل، لأنّ الرؤوس ممسوحة اتفاقاً، فما عطف علی موضعها یجب أن یکون ممسوحاً</w:t>
      </w:r>
      <w:r>
        <w:rPr>
          <w:rStyle w:val="FootnoteAnchor"/>
          <w:rtl w:val="true"/>
        </w:rPr>
        <w:footnoteReference w:id="255"/>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bookmarkStart w:id="138" w:name="pg6193_70723"/>
    </w:p>
    <w:p>
      <w:pPr>
        <w:pStyle w:val="BookText"/>
        <w:rPr/>
      </w:pPr>
      <w:bookmarkEnd w:id="138"/>
      <w:r>
        <w:rPr>
          <w:rFonts w:ascii="IRNazanin" w:hAnsi="IRNazanin" w:eastAsia="IRNazanin"/>
          <w:color w:val="111111"/>
          <w:sz w:val="28"/>
          <w:sz w:val="28"/>
          <w:szCs w:val="28"/>
          <w:rtl w:val="true"/>
          <w:lang w:bidi="fa-IR"/>
        </w:rPr>
        <w:t xml:space="preserve">إلّا أنّه لمّا کان إعمال أقرب العاملین أولی وأکثر فی القرآن ولغة العرب، وجب أن یکون جرّ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معطوفة علی لفظة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نصبها وعطفها علی موضع الجارّ والمجرور، لأنّه أبعد قلیلاً، فلذا ترجّحت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نصبها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القراءة بالجرّ تقتضی المسح ولا تحتمل سواه بخلاف النصب، فالواجب حمل القراءة بالنصب علی ما یطابق معنی القراءة بالجرّ، لأنّ القراءتین المختلفتین تجریان مجری آیتین فی وجوب المطابقة بینهما، وهذا الوجه أیضاً یرجّح قراءة الجرّ علی قراءة النصب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72152_237004111"/>
      <w:bookmarkStart w:id="140" w:name="_Toc50"/>
      <w:bookmarkEnd w:id="139"/>
      <w:r>
        <w:rPr/>
        <w:t>28</w:t>
      </w:r>
      <w:r>
        <w:rPr>
          <w:rtl w:val="true"/>
        </w:rPr>
        <w:t xml:space="preserve"> - </w:t>
      </w:r>
      <w:r>
        <w:rPr>
          <w:rtl w:val="true"/>
        </w:rPr>
        <w:t xml:space="preserve">ابن سِیْدَة الأندلسیّ </w:t>
      </w:r>
      <w:r>
        <w:rPr>
          <w:rtl w:val="true"/>
        </w:rPr>
        <w:t>(</w:t>
      </w:r>
      <w:r>
        <w:rPr>
          <w:rtl w:val="true"/>
        </w:rPr>
        <w:t xml:space="preserve">ت </w:t>
      </w:r>
      <w:r>
        <w:rPr/>
        <w:t>458</w:t>
      </w:r>
      <w:r>
        <w:rPr>
          <w:rtl w:val="true"/>
        </w:rPr>
        <w:t xml:space="preserve"> </w:t>
      </w:r>
      <w:r>
        <w:rPr>
          <w:rtl w:val="true"/>
        </w:rPr>
        <w:t xml:space="preserve">ه </w:t>
      </w:r>
      <w:r>
        <w:rPr>
          <w:rtl w:val="true"/>
        </w:rPr>
        <w:t>)</w:t>
      </w:r>
      <w:bookmarkEnd w:id="140"/>
    </w:p>
    <w:p>
      <w:pPr>
        <w:pStyle w:val="BookText"/>
        <w:rPr/>
      </w:pPr>
      <w:r>
        <w:rPr>
          <w:rFonts w:ascii="IRNazanin" w:hAnsi="IRNazanin" w:eastAsia="IRNazanin"/>
          <w:color w:val="111111"/>
          <w:sz w:val="28"/>
          <w:sz w:val="28"/>
          <w:szCs w:val="28"/>
          <w:rtl w:val="true"/>
          <w:lang w:bidi="fa-IR"/>
        </w:rPr>
        <w:t xml:space="preserve">لم تُعْجِب ابن سیدة قراءةُ 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حمل الجرّ علی الجرّ بالمجاورة، وأنّ أصله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والآیة تفید الغسل علی زعمه، ونقل عن أبی إسحاق الشیرازیّ أنّ القرآن ولسان العرب یشهدان بجواز الجرّ علی المجاورة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وتعالی فرض البیّنة علی المدّعی، ولولاها لادّعی کلّ أحد کلّ شیءٍ من غیر أن یلوی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نطالبه بالدلیل الذی أخذ بیده إلی حمل الآیة علی الغسل دون المسح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الجرّ بالجوار قد مضی</w:t>
      </w:r>
      <w:r>
        <w:rPr>
          <w:rStyle w:val="FootnoteAnchor"/>
          <w:rtl w:val="true"/>
        </w:rPr>
        <w:footnoteReference w:id="258"/>
      </w:r>
      <w:r>
        <w:rPr>
          <w:rFonts w:ascii="IRNazanin" w:hAnsi="IRNazanin" w:eastAsia="IRNazanin"/>
          <w:color w:val="111111"/>
          <w:sz w:val="28"/>
          <w:sz w:val="28"/>
          <w:szCs w:val="28"/>
          <w:rtl w:val="true"/>
          <w:lang w:bidi="fa-IR"/>
        </w:rPr>
        <w:t xml:space="preserve">، وهو لا یلیق بکلام الفصحاء فضلاً </w:t>
      </w:r>
      <w:bookmarkStart w:id="141" w:name="pg6193_70725"/>
    </w:p>
    <w:p>
      <w:pPr>
        <w:pStyle w:val="BookText"/>
        <w:rPr/>
      </w:pPr>
      <w:bookmarkEnd w:id="141"/>
      <w:r>
        <w:rPr>
          <w:rFonts w:ascii="Amiri" w:hAnsi="Amiri" w:eastAsia="Amiri" w:cs="Amiri"/>
          <w:color w:val="111111"/>
          <w:sz w:val="28"/>
          <w:sz w:val="28"/>
          <w:szCs w:val="28"/>
          <w:rtl w:val="true"/>
          <w:lang w:bidi="ar-SA"/>
        </w:rPr>
        <w:t>عن کتاب اللّه الذی لا یرتاب مسلم فی بلاغته ونزاهته عن کل ما ینافی الفصاحةَ، ولا یُلزُّ مع اللُّغةِ الْعالیة فی قرنٍ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أیضاً اعترف أنّ الجرّ بالجوار ضعیف جدّاً ولم یرد إلّافی 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الوصف من بین التوابع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عدم اللبس مع خلافٍ فیه قد قرّر فی علم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الغاسلین أنّهم حیث حملوا الجرّ علی الغسل والقول بالجوار لم یساعدهم اللفظ والإعراب علی ذلک، وکان ثقل علیهم عطف المذهب علی القرآن، فالتجؤوا إلی عطف القرآن علی المذهب، فزعموا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بفعل محذوف یتعدّی بالباء،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بأرجلکم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وحذف الفعل وحرف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هذا التأویل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تأویل فی غایة الضعف</w:t>
      </w:r>
      <w:r>
        <w:rPr>
          <w:rStyle w:val="FootnoteAnchor"/>
          <w:rtl w:val="true"/>
        </w:rPr>
        <w:footnoteReference w:id="259"/>
      </w:r>
      <w:r>
        <w:rPr>
          <w:rFonts w:ascii="IRNazanin" w:hAnsi="IRNazanin" w:eastAsia="IRNazanin"/>
          <w:color w:val="111111"/>
          <w:sz w:val="28"/>
          <w:sz w:val="28"/>
          <w:szCs w:val="28"/>
          <w:rtl w:val="true"/>
          <w:lang w:bidi="fa-IR"/>
        </w:rPr>
        <w:t>، وجه ضعفه أنّه کما یمکن تقدیر الغسل کذلک یمکن تقدیر المسح، فلا یکون دلیلاً للغسلین علی القائلین بالمسح بل للقائلین به علی الغسلین، وظاهر القرآن حجّة علیهم وشاهد صدق للمسح</w:t>
      </w:r>
      <w:r>
        <w:rPr>
          <w:rFonts w:eastAsia="IRNazanin" w:cs="IRNazanin"/>
          <w:color w:val="111111"/>
          <w:sz w:val="28"/>
          <w:szCs w:val="28"/>
          <w:rtl w:val="true"/>
          <w:lang w:bidi="fa-IR"/>
        </w:rPr>
        <w:t>.</w:t>
      </w:r>
    </w:p>
    <w:p>
      <w:pPr>
        <w:pStyle w:val="Heading3"/>
        <w:numPr>
          <w:ilvl w:val="2"/>
          <w:numId w:val="1"/>
        </w:numPr>
        <w:rPr/>
      </w:pPr>
      <w:bookmarkStart w:id="142" w:name="__RefHeading___Toc972154_237004111"/>
      <w:bookmarkStart w:id="143" w:name="_Toc51"/>
      <w:bookmarkEnd w:id="142"/>
      <w:r>
        <w:rPr/>
        <w:t>29</w:t>
      </w:r>
      <w:r>
        <w:rPr>
          <w:rtl w:val="true"/>
        </w:rPr>
        <w:t xml:space="preserve"> - </w:t>
      </w:r>
      <w:r>
        <w:rPr>
          <w:rtl w:val="true"/>
        </w:rPr>
        <w:t xml:space="preserve">الشیخ أبو جعفر محمّد بن الحسن الطوسیّ </w:t>
      </w:r>
      <w:r>
        <w:rPr>
          <w:rtl w:val="true"/>
        </w:rPr>
        <w:t>(</w:t>
      </w:r>
      <w:r>
        <w:rPr>
          <w:rtl w:val="true"/>
        </w:rPr>
        <w:t xml:space="preserve">ت </w:t>
      </w:r>
      <w:r>
        <w:rPr/>
        <w:t>460</w:t>
      </w:r>
      <w:r>
        <w:rPr>
          <w:rtl w:val="true"/>
        </w:rPr>
        <w:t xml:space="preserve"> </w:t>
      </w:r>
      <w:r>
        <w:rPr>
          <w:rtl w:val="true"/>
        </w:rPr>
        <w:t xml:space="preserve">ه </w:t>
      </w:r>
      <w:r>
        <w:rPr>
          <w:rtl w:val="true"/>
        </w:rPr>
        <w:t>)</w:t>
      </w:r>
      <w:bookmarkEnd w:id="14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الشیخ الطوسیّ الجرّ علی محمله الصحیح، وهو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والمفاد المسح لا غیر، وأبطل رحمه الله الجرّ بالمجاورة الذی نحته القوم تأییداً </w:t>
      </w:r>
    </w:p>
    <w:p>
      <w:pPr>
        <w:pStyle w:val="BookText"/>
        <w:rPr/>
      </w:pPr>
      <w:r>
        <w:rPr>
          <w:rFonts w:ascii="IRNazanin" w:hAnsi="IRNazanin" w:eastAsia="IRNazanin"/>
          <w:color w:val="111111"/>
          <w:sz w:val="28"/>
          <w:sz w:val="28"/>
          <w:szCs w:val="28"/>
          <w:rtl w:val="true"/>
          <w:lang w:bidi="fa-IR"/>
        </w:rPr>
        <w:t>لرأیهم وإیثاراً لهواهم، وقال 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لو اعترض أحد بأنّ الجرّ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هی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حقّها النصب، لکنّها جرّت لوقوعه فی مجاورة المجرور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وکقول امرئ القیس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والمزمّل ممّا یوصف به الکبیر لا البجاد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قال الأعشی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حَوْلٍ ثَواءٍ ثَوَیْتُه تُقَضّی لُبانَاتٌ وَیْسأمُ سَائِمُ</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وأجاب بأنّ هذا باطل، واستدلّ له بوجوهٍ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الإعراب بالمجاورة لا یجوز فی القرآن، وإنّما یجوز فی ضرورة الکلام والشعر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الإعراب بالمجاورة لا یکون فی عطف النسق، لأنّ العاطف یمنع من التجاور، وإنّما یکون قلیلاً فی النعت والتوکید وقد تقدم ذکره، وأمّا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راحل إلی بسطام بن قیس فخاطب</w:t>
      </w:r>
    </w:p>
    <w:p>
      <w:pPr>
        <w:pStyle w:val="BookText"/>
        <w:rPr/>
      </w:pPr>
      <w:r>
        <w:rPr>
          <w:rFonts w:ascii="IRNazanin" w:hAnsi="IRNazanin" w:eastAsia="IRNazanin"/>
          <w:color w:val="111111"/>
          <w:sz w:val="28"/>
          <w:sz w:val="28"/>
          <w:szCs w:val="28"/>
          <w:rtl w:val="true"/>
          <w:lang w:bidi="fa-IR"/>
        </w:rPr>
        <w:t xml:space="preserve">حیث جرّ مع حرف العطف الذی هو الفاء، فیمکن أنْ وهم فی الروایة، فروی الجرّ بدل 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الإعراب بالمجاورة لو جاز فإنّما یجوز مع الأمن من اللبس، ومع حصول اللبس لا یجوز حتّی عند القائلین به، ولا یخفی علی أحد أنّ الخراب فی قولهم هو صفة الجحر لا الضبّ، وکذا المزمّل من صفة الکبیر، أو ثبیر لا البجاد</w:t>
      </w:r>
      <w:r>
        <w:rPr>
          <w:rStyle w:val="FootnoteAnchor"/>
          <w:rtl w:val="true"/>
        </w:rPr>
        <w:footnoteReference w:id="264"/>
      </w:r>
      <w:r>
        <w:rPr>
          <w:rFonts w:ascii="IRNazanin" w:hAnsi="IRNazanin" w:eastAsia="IRNazanin"/>
          <w:color w:val="111111"/>
          <w:sz w:val="28"/>
          <w:sz w:val="28"/>
          <w:szCs w:val="28"/>
          <w:rtl w:val="true"/>
          <w:lang w:bidi="fa-IR"/>
        </w:rPr>
        <w:t xml:space="preserve">، ولا کذلک الآیة؛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فیها المسح والغسل، فلو جُرَّتْ بالجوار وکان حقّها النصب؛ لالتبس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الأعشی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ثواءٍ ثویته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فجرّه بالبدلیّة من الحول بدل الاشتمال، والمعنی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ثواءٍ تقضّی لبانات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وکذا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یبق إلّاأسیر غیر منفلتٍ ومُوثَقٍ فی عقال الأسر مکبولُ</w:t>
      </w:r>
    </w:p>
    <w:p>
      <w:pPr>
        <w:pStyle w:val="BookText"/>
        <w:rPr/>
      </w:pPr>
      <w:r>
        <w:rPr>
          <w:rFonts w:ascii="IRNazanin" w:hAnsi="IRNazanin" w:eastAsia="IRNazanin"/>
          <w:color w:val="111111"/>
          <w:sz w:val="28"/>
          <w:sz w:val="28"/>
          <w:szCs w:val="28"/>
          <w:rtl w:val="true"/>
          <w:lang w:bidi="fa-IR"/>
        </w:rPr>
        <w:t xml:space="preserve">لا یکون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المجاورة، لأنّ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غیر 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تخلفها فی الاستثناء،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المعنی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 علی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ویقال فی القرآن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بوروده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غیر أسیر وغیر منفلت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القائلون بالمجاورة بآیة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من جرّهما، وأجاب الشیخ بأنّ الآیة لیست من باب المجرور بالمجاورة، بل تحتمل تأویلین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عطفاً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یطاف إلّابالکاس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یمتنع أن یطاف بالحور العین، کما یطاف بالکأس، وقد ذکر فی جملة ما یطاف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الفاکهة واللحم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جنّات النعیم، وفی مقارنة أو معاشرة حور عین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القول قد نقلناه عن الفارسیّ من کتاب الحجّة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أعیت البلاغة الغاسلین عن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اعترفوا بالجرّ عطفاً علی الرؤوس وحملوا المسح علی الغسل،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الجرّ لو کانت معطوفةً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ما أفاد إلّا الغسل،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فی الأرجل یراد به الغسل حینئذٍ، استشهدوا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 الْأَعْناقِ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الشیخ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المسح غیر الغسل، ولو کان قولهم محتملاً لغة لما احتمل شرعاً، لأنّ الشرع فرّق بین الغسل والمسح، ولذلک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أعضاء الطهارة مغسولة وبعضها ممسوحة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وفلان یری غسل الرجلین وفلان یری مسحهما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الرأس ممسوح مسحاً لیس بغسلٍ، فلابدّ أن یکون حکم الرجلین حکمه، لأنّهما متعاطفتان وهما فی 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ما قدّمناه، وأنّ تفسیرهم فی 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عدم إرادة الغسل، لأنّ الصلاة تشتمل مقدّمتها علی المسح والغسل معاً، والصلاة قرینة علی أنّ المراد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أفعال الصلاة مختصراً مجازاً توسّعاً، والقرینة فی آیة الوضوء مفقودة، ولا یصلح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یکون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التحدید غیر مختصّ بالغسل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إنّما یتمّ لو کان التحدید مختصّاً بالغسل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فهو یحتمل وجهین</w:t>
      </w:r>
      <w:r>
        <w:rPr>
          <w:rFonts w:eastAsia="Amiri" w:cs="Amiri" w:ascii="Amiri" w:hAnsi="Amiri"/>
          <w:color w:val="111111"/>
          <w:sz w:val="28"/>
          <w:szCs w:val="28"/>
          <w:rtl w:val="true"/>
          <w:lang w:bidi="ar-SA"/>
        </w:rPr>
        <w:t xml:space="preserve">: </w:t>
      </w:r>
      <w:bookmarkStart w:id="144" w:name="pg6193_70735"/>
    </w:p>
    <w:p>
      <w:pPr>
        <w:pStyle w:val="BookText"/>
        <w:rPr/>
      </w:pPr>
      <w:bookmarkEnd w:id="14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الفرّاء</w:t>
      </w:r>
      <w:r>
        <w:rPr>
          <w:rStyle w:val="FootnoteAnchor"/>
          <w:rtl w:val="true"/>
        </w:rPr>
        <w:footnoteReference w:id="268"/>
      </w:r>
      <w:r>
        <w:rPr>
          <w:rFonts w:ascii="IRNazanin" w:hAnsi="IRNazanin" w:eastAsia="IRNazanin"/>
          <w:color w:val="111111"/>
          <w:sz w:val="28"/>
          <w:sz w:val="28"/>
          <w:szCs w:val="28"/>
          <w:rtl w:val="true"/>
          <w:lang w:bidi="fa-IR"/>
        </w:rPr>
        <w:t>وأبو عبیدة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المسح حقیقةً، وأنّه کان مسح أعناقها وسوقها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 حملوا المسح علی مسح الخفّین وهو أیضاً باطل، لأنّ الخفّ لا یسمّی رجلاً فی لغة ولا فی شرع، واللّه أمر بإیقاع الفرض علی ما یسمّی رجلاً فی الحقیقة</w:t>
      </w:r>
      <w:r>
        <w:rPr>
          <w:rFonts w:eastAsia="IRNazanin" w:cs="IRNazanin"/>
          <w:color w:val="111111"/>
          <w:sz w:val="28"/>
          <w:szCs w:val="28"/>
          <w:rtl w:val="true"/>
          <w:lang w:bidi="fa-IR"/>
        </w:rPr>
        <w:t>.</w:t>
      </w:r>
    </w:p>
    <w:p>
      <w:pPr>
        <w:pStyle w:val="Heading3"/>
        <w:numPr>
          <w:ilvl w:val="2"/>
          <w:numId w:val="1"/>
        </w:numPr>
        <w:rPr/>
      </w:pPr>
      <w:bookmarkStart w:id="145" w:name="__RefHeading___Toc972156_237004111"/>
      <w:bookmarkStart w:id="146" w:name="_Toc52"/>
      <w:bookmarkEnd w:id="145"/>
      <w:r>
        <w:rPr/>
        <w:t>30</w:t>
      </w:r>
      <w:r>
        <w:rPr>
          <w:rtl w:val="true"/>
        </w:rPr>
        <w:t xml:space="preserve"> - </w:t>
      </w:r>
      <w:r>
        <w:rPr>
          <w:rtl w:val="true"/>
        </w:rPr>
        <w:t xml:space="preserve">ابن عبدالبرّ </w:t>
      </w:r>
      <w:r>
        <w:rPr>
          <w:rtl w:val="true"/>
        </w:rPr>
        <w:t>(</w:t>
      </w:r>
      <w:r>
        <w:rPr>
          <w:rtl w:val="true"/>
        </w:rPr>
        <w:t xml:space="preserve">ت </w:t>
      </w:r>
      <w:r>
        <w:rPr/>
        <w:t>463</w:t>
      </w:r>
      <w:r>
        <w:rPr>
          <w:rtl w:val="true"/>
        </w:rPr>
        <w:t xml:space="preserve"> </w:t>
      </w:r>
      <w:r>
        <w:rPr>
          <w:rtl w:val="true"/>
        </w:rPr>
        <w:t xml:space="preserve">ه </w:t>
      </w:r>
      <w:r>
        <w:rPr>
          <w:rtl w:val="true"/>
        </w:rPr>
        <w:t>)</w:t>
      </w:r>
      <w:bookmarkEnd w:id="146"/>
    </w:p>
    <w:p>
      <w:pPr>
        <w:pStyle w:val="BookText"/>
        <w:rPr/>
      </w:pP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الفقة غسل الرّجلین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فرویت 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ونصبها، ومن جرّ عطفها علی اللّفظ لا علی المعغنی وهو الغسل علی التقدیم والتأخیر، ومعلوم أنّ الغسل مخالف 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جائز تبطُل احدی القراءتین بالاخری لأنهما مستفیضتان، فلم یبق إلّاأن یکون المعنی الغسل أو العطف علی اللّفظ</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أشهب عن مالک عن قراءة الخفض؟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الغسل، ویقصد هذا التأویل سنة الرسول صلی الله علیه و آله المجمع علیها أنّه کان یغسل رجلیه، وجاء امره موافقاً لفعله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الجرّ بالجوار</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تمسحت للصلاة، وعلی الغسل جمهور العلماء وجماعة فقهاء الأمصار، وإنّما روی المسح </w:t>
      </w:r>
    </w:p>
    <w:p>
      <w:pPr>
        <w:pStyle w:val="BookText"/>
        <w:rPr/>
      </w:pPr>
      <w:r>
        <w:rPr>
          <w:rFonts w:ascii="IRNazanin" w:hAnsi="IRNazanin" w:eastAsia="IRNazanin"/>
          <w:color w:val="111111"/>
          <w:sz w:val="28"/>
          <w:sz w:val="28"/>
          <w:szCs w:val="28"/>
          <w:rtl w:val="true"/>
          <w:lang w:bidi="fa-IR"/>
        </w:rPr>
        <w:t>عن بعض الصحابة والتابعین وتعلّق به بعض المتأخرین، ولو کان المسح یجزئ ما أتی الوعید بالنار علی من لم یغسل عقبیه وعرقوبیه، والوعید بالعذاب لیس إلّا علی ترک الواجب</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أنّه استدل بأشعار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بجاد مزّمل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 معجل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المور والقطر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حبال القدّ مسلوب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فی الأدیم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مذکور فی کلام غیره، ومضمون کلّها هو جواز الجوار وإتیانه فی أشعار العرب، وأمّا حمل الآیات القرآنیة علیه فلم یستسیغوه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حمل الأشعار علیه للضرورة شیء والآیات القرآنیة الفصیحة البلیغة التی لا ضرورة فیها بل ممتنعة فیها شیء آخر، وهم یعرفونه جیدا، ولکن مذهبهم فی الغسل دفعهم إلی ذلک التوجیهات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مستنده فی هذا الکلام هو الحدیث المعروف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یدل علی الغسل فی الوضوء، بل نهایة ما یدل علیه هو الغسل للطهارة من الخبیث، ولا الحدث، ولکنّهم أساؤا فهمه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اسبغوا الوضوء، ویل للاعقاب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کلامان </w:t>
      </w:r>
    </w:p>
    <w:p>
      <w:pPr>
        <w:pStyle w:val="BookText"/>
        <w:rPr/>
      </w:pPr>
      <w:r>
        <w:rPr>
          <w:rFonts w:ascii="IRNazanin" w:hAnsi="IRNazanin" w:eastAsia="IRNazanin"/>
          <w:color w:val="111111"/>
          <w:sz w:val="28"/>
          <w:sz w:val="28"/>
          <w:szCs w:val="28"/>
          <w:rtl w:val="true"/>
          <w:lang w:bidi="fa-IR"/>
        </w:rPr>
        <w:t xml:space="preserve">أحدهما عقیب الآخر،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اسبغوا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نداء الملک لیوسف علی نبینا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أعرض عن هذا، واستغفری لذنبک أنّک کنت من الخاطئین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ولیسا کلاما واحداً، وأنّ الأعقاب بمعنی المقاعد، والعراقیب عقب الرّجل، والقدم وفی روایة هی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ینبئ عن النّجاس، والعرب لا یبالی بها فی أوّل الإسلام، وحتّی الآن بعد قرون، فلا مساس بهذه الروایات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الأمر دائراً بین أن یکون الغسل أو العطف علی اللّفظ، بل یمکن أن یکون النّصب والجرّ کلاهما دالاین علی المسح بالعطف علی لفظ الرؤس وعلی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سؤال اشهب وجواب مالک بالغسل قول من غیر دلیل کما هو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سنة الرّسول یعنی عمله یومیاً فی الوضوء فلم یثبت، ولو ثبت لم یختلف أهل البیت معهم وأمّا أقواله صلی الله علیه و آله التی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علی الغسل فی الوضوء، بل فی خارج الوضوء والطّهارة من الخبیث کما قلنا، وأنّ نداءه صلی الله علیه و آله اللناس حین رأی مسحهم فی الوضوء علی أرجلهم لیس للمسح، بل هو اخطار واعلام للطهارة عن النجاسة التی کانوا مبتلین بها یوماً ولیلة، ولم عندهم بیت خلا، مثل الآن، فکانوا یجلسون لقضاء الحاجة فی کل مکان یمکن لهم، واراضی مکة والمدینة کانت فیترشح علی عراقیبهم وارجلهم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وأؤمّا الجر بالجوار فقد أجاب کثیر من علماء السنة أنفسهم بالرد وعدم جواز اجرائه فی القرآن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ففیب الصّلاة جزء یغسل وجزء یمسح </w:t>
      </w:r>
      <w:bookmarkStart w:id="147" w:name="pg6193_70741"/>
    </w:p>
    <w:p>
      <w:pPr>
        <w:pStyle w:val="BookText"/>
        <w:rPr/>
      </w:pPr>
      <w:bookmarkEnd w:id="147"/>
      <w:r>
        <w:rPr>
          <w:rFonts w:ascii="IRNazanin" w:hAnsi="IRNazanin" w:eastAsia="IRNazanin"/>
          <w:color w:val="111111"/>
          <w:sz w:val="28"/>
          <w:sz w:val="28"/>
          <w:szCs w:val="28"/>
          <w:rtl w:val="true"/>
          <w:lang w:bidi="fa-IR"/>
        </w:rPr>
        <w:t xml:space="preserve">ففی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الکلّ وهو الوضوء باسم جزئه وهو المسح فلم تأولتموها بالغسل؟</w:t>
      </w:r>
    </w:p>
    <w:p>
      <w:pPr>
        <w:pStyle w:val="BookText"/>
        <w:rPr/>
      </w:pPr>
      <w:r>
        <w:rPr>
          <w:rFonts w:ascii="IRNazanin" w:hAnsi="IRNazanin" w:eastAsia="IRNazanin"/>
          <w:color w:val="111111"/>
          <w:sz w:val="28"/>
          <w:sz w:val="28"/>
          <w:szCs w:val="28"/>
          <w:rtl w:val="true"/>
          <w:lang w:bidi="fa-IR"/>
        </w:rPr>
        <w:t>وأمّا القول بالمسح عن بعض الصحابة والتّابعین فهذا یرّد قوله باجماع جمهور العلماء وجماعة فقهاء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الوعید بالعذاب فلیس بعدم الغسل فی الوضوء، بل بعدم الغسل من النّجاسة، فإن العرب کانت لا تبالی بها، وحتّی الآن</w:t>
      </w:r>
      <w:r>
        <w:rPr>
          <w:rFonts w:eastAsia="IRNazanin" w:cs="IRNazanin"/>
          <w:color w:val="111111"/>
          <w:sz w:val="28"/>
          <w:szCs w:val="28"/>
          <w:rtl w:val="true"/>
          <w:lang w:bidi="fa-IR"/>
        </w:rPr>
        <w:t>.</w:t>
      </w:r>
    </w:p>
    <w:p>
      <w:pPr>
        <w:pStyle w:val="Heading3"/>
        <w:numPr>
          <w:ilvl w:val="2"/>
          <w:numId w:val="1"/>
        </w:numPr>
        <w:rPr/>
      </w:pPr>
      <w:bookmarkStart w:id="148" w:name="__RefHeading___Toc972158_237004111"/>
      <w:bookmarkStart w:id="149" w:name="_Toc53"/>
      <w:bookmarkEnd w:id="148"/>
      <w:r>
        <w:rPr/>
        <w:t>31</w:t>
      </w:r>
      <w:r>
        <w:rPr>
          <w:rtl w:val="true"/>
        </w:rPr>
        <w:t xml:space="preserve"> - </w:t>
      </w:r>
      <w:r>
        <w:rPr>
          <w:rtl w:val="true"/>
        </w:rPr>
        <w:t xml:space="preserve">الواحدیّ النیسابوریّ </w:t>
      </w:r>
      <w:r>
        <w:rPr>
          <w:rtl w:val="true"/>
        </w:rPr>
        <w:t>(</w:t>
      </w:r>
      <w:r>
        <w:rPr>
          <w:rtl w:val="true"/>
        </w:rPr>
        <w:t xml:space="preserve">ت </w:t>
      </w:r>
      <w:r>
        <w:rPr/>
        <w:t>468</w:t>
      </w:r>
      <w:r>
        <w:rPr>
          <w:rtl w:val="true"/>
        </w:rPr>
        <w:t xml:space="preserve"> </w:t>
      </w:r>
      <w:r>
        <w:rPr>
          <w:rtl w:val="true"/>
        </w:rPr>
        <w:t xml:space="preserve">ه </w:t>
      </w:r>
      <w:r>
        <w:rPr>
          <w:rtl w:val="true"/>
        </w:rPr>
        <w:t>)</w:t>
      </w:r>
      <w:bookmarkEnd w:id="149"/>
    </w:p>
    <w:p>
      <w:pPr>
        <w:pStyle w:val="BookText"/>
        <w:rPr/>
      </w:pPr>
      <w:r>
        <w:rPr>
          <w:rFonts w:ascii="IRNazanin" w:hAnsi="IRNazanin" w:eastAsia="IRNazanin"/>
          <w:color w:val="111111"/>
          <w:sz w:val="28"/>
          <w:sz w:val="28"/>
          <w:szCs w:val="28"/>
          <w:rtl w:val="true"/>
          <w:lang w:bidi="fa-IR"/>
        </w:rPr>
        <w:t>اعترف الواحدیّ بأنّ الجرّ فی الآیة من باب العطف علی لفظ الرؤوس ومفاده المسح، إلّاأنّه حمل المسح علی الغسل،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ممسوحان إلّاأنّ المسح فی الرِّجل مراد به الغسل</w:t>
      </w:r>
      <w:r>
        <w:rPr>
          <w:rStyle w:val="FootnoteAnchor"/>
          <w:rtl w:val="true"/>
        </w:rPr>
        <w:footnoteReference w:id="2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بدلیلبن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نسبه إلی أبی زید الأنصاری،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خفیف الغسل، ولا شکّ أنّه معنیً مجازیّ وهو یحتاج إلی القرینة، والقرینة لذلک التحدید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یختصّ الغسل، ولا یجری فی المسح</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غیر ثابت وسیأتی تفصیله</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وأجملنا الجواب عنه سابقاً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اعتراف بعدم دلالة الآیة علی الغسل، ثم إن المسح علی الحقیقة أولی وألزم من حمله علی المجاز، مع أن التحدید لیس فیه قرینة، لأنّه واقع فی المسح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ناقض نفسه وقطع خطّ الرجعة علی نفسه فی تفسیر آیة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مسحک شیئاً بیدک کمسح العرق عن جبینک، وکمسحک رأسک فی وضوئک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المعنی الصحیح فی تفسیر المسح، والذی یؤیّده أهل اللغة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أخیراً مردود؛ لکونه خرقاً لإجماعهم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جماعة من أهل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 لا فی المعنی، إذ قد ینسق بالشیء علی غیره والحکم فیها مختلف، کما قال ابن الزِبَعْرَی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بعلک قد غدا متقلّداً سیفاً ورمحا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وحاملاً 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بعض بنی أسد یصف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علفتها تبناً وماءً بارداً حتّی شتت همّالة عیناها</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وسقیتها ماءً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المعنی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واغسلوا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لم </w:t>
      </w:r>
    </w:p>
    <w:p>
      <w:pPr>
        <w:pStyle w:val="BookText"/>
        <w:rPr/>
      </w:pPr>
      <w:r>
        <w:rPr>
          <w:rFonts w:ascii="IRNazanin" w:hAnsi="IRNazanin" w:eastAsia="IRNazanin"/>
          <w:color w:val="111111"/>
          <w:sz w:val="28"/>
          <w:sz w:val="28"/>
          <w:szCs w:val="28"/>
          <w:rtl w:val="true"/>
          <w:lang w:bidi="fa-IR"/>
        </w:rPr>
        <w:t xml:space="preserve">یذکر الغسل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سمّی لنا هؤلاء الذین یدّعی أنّهم أهل المعانی حتّی ننظر فی مدی علمهم بالمعانی، وأنّ اعتبارهم العلمیّ إلی أیّ حدّ هو؟؟</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المعطوف والمعطوف علیه فی البیت الأوّل هو اسم الفاعل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إلّاأنّ الثانی حذف لدلالة المعمول المنصوب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فی البیت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 حذف مع القرینة،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ولیس هو عاملاً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آلْمُقتَضیْ للعمل،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صَلاحِهِ للعمل، فیه لعدم المقتضی، والعامل ما به یتقوّم المعنی المقتضی وذلک کان معلوماً بالقرینة، وکلّ أحد یعرف أنّ الرمح لا یتقلّد والماء لا یعلف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العامل لا یضرّ فی بیان المراد، لأنّ ذلک معلوم بالقرینة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والآیة لا یَتَوَجَّهُ فیها کلّ 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لا یحتاج إلی عامل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ذلک زائداً، لأنّه غیر مناسب لأن یعطف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کان المقصود منها الغسل والقرینة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فالمناسب أن یذکر المحدود، وهو الغسل فی الوجه والیدین إلی جانب المحدود، وهو الغسل فی الرجلین کما یزعمون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تحقیق ذلک فی الفصل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هذا</w:t>
      </w:r>
      <w:r>
        <w:rPr>
          <w:rFonts w:eastAsia="IRNazanin" w:cs="IRNazanin"/>
          <w:color w:val="111111"/>
          <w:sz w:val="28"/>
          <w:szCs w:val="28"/>
          <w:rtl w:val="true"/>
          <w:lang w:bidi="fa-IR"/>
        </w:rPr>
        <w:t xml:space="preserve">. </w:t>
      </w:r>
      <w:bookmarkStart w:id="150" w:name="pg6193_70747"/>
    </w:p>
    <w:p>
      <w:pPr>
        <w:pStyle w:val="Heading3"/>
        <w:numPr>
          <w:ilvl w:val="2"/>
          <w:numId w:val="1"/>
        </w:numPr>
        <w:rPr/>
      </w:pPr>
      <w:bookmarkStart w:id="151" w:name="__RefHeading___Toc972160_237004111"/>
      <w:bookmarkStart w:id="152" w:name="_Toc54"/>
      <w:bookmarkEnd w:id="150"/>
      <w:bookmarkEnd w:id="151"/>
      <w:r>
        <w:rPr/>
        <w:t>32</w:t>
      </w:r>
      <w:r>
        <w:rPr>
          <w:rtl w:val="true"/>
        </w:rPr>
        <w:t xml:space="preserve"> - </w:t>
      </w:r>
      <w:r>
        <w:rPr>
          <w:rtl w:val="true"/>
        </w:rPr>
        <w:t xml:space="preserve">أبو المعالی الجوینیّ </w:t>
      </w:r>
      <w:r>
        <w:rPr>
          <w:rtl w:val="true"/>
        </w:rPr>
        <w:t>(</w:t>
      </w:r>
      <w:r>
        <w:rPr>
          <w:rtl w:val="true"/>
        </w:rPr>
        <w:t xml:space="preserve">ت </w:t>
      </w:r>
      <w:r>
        <w:rPr/>
        <w:t>478</w:t>
      </w:r>
      <w:r>
        <w:rPr>
          <w:rtl w:val="true"/>
        </w:rPr>
        <w:t xml:space="preserve"> </w:t>
      </w:r>
      <w:r>
        <w:rPr>
          <w:rtl w:val="true"/>
        </w:rPr>
        <w:t xml:space="preserve">ه </w:t>
      </w:r>
      <w:r>
        <w:rPr>
          <w:rtl w:val="true"/>
        </w:rPr>
        <w:t>)</w:t>
      </w:r>
      <w:bookmarkEnd w:id="152"/>
    </w:p>
    <w:p>
      <w:pPr>
        <w:pStyle w:val="BookText"/>
        <w:rPr/>
      </w:pPr>
      <w:r>
        <w:rPr>
          <w:rFonts w:ascii="IRNazanin" w:hAnsi="IRNazanin" w:eastAsia="IRNazanin"/>
          <w:color w:val="111111"/>
          <w:sz w:val="28"/>
          <w:sz w:val="28"/>
          <w:szCs w:val="28"/>
          <w:rtl w:val="true"/>
          <w:lang w:bidi="fa-IR"/>
        </w:rPr>
        <w:t xml:space="preserve">اعتبر الجوینیّ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علی الغسل،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لذلک بأدلّةٍ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الجزل الفصیح یسترسل فی الأحایین استرسالاً، ولا تختلف مبانیه لأدنی تغییرٍ فی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وتری العربُ المسحَ قریباً من الغسل، فإنّ کلّ واحد منهما إمساس العضو ماءً، فإذا جری فی الکلام عطف مقتضاه التشریک وتقارب المعنیان، لم یبعد اتّباع اللفظ اللفظ، وهو کقول القائل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والرمح یعتقل ویتأبّط ولا یتقلّد، ولکن التقلّد والاعتقال حملان قریبان، وهو مسکوت عنه فی المعطوف فسهل احتماله، ومنه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فروعُ الأیهقان وأطفلت بالجلهتین ظِباؤها ونعامها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وجه لا یخرج الکلام عن أسالیب البلاغة والجزالة، وتبسط المتکلّم واستنفاره وعدم انصرافه عن استرساله فی التفصیل، أحسن وأبلغ من خرم اتساق الکلام لدقائق</w:t>
      </w:r>
      <w:r>
        <w:rPr>
          <w:rStyle w:val="FootnoteAnchor"/>
          <w:rtl w:val="true"/>
        </w:rPr>
        <w:footnoteReference w:id="280"/>
      </w:r>
      <w:r>
        <w:rPr>
          <w:rFonts w:ascii="IRNazanin" w:hAnsi="IRNazanin" w:eastAsia="IRNazanin"/>
          <w:color w:val="111111"/>
          <w:sz w:val="28"/>
          <w:sz w:val="28"/>
          <w:szCs w:val="28"/>
          <w:rtl w:val="true"/>
          <w:lang w:bidi="fa-IR"/>
        </w:rPr>
        <w:t>فی المعانی لا تحتفل بها العرب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 فی الرجلین والیدین، فإنّ کُلّاً منهما مُغَیّیً بغایة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نقلوه علی رسول اللّه صلی الله علیه و آله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غسل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 هذه الأُمور فی القرآن والسنّة وفعل السلف أظهر من الجریان علی ما یقتضیه ظاهر العطف</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الآیة بقول العرب قیاس مع الفارق، والعرب وإن کان بینهم فصحاء إلّاأن الانحراف عن جادّة البلاغة والإخلال بها متصور، وإلّا لکانت معصومةً عن الخطأ، ولا قائل به ولا دلیل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والبیتان قد سبق الجواب عنهما بنحوٍ مَبْسُوطٍ</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الآخر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قولکم فیهما وفی أمثالهما، ومع هذا فهما من الأبیات الخارجة عن القانون وعلی القاعدة المُطَّرِدَةِ، وهی أن یذکر لکلّ معمول عامل یناسبه ویرتضیه أهل العرف،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یتقلّد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ارتضوه، وإذا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یتقلّد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خَطَّؤُوْهُ، وإذا لم یکن هذا القول فی الشعر فلا یمکن تخریج خطئه وفی الشعر یخرّج، فحمل کلام اللّه علی هذا البیت وأمثاله انحراف عن الصواب، لأنّ کَلامَ اللّهِ تبارک وتعالی لا یقیّد ولا یحدّد بالضرورات الشعریّة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والبیتان</w:t>
      </w:r>
      <w:r>
        <w:rPr>
          <w:rStyle w:val="FootnoteAnchor"/>
          <w:rtl w:val="true"/>
        </w:rPr>
        <w:footnoteReference w:id="284"/>
      </w:r>
      <w:r>
        <w:rPr>
          <w:rFonts w:ascii="IRNazanin" w:hAnsi="IRNazanin" w:eastAsia="IRNazanin"/>
          <w:color w:val="111111"/>
          <w:sz w:val="28"/>
          <w:sz w:val="28"/>
          <w:szCs w:val="28"/>
          <w:rtl w:val="true"/>
          <w:lang w:bidi="fa-IR"/>
        </w:rPr>
        <w:t xml:space="preserve">المستشهد بهما لا یُضاهیانِ القرآن فی بلاغته حتّی یقاس بهما، </w:t>
      </w:r>
    </w:p>
    <w:p>
      <w:pPr>
        <w:pStyle w:val="BookText"/>
        <w:rPr/>
      </w:pPr>
      <w:r>
        <w:rPr>
          <w:rFonts w:ascii="IRNazanin" w:hAnsi="IRNazanin" w:eastAsia="IRNazanin"/>
          <w:color w:val="111111"/>
          <w:sz w:val="28"/>
          <w:sz w:val="28"/>
          <w:szCs w:val="28"/>
          <w:rtl w:val="true"/>
          <w:lang w:bidi="fa-IR"/>
        </w:rPr>
        <w:t>ولاسیّما إذا کان للقرآن محمل صحیح وسهل یمکن معه الاحتفاظ ببلاغته وتاییده بالقانون وأُسلوب البلغاء، فحفظ کرامة القرآن أولی من الاحتفاظ بکرامة المذاهب، ولا داعِیَ لإخراج القرآن عن القانون تأییداً للمذاهب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فالقیاس والتشبیه خطأ، وأنّه مِنْ بابَ تَشَبُثِ الْغَرِیْقِ بِآلطُّحْلُبِ؛ لأنّ القانون فی التشبیه أن یکون المشبّه ناقصاَ والمشبّه به کاملاً، فتشبیه الآیة بالبیتین وأمثالهما خروج عن قانون التشبیه المجمع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بین الغسل ولزوم التحدید فیه حتّی یفرّع علیه حمل الرجلین علی الغسل بقرینة 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الوجه مغسول إجماعاً ولا تحدید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دلیله إنّما یمکن التمسّک به إذا کان صحیحاً مجمعاً علیه ومفروغاً عنه وهو لیس کذلک، فقد أثبتنا عدم الملازمة بین الغسل والتحدید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عدم المباینة بین المسح والحدِّ، فیمکن أن یحدّد المسح فی شیء ولا یُحدّد فی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یکون المغسول مَحدَّداً بحدّ کما فی الیدین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یکون الممسوح محدّداً کما فی الرجلین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لا یُحَدّد أَیٌّ منهما بحدٍّ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من دون أیّ تحدید، ویمسح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أیّ تحدید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الثالث قد تقدّم فی المجلدات السابقة من هذا الکتاب؛ أی فی البحثین السابقین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التأریخیّ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الإعراب بالمجاورة فقد أنکره الجوینیّ نفسه أشدّ الانکار، وردّه بأنّه حمل کلام الشارع علی جهة رکیکة تنأی عن اللغة الفصحی، </w:t>
      </w:r>
      <w:bookmarkStart w:id="153" w:name="pg6193_70753"/>
    </w:p>
    <w:p>
      <w:pPr>
        <w:pStyle w:val="BookText"/>
        <w:rPr/>
      </w:pPr>
      <w:bookmarkEnd w:id="153"/>
      <w:r>
        <w:rPr>
          <w:rFonts w:ascii="IRNazanin" w:hAnsi="IRNazanin" w:eastAsia="IRNazanin"/>
          <w:color w:val="111111"/>
          <w:sz w:val="28"/>
          <w:sz w:val="28"/>
          <w:szCs w:val="28"/>
          <w:rtl w:val="true"/>
          <w:lang w:bidi="fa-IR"/>
        </w:rPr>
        <w:t>وهو ممّا لا یتساهل فیه إلّالضیق القوافی والضرورة الشعریّة،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حمل حامل آیةً من کتاب اللّه أو لفظاً من ألفاظ رسول اللّه علی أمثال هذه المحامل، وأزال الظاهر الممکن إجراؤه لمذهب اعتقده فهذا لا یقبل</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یُنطق منصفاً وعنیداً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الجوینی هذا حمل الآیة علی أمثال هذه المحامل، وأزال المحکم عن مکانه وأدرجه فی المتشابه لمذهب اعتقده فاخاطبه بقول البارئ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أَنْحی باللّائَمةِ علی من قال بالْمُجاوَرَة فی قراءة آلَجرِّ مِنْ اتباع المذاهِبِ الاربعة، وَفَنَّدَ تَخَرُّصاتِهِم ومزاعِمَهُم آلواهِیَةَ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حکم الخروج عن نظم الإعراب بالکلیّة، وإیثار ترک الأُصول لاتّباع لفظةٍ فی الحرکة، وهذا ارتیاد الأردأ من غیر ضرورة، وإذا اضطرّ إلیه الشاعر فی مضایق القوافی لم یعدّ ذلک من حسن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 هذا یناقض ما قاله سابقاً، فما عدا مما بدا؟</w:t>
      </w:r>
      <w:r>
        <w:rPr>
          <w:rFonts w:eastAsia="IRNazanin" w:cs="IRNazanin"/>
          <w:color w:val="111111"/>
          <w:sz w:val="28"/>
          <w:szCs w:val="28"/>
          <w:rtl w:val="true"/>
          <w:lang w:bidi="fa-IR"/>
        </w:rPr>
        <w:t>!</w:t>
      </w:r>
    </w:p>
    <w:p>
      <w:pPr>
        <w:pStyle w:val="Heading3"/>
        <w:numPr>
          <w:ilvl w:val="2"/>
          <w:numId w:val="1"/>
        </w:numPr>
        <w:rPr/>
      </w:pPr>
      <w:bookmarkStart w:id="154" w:name="__RefHeading___Toc972162_237004111"/>
      <w:bookmarkStart w:id="155" w:name="_Toc55"/>
      <w:bookmarkEnd w:id="154"/>
      <w:r>
        <w:rPr/>
        <w:t>33</w:t>
      </w:r>
      <w:r>
        <w:rPr>
          <w:rtl w:val="true"/>
        </w:rPr>
        <w:t xml:space="preserve"> - </w:t>
      </w:r>
      <w:r>
        <w:rPr>
          <w:rtl w:val="true"/>
        </w:rPr>
        <w:t xml:space="preserve">السرخسیّ </w:t>
      </w:r>
      <w:r>
        <w:rPr>
          <w:rtl w:val="true"/>
        </w:rPr>
        <w:t>(</w:t>
      </w:r>
      <w:r>
        <w:rPr>
          <w:rtl w:val="true"/>
        </w:rPr>
        <w:t xml:space="preserve">ت </w:t>
      </w:r>
      <w:r>
        <w:rPr/>
        <w:t>486</w:t>
      </w:r>
      <w:r>
        <w:rPr>
          <w:rtl w:val="true"/>
        </w:rPr>
        <w:t xml:space="preserve"> </w:t>
      </w:r>
      <w:r>
        <w:rPr>
          <w:rtl w:val="true"/>
        </w:rPr>
        <w:t xml:space="preserve">ه </w:t>
      </w:r>
      <w:r>
        <w:rPr>
          <w:rtl w:val="true"/>
        </w:rPr>
        <w:t>)</w:t>
      </w:r>
      <w:bookmarkEnd w:id="1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 السرخسیّ بأنّ الجرّ فی الأرجل لا یفید إلّاالمسح بعطف الرجل علی </w:t>
      </w:r>
      <w:bookmarkStart w:id="156" w:name="pg6193_70755"/>
    </w:p>
    <w:p>
      <w:pPr>
        <w:pStyle w:val="BookText"/>
        <w:rPr/>
      </w:pPr>
      <w:bookmarkEnd w:id="156"/>
      <w:r>
        <w:rPr>
          <w:rFonts w:ascii="IRNazanin" w:hAnsi="IRNazanin" w:eastAsia="IRNazanin"/>
          <w:color w:val="111111"/>
          <w:sz w:val="28"/>
          <w:sz w:val="28"/>
          <w:szCs w:val="28"/>
          <w:rtl w:val="true"/>
          <w:lang w:bidi="fa-IR"/>
        </w:rPr>
        <w:t>الرأس، ولکنّه بغی علی الحقّ أخیراً، فحمله علی المسح علی الخفّین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الخفّ لیس برجلٍ لا شرعاً ولا عرفاً، وکذا لا یطلق الرجل علی الخفّ فی کلام العرب، فإن کانوا صادقین فیما یقولون، فلیأتوا بشاهدٍ من کلام العرب الموثوق بعربیّتهم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کثیر من الصحابة لا یسمّون المسح علی الخفّین مسحاً حتّی جاء عن عائشة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أمسح علی جلد حمارٍ أحبّ إلیّ من أن أمسح علی الخفّین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وقولها هذا أزعج عمر، فقال ذامّاً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بقول امرأة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972164_237004111"/>
      <w:bookmarkStart w:id="158" w:name="_Toc56"/>
      <w:bookmarkEnd w:id="157"/>
      <w:r>
        <w:rPr/>
        <w:t>34</w:t>
      </w:r>
      <w:r>
        <w:rPr>
          <w:rtl w:val="true"/>
        </w:rPr>
        <w:t xml:space="preserve"> - </w:t>
      </w:r>
      <w:r>
        <w:rPr>
          <w:rtl w:val="true"/>
        </w:rPr>
        <w:t xml:space="preserve">أبو المظفّر السَّمْعانیّ </w:t>
      </w:r>
      <w:r>
        <w:rPr>
          <w:rtl w:val="true"/>
        </w:rPr>
        <w:t>(</w:t>
      </w:r>
      <w:r>
        <w:rPr>
          <w:rtl w:val="true"/>
        </w:rPr>
        <w:t xml:space="preserve">ت </w:t>
      </w:r>
      <w:r>
        <w:rPr/>
        <w:t>489</w:t>
      </w:r>
      <w:r>
        <w:rPr>
          <w:rtl w:val="true"/>
        </w:rPr>
        <w:t xml:space="preserve"> </w:t>
      </w:r>
      <w:r>
        <w:rPr>
          <w:rtl w:val="true"/>
        </w:rPr>
        <w:t xml:space="preserve">ه </w:t>
      </w:r>
      <w:r>
        <w:rPr>
          <w:rtl w:val="true"/>
        </w:rPr>
        <w:t>)</w:t>
      </w:r>
      <w:bookmarkEnd w:id="158"/>
    </w:p>
    <w:p>
      <w:pPr>
        <w:pStyle w:val="BookText"/>
        <w:rPr/>
      </w:pPr>
      <w:r>
        <w:rPr>
          <w:rFonts w:ascii="IRNazanin" w:hAnsi="IRNazanin" w:eastAsia="IRNazanin"/>
          <w:color w:val="111111"/>
          <w:sz w:val="28"/>
          <w:sz w:val="28"/>
          <w:szCs w:val="28"/>
          <w:rtl w:val="true"/>
          <w:lang w:bidi="fa-IR"/>
        </w:rPr>
        <w:t>ادّعی السمعانیّ إفادة الآیة الغسل لا المسح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بالجوار مستدلّاً بقول العرب المنقول مکرّراً، والذی تقدّم جوابنا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امرئ القیس فی المعلّقة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وقد تقدم ردّ الفارسی علی هذا البیت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باب العطف علی الرؤوس والمفاد الغسل، کما زعم ذلک فی </w:t>
      </w:r>
      <w:bookmarkStart w:id="159" w:name="pg6193_70757"/>
    </w:p>
    <w:p>
      <w:pPr>
        <w:pStyle w:val="BookText"/>
        <w:rPr/>
      </w:pPr>
      <w:bookmarkEnd w:id="15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لا یُطاف بهنّ علی أزواجهنّ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الجواب عن هذا أیضاً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الجواب عنه أیضاً فی ردّ الثعلبیّ فراجعه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الأمر کما زعم لکان العطف من غیر تشریک المتعاطفین فی الحکم عبثاً ولغواً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 الظالمون علوّاً کبیراً</w:t>
      </w:r>
      <w:r>
        <w:rPr>
          <w:rFonts w:eastAsia="IRNazanin" w:cs="IRNazanin"/>
          <w:color w:val="111111"/>
          <w:sz w:val="28"/>
          <w:szCs w:val="28"/>
          <w:rtl w:val="true"/>
          <w:lang w:bidi="fa-IR"/>
        </w:rPr>
        <w:t>.</w:t>
      </w:r>
    </w:p>
    <w:p>
      <w:pPr>
        <w:pStyle w:val="Heading3"/>
        <w:numPr>
          <w:ilvl w:val="2"/>
          <w:numId w:val="1"/>
        </w:numPr>
        <w:rPr/>
      </w:pPr>
      <w:bookmarkStart w:id="160" w:name="__RefHeading___Toc972166_237004111"/>
      <w:bookmarkStart w:id="161" w:name="_Toc57"/>
      <w:bookmarkEnd w:id="160"/>
      <w:r>
        <w:rPr/>
        <w:t>35</w:t>
      </w:r>
      <w:r>
        <w:rPr>
          <w:rtl w:val="true"/>
        </w:rPr>
        <w:t xml:space="preserve"> - </w:t>
      </w:r>
      <w:r>
        <w:rPr>
          <w:rtl w:val="true"/>
        </w:rPr>
        <w:t xml:space="preserve">البزدویّ </w:t>
      </w:r>
      <w:r>
        <w:rPr>
          <w:rtl w:val="true"/>
        </w:rPr>
        <w:t>(</w:t>
      </w:r>
      <w:r>
        <w:rPr>
          <w:rtl w:val="true"/>
        </w:rPr>
        <w:t xml:space="preserve">ت </w:t>
      </w:r>
      <w:r>
        <w:rPr/>
        <w:t>493</w:t>
      </w:r>
      <w:r>
        <w:rPr>
          <w:rtl w:val="true"/>
        </w:rPr>
        <w:t xml:space="preserve"> </w:t>
      </w:r>
      <w:r>
        <w:rPr>
          <w:rtl w:val="true"/>
        </w:rPr>
        <w:t xml:space="preserve">ه </w:t>
      </w:r>
      <w:r>
        <w:rPr>
          <w:rtl w:val="true"/>
        </w:rPr>
        <w:t>)</w:t>
      </w:r>
      <w:bookmarkEnd w:id="161"/>
    </w:p>
    <w:p>
      <w:pPr>
        <w:pStyle w:val="BookText"/>
        <w:rPr/>
      </w:pPr>
      <w:r>
        <w:rPr>
          <w:rFonts w:ascii="IRNazanin" w:hAnsi="IRNazanin" w:eastAsia="IRNazanin"/>
          <w:color w:val="111111"/>
          <w:sz w:val="28"/>
          <w:sz w:val="28"/>
          <w:szCs w:val="28"/>
          <w:rtl w:val="true"/>
          <w:lang w:bidi="fa-IR"/>
        </w:rPr>
        <w:t>لقد سلک البزدویّ فی قراءة الجرّ مسلک الصَّواب، وقال</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کلامه ان یکون مُفاد الآیة المسح، لکنه عنی بالمسح المسح علی الخفّین لا علی القدمین، فهو کمن زعم السراب ماءً، لأنّ إِطلاق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یُراد منه آلْأَرْجُلُ حقیقة ولا یراد به الخفّ؛ لا لغةً ولا شرعاً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972168_237004111"/>
      <w:bookmarkStart w:id="163" w:name="_Toc58"/>
      <w:bookmarkEnd w:id="162"/>
      <w:r>
        <w:rPr/>
        <w:t>36</w:t>
      </w:r>
      <w:r>
        <w:rPr>
          <w:rtl w:val="true"/>
        </w:rPr>
        <w:t xml:space="preserve"> - </w:t>
      </w:r>
      <w:r>
        <w:rPr>
          <w:rtl w:val="true"/>
        </w:rPr>
        <w:t xml:space="preserve">عماد الدین الکِیا الهَرَّاس الطبریّ </w:t>
      </w:r>
      <w:r>
        <w:rPr>
          <w:rtl w:val="true"/>
        </w:rPr>
        <w:t>(</w:t>
      </w:r>
      <w:r>
        <w:rPr>
          <w:rtl w:val="true"/>
        </w:rPr>
        <w:t xml:space="preserve">ت </w:t>
      </w:r>
      <w:r>
        <w:rPr/>
        <w:t>504</w:t>
      </w:r>
      <w:r>
        <w:rPr>
          <w:rtl w:val="true"/>
        </w:rPr>
        <w:t xml:space="preserve"> </w:t>
      </w:r>
      <w:r>
        <w:rPr>
          <w:rtl w:val="true"/>
        </w:rPr>
        <w:t xml:space="preserve">ه </w:t>
      </w:r>
      <w:r>
        <w:rPr>
          <w:rtl w:val="true"/>
        </w:rPr>
        <w:t>)</w:t>
      </w:r>
      <w:bookmarkEnd w:id="163"/>
    </w:p>
    <w:p>
      <w:pPr>
        <w:pStyle w:val="BookText"/>
        <w:rPr/>
      </w:pPr>
      <w:r>
        <w:rPr>
          <w:rFonts w:ascii="IRNazanin" w:hAnsi="IRNazanin" w:eastAsia="IRNazanin"/>
          <w:color w:val="111111"/>
          <w:sz w:val="28"/>
          <w:sz w:val="28"/>
          <w:szCs w:val="28"/>
          <w:rtl w:val="true"/>
          <w:lang w:bidi="fa-IR"/>
        </w:rPr>
        <w:t xml:space="preserve">اعترف الهرَّاس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الجرّ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کما اعترف أیضاً بأنّ اللفظ ظاهر فی المسح</w:t>
      </w:r>
      <w:r>
        <w:rPr>
          <w:rStyle w:val="FootnoteAnchor"/>
          <w:rtl w:val="true"/>
        </w:rPr>
        <w:footnoteReference w:id="294"/>
      </w:r>
      <w:r>
        <w:rPr>
          <w:rFonts w:ascii="IRNazanin" w:hAnsi="IRNazanin" w:eastAsia="IRNazanin"/>
          <w:color w:val="111111"/>
          <w:sz w:val="28"/>
          <w:sz w:val="28"/>
          <w:szCs w:val="28"/>
          <w:rtl w:val="true"/>
          <w:lang w:bidi="fa-IR"/>
        </w:rPr>
        <w:t>، إلّاأنّه زعم أنّ القرائن تثبت الغسل، ثمّ ذکر قرینة التحدید إلی الکعبین،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فالبلل الخارج من الماء فی خفّ الماسح، کیف یمتدّ إلی الکعبین، وکیف یمکنهم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هذا أنّه لا ینکر ظهور اللفظ ودلالته علی المسح علی القدمین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المسح علی الخفّین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إلّاأنّ قرینة التحدید عنده تدلّ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والقرینة الثانیة هی الروایة الموضوعة علی لسان رسول اللّه صلی الله علیه و آله أو الْمُساءُ فَهْمُها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رَدُّها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امتداد البلل الخارج من الماء فی کفّ الماسح یمتدّ إلی الکعبین، ولا ینکره إلّا معاند، ولا یتوجّه اعتراضه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البلل الخارج من الماء فی خُفّ الماسح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یمتدّ إلی الکعبین؟ فلیسأل أبناء مذهبه عن ذلک ویوجّه اللوم إلیهم والوقیعة فیهم؛ لأنّا لسنا مکلّفین بالجواب عنه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واحتمل أن یکون الجرّ فی الآیة بالمجاورة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أمثلةً فی القرآن وأشعار العرب، ثمّ أحال ذلک علی کتب الفقه والأُصول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صحّ کلامه هذا لأمکن کُلَّ واحد أن یدّعی أُموراً عجیبة رجماً بالغیب، ثمّ إذا وقع فی مأزق الاستدلال یحیل کلامه علی الکتب التی أُلفت فی موضوعات أُخری من غیر أن یسمّی واحداً منها، وبهذا یتّسع الخرق علی الراقع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یَلْبَثْ الهرّاس الطبریّ أَنْ صَرَّحَ فی ردّ هذا الاحتمال بقول من استحسن کلامه بأنّ القرآن یؤثر المعنی علی النظم بخلاف کسر الجوار، فإنّما یقول به من یقصد تغلیب النظم علی المعنی مثل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سیما القائلون بأنّ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المسح یخالف حکم الرأس، فلم یجوّزوا الجرّ بناءً علی المجاورة فی النظم مع الاختلاف فی المعنی</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لردّ الأشعار التی أوردها أبناءُ مذهبه لإثبات العطف علی التقارب مع اختلاف المعنی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بالجلهتین ظباؤها ونعامها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بأنّ التقارب فی‌المعنی فی المقام مفقود وهو لا یجوّز الکسر علی الجوار، لأنّ الشارع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الغسل 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الأبیات ففیها القرینة وهی العلم بالاقتران فأطلق اللفظ الواحد علیهما ولا کذلک الآیة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ردّ الجوار فصحیح، ولکنّ الجرّ لیس من باب المجاورة بل العطف </w:t>
      </w:r>
      <w:bookmarkStart w:id="164" w:name="pg6193_70763"/>
    </w:p>
    <w:p>
      <w:pPr>
        <w:pStyle w:val="BookText"/>
        <w:rPr/>
      </w:pPr>
      <w:bookmarkEnd w:id="164"/>
      <w:r>
        <w:rPr>
          <w:rFonts w:ascii="IRNazanin" w:hAnsi="IRNazanin" w:eastAsia="IRNazanin"/>
          <w:color w:val="111111"/>
          <w:sz w:val="28"/>
          <w:sz w:val="28"/>
          <w:szCs w:val="28"/>
          <w:rtl w:val="true"/>
          <w:lang w:bidi="fa-IR"/>
        </w:rPr>
        <w:t xml:space="preserve">المفید للتشریک بین المتعاطفین فی الحکم، وأمّا التفریق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فخطأ لا محالة بما أسلفنا</w:t>
      </w:r>
      <w:r>
        <w:rPr>
          <w:rStyle w:val="FootnoteAnchor"/>
          <w:rtl w:val="true"/>
        </w:rPr>
        <w:footnoteReference w:id="299"/>
      </w:r>
      <w:r>
        <w:rPr>
          <w:rFonts w:ascii="IRNazanin" w:hAnsi="IRNazanin" w:eastAsia="IRNazanin"/>
          <w:color w:val="111111"/>
          <w:sz w:val="28"/>
          <w:sz w:val="28"/>
          <w:szCs w:val="28"/>
          <w:rtl w:val="true"/>
          <w:lang w:bidi="fa-IR"/>
        </w:rPr>
        <w:t>، وما سیأتی</w:t>
      </w:r>
      <w:r>
        <w:rPr>
          <w:rStyle w:val="FootnoteAnchor"/>
          <w:rtl w:val="true"/>
        </w:rPr>
        <w:footnoteReference w:id="300"/>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972170_237004111"/>
      <w:bookmarkStart w:id="166" w:name="_Toc59"/>
      <w:bookmarkEnd w:id="165"/>
      <w:r>
        <w:rPr/>
        <w:t>37</w:t>
      </w:r>
      <w:r>
        <w:rPr>
          <w:rtl w:val="true"/>
        </w:rPr>
        <w:t xml:space="preserve"> - </w:t>
      </w:r>
      <w:r>
        <w:rPr>
          <w:rtl w:val="true"/>
        </w:rPr>
        <w:t xml:space="preserve">الغزالیّ الطوسیّ </w:t>
      </w:r>
      <w:r>
        <w:rPr>
          <w:rtl w:val="true"/>
        </w:rPr>
        <w:t>(</w:t>
      </w:r>
      <w:r>
        <w:rPr>
          <w:rtl w:val="true"/>
        </w:rPr>
        <w:t xml:space="preserve">ت </w:t>
      </w:r>
      <w:r>
        <w:rPr/>
        <w:t>505</w:t>
      </w:r>
      <w:r>
        <w:rPr>
          <w:rtl w:val="true"/>
        </w:rPr>
        <w:t xml:space="preserve"> </w:t>
      </w:r>
      <w:r>
        <w:rPr>
          <w:rtl w:val="true"/>
        </w:rPr>
        <w:t xml:space="preserve">ه </w:t>
      </w:r>
      <w:r>
        <w:rPr>
          <w:rtl w:val="true"/>
        </w:rPr>
        <w:t>)</w:t>
      </w:r>
      <w:bookmarkEnd w:id="166"/>
    </w:p>
    <w:p>
      <w:pPr>
        <w:pStyle w:val="BookText"/>
        <w:rPr/>
      </w:pP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فَطِنَ الغزالیّ أنّ الجرّ لا یفید إلّاالمسح، وأنّه ینافی معتقده، فأنکره من أساسه وتهجّم علی قومه فی تعرّضهم لقراءة الجرّ، وأَسِفَ من عدم فِطْنَتِهمْ إلی إنکاره، وأغلظ لهم فی القول به والاستدلال علی من قال من باب المجاورة، وصرّح بأنّ استدلالهم للمجاورة بقول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امرئ القیس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بصحیح فی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الجرّ فی الأمثلة لیس سببه المجاورة، بل سببه أنّ الرفع أثقل من الکسر</w:t>
      </w:r>
      <w:r>
        <w:rPr>
          <w:rStyle w:val="FootnoteAnchor"/>
          <w:rtl w:val="true"/>
        </w:rPr>
        <w:footnoteReference w:id="302"/>
      </w:r>
      <w:r>
        <w:rPr>
          <w:rFonts w:ascii="IRNazanin" w:hAnsi="IRNazanin" w:eastAsia="IRNazanin"/>
          <w:color w:val="111111"/>
          <w:sz w:val="28"/>
          <w:sz w:val="28"/>
          <w:szCs w:val="28"/>
          <w:rtl w:val="true"/>
          <w:lang w:bidi="fa-IR"/>
        </w:rPr>
        <w:t>، فاستثقلوا الانتقال من حرکة خفیفة إلی حرکة ثقیلة، فوالوا بین الکسرتین</w:t>
      </w:r>
      <w:r>
        <w:rPr>
          <w:rStyle w:val="FootnoteAnchor"/>
          <w:rtl w:val="true"/>
        </w:rPr>
        <w:footnoteReference w:id="3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العرب کرهت الانتقال من الکسرة إلی الضمّة، کما کرهت الانتقال من الضمّة إلی 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من الکسرة إلی الضمّة والعکس ثقیل، فلذا ترکوا فی أبنیة الأسماء الثلاثیّة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استثقالاً</w:t>
      </w:r>
      <w:r>
        <w:rPr>
          <w:rStyle w:val="FootnoteAnchor"/>
          <w:rtl w:val="true"/>
        </w:rPr>
        <w:footnoteReference w:id="3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استثقلوا النقل من الضمّة إلی الکسرة، إذا کانتا لازمتین بخلاف العارضتین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واستثقلوا النقل من الکسرة إلی الضمّة مطلقاً، أی سواء أکانتا لازمتین أم عارضتین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عن الفعل المجهول إلی الاسمیّة،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فمحمول علی تداخل اللغتین، ولا یرد بهما نقض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اتفق علیه الصرفیّون من زمن الواضع إلی یومنا هذا فی ثقل النقل من إحدی الحرکتین الثقیلتین إلی الأُخری، وذلک إذا کان النقل فی کلمة واحدة والحرکة المعتبرة هی الکائنات فی العین والفاء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الانتقال من الضمّة إلی الکسرة إذا کانت إحدی الحرکتین علی اللّام، وکذا من الرفع إلی الجرّ وبالعکس فلم یحکم بثقله إلی الآن أحد، ولم یسمع إلّامن الغزالیّ، وهو لیس بذاک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التصریف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نحن فلا نوافق الغزالیّ فیما أنکره، ولکن نوافقه فی ردّ دلیل القوم؛ لأنّه مردود بوجوه أخری، لا بما ذکره الغزالیّ، وردّ المجاورة علی طریقة الغزالیّ لا یوافقه علیه أهل التصریف بأجمعهم، لأنّه إن أراد من الرفع حرکة الإعراب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مرفوع کونه نعتاً للکبیر، ومن الکسرة حرکة المیم التی هی عین وهی فی اسم الفاعل مکسورة طبعاً، فوالوا بین الحرکتین فکسروا اللّام تبعاً للمیم؛ فحرکة اللّام هی حرکة الإعراب العارضة، واللّام أیضاً حرکته ساقطة من أوّل الأمر، فلم یقل به أحد، ولا یکون ثقیلاً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کان فی کلمة واحدة </w:t>
      </w:r>
      <w:bookmarkStart w:id="167" w:name="pg6193_70767"/>
    </w:p>
    <w:p>
      <w:pPr>
        <w:pStyle w:val="BookText"/>
        <w:rPr/>
      </w:pPr>
      <w:bookmarkEnd w:id="167"/>
      <w:r>
        <w:rPr>
          <w:rFonts w:ascii="IRNazanin" w:hAnsi="IRNazanin" w:eastAsia="IRNazanin"/>
          <w:color w:val="111111"/>
          <w:sz w:val="28"/>
          <w:sz w:val="28"/>
          <w:szCs w:val="28"/>
          <w:rtl w:val="true"/>
          <w:lang w:bidi="fa-IR"/>
        </w:rPr>
        <w:t>لکنّهم لم یعتبروا حرکة الإعراب فی هذا الباب، والثقل الذی قالوا به فی النقل من حرکة إلی أُخری إنّما هو فی غیر حرکة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بالرفع الحرکة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خبر المبتدأ، وأراد بالکسر حرکة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لا یکون ثقیلاً، وإن لم یوالوا بین الکسرتین، ولم یکسروا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رفعوه علی الأصل،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وشدّد الغزالیّ الهجوم علی القائلین بالقول المذکورِ آنِفاً، حیث استدلّوا بأمثال هذا، وهی لا تصلح للاستدلال، ورأی المَخْلَصَ من استدلال الشیعة هو إنکار الجرّ بالمرّة</w:t>
      </w:r>
      <w:r>
        <w:rPr>
          <w:rFonts w:eastAsia="IRNazanin" w:cs="IRNazanin"/>
          <w:color w:val="111111"/>
          <w:sz w:val="28"/>
          <w:szCs w:val="28"/>
          <w:rtl w:val="true"/>
          <w:lang w:bidi="fa-IR"/>
        </w:rPr>
        <w:t>.</w:t>
      </w:r>
    </w:p>
    <w:p>
      <w:pPr>
        <w:pStyle w:val="Heading3"/>
        <w:numPr>
          <w:ilvl w:val="2"/>
          <w:numId w:val="1"/>
        </w:numPr>
        <w:rPr/>
      </w:pPr>
      <w:bookmarkStart w:id="168" w:name="__RefHeading___Toc972172_237004111"/>
      <w:bookmarkStart w:id="169" w:name="_Toc60"/>
      <w:bookmarkEnd w:id="168"/>
      <w:r>
        <w:rPr/>
        <w:t>38</w:t>
      </w:r>
      <w:r>
        <w:rPr>
          <w:rtl w:val="true"/>
        </w:rPr>
        <w:t xml:space="preserve"> - </w:t>
      </w:r>
      <w:r>
        <w:rPr>
          <w:rtl w:val="true"/>
        </w:rPr>
        <w:t xml:space="preserve">البغویّ </w:t>
      </w:r>
      <w:r>
        <w:rPr>
          <w:rtl w:val="true"/>
        </w:rPr>
        <w:t>(</w:t>
      </w:r>
      <w:r>
        <w:rPr>
          <w:rtl w:val="true"/>
        </w:rPr>
        <w:t xml:space="preserve">ت </w:t>
      </w:r>
      <w:r>
        <w:rPr/>
        <w:t>510</w:t>
      </w:r>
      <w:r>
        <w:rPr>
          <w:rtl w:val="true"/>
        </w:rPr>
        <w:t xml:space="preserve"> </w:t>
      </w:r>
      <w:r>
        <w:rPr>
          <w:rtl w:val="true"/>
        </w:rPr>
        <w:t xml:space="preserve">أو </w:t>
      </w:r>
      <w:r>
        <w:rPr/>
        <w:t>516</w:t>
      </w:r>
      <w:r>
        <w:rPr>
          <w:rtl w:val="true"/>
        </w:rPr>
        <w:t xml:space="preserve"> </w:t>
      </w:r>
      <w:r>
        <w:rPr>
          <w:rtl w:val="true"/>
        </w:rPr>
        <w:t xml:space="preserve">ه </w:t>
      </w:r>
      <w:r>
        <w:rPr>
          <w:rtl w:val="true"/>
        </w:rPr>
        <w:t>)</w:t>
      </w:r>
      <w:bookmarkEnd w:id="169"/>
    </w:p>
    <w:p>
      <w:pPr>
        <w:pStyle w:val="BookText"/>
        <w:rPr/>
      </w:pPr>
      <w:r>
        <w:rPr>
          <w:rFonts w:ascii="IRNazanin" w:hAnsi="IRNazanin" w:eastAsia="IRNazanin"/>
          <w:color w:val="111111"/>
          <w:sz w:val="28"/>
          <w:sz w:val="28"/>
          <w:szCs w:val="28"/>
          <w:rtl w:val="true"/>
          <w:lang w:bidi="fa-IR"/>
        </w:rPr>
        <w:t>حمل البغویّ الجرّ فی الأرجل علی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عطفاً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مُفادُ الآیةِ آلْمَسْحِ، ولکنّه لم یَرُقْه إبقاء الآیة علی محکمیّتها، بل أراد التقلیل من مکانة هذا المعنی،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وإنّه قول جماعة من أهل العلم قلیلة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أنّ القلیل من أهل العلم علمهم کثیر فی کثیر من الاحیان، وإن کانت جماعتهم قلیلةً، وهذه لا تضرّ بمکانة القول ومکانة القائلین به، فإنّ الکثیرین الذین علمهم قلیل لا فائدة فی کثرتهم، والکثرة لا تکون مداراً للحقّ والحقیقة 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أَکْثَرُهُمْ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جِئْناکُمْ بِالْحَقِّ </w:t>
      </w:r>
    </w:p>
    <w:p>
      <w:pPr>
        <w:pStyle w:val="BookText"/>
        <w:rPr/>
      </w:pPr>
      <w:r>
        <w:rPr>
          <w:rFonts w:ascii="Amiri" w:hAnsi="Amiri" w:eastAsia="Amiri" w:cs="Amiri"/>
          <w:color w:val="111111"/>
          <w:sz w:val="28"/>
          <w:sz w:val="28"/>
          <w:szCs w:val="28"/>
          <w:rtl w:val="true"/>
          <w:lang w:bidi="ar-SA"/>
        </w:rPr>
        <w:t>وَ لکِنَّ أَکْثَرَکُمْ لِلْحَقِّ کارِهُونَ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جاءَهُمْ بِالْحَقِّ وَ أَکْثَرُهُمْ لِلْحَقِّ کارِهُونَ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کَثِیراً لَیُضِلُّونَ بِأَهْوائِهِمْ بِغَیْرِ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إنّه أیّد القول المنسوب إلی هؤلاء القائلین بالمسح بروایة رواها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مثلها عن عکرمة وقتادة والشعبیّ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بالجوار؛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الوجوه ومفادها الغسل، لکن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 فی مجاورة المجرور،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قد یؤخذ بذنب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بالجرّ علی أنّ الألیم صفة العذاب فإعرابه الرفع، لکنّه جُرَّ لوقوعه فی مجاورة المجرور، وقد مر علیک ما حکی عن الآلوسی فی روح المعانی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الزجّاج</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 الألم والصّعب والشدید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صفة للیوم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علی آل </w:t>
      </w:r>
    </w:p>
    <w:p>
      <w:pPr>
        <w:pStyle w:val="BookText"/>
        <w:rPr/>
      </w:pPr>
      <w:r>
        <w:rPr>
          <w:rFonts w:ascii="IRNazanin" w:hAnsi="IRNazanin" w:eastAsia="IRNazanin"/>
          <w:color w:val="111111"/>
          <w:sz w:val="28"/>
          <w:sz w:val="28"/>
          <w:szCs w:val="28"/>
          <w:rtl w:val="true"/>
          <w:lang w:bidi="fa-IR"/>
        </w:rPr>
        <w:t>الرسسول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فالألیم صفة للیوم حقیقة باعتبار وقوع الألم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جریر الطبریّ لم تُقْنِعْهُ أدلّة الغسل، فاضطرّ إلی القول بالتخییر، والمراد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المسح علی الرجلین</w:t>
      </w:r>
      <w:r>
        <w:rPr>
          <w:rStyle w:val="FootnoteAnchor"/>
          <w:rtl w:val="true"/>
        </w:rPr>
        <w:footnoteReference w:id="307"/>
      </w:r>
      <w:r>
        <w:rPr>
          <w:rFonts w:ascii="IRNazanin" w:hAnsi="IRNazanin" w:eastAsia="IRNazanin"/>
          <w:color w:val="111111"/>
          <w:sz w:val="28"/>
          <w:sz w:val="28"/>
          <w:szCs w:val="28"/>
          <w:rtl w:val="true"/>
          <w:lang w:bidi="fa-IR"/>
        </w:rPr>
        <w:t>أو 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البغویّ فسّر المسح بالمسح علی الخفّین والغسل بغسل القدمین، وهذا من التحریف بمکانٍ، لأنّ المسح علی الخفّین لیس قول ابن جریر وحده، بل هو قول العامّة، وما معنی التخییر إذن؟ إن کان هو التخییر بین المسح علی الخفّین والغسل، فهذا لیس بقول جدید؛ ولا تعلیل فرید، بل هو تعلیل قدیم، وطریقة جمع أَقدم علیها أکثر علماء العامّة، بینما الواقف علی کلام الطبری یفهم إِحداثه لقول ثالث فی الوضوء وهو التخییر؛ لتکافؤ صحّة النقلین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علی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لم یمکنه ترجیح أحدهما علی الآخر لزمه أن یعذر العامل بأیّهما شاء المسح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أَوضحنا سابقاً فی البحثین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التاریخی والروائی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 بین المسلمین قد وقع 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عثمان بن عفّان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حسب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غسلها خلافاً لغیره من الصحابة الذاهبین إلی لزوم مسحها، لکنّهم لمّا رأوا قوّة أدلّة الماسحین من جهةٍ وسیرة الناس بالغسل تبعاً لعثمان بن عفّان والأمویین من جهة اخری، الزمهم أن یقولوا بالتخییر، وکان مِنْ بین القائلین بالتخییر ابن جریر الطبریّ، والحسن البصریّ، وأبو علیّ الجُبّائیّ وغیرهم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هناک آخَرِیْنَ کداود بن علیّ الظاهریّ والناصر للحقّ من أئمّة الزیدیّة </w:t>
      </w:r>
      <w:bookmarkStart w:id="170" w:name="pg6193_70773"/>
    </w:p>
    <w:p>
      <w:pPr>
        <w:pStyle w:val="BookText"/>
        <w:rPr/>
      </w:pPr>
      <w:bookmarkEnd w:id="170"/>
      <w:r>
        <w:rPr>
          <w:rFonts w:ascii="IRNazanin" w:hAnsi="IRNazanin" w:eastAsia="IRNazanin"/>
          <w:color w:val="111111"/>
          <w:sz w:val="28"/>
          <w:sz w:val="28"/>
          <w:szCs w:val="28"/>
          <w:rtl w:val="true"/>
          <w:lang w:bidi="fa-IR"/>
        </w:rPr>
        <w:t>قد قالوا بالجمع بین الغسل والمسح من باب الاحتیاط، کلّ هذه الأقوال تدعونا إلی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الأخبار الصریحة فی المسح علی القدمین فی کتب الصحاح والسنن علی المسح علی الخفّین، کان تحریفاً للشریعة وتأییداً لموقف عثمان بن عفّان والأمویّین فی الوضوء</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972174_237004111"/>
      <w:bookmarkStart w:id="172" w:name="_Toc61"/>
      <w:bookmarkEnd w:id="171"/>
      <w:r>
        <w:rPr/>
        <w:t>39</w:t>
      </w:r>
      <w:r>
        <w:rPr>
          <w:rtl w:val="true"/>
        </w:rPr>
        <w:t xml:space="preserve"> - </w:t>
      </w:r>
      <w:r>
        <w:rPr>
          <w:rtl w:val="true"/>
        </w:rPr>
        <w:t xml:space="preserve">المیبدی، أبو الفضل، رشید الدین </w:t>
      </w:r>
      <w:r>
        <w:rPr>
          <w:rtl w:val="true"/>
        </w:rPr>
        <w:t>(</w:t>
      </w:r>
      <w:r>
        <w:rPr>
          <w:rtl w:val="true"/>
        </w:rPr>
        <w:t xml:space="preserve">ت </w:t>
      </w:r>
      <w:r>
        <w:rPr/>
        <w:t>520</w:t>
      </w:r>
      <w:r>
        <w:rPr>
          <w:rtl w:val="true"/>
        </w:rPr>
        <w:t xml:space="preserve"> </w:t>
      </w:r>
      <w:r>
        <w:rPr>
          <w:rtl w:val="true"/>
        </w:rPr>
        <w:t xml:space="preserve">ه </w:t>
      </w:r>
      <w:r>
        <w:rPr>
          <w:rtl w:val="true"/>
        </w:rPr>
        <w:t>)</w:t>
      </w:r>
      <w:bookmarkEnd w:id="172"/>
    </w:p>
    <w:p>
      <w:pPr>
        <w:pStyle w:val="BookText"/>
        <w:rPr/>
      </w:pPr>
      <w:r>
        <w:rPr>
          <w:rFonts w:ascii="IRNazanin" w:hAnsi="IRNazanin" w:eastAsia="IRNazanin"/>
          <w:color w:val="111111"/>
          <w:sz w:val="28"/>
          <w:sz w:val="28"/>
          <w:szCs w:val="28"/>
          <w:rtl w:val="true"/>
          <w:lang w:bidi="fa-IR"/>
        </w:rPr>
        <w:t>قال المیبدی عن قراءة الجرّ بالعطف علی الرؤوس وأنّ المسح بمعنی الغسل، واستدلّ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بمجئ المسح بمعنی الغسل فی لغة العرب،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تمسّح للصلاة أی توضّأ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بالتّحدید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بالجوار نقلاً عن أبی عبیدة والأخفش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 عن کلّ ذلک مکرّراً فیما مضی ویأتی بعد هذا شی آخر</w:t>
      </w:r>
      <w:r>
        <w:rPr>
          <w:rFonts w:eastAsia="IRNazanin" w:cs="IRNazanin"/>
          <w:color w:val="111111"/>
          <w:sz w:val="28"/>
          <w:szCs w:val="28"/>
          <w:rtl w:val="true"/>
          <w:lang w:bidi="fa-IR"/>
        </w:rPr>
        <w:t>.</w:t>
      </w:r>
    </w:p>
    <w:p>
      <w:pPr>
        <w:pStyle w:val="Heading3"/>
        <w:numPr>
          <w:ilvl w:val="2"/>
          <w:numId w:val="1"/>
        </w:numPr>
        <w:rPr/>
      </w:pPr>
      <w:bookmarkStart w:id="173" w:name="__RefHeading___Toc972176_237004111"/>
      <w:bookmarkStart w:id="174" w:name="_Toc62"/>
      <w:bookmarkEnd w:id="173"/>
      <w:r>
        <w:rPr/>
        <w:t>40</w:t>
      </w:r>
      <w:r>
        <w:rPr>
          <w:rtl w:val="true"/>
        </w:rPr>
        <w:t xml:space="preserve"> - </w:t>
      </w:r>
      <w:r>
        <w:rPr>
          <w:rtl w:val="true"/>
        </w:rPr>
        <w:t xml:space="preserve">الشیّخ، أبو الفتوح الرّازی </w:t>
      </w:r>
      <w:r>
        <w:rPr>
          <w:rtl w:val="true"/>
        </w:rPr>
        <w:t>(</w:t>
      </w:r>
      <w:r>
        <w:rPr>
          <w:rtl w:val="true"/>
        </w:rPr>
        <w:t>من علماء القرن السّادس</w:t>
      </w:r>
      <w:r>
        <w:rPr>
          <w:rtl w:val="true"/>
        </w:rPr>
        <w:t>)</w:t>
      </w:r>
      <w:bookmarkEnd w:id="174"/>
    </w:p>
    <w:p>
      <w:pPr>
        <w:pStyle w:val="BookText"/>
        <w:rPr/>
      </w:pPr>
      <w:r>
        <w:rPr>
          <w:rFonts w:ascii="IRNazanin" w:hAnsi="IRNazanin" w:eastAsia="IRNazanin"/>
          <w:color w:val="111111"/>
          <w:sz w:val="28"/>
          <w:sz w:val="28"/>
          <w:szCs w:val="28"/>
          <w:rtl w:val="true"/>
          <w:lang w:bidi="fa-IR"/>
        </w:rPr>
        <w:t>قال الشیّخ ما هذه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والقراءتان تدلّان علی المسح بالعطف علی لفظ الرؤوس فی الجرّ، وعلی محل الرؤوس فی قراءة النّصب، وکلاهما جاریان فی کلام العرب کثیراً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أیّد الشیّخ رأیه بما ورد عن بعض الصّحابة مثل ابن عباس وأنس وغیرهما، </w:t>
      </w:r>
    </w:p>
    <w:p>
      <w:pPr>
        <w:pStyle w:val="BookText"/>
        <w:rPr/>
      </w:pPr>
      <w:r>
        <w:rPr>
          <w:rFonts w:ascii="IRNazanin" w:hAnsi="IRNazanin" w:eastAsia="IRNazanin"/>
          <w:color w:val="111111"/>
          <w:sz w:val="28"/>
          <w:sz w:val="28"/>
          <w:szCs w:val="28"/>
          <w:rtl w:val="true"/>
          <w:lang w:bidi="fa-IR"/>
        </w:rPr>
        <w:t>وما ورد عن کبار أهل السنة والجماعة مثل الحسن البصری وأبی علیّ الجبائی وغیرهما، ثمّ أخد فی الجواب، فأجاب عن قولهم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القرآن یقتضی صحّة ما نقول به وهو عطف المغسول المحدود علی المغسول غیر المحدود، ثم عطف الممسوح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الممسوح غیر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والقیاس أیضاً یقتضی ذلک وهو حکم التّیمم وحذف الممسوح وابقاء المغسول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بالمجاورة، أنّ الأشعار التی استشهد بها لإثبات لمجاورة لیست من باب المجاورة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 ثویته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 معجل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 بعضها الشیّخ الطوسی وقد مضی وعن بعضها الشیخ الطبرسی الذی یأتی کلامه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بکون المسح هو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غیر الغسل لغة، وأنّه عدول عن الظاهر من دون دلیل یدلّ علیه، وهو غیر جایز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بتقدیر فعل بین المعطوف والمعطوف علیه وهو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الرؤوس والأرجل کقول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علّفتها تبناً وماء بارداً</w:t>
      </w:r>
    </w:p>
    <w:p>
      <w:pPr>
        <w:pStyle w:val="BookText"/>
        <w:rPr/>
      </w:pPr>
      <w:r>
        <w:rPr>
          <w:rFonts w:ascii="IRNazanin" w:hAnsi="IRNazanin" w:eastAsia="IRNazanin"/>
          <w:color w:val="111111"/>
          <w:sz w:val="28"/>
          <w:sz w:val="28"/>
          <w:szCs w:val="28"/>
          <w:rtl w:val="true"/>
          <w:lang w:bidi="fa-IR"/>
        </w:rPr>
        <w:t>أی وسقیتها ماء بارداً</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متقلّداً سیفاً ورمحا</w:t>
      </w:r>
    </w:p>
    <w:p>
      <w:pPr>
        <w:pStyle w:val="BookText"/>
        <w:rPr/>
      </w:pPr>
      <w:r>
        <w:rPr>
          <w:rFonts w:ascii="IRNazanin" w:hAnsi="IRNazanin" w:eastAsia="IRNazanin"/>
          <w:color w:val="111111"/>
          <w:sz w:val="28"/>
          <w:sz w:val="28"/>
          <w:szCs w:val="28"/>
          <w:rtl w:val="true"/>
          <w:lang w:bidi="fa-IR"/>
        </w:rPr>
        <w:t>أی وحاملاً رمحا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إذا کان فی الکلام لبس یزیل مع تقدیره ولا یستقیم معناه من دون تقدیر </w:t>
      </w:r>
      <w:bookmarkStart w:id="175" w:name="pg6193_70777"/>
    </w:p>
    <w:p>
      <w:pPr>
        <w:pStyle w:val="BookText"/>
        <w:rPr/>
      </w:pPr>
      <w:bookmarkEnd w:id="175"/>
      <w:r>
        <w:rPr>
          <w:rFonts w:ascii="IRNazanin" w:hAnsi="IRNazanin" w:eastAsia="IRNazanin"/>
          <w:color w:val="111111"/>
          <w:sz w:val="28"/>
          <w:sz w:val="28"/>
          <w:szCs w:val="28"/>
          <w:rtl w:val="true"/>
          <w:lang w:bidi="fa-IR"/>
        </w:rPr>
        <w:t>فنضطرّ إلی تقدیره کما فی الأبیات المذکورة، ولا ضرورة فی الآیة ولا دلیل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ولا ضرورة فی أیة آیة من کتاب اللّه تعالی، ولا دلیل علی هذه الضّرورة</w:t>
      </w:r>
      <w:r>
        <w:rPr>
          <w:rFonts w:eastAsia="IRNazanin" w:cs="IRNazanin"/>
          <w:color w:val="111111"/>
          <w:sz w:val="28"/>
          <w:szCs w:val="28"/>
          <w:rtl w:val="true"/>
          <w:lang w:bidi="fa-IR"/>
        </w:rPr>
        <w:t>.</w:t>
      </w:r>
    </w:p>
    <w:p>
      <w:pPr>
        <w:pStyle w:val="Heading3"/>
        <w:numPr>
          <w:ilvl w:val="2"/>
          <w:numId w:val="1"/>
        </w:numPr>
        <w:rPr/>
      </w:pPr>
      <w:bookmarkStart w:id="176" w:name="__RefHeading___Toc972178_237004111"/>
      <w:bookmarkStart w:id="177" w:name="_Toc63"/>
      <w:bookmarkEnd w:id="176"/>
      <w:r>
        <w:rPr/>
        <w:t>41</w:t>
      </w:r>
      <w:r>
        <w:rPr>
          <w:rtl w:val="true"/>
        </w:rPr>
        <w:t xml:space="preserve"> - </w:t>
      </w:r>
      <w:r>
        <w:rPr>
          <w:rtl w:val="true"/>
        </w:rPr>
        <w:t xml:space="preserve">أبوالقاسم الزمخشریّ </w:t>
      </w:r>
      <w:r>
        <w:rPr>
          <w:rtl w:val="true"/>
        </w:rPr>
        <w:t>(</w:t>
      </w:r>
      <w:r>
        <w:rPr>
          <w:rtl w:val="true"/>
        </w:rPr>
        <w:t xml:space="preserve">ت </w:t>
      </w:r>
      <w:r>
        <w:rPr/>
        <w:t>528</w:t>
      </w:r>
      <w:r>
        <w:rPr>
          <w:rtl w:val="true"/>
        </w:rPr>
        <w:t xml:space="preserve"> </w:t>
      </w:r>
      <w:r>
        <w:rPr>
          <w:rtl w:val="true"/>
        </w:rPr>
        <w:t xml:space="preserve">ه </w:t>
      </w:r>
      <w:r>
        <w:rPr>
          <w:rtl w:val="true"/>
        </w:rPr>
        <w:t>)</w:t>
      </w:r>
      <w:bookmarkEnd w:id="177"/>
    </w:p>
    <w:p>
      <w:pPr>
        <w:pStyle w:val="BookText"/>
        <w:rPr/>
      </w:pPr>
      <w:r>
        <w:rPr>
          <w:rFonts w:ascii="Amiri" w:hAnsi="Amiri" w:eastAsia="Amiri" w:cs="Amiri"/>
          <w:color w:val="111111"/>
          <w:sz w:val="28"/>
          <w:sz w:val="28"/>
          <w:szCs w:val="28"/>
          <w:rtl w:val="true"/>
          <w:lang w:bidi="ar-SA"/>
        </w:rPr>
        <w:t>حمل الزمخشریّ الجرّ علی مثل النصب بأفادتِهِ الْغَسْلَ بِزَعْمِه،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 أیضاً یُفْیدُ الغسل لا المسح، ووقع فی خَلَده أنّه 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عطف علی الرؤوس الممسوحة بالاتفاق؟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کان‌المراد الغسل فلِمَ لم یعطف علی المغسول وعطف علی الممسوح؟</w:t>
      </w:r>
    </w:p>
    <w:p>
      <w:pPr>
        <w:pStyle w:val="BookText"/>
        <w:rPr/>
      </w:pPr>
      <w:r>
        <w:rPr>
          <w:rFonts w:ascii="IRNazanin" w:hAnsi="IRNazanin" w:eastAsia="IRNazanin"/>
          <w:color w:val="111111"/>
          <w:sz w:val="28"/>
          <w:sz w:val="28"/>
          <w:szCs w:val="28"/>
          <w:rtl w:val="true"/>
          <w:lang w:bidi="fa-IR"/>
        </w:rPr>
        <w:t>فأجاب عن ذلک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العطف علی الممسوح لیس لإفادة المسح، بل للدلالة علی عدم الإسراف والنهی عنه، والتنبیه علی وجوب الاقتصاد فی صبّ الماء علیها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التحدید قرینة علی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فی المغسول وثبت، ولم یثبت فی الممسوح، وأنّه لم تضرب له غایة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وتشبّث أیضاً بروایات قد تقدّم الجواب عنها فی البحث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تَمَسّکوْا بظاهر القرآن فأوْجْبُوا المسح، ثم دعم ذلک بروایة الشعبیّ، ولکنّه فی الوقت نفسه ادّعی أنّ السنّة جرت بالغسل، وفیما تقدم فی البحث الروائی أثبتنا عدم جریانها بذلک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التحدید جاء فی المغسول ولم یجئ فی 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فباطل، </w:t>
      </w:r>
    </w:p>
    <w:p>
      <w:pPr>
        <w:pStyle w:val="BookText"/>
        <w:rPr/>
      </w:pPr>
      <w:r>
        <w:rPr>
          <w:rFonts w:ascii="IRNazanin" w:hAnsi="IRNazanin" w:eastAsia="IRNazanin"/>
          <w:color w:val="111111"/>
          <w:sz w:val="28"/>
          <w:sz w:val="28"/>
          <w:szCs w:val="28"/>
          <w:rtl w:val="true"/>
          <w:lang w:bidi="fa-IR"/>
        </w:rPr>
        <w:t>ویأتی بیان البطلان</w:t>
      </w:r>
      <w:r>
        <w:rPr>
          <w:rStyle w:val="FootnoteAnchor"/>
          <w:rtl w:val="true"/>
        </w:rPr>
        <w:footnoteReference w:id="311"/>
      </w:r>
      <w:r>
        <w:rPr>
          <w:rFonts w:ascii="IRNazanin" w:hAnsi="IRNazanin" w:eastAsia="IRNazanin"/>
          <w:color w:val="111111"/>
          <w:sz w:val="28"/>
          <w:sz w:val="28"/>
          <w:szCs w:val="28"/>
          <w:rtl w:val="true"/>
          <w:lang w:bidi="fa-IR"/>
        </w:rPr>
        <w:t>، بل کلّ من المغسول والممسوح إن احتاجا إلی التحدید حُدّدا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کلامه الذی تقدم فهو دعوی بلا دلیل، فلو صحّ العطف علی شیء لا یستحقّ أن یعطف علیه بمثل ما ذکره الزمخشریّ، لأمکن لکلّ من أخطأ مواقع الکلام، فوضع الکلم فی غیر موضعها أن ینحت من عنده عذراً ویتحدث بمثل ما تحدث به الزمخشریّ، وحینئذٍ یتّسع الخرق علی الرَّاقع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الإشارة إلی هذه النکتة المزعومة التی نحتها الزمخشریّ من عنده ما أنزل اللّه بها من سلطان، وأنّها لو صحّت لکانت مُوْقِعَةً فی اللبس والغلط، وَمُخْرِجَةً للآیة عن المحکمات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کان المراد النهی عن الإسراف لکان سبحانه فی سعة من أن یبیّن ذلک بالتصریح کما بیّن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لأحد أن یدّعی مثل ذلک فی مواضع أُخری، أو جاء نظیره فی کلام الفصحاء من العرب؟ ولو وجد الزمخشریّ لها نظیراً لأورده فی ذیل ذاک البحث من غیر تَرَدُّدٍ دعماً لرأیه، ولمّا لم یورد ذلک دلّ علی أنّ ما ذکره عارٍ عن الصحّة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الذی یخاف الإسراف ینبغی أن یَنُصَّ عَلی عَدَم جواز الاسراف </w:t>
      </w:r>
      <w:bookmarkStart w:id="178" w:name="pg6193_70782"/>
    </w:p>
    <w:p>
      <w:pPr>
        <w:pStyle w:val="BookText"/>
        <w:rPr/>
      </w:pPr>
      <w:bookmarkEnd w:id="178"/>
      <w:r>
        <w:rPr>
          <w:rFonts w:ascii="IRNazanin" w:hAnsi="IRNazanin" w:eastAsia="IRNazanin"/>
          <w:color w:val="111111"/>
          <w:sz w:val="28"/>
          <w:sz w:val="28"/>
          <w:szCs w:val="28"/>
          <w:rtl w:val="true"/>
          <w:lang w:bidi="fa-IR"/>
        </w:rPr>
        <w:t>فیها بما لا یتطرق إلیه الاحتمال</w:t>
      </w:r>
      <w:r>
        <w:rPr>
          <w:rFonts w:eastAsia="IRNazanin" w:cs="IRNazanin"/>
          <w:color w:val="111111"/>
          <w:sz w:val="28"/>
          <w:szCs w:val="28"/>
          <w:rtl w:val="true"/>
          <w:lang w:bidi="fa-IR"/>
        </w:rPr>
        <w:t>.</w:t>
      </w:r>
    </w:p>
    <w:p>
      <w:pPr>
        <w:pStyle w:val="Heading3"/>
        <w:numPr>
          <w:ilvl w:val="2"/>
          <w:numId w:val="1"/>
        </w:numPr>
        <w:rPr/>
      </w:pPr>
      <w:bookmarkStart w:id="179" w:name="__RefHeading___Toc972180_237004111"/>
      <w:bookmarkStart w:id="180" w:name="_Toc64"/>
      <w:bookmarkEnd w:id="179"/>
      <w:r>
        <w:rPr/>
        <w:t>42</w:t>
      </w:r>
      <w:r>
        <w:rPr>
          <w:rtl w:val="true"/>
        </w:rPr>
        <w:t xml:space="preserve"> - </w:t>
      </w:r>
      <w:r>
        <w:rPr>
          <w:rtl w:val="true"/>
        </w:rPr>
        <w:t xml:space="preserve">أبوبکر ابن العربیّ </w:t>
      </w:r>
      <w:r>
        <w:rPr>
          <w:rtl w:val="true"/>
        </w:rPr>
        <w:t>(</w:t>
      </w:r>
      <w:r>
        <w:rPr>
          <w:rtl w:val="true"/>
        </w:rPr>
        <w:t xml:space="preserve">ت </w:t>
      </w:r>
      <w:r>
        <w:rPr/>
        <w:t>543</w:t>
      </w:r>
      <w:r>
        <w:rPr>
          <w:rtl w:val="true"/>
        </w:rPr>
        <w:t xml:space="preserve"> </w:t>
      </w:r>
      <w:r>
        <w:rPr>
          <w:rtl w:val="true"/>
        </w:rPr>
        <w:t xml:space="preserve">ه </w:t>
      </w:r>
      <w:r>
        <w:rPr>
          <w:rtl w:val="true"/>
        </w:rPr>
        <w:t>)</w:t>
      </w:r>
      <w:bookmarkEnd w:id="180"/>
    </w:p>
    <w:p>
      <w:pPr>
        <w:pStyle w:val="BookText"/>
        <w:rPr/>
      </w:pPr>
      <w:r>
        <w:rPr>
          <w:rFonts w:ascii="IRNazanin" w:hAnsi="IRNazanin" w:eastAsia="IRNazanin"/>
          <w:color w:val="111111"/>
          <w:sz w:val="28"/>
          <w:sz w:val="28"/>
          <w:szCs w:val="28"/>
          <w:rtl w:val="true"/>
          <w:lang w:bidi="fa-IR"/>
        </w:rPr>
        <w:t>قال ابن العربیّ عن 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قراءة أنس وعلقمة وأبی جعفر، وابن عبّاس وقتادة وعکرمة والشعبیّ، وحکم بمقتضی العربیّة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محلّاً ولفظاً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مفاد الآیة المسح علی الرجلین، لکن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بالغسل، وهو الذی أجبنا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النظر البدیع أنّ القراءتین محتملتان، وأنّ اللغة تقضی بأنّهما جائزتان، وأنّ السنّة قاضیة بأنّ النصب یوجب العطف علی الوجه والیدین، ودخل مسح الرأس بینهما، لأنّه مفعول قبل الرجلین لا بعدهما، فذکر لبیان الترتیب لا لیشرکا فی صفة التطهیر، وجاء الخفض لیبیّن أنّ الرجلین یمسحان حال الاختیار علی حائل وهو الخفّ بخلاف سائر الأعضاء، فعطف بالنصب مغسولاً علی مغسول وعطف بالخفض ممسوحاً علی ممسوح</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الذی ذکره لا یمکن قبوله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لیست قاضیة بعطف الرجلین علی الوجه والیدین، وإنّما مَنْ یُسَمُّونَ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بذلک استنصاراً لمذاهبهم تبعاً لسیرة عثمان والأمویین فیه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 من أطلق السّنة مثل أنس وغیره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الغسل، یعنی سنة النّاس </w:t>
      </w:r>
      <w:bookmarkStart w:id="181" w:name="pg6193_70784"/>
    </w:p>
    <w:p>
      <w:pPr>
        <w:pStyle w:val="BookText"/>
        <w:rPr/>
      </w:pPr>
      <w:bookmarkEnd w:id="181"/>
      <w:r>
        <w:rPr>
          <w:rFonts w:ascii="IRNazanin" w:hAnsi="IRNazanin" w:eastAsia="IRNazanin"/>
          <w:color w:val="111111"/>
          <w:sz w:val="28"/>
          <w:sz w:val="28"/>
          <w:szCs w:val="28"/>
          <w:rtl w:val="true"/>
          <w:lang w:bidi="fa-IR"/>
        </w:rPr>
        <w:t>من‌أهل السنّة والجماعة لا سنة النبیّ صلی الله علیه و آله لأنّها غیر ثابتة، وما ورد من أخبار کالویل للأعقاب، أمّا مکذوبة، أو لا یُراد بها الغسل للوضوء بل إبعادها عن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النحویین باجمعهم لم یقولوا بأنّ الواو تفید الترتیب بین المعطوف والمعطوف علیه بل هی لمطلق الجمع، والترتیب مشهور فی الفاء وثُمّ العاطفتین، فذکر الأَرْجُلِ وإن کانَتْ مَغْسُوْلَةً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یفید الترتیب بحالٍ، بل لو کان الأمر کما زعم لذّکرتِ الأَرْجُلُ بعد ما یغسل بالاتفاق وهو الْوُجُوْهُ والأَیْدَی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المسح علی المسح علی الخفّین ممّا لا یتفق مع اللغة ولا الشرع، لأنّ الخفّ لا یسمّی رجلاً کما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اعترف بأنّ قراءة الجرّ تقتضی المسح،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قراءة الخفض وان أقتضت المسح، فإنّه علیه السلام بیّن أنّ المراد الغسل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إعترافه فی محلّه وبیان النبی صلی الله علیه و آله لم یثبت</w:t>
      </w:r>
      <w:r>
        <w:rPr>
          <w:rFonts w:eastAsia="IRNazanin" w:cs="IRNazanin"/>
          <w:color w:val="111111"/>
          <w:sz w:val="28"/>
          <w:szCs w:val="28"/>
          <w:rtl w:val="true"/>
          <w:lang w:bidi="fa-IR"/>
        </w:rPr>
        <w:t>.</w:t>
      </w:r>
    </w:p>
    <w:p>
      <w:pPr>
        <w:pStyle w:val="Heading3"/>
        <w:numPr>
          <w:ilvl w:val="2"/>
          <w:numId w:val="1"/>
        </w:numPr>
        <w:rPr/>
      </w:pPr>
      <w:bookmarkStart w:id="182" w:name="__RefHeading___Toc972182_237004111"/>
      <w:bookmarkStart w:id="183" w:name="_Toc65"/>
      <w:bookmarkEnd w:id="182"/>
      <w:r>
        <w:rPr/>
        <w:t>43</w:t>
      </w:r>
      <w:r>
        <w:rPr>
          <w:rtl w:val="true"/>
        </w:rPr>
        <w:t xml:space="preserve"> - </w:t>
      </w:r>
      <w:r>
        <w:rPr>
          <w:rtl w:val="true"/>
        </w:rPr>
        <w:t xml:space="preserve">ابن عطیّة الأندلسیّ </w:t>
      </w:r>
      <w:r>
        <w:rPr>
          <w:rtl w:val="true"/>
        </w:rPr>
        <w:t>(</w:t>
      </w:r>
      <w:r>
        <w:rPr>
          <w:rtl w:val="true"/>
        </w:rPr>
        <w:t xml:space="preserve">ت </w:t>
      </w:r>
      <w:r>
        <w:rPr/>
        <w:t>546</w:t>
      </w:r>
      <w:r>
        <w:rPr>
          <w:rtl w:val="true"/>
        </w:rPr>
        <w:t xml:space="preserve"> </w:t>
      </w:r>
      <w:r>
        <w:rPr>
          <w:rtl w:val="true"/>
        </w:rPr>
        <w:t xml:space="preserve">ه </w:t>
      </w:r>
      <w:r>
        <w:rPr>
          <w:rtl w:val="true"/>
        </w:rPr>
        <w:t>)</w:t>
      </w:r>
      <w:bookmarkEnd w:id="183"/>
    </w:p>
    <w:p>
      <w:pPr>
        <w:pStyle w:val="BookText"/>
        <w:rPr/>
      </w:pPr>
      <w:r>
        <w:rPr>
          <w:rFonts w:ascii="IRNazanin" w:hAnsi="IRNazanin" w:eastAsia="IRNazanin"/>
          <w:color w:val="111111"/>
          <w:sz w:val="28"/>
          <w:sz w:val="28"/>
          <w:szCs w:val="28"/>
          <w:rtl w:val="true"/>
          <w:lang w:bidi="fa-IR"/>
        </w:rPr>
        <w:t>نقل ابن عطیّة الأندلسیّ الجرّ عن ابن کثیر وأبی عمرو وحمزة، وحمله علی معنیین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الذی نزل به القرآن وهو المسح؛ بجعل العامل أقرب العاملین، وأیّده بما روی عن ابن عبّاس وأنس وعکرمة والشعبیّ وقتادة </w:t>
      </w:r>
      <w:bookmarkStart w:id="184" w:name="pg6193_70786"/>
    </w:p>
    <w:p>
      <w:pPr>
        <w:pStyle w:val="BookText"/>
        <w:rPr/>
      </w:pPr>
      <w:bookmarkEnd w:id="184"/>
      <w:r>
        <w:rPr>
          <w:rFonts w:ascii="IRNazanin" w:hAnsi="IRNazanin" w:eastAsia="IRNazanin"/>
          <w:color w:val="111111"/>
          <w:sz w:val="28"/>
          <w:sz w:val="28"/>
          <w:szCs w:val="28"/>
          <w:rtl w:val="true"/>
          <w:lang w:bidi="fa-IR"/>
        </w:rPr>
        <w:t>وأبی جعفر وعلقمة والأعمش والضحّاک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ویُراد بالمسح الغسل مستدلّاً بدلیلین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الغسلُ الخفیف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یدلّ علی الغسل لا المسح بحسب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وردّه بما نقله هو عن القاضی أبی محمّد فی أنّ الوجه مغسول وغیر محدود، فکأنّ الوضوء عبارة عن مغسولین حدّ أحدهما وممسوحین حدّ أحدهما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972184_237004111"/>
      <w:bookmarkStart w:id="186" w:name="_Toc66"/>
      <w:bookmarkEnd w:id="185"/>
      <w:r>
        <w:rPr/>
        <w:t>44</w:t>
      </w:r>
      <w:r>
        <w:rPr>
          <w:rtl w:val="true"/>
        </w:rPr>
        <w:t xml:space="preserve"> - </w:t>
      </w:r>
      <w:r>
        <w:rPr>
          <w:rtl w:val="true"/>
        </w:rPr>
        <w:t xml:space="preserve">الشیخ الطبرسیّ </w:t>
      </w:r>
      <w:r>
        <w:rPr>
          <w:rtl w:val="true"/>
        </w:rPr>
        <w:t>(</w:t>
      </w:r>
      <w:r>
        <w:rPr>
          <w:rtl w:val="true"/>
        </w:rPr>
        <w:t xml:space="preserve">ت </w:t>
      </w:r>
      <w:r>
        <w:rPr/>
        <w:t>548</w:t>
      </w:r>
      <w:r>
        <w:rPr>
          <w:rtl w:val="true"/>
        </w:rPr>
        <w:t xml:space="preserve"> </w:t>
      </w:r>
      <w:r>
        <w:rPr>
          <w:rtl w:val="true"/>
        </w:rPr>
        <w:t xml:space="preserve">ه </w:t>
      </w:r>
      <w:r>
        <w:rPr>
          <w:rtl w:val="true"/>
        </w:rPr>
        <w:t>)</w:t>
      </w:r>
      <w:bookmarkEnd w:id="186"/>
    </w:p>
    <w:p>
      <w:pPr>
        <w:pStyle w:val="BookText"/>
        <w:rPr/>
      </w:pPr>
      <w:r>
        <w:rPr>
          <w:rFonts w:ascii="IRNazanin" w:hAnsi="IRNazanin" w:eastAsia="IRNazanin"/>
          <w:color w:val="111111"/>
          <w:sz w:val="28"/>
          <w:sz w:val="28"/>
          <w:szCs w:val="28"/>
          <w:rtl w:val="true"/>
          <w:lang w:bidi="fa-IR"/>
        </w:rPr>
        <w:t>استوفی الطبرسیّ الوجوه والاحتمالات فی هذه القراءة، ثمّ أثبت الصحیح منها رادّاً الباطل فیها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وجوهاً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نسب إلی أبی علیّ الفارسیّ، وهو أنّها معطوفة علی الرؤوس، والمراد بالمسح هو الغسل فی ناحیة الرجلین، بدلیل ما روی عن أبی زید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خفیف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وقوّاه بما اعتبر ولحظ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تحدید للفعل، ویأتی فی المغسول ولم یجئ فی الممسوح، فلمّا وقع التحدید فی المسح علم أنّه فی حکم الغسل لموافقته إیّاه فی التحدید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الخفض علی الجوار، کما فی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p>
    <w:p>
      <w:pPr>
        <w:pStyle w:val="BookText"/>
        <w:rPr/>
      </w:pPr>
      <w:r>
        <w:rPr>
          <w:rFonts w:ascii="IRNazanin" w:hAnsi="IRNazanin" w:eastAsia="IRNazanin"/>
          <w:color w:val="111111"/>
          <w:sz w:val="28"/>
          <w:sz w:val="28"/>
          <w:szCs w:val="28"/>
          <w:rtl w:val="true"/>
          <w:lang w:bidi="fa-IR"/>
        </w:rPr>
        <w:t>امرئ القیس المتقدم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الزجّاج وهو أنّها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تفید المسح وبذلک نزل جبریل، والسنّة الغسل، وأنکر الجرّ بالجوار فی القرآن وأوجب المسح، إلّا أنّ التحدید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العطف علی الرؤوس فی اللفظ والمقطوع عنه فی المعنی کقوله وقد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وسقیتها ماءً بارداً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وَأَجابُهُمْ آلإِمامَّیةُ بأدلّة قویّة تثبت بطلان ما قالوه مِنْ أَنّ المراد بالمسح هو الغسل، لوجوه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المسح والغسل مختلفان من حیث اللفظ والمعنی لغةً وشرعاً، والقرآن فرّق بین الأعضاء المغسولة والأعضاء الممسوحة، فکیف یکون معناهما واحداً؟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الأرجل إذا کانت معطوفة علی الرؤوس، وکان الفرض فی الرؤوس المسح الذی لیس بغسلٍ بلا خلاف، فیجب أن تکون الأرجل ممسوحةً، لأنّ حقیقة العطف والغرض منه یقتضیان 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المسح لو کان بمعنی الغسل لبطل استدلالهم بما وضعوه علی لسان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توضّأ وغسل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صلی الله علیه و آله حسب کلامهم مسحهما، فسمّوا المسح غسلاً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نقلوه عن أبی زید أیضاً باطل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قلناه سابقاً مِن أنّ المسح والغسل فی اللغة مختلفان من حیث اللفظ والمعنی، وإذا کانا مختلفین فکیف یمکن أن یکون أحدهما هو الآخر؟ بل بهذا التعریف لا یصحّ ما قاله الفقهاء من أنّ أحدهما داخل فی الآخر؛ لأنّ المعنیین متنافیان؛ إذ الغسل هو إجراء الماء علی العضو المغسول، والمسح هو مسّ العضو بالماء من غیر أن یجریه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کانا متنافیین فلا یمکن أن یتداخلا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لو سلّمنا جَدَلاً اشتراک ذلک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الشرع والمتشرّعة یمنعان من ذلک؛ لأنّ أهل الشرع کلّهم قد فرّقوا بین المسح والغسل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ممسوحة، والمسح یفترق عن الغسل بلا خلاف، ثم 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فواجب أن یکون حکمها مثل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کیفیّتها، نزولاً علی حکم العطف، وذلک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قوّمت زیداً وعَمْراً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أُرید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التأدیب والتعلیم، فلا یجوز أن یرید بالمعطوف إلّاهذا المعنی فی المعطوف علیه، ولا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الصفة دون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لو کان غسلاً أو العکس لبطل ما استدلّ به القوم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وغسل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الغسل هنا یحمل علی المسح، والتأویل فی الآیة مبطل أصل مذهبهم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هذه الوجوه تُخطِّئُ حکایة أبی زید وتُثْبِتُ کونها موضوعة علیه؛ لأنّها غیر موجودة فی رسالته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کانت لأوردها فی کتاب النوادر </w:t>
      </w:r>
    </w:p>
    <w:p>
      <w:pPr>
        <w:pStyle w:val="BookText"/>
        <w:rPr/>
      </w:pPr>
      <w:r>
        <w:rPr>
          <w:rFonts w:ascii="IRNazanin" w:hAnsi="IRNazanin" w:eastAsia="IRNazanin"/>
          <w:color w:val="111111"/>
          <w:sz w:val="28"/>
          <w:sz w:val="28"/>
          <w:szCs w:val="28"/>
          <w:rtl w:val="true"/>
          <w:lang w:bidi="fa-IR"/>
        </w:rPr>
        <w:t>المؤلَّف لِهذا الشأن، وأبو علی الحاکی لهذه المقولة لم یحکها عن النوادر،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أثق به أنّه حکی عنه أنّ المسح بمعنی خفیف الغسل</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أصل له، ویأتی قریباً فی مناقشة کلام نظام النّیسابوری عن الدّکتور حنیف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قول 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صحّة هذه الحکایة عنه وأنّ أبا زید نقل ذلک عن العرب لأَمْکَنَنا تخطئته، لأنّه غیر معصوم، ولمخالفته إجماع أهل اللغة والعرف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حکاه عن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یرد فی‌اللغة الفصیحة، والقرآن علی رأسها وأصلها، فلا یحمل القرآن علی الاستعمالات الشاذّة التی لا یعرفها الفصحاء، لأنّ القرآن فصیح بالإجماع، ولم‌یقدر الفصحاء أن یأخذوا علیه مأخذاً، ولو کان فیه غیر الفصیح لأمکنهم ذلک، لکن الأمر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تمسّحت بمعنی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 بصحّتها العرب الموثوق بعربیّتهم، وشاهد ذلک أنّ العرب قبل الإسلام لم یعرفوا هذا المعنی 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کذب حکایتها عن العرب،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حدثت بعد الإسلام، وأنّها من المعانی الشرعیّة التی اختلف فیها الأُصولیّون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حقیقة شرعیّة بعد النقل من المعانی الوضعیّة أم 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وقلنا بأنّ العبارة مَنْقُوْلَةٌ عن العرب، هم الموثوق بهم بعد الإسلام، لکان مجازاً وتوسّعاً من عندهم، لأنّهم أرادوا أن یخبروا عن الطهور بلفظ مختصر، فحیث لا یمکنهم أن 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فی الطهارة ما </w:t>
      </w:r>
    </w:p>
    <w:p>
      <w:pPr>
        <w:pStyle w:val="BookText"/>
        <w:rPr/>
      </w:pPr>
      <w:r>
        <w:rPr>
          <w:rFonts w:ascii="IRNazanin" w:hAnsi="IRNazanin" w:eastAsia="IRNazanin"/>
          <w:color w:val="111111"/>
          <w:sz w:val="28"/>
          <w:sz w:val="28"/>
          <w:szCs w:val="28"/>
          <w:rtl w:val="true"/>
          <w:lang w:bidi="fa-IR"/>
        </w:rPr>
        <w:t>لیس بغسل، ومن جهة أُخری لا یریدون أن یُطِیلوا ویقولوا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بدلاً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الغسل أوله المسح فی الأکثر، ثمّ یزید علیه فیصیر غسلاً، ولا یتحقق الغسل إلّابالمسح؛ لان صب الماء لو لم یتقارن مع المسح لما تأکد الغسل عند عامة الناس، فرجّح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اغتسلت، وبذلک یکون معناه علی التجوّز والتوسّع کما قلنا، وأنّه سمّی الکل بأسم الجزء، وهو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قالوه فی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بالغایة وأنّه یدلّ علی الغسل، وأنّ الممسوح لم یضرب له غایة فی الشریعة، فقد أجاب عنه الشریف المرتضی علیّ بن الحسین الموسویّ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w:t>
      </w:r>
      <w:r>
        <w:rPr>
          <w:rStyle w:val="FootnoteAnchor"/>
          <w:rtl w:val="true"/>
        </w:rPr>
        <w:footnoteReference w:id="321"/>
      </w:r>
      <w:r>
        <w:rPr>
          <w:rFonts w:ascii="IRNazanin" w:hAnsi="IRNazanin" w:eastAsia="IRNazanin"/>
          <w:color w:val="111111"/>
          <w:sz w:val="28"/>
          <w:sz w:val="28"/>
          <w:szCs w:val="28"/>
          <w:rtl w:val="true"/>
          <w:lang w:bidi="fa-IR"/>
        </w:rPr>
        <w:t>والحاصل أنّه غیر مسلّم الثبوت، والتحدید لا یدلّ علی الغسل، وأیّ ملازمة بین التحدید والغسل؟ وأیّ منافرة بین المسح والتحدید؟ وما المانع إذا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أرجلکم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الیدین اقتضی الغسل، فکذا تحدید الرجلین یقتضی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نوجب الغسل فی الیدین للتحدید بل للتصریح بغسلهما، ولیس کذلک فی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المحدود علی المحدود أولی وأشبه بترتیب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صحیح، لأنّ الأیدی محدودة، وهی معطوفة علی الوجوه التی لیست هِیَ فی الآیة محدودة، فإذن جاز عطف الأرجل، وهی محدودة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لیست بمحدودة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أشبه ممّا ذکرتم، لأنّ الآیة تضمّنت ذکر عضو مغسول غیر محدود وهو </w:t>
      </w:r>
    </w:p>
    <w:p>
      <w:pPr>
        <w:pStyle w:val="BookText"/>
        <w:rPr/>
      </w:pPr>
      <w:r>
        <w:rPr>
          <w:rFonts w:ascii="IRNazanin" w:hAnsi="IRNazanin" w:eastAsia="IRNazanin"/>
          <w:color w:val="111111"/>
          <w:sz w:val="28"/>
          <w:sz w:val="28"/>
          <w:szCs w:val="28"/>
          <w:rtl w:val="true"/>
          <w:lang w:bidi="fa-IR"/>
        </w:rPr>
        <w:t xml:space="preserve">الوجه، وعطف عضو محدود مغسول علیه، ثمّ استؤنف ذکر عضو ممسوح غیر محدود، فیجب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ممسوحة، وهی محدودة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لِتتقابل الجملتان فی عطف مغسول محدود علی مغسول غیر محدود، وعطف ممسوح محدود علی ممسوح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الجرّ بالمجاورة فلا یجوز فی القرآن عند المسلم، ومن أجازه علی ضعفه فی کلام العرب غیر الفصیح، فإنّما أجازه مع فقد حرف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النعت والتوکید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کنت فی ریب ممّا ذکرنا فانظر الأمثلة التی أوردوها شاهداً علی الإعراب بالمجاورة، وأیضاً فإنّ المجاورة إنّما وردت فی کلامهم عند ارتفاع اللبس والأمن من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أحداً لا یشتبه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أن یکون صفةً للضبّ،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یجوز أن تکون ممسوحةً کالرؤوس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فإنّ آلنُّحاة الثِّقاتِ لم یقبلوا الإعراب بالمجاورة فی کلام العرب، وقالوا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 جحره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فحذف المضاف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الضمیر 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وإذا ارتفع الضمیر استکن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القول فی قول الشاعر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 أُناس فی بجاد 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فبطل الإعراب بالمجاورة أیضاً وقد تقدم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جعل الآیة مثل قول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bookmarkStart w:id="187" w:name="pg6193_70798"/>
    </w:p>
    <w:p>
      <w:pPr>
        <w:pStyle w:val="BookText"/>
        <w:rPr/>
      </w:pPr>
      <w:bookmarkEnd w:id="187"/>
      <w:r>
        <w:rPr>
          <w:rFonts w:ascii="IRNazanin" w:hAnsi="IRNazanin" w:eastAsia="IRNazanin"/>
          <w:color w:val="111111"/>
          <w:sz w:val="28"/>
          <w:sz w:val="28"/>
          <w:szCs w:val="28"/>
          <w:rtl w:val="true"/>
          <w:lang w:bidi="fa-IR"/>
        </w:rPr>
        <w:t xml:space="preserve">فأبعد من الجمیع، لأنّ ذلک لو جاز فی کلام العرب لکان ضعیفاً وغیر فصیح، فکیف یمکن تصوّره فی کتاب اللّه، ولو فرضنا وقوعه فی کتاب اللّه، فإنّه إنّما یکون إذا لم یمکن حمله علی ظاهره، وإذا کان المعنی مستقیماً وظاهراً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یصار إلیه أَلبتّة</w:t>
      </w:r>
      <w:r>
        <w:rPr>
          <w:rFonts w:eastAsia="IRNazanin" w:cs="IRNazanin"/>
          <w:color w:val="111111"/>
          <w:sz w:val="28"/>
          <w:szCs w:val="28"/>
          <w:rtl w:val="true"/>
          <w:lang w:bidi="fa-IR"/>
        </w:rPr>
        <w:t>.</w:t>
      </w:r>
    </w:p>
    <w:p>
      <w:pPr>
        <w:pStyle w:val="Heading3"/>
        <w:numPr>
          <w:ilvl w:val="2"/>
          <w:numId w:val="1"/>
        </w:numPr>
        <w:rPr/>
      </w:pPr>
      <w:bookmarkStart w:id="188" w:name="__RefHeading___Toc972186_237004111"/>
      <w:bookmarkStart w:id="189" w:name="_Toc67"/>
      <w:bookmarkEnd w:id="188"/>
      <w:r>
        <w:rPr/>
        <w:t>45</w:t>
      </w:r>
      <w:r>
        <w:rPr>
          <w:rtl w:val="true"/>
        </w:rPr>
        <w:t xml:space="preserve"> - </w:t>
      </w:r>
      <w:r>
        <w:rPr>
          <w:rtl w:val="true"/>
        </w:rPr>
        <w:t xml:space="preserve">محمود بن أبی الحسن النیسابوریّ </w:t>
      </w:r>
      <w:r>
        <w:rPr>
          <w:rtl w:val="true"/>
        </w:rPr>
        <w:t>(</w:t>
      </w:r>
      <w:r>
        <w:rPr>
          <w:rtl w:val="true"/>
        </w:rPr>
        <w:t xml:space="preserve">ت بعد </w:t>
      </w:r>
      <w:r>
        <w:rPr/>
        <w:t>553</w:t>
      </w:r>
      <w:r>
        <w:rPr>
          <w:rtl w:val="true"/>
        </w:rPr>
        <w:t xml:space="preserve"> </w:t>
      </w:r>
      <w:r>
        <w:rPr>
          <w:rtl w:val="true"/>
        </w:rPr>
        <w:t xml:space="preserve">ه </w:t>
      </w:r>
      <w:r>
        <w:rPr>
          <w:rtl w:val="true"/>
        </w:rPr>
        <w:t>)</w:t>
      </w:r>
      <w:bookmarkEnd w:id="189"/>
    </w:p>
    <w:p>
      <w:pPr>
        <w:pStyle w:val="BookText"/>
        <w:rPr/>
      </w:pPr>
      <w:r>
        <w:rPr>
          <w:rFonts w:ascii="IRNazanin" w:hAnsi="IRNazanin" w:eastAsia="IRNazanin"/>
          <w:color w:val="111111"/>
          <w:sz w:val="28"/>
          <w:sz w:val="28"/>
          <w:szCs w:val="28"/>
          <w:rtl w:val="true"/>
          <w:lang w:bidi="fa-IR"/>
        </w:rPr>
        <w:t xml:space="preserve">اختار النیسابوریّ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لتأویل قراءة الجرّ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عندهم والمردود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العطف علی الرأس لفظاً ومعنیً وأنّه یفید المسح لا الغسل؛ لکنّه ادّعی نسخ المسح بثلاث دلائل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التحدید إلی الکعبین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أبو منصور الأزهریّ فی تهذیب اللغة عن أبی زید الأنصاریّ أنّ المسح عند العرب غسل ومسح</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الجواب عن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أنّ ما رواه عن الأزهریّ فهو لیس موجوداً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فقد یکون نقله عن کتاب آخر له لم یسمّه، وقد یکون قد التبس علیه الأمر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الدکتور حنیف بن حسن القاسمیّ محقّق تفسیر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w:t>
      </w:r>
      <w:bookmarkStart w:id="190" w:name="pg6193_70800"/>
    </w:p>
    <w:p>
      <w:pPr>
        <w:pStyle w:val="BookText"/>
        <w:rPr/>
      </w:pPr>
      <w:bookmarkEnd w:id="190"/>
      <w:r>
        <w:rPr>
          <w:rFonts w:ascii="IRNazanin" w:hAnsi="IRNazanin" w:eastAsia="IRNazanin"/>
          <w:color w:val="111111"/>
          <w:sz w:val="28"/>
          <w:sz w:val="28"/>
          <w:szCs w:val="28"/>
          <w:rtl w:val="true"/>
          <w:lang w:bidi="fa-IR"/>
        </w:rPr>
        <w:t xml:space="preserve">علی قول أبی زید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للأزهریّ</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له أصل</w:t>
      </w:r>
      <w:r>
        <w:rPr>
          <w:rFonts w:eastAsia="IRNazanin" w:cs="IRNazanin"/>
          <w:color w:val="111111"/>
          <w:sz w:val="28"/>
          <w:szCs w:val="28"/>
          <w:rtl w:val="true"/>
          <w:lang w:bidi="fa-IR"/>
        </w:rPr>
        <w:t>!</w:t>
      </w:r>
    </w:p>
    <w:p>
      <w:pPr>
        <w:pStyle w:val="Heading3"/>
        <w:numPr>
          <w:ilvl w:val="2"/>
          <w:numId w:val="1"/>
        </w:numPr>
        <w:rPr/>
      </w:pPr>
      <w:bookmarkStart w:id="191" w:name="__RefHeading___Toc972188_237004111"/>
      <w:bookmarkStart w:id="192" w:name="_Toc68"/>
      <w:bookmarkEnd w:id="191"/>
      <w:r>
        <w:rPr/>
        <w:t>46</w:t>
      </w:r>
      <w:r>
        <w:rPr>
          <w:rtl w:val="true"/>
        </w:rPr>
        <w:t xml:space="preserve"> - </w:t>
      </w:r>
      <w:r>
        <w:rPr>
          <w:rtl w:val="true"/>
        </w:rPr>
        <w:t xml:space="preserve">بیان الحق النیسابوری </w:t>
      </w:r>
      <w:r>
        <w:rPr>
          <w:rtl w:val="true"/>
        </w:rPr>
        <w:t>(</w:t>
      </w:r>
      <w:r>
        <w:rPr>
          <w:rtl w:val="true"/>
        </w:rPr>
        <w:t xml:space="preserve">ت </w:t>
      </w:r>
      <w:r>
        <w:rPr/>
        <w:t>555</w:t>
      </w:r>
      <w:r>
        <w:rPr>
          <w:rtl w:val="true"/>
        </w:rPr>
        <w:t xml:space="preserve"> </w:t>
      </w:r>
      <w:r>
        <w:rPr>
          <w:rtl w:val="true"/>
        </w:rPr>
        <w:t xml:space="preserve">ه </w:t>
      </w:r>
      <w:r>
        <w:rPr>
          <w:rtl w:val="true"/>
        </w:rPr>
        <w:t>)</w:t>
      </w:r>
      <w:bookmarkEnd w:id="192"/>
    </w:p>
    <w:p>
      <w:pPr>
        <w:pStyle w:val="BookText"/>
        <w:rPr/>
      </w:pPr>
      <w:r>
        <w:rPr>
          <w:rFonts w:ascii="IRNazanin" w:hAnsi="IRNazanin" w:eastAsia="IRNazanin"/>
          <w:color w:val="111111"/>
          <w:sz w:val="28"/>
          <w:sz w:val="28"/>
          <w:szCs w:val="28"/>
          <w:rtl w:val="true"/>
          <w:lang w:bidi="fa-IR"/>
        </w:rPr>
        <w:t>قال بیان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مجاورة اللّفظ، کقولهم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تحجر ضبّ خرب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فی الشّعر کثیر، قال درید بن الصمّة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إلیه والرّماح تنوشه کوقع الصّیاصی فی النسیج الممّدد</w:t>
      </w:r>
    </w:p>
    <w:p>
      <w:pPr>
        <w:pStyle w:val="BookText"/>
        <w:rPr/>
      </w:pPr>
      <w:r>
        <w:rPr>
          <w:rFonts w:ascii="IRNazanin" w:hAnsi="IRNazanin" w:eastAsia="IRNazanin"/>
          <w:color w:val="111111"/>
          <w:sz w:val="28"/>
          <w:sz w:val="28"/>
          <w:szCs w:val="28"/>
          <w:rtl w:val="true"/>
          <w:lang w:bidi="fa-IR"/>
        </w:rPr>
        <w:t>فطاعنت عنه الخیل حتّی تنهنهت وحتّی علانی حالک اللّون اسودِ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فإنّ أسود مجرور بجوار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إذا رأیت دیار قوم وجیران لنا کانوا کرامٍ</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فجرّ الکرام علی جوار الجیران</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ثمّ بعد ردّه لقراءة النّصب والرفع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العطف علی مسح الرأس فی اللّفظ والمعنی ثمّ نسخ بدلیل السنّة وبدلیل التحدید، 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القرآن بالمسح والسنة بالغسل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أجبنا عن الجرّ بالجوار فی مواضع من هذا المجلّد، وخصوصاً عند </w:t>
      </w:r>
      <w:bookmarkStart w:id="193" w:name="pg6193_70802"/>
    </w:p>
    <w:p>
      <w:pPr>
        <w:pStyle w:val="BookText"/>
        <w:rPr/>
      </w:pPr>
      <w:bookmarkEnd w:id="193"/>
      <w:r>
        <w:rPr>
          <w:rFonts w:ascii="IRNazanin" w:hAnsi="IRNazanin" w:eastAsia="IRNazanin"/>
          <w:color w:val="111111"/>
          <w:sz w:val="28"/>
          <w:sz w:val="28"/>
          <w:szCs w:val="28"/>
          <w:rtl w:val="true"/>
          <w:lang w:bidi="fa-IR"/>
        </w:rPr>
        <w:t>الکلام عن رأی الأخفش والآلوسی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درید فهو لیس من باب المجاورة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علانی حالکٌ أسودُ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وجرّ الأسود لمطابقته مع رویّ الشّعر وآخرِ الأبیات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الفرزدق فهو أیضاً لیس من باب المجاورة، بل الکرام صفة ونعت للجیران فصّل بین الصّفة والموصوف، والأصل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وجیران کرام کانوا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ردّه لقراءة النّصب کما قال به أهل مذهبه، وکذا ردّه لقراءة الرّفع ففی محلّه وکذا إقراره للعطف علی مسح الرأس لفظاً ومعنیً إلّاتأویله بدلیل النّسخ بالسنّة وبدلیل التّحدید فإنّه فی غیر محلّه، وقد أجبنا عنهما غیر مرّة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72190_237004111"/>
      <w:bookmarkStart w:id="195" w:name="_Toc69"/>
      <w:bookmarkEnd w:id="194"/>
      <w:r>
        <w:rPr/>
        <w:t>47</w:t>
      </w:r>
      <w:r>
        <w:rPr>
          <w:rtl w:val="true"/>
        </w:rPr>
        <w:t xml:space="preserve"> - </w:t>
      </w:r>
      <w:r>
        <w:rPr>
          <w:rtl w:val="true"/>
        </w:rPr>
        <w:t>نصر بن علیّالشیرازیّ الفسویّ المعروف بابن أبی مریم</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ابن أبی مریم علی أنّ الجرّ إنّما یکون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مجرورة بالباء، فکذلک الحکم فی جانب المعطوف، إلّاأنّه حمل المسح علی معنی الغسل بقرینة التحدید، وأنّ التحدید إنّما جاء فی المغسول دون الممسوح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فی قراءة الجرّ أنّ قانون تنازع العاملین أیضاً یقضی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العاملین إلی هذا المعمول، وحکم العاملین إذا اجتمعا أن یحمل المعمول فیه علی أقربهما دون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المسح علی الغسل باطل لما ذکرناه، والتحدید لا یلازم الغسل کما لا ینافی المسح، وقد ذکر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قانون التنازع فلا نحتاج فی إثبات المسح إلیه، لأنّنا قد ذهبنا إلی لزوم المسح علی القدمین بالقرآن والسنة، فلا نحتاج إلی قانون التنازع،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أمکنه ذلک، لوجود الفصل بینه وبین ما یهواه بجملة أجنبیّة، وقد صرّح النحویّون ببطلان الفصل هکذا بین العامل والمعمول</w:t>
      </w:r>
      <w:r>
        <w:rPr>
          <w:rStyle w:val="FootnoteAnchor"/>
          <w:rtl w:val="true"/>
        </w:rPr>
        <w:footnoteReference w:id="333"/>
      </w:r>
      <w:r>
        <w:rPr>
          <w:rFonts w:ascii="IRNazanin" w:hAnsi="IRNazanin" w:eastAsia="IRNazanin"/>
          <w:color w:val="111111"/>
          <w:sz w:val="28"/>
          <w:sz w:val="28"/>
          <w:szCs w:val="28"/>
          <w:rtl w:val="true"/>
          <w:lang w:bidi="fa-IR"/>
        </w:rPr>
        <w:t>، والفصل مانع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المراد الغسل فی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اللّه عاجزاً عن إیراد ذلک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یلتبس، ولا تلزم المحاذیر من الفصل بین المتعاطفین بما لا یجوز، واشتمال الکلام علی ضعف التألیف المخلّ بالبلاغة وغیر 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فنحن أَثبتنا لزوم المسح علی القدمین بوجوه شرعیّةٍ و نحویّةٍ وفقهیّةٍ، ولا نحتاج فی إثباته إلی نقل الآیة إلی باب التنازع</w:t>
      </w:r>
      <w:r>
        <w:rPr>
          <w:rFonts w:eastAsia="IRNazanin" w:cs="IRNazanin"/>
          <w:color w:val="111111"/>
          <w:sz w:val="28"/>
          <w:szCs w:val="28"/>
          <w:rtl w:val="true"/>
          <w:lang w:bidi="fa-IR"/>
        </w:rPr>
        <w:t xml:space="preserve">. </w:t>
      </w:r>
      <w:bookmarkStart w:id="196" w:name="pg6193_70806"/>
    </w:p>
    <w:p>
      <w:pPr>
        <w:pStyle w:val="Heading3"/>
        <w:numPr>
          <w:ilvl w:val="2"/>
          <w:numId w:val="1"/>
        </w:numPr>
        <w:rPr/>
      </w:pPr>
      <w:bookmarkStart w:id="197" w:name="__RefHeading___Toc972192_237004111"/>
      <w:bookmarkStart w:id="198" w:name="_Toc70"/>
      <w:bookmarkEnd w:id="196"/>
      <w:bookmarkEnd w:id="197"/>
      <w:r>
        <w:rPr/>
        <w:t>48</w:t>
      </w:r>
      <w:r>
        <w:rPr>
          <w:rtl w:val="true"/>
        </w:rPr>
        <w:t xml:space="preserve"> - </w:t>
      </w:r>
      <w:r>
        <w:rPr>
          <w:rtl w:val="true"/>
        </w:rPr>
        <w:t xml:space="preserve">القطب الراوندیّ </w:t>
      </w:r>
      <w:r>
        <w:rPr>
          <w:rtl w:val="true"/>
        </w:rPr>
        <w:t>(</w:t>
      </w:r>
      <w:r>
        <w:rPr>
          <w:rtl w:val="true"/>
        </w:rPr>
        <w:t xml:space="preserve">ت </w:t>
      </w:r>
      <w:r>
        <w:rPr/>
        <w:t>573</w:t>
      </w:r>
      <w:r>
        <w:rPr>
          <w:rtl w:val="true"/>
        </w:rPr>
        <w:t xml:space="preserve"> </w:t>
      </w:r>
      <w:r>
        <w:rPr>
          <w:rtl w:val="true"/>
        </w:rPr>
        <w:t xml:space="preserve">ه </w:t>
      </w:r>
      <w:r>
        <w:rPr>
          <w:rtl w:val="true"/>
        </w:rPr>
        <w:t>)</w:t>
      </w:r>
      <w:bookmarkEnd w:id="198"/>
    </w:p>
    <w:p>
      <w:pPr>
        <w:pStyle w:val="BookText"/>
        <w:rPr/>
      </w:pPr>
      <w:r>
        <w:rPr>
          <w:rFonts w:ascii="IRNazanin" w:hAnsi="IRNazanin" w:eastAsia="IRNazanin"/>
          <w:color w:val="111111"/>
          <w:sz w:val="28"/>
          <w:sz w:val="28"/>
          <w:szCs w:val="28"/>
          <w:rtl w:val="true"/>
          <w:lang w:bidi="fa-IR"/>
        </w:rPr>
        <w:t xml:space="preserve">لقد حکم الراوندیّ فی الآیة بما حکم به اللّه ورسوله، وهو أنّ الجرّ من باب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یمکن أن یکون ذلک بالمجاورة،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القائلین بالمجاورة استشهدوا بقول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یستشهد به، لأنّ العرب لم تتکلّم به إلّاساکناً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لا یقفون إلّا علی الساکن کما لا یَبْتَدِئُوْنَ إلّابمتحرّک، فلا یکون صالحاً للاستشهاد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الإعراب بالمجاورة بأن فرضنا وقوعه فی کلام العرب فهو لا یمکن فی الآیة، لأنّهم أجمعوا علی عدم وقوعه فی العطف بالحرف لو قلنا بوقوعه فی النعت والتأکید، وما ذکروه فی العطف توهّم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راحل إلی آل بسطام بن قیس فخاطب</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مع حرف العطف الذی هو الفاء، فإنّه یمکن أن یکون أراد الرفع وإنّما جرّ الراوی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ففی القصیدة إقواء؛ لأنّ القصیدة مجرورة والإقواء یجوز</w:t>
      </w:r>
      <w:r>
        <w:rPr>
          <w:rStyle w:val="FootnoteAnchor"/>
          <w:rtl w:val="true"/>
        </w:rPr>
        <w:footnoteReference w:id="336"/>
      </w:r>
      <w:r>
        <w:rPr>
          <w:rFonts w:ascii="IRNazanin" w:hAnsi="IRNazanin" w:eastAsia="IRNazanin"/>
          <w:color w:val="111111"/>
          <w:sz w:val="28"/>
          <w:sz w:val="28"/>
          <w:szCs w:val="28"/>
          <w:rtl w:val="true"/>
          <w:lang w:bidi="fa-IR"/>
        </w:rPr>
        <w:t>، وهذا لو فرض صحّته أیضاً لم یجز حمل القرآن علیه بالاتفاق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بالمجاورة إنّما یجوز مع ارتفاع اللبس، فأمّا مع حصول اللبس فلا یجوز، وفی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لبس؛ لأنّ کلّ واحد </w:t>
      </w:r>
      <w:bookmarkStart w:id="199" w:name="pg6193_70808"/>
    </w:p>
    <w:p>
      <w:pPr>
        <w:pStyle w:val="BookText"/>
        <w:rPr/>
      </w:pPr>
      <w:bookmarkEnd w:id="199"/>
      <w:r>
        <w:rPr>
          <w:rFonts w:ascii="IRNazanin" w:hAnsi="IRNazanin" w:eastAsia="IRNazanin"/>
          <w:color w:val="111111"/>
          <w:sz w:val="28"/>
          <w:sz w:val="28"/>
          <w:szCs w:val="28"/>
          <w:rtl w:val="true"/>
          <w:lang w:bidi="fa-IR"/>
        </w:rPr>
        <w:t xml:space="preserve">یعرف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کذلک الآیة،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ممسوحة ومغسولة، فاللبس حاصل</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72194_237004111"/>
      <w:bookmarkStart w:id="201" w:name="_Toc71"/>
      <w:bookmarkEnd w:id="200"/>
      <w:r>
        <w:rPr/>
        <w:t>49</w:t>
      </w:r>
      <w:r>
        <w:rPr>
          <w:rtl w:val="true"/>
        </w:rPr>
        <w:t xml:space="preserve"> - </w:t>
      </w:r>
      <w:r>
        <w:rPr>
          <w:rtl w:val="true"/>
        </w:rPr>
        <w:t xml:space="preserve">السیّد ابن زهرة الحلبیّ </w:t>
      </w:r>
      <w:r>
        <w:rPr>
          <w:rtl w:val="true"/>
        </w:rPr>
        <w:t>(</w:t>
      </w:r>
      <w:r>
        <w:rPr>
          <w:rtl w:val="true"/>
        </w:rPr>
        <w:t xml:space="preserve">ت </w:t>
      </w:r>
      <w:r>
        <w:rPr/>
        <w:t>585</w:t>
      </w:r>
      <w:r>
        <w:rPr>
          <w:rtl w:val="true"/>
        </w:rPr>
        <w:t xml:space="preserve"> </w:t>
      </w:r>
      <w:r>
        <w:rPr>
          <w:rtl w:val="true"/>
        </w:rPr>
        <w:t xml:space="preserve">ه </w:t>
      </w:r>
      <w:r>
        <w:rPr>
          <w:rtl w:val="true"/>
        </w:rPr>
        <w:t>)</w:t>
      </w:r>
      <w:bookmarkEnd w:id="201"/>
    </w:p>
    <w:p>
      <w:pPr>
        <w:pStyle w:val="BookText"/>
        <w:rPr/>
      </w:pPr>
      <w:r>
        <w:rPr>
          <w:rFonts w:ascii="IRNazanin" w:hAnsi="IRNazanin" w:eastAsia="IRNazanin"/>
          <w:color w:val="111111"/>
          <w:sz w:val="28"/>
          <w:sz w:val="28"/>
          <w:szCs w:val="28"/>
          <w:rtl w:val="true"/>
          <w:lang w:bidi="fa-IR"/>
        </w:rPr>
        <w:t xml:space="preserve">ومذهب السیّدِ ابن زهرة الحلبیّ فیها هو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یمکن أن یکون ذلک من باب الجرّ بالمجاورة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مال إلیه أصحاب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یمکن توجیهه فی کتاب اللّه، لأنّ المحقّقین من أهل العربیّة نفوا الإعراب بالمجاورة أساساً، وأوّلوا الجرّ فی 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فرض الجواز شاذّ، نادر، واقع فی کلام غیر الفصیح، فلا یقاس علیه کتاب اللّه الذی لم یشکّ فی بلاغته الکفّار والمشرکون من أهل الجاهلیّة الأُولی فضلاً عن المسلمین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بالمجاورة لم یقع فی عطف النسق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وقوعه فی الکلام، فإنّما یکون مع الأمن من اللبس کما فی المثال الذی نقلوه عن العرب،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کما یصحّ أن تکون مغسولة یصحّ أن تکون ممسوحة، فلا یجوز أن یکون إعرابها للمجاورة لحصول اللبس</w:t>
      </w:r>
      <w:r>
        <w:rPr>
          <w:rFonts w:eastAsia="IRNazanin" w:cs="IRNazanin"/>
          <w:color w:val="111111"/>
          <w:sz w:val="28"/>
          <w:szCs w:val="28"/>
          <w:rtl w:val="true"/>
          <w:lang w:bidi="fa-IR"/>
        </w:rPr>
        <w:t>.</w:t>
      </w:r>
    </w:p>
    <w:p>
      <w:pPr>
        <w:pStyle w:val="Heading3"/>
        <w:numPr>
          <w:ilvl w:val="2"/>
          <w:numId w:val="1"/>
        </w:numPr>
        <w:rPr/>
      </w:pPr>
      <w:bookmarkStart w:id="202" w:name="__RefHeading___Toc972196_237004111"/>
      <w:bookmarkStart w:id="203" w:name="_Toc72"/>
      <w:bookmarkEnd w:id="202"/>
      <w:r>
        <w:rPr/>
        <w:t>50</w:t>
      </w:r>
      <w:r>
        <w:rPr>
          <w:rtl w:val="true"/>
        </w:rPr>
        <w:t xml:space="preserve"> - </w:t>
      </w:r>
      <w:r>
        <w:rPr>
          <w:rtl w:val="true"/>
        </w:rPr>
        <w:t>أبو محمّد عبدالمنعم المعروف بابن الفرس الأندلسیّ</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ابن الفرس الأندلسیّ فی تلک القراءة علی الحقّ،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باب </w:t>
      </w:r>
    </w:p>
    <w:p>
      <w:pPr>
        <w:pStyle w:val="BookText"/>
        <w:rPr/>
      </w:pP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المسح، وروی ذلک عن ابن عبّاس وأنس وعکرمة والشعبیّ وأَبِیْ جعفر وقتادة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تعرّض لسائر الوجوه وردّها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المسح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ویکون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العطف علی المعنی کما قال الشاعر، علی روایة الفرّاء کما فی 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علّفتها تبناً وماءً بارداً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بأنّه یحتاج فیه إلی إضمار الجار مع فعل متعلّق به، مع أنّه لیس فی الکلام ما یدلّ علی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باطل بشهادة أُصول علم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 الجرّ علی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بأنّه باطل علی مذهب الخلیل وسیبویه من جهة حرف العطف المانع من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إلّاأنّه أراد بالمسح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المعروف، وأراد بالمسح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 هذا أیضاً بأنّه تعالی أمر فیهما جمیعاً بالمسح بلفظ واحد، فیقتضی ذلک أن یکون ما یجری علی أحدهما یجری علی الآخر، وإلّا کیف یجتمعان فی اللفظ، ویختلفان فی المعنی فی لفظ واحد بعینه؟ </w:t>
      </w:r>
      <w:bookmarkStart w:id="204" w:name="pg6193_70812"/>
    </w:p>
    <w:p>
      <w:pPr>
        <w:pStyle w:val="BookText"/>
        <w:rPr/>
      </w:pPr>
      <w:bookmarkEnd w:id="204"/>
      <w:r>
        <w:rPr>
          <w:rFonts w:ascii="IRNazanin" w:hAnsi="IRNazanin" w:eastAsia="IRNazanin"/>
          <w:color w:val="111111"/>
          <w:sz w:val="28"/>
          <w:sz w:val="28"/>
          <w:szCs w:val="28"/>
          <w:rtl w:val="true"/>
          <w:lang w:bidi="fa-IR"/>
        </w:rPr>
        <w:t xml:space="preserve">إلّا أنّه ختم کلامه بکلام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الجواب عنه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المسح لعمری قد استعملته العرب فی الغسل، حکی ذلک أبو زید وغیره</w:t>
      </w:r>
      <w:r>
        <w:rPr>
          <w:rStyle w:val="FootnoteAnchor"/>
          <w:rtl w:val="true"/>
        </w:rPr>
        <w:footnoteReference w:id="3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تقتضی مسح الرجلین لکن السنّة جرت بالغسل، ومعناه أنّ السنّة نسخت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وضعّفه بأنّ فیه خلافاً بین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المسح فی الرجلین هو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لعمری ضعف؛ لأنّ الأمر بالمسح فی الرأس والرجلین واحد، فکیف یکون أمر واحد فی حال واحدة، أمراً وجوبیّاً فی أحدهما وأمر غیر وجوبی فی الآخر، مع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إلّا المسح دون حائِلٍ هذا ظاهره</w:t>
      </w:r>
      <w:r>
        <w:rPr>
          <w:rStyle w:val="FootnoteAnchor"/>
          <w:rtl w:val="true"/>
        </w:rPr>
        <w:footnoteReference w:id="3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ابن الفرس عاد فی أکثر هذه الوجوه إلی الحقّ فلا حاجة لردّه، فإِنّه حجّة علی القوم</w:t>
      </w:r>
      <w:r>
        <w:rPr>
          <w:rFonts w:eastAsia="IRNazanin" w:cs="IRNazanin"/>
          <w:color w:val="111111"/>
          <w:sz w:val="28"/>
          <w:szCs w:val="28"/>
          <w:rtl w:val="true"/>
          <w:lang w:bidi="fa-IR"/>
        </w:rPr>
        <w:t>.</w:t>
      </w:r>
    </w:p>
    <w:p>
      <w:pPr>
        <w:pStyle w:val="Heading3"/>
        <w:numPr>
          <w:ilvl w:val="2"/>
          <w:numId w:val="1"/>
        </w:numPr>
        <w:rPr/>
      </w:pPr>
      <w:bookmarkStart w:id="205" w:name="__RefHeading___Toc972198_237004111"/>
      <w:bookmarkStart w:id="206" w:name="_Toc73"/>
      <w:bookmarkEnd w:id="205"/>
      <w:r>
        <w:rPr/>
        <w:t>51</w:t>
      </w:r>
      <w:r>
        <w:rPr>
          <w:rtl w:val="true"/>
        </w:rPr>
        <w:t xml:space="preserve"> - </w:t>
      </w:r>
      <w:r>
        <w:rPr>
          <w:rtl w:val="true"/>
        </w:rPr>
        <w:t xml:space="preserve">ابن الجَوْزیّ الحنبلیّ البغدادَیّ، أبو الفرج </w:t>
      </w:r>
      <w:r>
        <w:rPr>
          <w:rtl w:val="true"/>
        </w:rPr>
        <w:t>(</w:t>
      </w:r>
      <w:r>
        <w:rPr>
          <w:rtl w:val="true"/>
        </w:rPr>
        <w:t xml:space="preserve">ت </w:t>
      </w:r>
      <w:r>
        <w:rPr/>
        <w:t>597</w:t>
      </w:r>
      <w:r>
        <w:rPr>
          <w:rtl w:val="true"/>
        </w:rPr>
        <w:t xml:space="preserve"> </w:t>
      </w:r>
      <w:r>
        <w:rPr>
          <w:rtl w:val="true"/>
        </w:rPr>
        <w:t xml:space="preserve">ه </w:t>
      </w:r>
      <w:r>
        <w:rPr>
          <w:rtl w:val="true"/>
        </w:rPr>
        <w:t>)</w:t>
      </w:r>
      <w:bookmarkEnd w:id="20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ولنا أحادیث ثم نقل حدیث عبداللّه بن عمرو أنّهم کانوا فی سفرة وکانوا یمسحون فرأی رسول اللّه صلی الله علیه و آله فنادی ثلاثاً أو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وحدیث </w:t>
      </w:r>
    </w:p>
    <w:p>
      <w:pPr>
        <w:pStyle w:val="BookText"/>
        <w:rPr/>
      </w:pPr>
      <w:r>
        <w:rPr>
          <w:rFonts w:ascii="IRNazanin" w:hAnsi="IRNazanin" w:eastAsia="IRNazanin"/>
          <w:color w:val="111111"/>
          <w:sz w:val="28"/>
          <w:sz w:val="28"/>
          <w:szCs w:val="28"/>
          <w:rtl w:val="true"/>
          <w:lang w:bidi="fa-IR"/>
        </w:rPr>
        <w:t xml:space="preserve">أبی هریرة وروایته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عثمان وعلیّ بأن رسول اللّه صلی الله علیه و آله کان یغسل رجلیه إذا 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محقّق الکتاب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المسح هو مذهب الشیعة ومذهب محمد بن جریر الطبریٖ أنّ طهارتهما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بالغسل والمسح وأنّ ذلک راجع إلی أختیار المکلف</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دلیله للغسل لیس إلّاالروایات وقد أجبنا عنها مرّة بعد مرة فی هذا المجلد وفی المجلدات التی سبقته فی البحث الروائی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الجوزیّ الحنبلی المذکور ذکر فی کتابه زاد المسیر لها وجوهاً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المسح، وهو الحقّ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أیضاً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والمُفاد الغسل بقرینة التحدید؛ لأنّ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الغسل، فالآیة من قبیل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وحاملاً رمحاً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وسقیتها ماءً بارداً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الجرّ بالمجاورة والمعنی علی الغسل،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الأنباریّ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وأخذ إعراب الجرّ عنه، وهی فی المعنی عطف علی الوجوه کما فی المثال المنقول عن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ابن الأنباریّ أیضاً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یراد من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فی الأرجل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الغسل؛ زاعماً أنّ العرب تسمّی المسح غسلاً، لأنّ الغسل لا یکون إلّابمسح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الفارسیّ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الجرّ أنّ فی الکلام عاملین أحدهما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الباء الجارّة، والعاملان إذا اجتمعا یحمل الکلام علی الأقرب منهما دون الأبعد وهو الباء ها هنا، ولکنّه حمل الآیة علی الغسل بدلیلین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المنقول عن أبی زید أنّ المسح خفیف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الواقع فی المغسول دون الممسوح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التحدید مع الممسوح علم أنّه فی حکم الغسل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کلام الفارسیّ یدلّ علی الحصر،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کلامه من أدوات الحصر، وهو إن أراد الحصر الحقیقیّ فهو غلط واضح لا یخفی علی أحد، إذ الوجه مغسول وهو غیر محدود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الحصر الإضافیّ فهو قاصر عَنْ إفادة المدّعی، إذ الممسوح أیضاً محدود بدلیل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هو المانع منه لو صرّح به؟ </w:t>
      </w:r>
      <w:bookmarkStart w:id="207" w:name="pg6193_70818"/>
    </w:p>
    <w:p>
      <w:pPr>
        <w:pStyle w:val="BookText"/>
        <w:rPr/>
      </w:pPr>
      <w:bookmarkEnd w:id="207"/>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التحدید إنّما جاء 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أوّل الکلام</w:t>
      </w:r>
      <w:r>
        <w:rPr>
          <w:rFonts w:eastAsia="IRNazanin" w:cs="IRNazanin"/>
          <w:color w:val="111111"/>
          <w:sz w:val="28"/>
          <w:szCs w:val="28"/>
          <w:rtl w:val="true"/>
          <w:lang w:bidi="fa-IR"/>
        </w:rPr>
        <w:t>.</w:t>
      </w:r>
    </w:p>
    <w:p>
      <w:pPr>
        <w:pStyle w:val="Heading3"/>
        <w:numPr>
          <w:ilvl w:val="2"/>
          <w:numId w:val="1"/>
        </w:numPr>
        <w:rPr/>
      </w:pPr>
      <w:bookmarkStart w:id="208" w:name="__RefHeading___Toc972200_237004111"/>
      <w:bookmarkStart w:id="209" w:name="_Toc74"/>
      <w:bookmarkEnd w:id="208"/>
      <w:r>
        <w:rPr/>
        <w:t>52</w:t>
      </w:r>
      <w:r>
        <w:rPr>
          <w:rtl w:val="true"/>
        </w:rPr>
        <w:t xml:space="preserve"> - </w:t>
      </w:r>
      <w:r>
        <w:rPr>
          <w:rtl w:val="true"/>
        </w:rPr>
        <w:t xml:space="preserve">الفخر الرازیّ </w:t>
      </w:r>
      <w:r>
        <w:rPr>
          <w:rtl w:val="true"/>
        </w:rPr>
        <w:t>(</w:t>
      </w:r>
      <w:r>
        <w:rPr>
          <w:rtl w:val="true"/>
        </w:rPr>
        <w:t xml:space="preserve">ت </w:t>
      </w:r>
      <w:r>
        <w:rPr/>
        <w:t>606</w:t>
      </w:r>
      <w:r>
        <w:rPr>
          <w:rtl w:val="true"/>
        </w:rPr>
        <w:t xml:space="preserve"> </w:t>
      </w:r>
      <w:r>
        <w:rPr>
          <w:rtl w:val="true"/>
        </w:rPr>
        <w:t xml:space="preserve">ه </w:t>
      </w:r>
      <w:r>
        <w:rPr>
          <w:rtl w:val="true"/>
        </w:rPr>
        <w:t>)</w:t>
      </w:r>
      <w:bookmarkEnd w:id="209"/>
    </w:p>
    <w:p>
      <w:pPr>
        <w:pStyle w:val="BookText"/>
        <w:rPr/>
      </w:pPr>
      <w:r>
        <w:rPr>
          <w:rFonts w:ascii="IRNazanin" w:hAnsi="IRNazanin" w:eastAsia="IRNazanin"/>
          <w:color w:val="111111"/>
          <w:sz w:val="28"/>
          <w:sz w:val="28"/>
          <w:szCs w:val="28"/>
          <w:rtl w:val="true"/>
          <w:lang w:bidi="fa-IR"/>
        </w:rPr>
        <w:t>الفخر الرازیّ مع عناده وتعصّبه اقتضی علوّ مقامه العلمیّ علی أهل الخلاف کافة، أن ینقاد ویخضع لأدلّة الشیعة فی إثبات المسح للرجلین من الکتاب، ونحن ننقل عباراته بعینها، وإن کنّا غیر ملتزمین بما نقله عن علماء الجمهور،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الفخر الرازیّ فی تفسیر هذه الآیة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قراءة الجرّ تقتضی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وجب المسح فی الرأس فکذلک تجب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کسر علی الجوار، کما فی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کبیر أُناس فی بجاد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الکسر علی الجوار معدود فی اللحن الذی قد یتحمّل لأجل الضرورة الشعریّة، وکلام اللّه یجب تنزیهه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الکسر إنّما یصار إلیه حیث یَحْصُلُ الأمن من الالتباس، کما فی قوله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المعلوم بالضرورة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نعتاً للضبّ </w:t>
      </w:r>
      <w:bookmarkStart w:id="210" w:name="pg6193_70820"/>
    </w:p>
    <w:p>
      <w:pPr>
        <w:pStyle w:val="BookText"/>
        <w:rPr/>
      </w:pPr>
      <w:bookmarkEnd w:id="210"/>
      <w:r>
        <w:rPr>
          <w:rFonts w:ascii="IRNazanin" w:hAnsi="IRNazanin" w:eastAsia="IRNazanin"/>
          <w:color w:val="111111"/>
          <w:sz w:val="28"/>
          <w:sz w:val="28"/>
          <w:szCs w:val="28"/>
          <w:rtl w:val="true"/>
          <w:lang w:bidi="fa-IR"/>
        </w:rPr>
        <w:t>بل للجحر، وفی الآیة الأمن من الالتباس غیر 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الکسر بالجوار إنّما یحصل بدون حرف العطف، وأمّا معه فلم تتکلّم به العرب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والرازیّ فی کلّ هذه الوجوه خطّأ مذهبه وصوّب مذهبنا، فما أدری بم یعتذر عند رب العالمین لو سئل یوم الحساب عن سبب غسله رجلیه وعدم تطابق علمه مع عمله؟ ان کان یغسل رجلیه وهکذا هو حال سائر علماء مدرسة الخلفاء، فإنّهم یعملون بغیر ما یعلمون، ویعلمون ما لا یعذرون فی ترک العمل به</w:t>
      </w:r>
      <w:r>
        <w:rPr>
          <w:rFonts w:eastAsia="IRNazanin" w:cs="IRNazanin"/>
          <w:color w:val="111111"/>
          <w:sz w:val="28"/>
          <w:szCs w:val="28"/>
          <w:rtl w:val="true"/>
          <w:lang w:bidi="fa-IR"/>
        </w:rPr>
        <w:t>!</w:t>
      </w:r>
    </w:p>
    <w:p>
      <w:pPr>
        <w:pStyle w:val="Heading3"/>
        <w:numPr>
          <w:ilvl w:val="2"/>
          <w:numId w:val="1"/>
        </w:numPr>
        <w:rPr/>
      </w:pPr>
      <w:bookmarkStart w:id="211" w:name="__RefHeading___Toc972202_237004111"/>
      <w:bookmarkStart w:id="212" w:name="_Toc75"/>
      <w:bookmarkEnd w:id="211"/>
      <w:r>
        <w:rPr/>
        <w:t>53</w:t>
      </w:r>
      <w:r>
        <w:rPr>
          <w:rtl w:val="true"/>
        </w:rPr>
        <w:t xml:space="preserve"> - </w:t>
      </w:r>
      <w:r>
        <w:rPr>
          <w:rtl w:val="true"/>
        </w:rPr>
        <w:t xml:space="preserve">أبو البقاء البغدادیّ الحَنْبَلیّ العکبری </w:t>
      </w:r>
      <w:r>
        <w:rPr>
          <w:rtl w:val="true"/>
        </w:rPr>
        <w:t>(</w:t>
      </w:r>
      <w:r>
        <w:rPr>
          <w:rtl w:val="true"/>
        </w:rPr>
        <w:t xml:space="preserve">ت </w:t>
      </w:r>
      <w:r>
        <w:rPr/>
        <w:t>616</w:t>
      </w:r>
      <w:r>
        <w:rPr>
          <w:rtl w:val="true"/>
        </w:rPr>
        <w:t xml:space="preserve"> </w:t>
      </w:r>
      <w:r>
        <w:rPr>
          <w:rtl w:val="true"/>
        </w:rPr>
        <w:t xml:space="preserve">ه </w:t>
      </w:r>
      <w:r>
        <w:rPr>
          <w:rtl w:val="true"/>
        </w:rPr>
        <w:t>)</w:t>
      </w:r>
      <w:bookmarkEnd w:id="212"/>
    </w:p>
    <w:p>
      <w:pPr>
        <w:pStyle w:val="BookText"/>
        <w:rPr/>
      </w:pPr>
      <w:r>
        <w:rPr>
          <w:rFonts w:ascii="IRNazanin" w:hAnsi="IRNazanin" w:eastAsia="IRNazanin"/>
          <w:color w:val="111111"/>
          <w:sz w:val="28"/>
          <w:sz w:val="28"/>
          <w:szCs w:val="28"/>
          <w:rtl w:val="true"/>
          <w:lang w:bidi="fa-IR"/>
        </w:rPr>
        <w:t>حکم البغدادیّ العکبری باشتهارها کالنصب، وبیّن لها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الإعراب والحکم مختلف، فالرؤوس ممسوحة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مغسولة، وهو الإعراب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الجوار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المبنی الذی بنی علی أساسه مذهبهم ینقضُ أساس علم النحو، والغرض الذی وضع مِنْ أَجْلِهِ هذا العلم؛ لأنّه یعتقد ویذهب إلی عدم تعلّق الإعراب بالمعانی، وأنّ الإعراب شیء والمعنی شیء آخر، ولا علاقة لأحدهما بالآخر، فعلیه یمکن أن تعرب الکلمة بإعراب ویکون معناها شَیْئاً لا یناسب الإعراب، کما فی مقالة العکبریّ وأهل مذهبه، حیث یحکمون فی الآیة بکون الإعراب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یختلف ویتخلّف عن هذا الإعراب، وهذا مبنی فاسد، ینافی الغرض من وضع النحو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فائدة النحو إذا لم یکن له دخل فی تبیین المعنی وأَثره فی تغییره؟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تقولوا کما نقول بأنّ أمیرالمؤمنین علیّاً علیه السلام وضع علم النحو لحفظ اللسان عن الخطأ فی تأدیة المعنی، وأنّ سبب الوضع أنّه علیه السلام سمع رجلاً یلحن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بَرِیءٌ مِنَ الْمُشْرِکِینَ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فکان معطوفاً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برئَ اللّه منهم، فإذا لم یکن للإعراب دخل فی تعیین المعنی، فکیف حکم أمیرالمؤمنین بأنّ قراءة الجرّ فی رسوله یفید أنّ اللّه بریء من المشرکین وبریء من رسوله، معاذ اللّه؟</w:t>
      </w:r>
    </w:p>
    <w:p>
      <w:pPr>
        <w:pStyle w:val="BookText"/>
        <w:rPr/>
      </w:pPr>
      <w:r>
        <w:rPr>
          <w:rFonts w:ascii="Amiri" w:hAnsi="Amiri" w:eastAsia="Amiri" w:cs="Amiri"/>
          <w:color w:val="111111"/>
          <w:sz w:val="28"/>
          <w:sz w:val="28"/>
          <w:szCs w:val="28"/>
          <w:rtl w:val="true"/>
          <w:lang w:bidi="ar-SA"/>
        </w:rPr>
        <w:t xml:space="preserve">ولو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لکان عطفاً علی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وکان صحیحاً ومفیداً، وهذا تصریح بأنّ المعنی یدور مدار الإعراب، کما أنّ القطب مدار الرَّحی، وهذا أیضاً یدلّ علی أنّ هناک علاقة تامّة موجودة بین اللفظ والمعنی، فکیف یحکمون فی آیة الوضوء وإعراب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اللفظ بحکم وعلی المعنی بحکم آخر لا یرتبط معه؟ ومن أین یقولون وبأیّ دلیل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لَکُمْ کَیْفَ تَحْکُمُونَ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إنّه زعم أبو البقاء أنّ الإعراب ورد بالجوار فی القرآن والشعر، ثمّ مثّل له بأمثلة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قراءة من جرّ عطفاً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بِأَکْوابٍ وَ أَبارِیقَ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والمعنی مختلف، إذ لیس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p>
    <w:p>
      <w:pPr>
        <w:pStyle w:val="BookText"/>
        <w:rPr/>
      </w:pPr>
      <w:r>
        <w:rPr>
          <w:rFonts w:ascii="IRNazanin" w:hAnsi="IRNazanin" w:eastAsia="IRNazanin"/>
          <w:color w:val="111111"/>
          <w:sz w:val="28"/>
          <w:sz w:val="28"/>
          <w:szCs w:val="28"/>
          <w:rtl w:val="true"/>
          <w:lang w:bidi="fa-IR"/>
        </w:rPr>
        <w:t>بحور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محصّل القول بانفکاک المعنی عن الإعراب والإعراب عن المعنی کما لا یخفی، وقد تقدّم الجواب عنه مفصّلاً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علی الإعراب بالجوار بقول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إلّاأسیر غیر منفلتٍ وموثق فی حبال القدّ مجنوبِ</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والقوافی مجرورة والجوار مشهور عندهم فی الإعراب وقلب الحروف بعضها إلی بعض والتأنیث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العطف،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الصفة، وأنّ المحیط صفة العذاب، والیوم لیس بمحیط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قلب الحروف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مأزورات غیر مأجورات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موزورات، ولکن أُرید المزاوجة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یأتینا بالغدایا والعشایا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التأنیث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عَشْرُ أَمْثالِها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فحذفت التاء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مضافة إلی الأمثال وهی مذکّرة، ولکن لمّا جاورت الأمثال الضمیر المؤنّث أجری علیها حکمه، وکذلک قول الشاعر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أتی خَبْر الزبّیرِ تواضعت سورُ المدینةِ والجبالُ الخُشّعُ</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بعض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راعت العرب فیه الجوار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یجیزوا حذف التاء</w:t>
      </w:r>
      <w:r>
        <w:rPr>
          <w:rStyle w:val="FootnoteAnchor"/>
          <w:rtl w:val="true"/>
        </w:rPr>
        <w:footnoteReference w:id="352"/>
      </w:r>
      <w:r>
        <w:rPr>
          <w:rFonts w:ascii="IRNazanin" w:hAnsi="IRNazanin" w:eastAsia="IRNazanin"/>
          <w:color w:val="111111"/>
          <w:sz w:val="28"/>
          <w:sz w:val="28"/>
          <w:szCs w:val="28"/>
          <w:rtl w:val="true"/>
          <w:lang w:bidi="fa-IR"/>
        </w:rPr>
        <w:t>إذا لم یفصل بینهما، فإن فصلوا بینهما أجازوا حذفها، ولا فرق بینهما إلّاالمجاورة وعدم المجاورة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زیدَ وعَمْراً کلّمته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استحسنوا النَّصْب بفعل محذوف لمجاورة الجملة اسماً قد عمل فیه الفعل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قلبهم الواو المجاورة للطرف همزة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وقعت طرفاً، وکذلک إذا بعدت عن الطَّرفَ لا تقلب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أنّ الجرّ فی الآیة قد أُجیز غیره وهو النصب والرفع وهما غیر قاطعین ولا ظاهرین، علی أنّ حکم الرجلین المسح وکذلک الجرّ یجب أن یکون کالنصب والرفع فی الحکم دون الإعراب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 محذوف 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وافعلوا بأرجلکم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الجارّ وإبقاؤ الجرّ جائز،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مشائیم لیسوا مصلحین عشیرةً ولا ناعب إلّاببین غُرابها</w:t>
      </w:r>
      <w:r>
        <w:rPr>
          <w:rStyle w:val="FootnoteAnchor"/>
          <w:rtl w:val="true"/>
        </w:rPr>
        <w:footnoteReference w:id="35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زهیر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بدا لی أنّی لست مدرِکَ ما مضی ولا سابقٍ شیئاً إذا کان جائیا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فجرّ بتقدیر الباء، ولیس بموضع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جعل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أنّ المراد من المسح الغسل؛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الممسوح لیس بمحدود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رأی نفسه فی مأزق الاعتراض تشبّث بحیلة للخروج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والتحدید فی‌المغسول الذی أُرید بعضه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یحدّد الوجه، لأنّ المراد جمیعه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الجواب عن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مطاوی بیاننا لکلام الشیخ أبی جعفر الطوسی</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بیت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الإعراب بالمجاورة فیه یحمل علی الضرورة وهی مسوغ فیه، ولا یحمل القرآن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فی النعت، والآیة مِنْ عطف النسق لا النعت ولا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الکسر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قول النابغة اجتلبت لتناسب القوافی الذی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والقرآن لا یخرّج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وسائر ما ذکره خارج عن موضوع بحثنا، وثبوتها فی کلام العرب لا یبرّر الإعراب بالجوار فی القرآن وفی عطف النسق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الوجه الثانی من الوجهین اللذین ذکرهما فی تخریج قراءة الجرّ أیضاً لا </w:t>
      </w:r>
      <w:bookmarkStart w:id="213" w:name="pg6193_70831"/>
    </w:p>
    <w:p>
      <w:pPr>
        <w:pStyle w:val="BookText"/>
        <w:rPr/>
      </w:pPr>
      <w:bookmarkEnd w:id="213"/>
      <w:r>
        <w:rPr>
          <w:rFonts w:ascii="IRNazanin" w:hAnsi="IRNazanin" w:eastAsia="IRNazanin"/>
          <w:color w:val="111111"/>
          <w:sz w:val="28"/>
          <w:sz w:val="28"/>
          <w:szCs w:val="28"/>
          <w:rtl w:val="true"/>
          <w:lang w:bidi="fa-IR"/>
        </w:rPr>
        <w:t>یفیده، لأنّه لو ثبت فی الآیة فنحن نقدّر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وافعلوا بأرجلکم 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أیضاً علیل؛ لأنّه حمل الآیة علی باب الحذف والإیصال؛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حرف الجرّ وإیصال المعمول إلی عامل الجرّ، فلا یجوز له حذف العامل فی الجارّ والمجرور وهو حَذَفَ العامل أیضاً حیث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یخفی ما فیه من التعسف</w:t>
      </w:r>
      <w:r>
        <w:rPr>
          <w:rFonts w:eastAsia="IRNazanin" w:cs="IRNazanin"/>
          <w:color w:val="111111"/>
          <w:sz w:val="28"/>
          <w:szCs w:val="28"/>
          <w:rtl w:val="true"/>
          <w:lang w:bidi="fa-IR"/>
        </w:rPr>
        <w:t>.</w:t>
      </w:r>
    </w:p>
    <w:p>
      <w:pPr>
        <w:pStyle w:val="Heading3"/>
        <w:numPr>
          <w:ilvl w:val="2"/>
          <w:numId w:val="1"/>
        </w:numPr>
        <w:rPr/>
      </w:pPr>
      <w:bookmarkStart w:id="214" w:name="__RefHeading___Toc972204_237004111"/>
      <w:bookmarkStart w:id="215" w:name="_Toc76"/>
      <w:bookmarkEnd w:id="214"/>
      <w:r>
        <w:rPr/>
        <w:t>54</w:t>
      </w:r>
      <w:r>
        <w:rPr>
          <w:rtl w:val="true"/>
        </w:rPr>
        <w:t xml:space="preserve"> - </w:t>
      </w:r>
      <w:r>
        <w:rPr>
          <w:rtl w:val="true"/>
        </w:rPr>
        <w:t xml:space="preserve">السمعانیّ </w:t>
      </w:r>
      <w:r>
        <w:rPr>
          <w:rtl w:val="true"/>
        </w:rPr>
        <w:t>(</w:t>
      </w:r>
      <w:r>
        <w:rPr>
          <w:rtl w:val="true"/>
        </w:rPr>
        <w:t xml:space="preserve">ت </w:t>
      </w:r>
      <w:r>
        <w:rPr/>
        <w:t>617</w:t>
      </w:r>
      <w:r>
        <w:rPr>
          <w:rtl w:val="true"/>
        </w:rPr>
        <w:t xml:space="preserve"> </w:t>
      </w:r>
      <w:r>
        <w:rPr>
          <w:rtl w:val="true"/>
        </w:rPr>
        <w:t xml:space="preserve">ه </w:t>
      </w:r>
      <w:r>
        <w:rPr>
          <w:rtl w:val="true"/>
        </w:rPr>
        <w:t>)</w:t>
      </w:r>
      <w:bookmarkEnd w:id="215"/>
    </w:p>
    <w:p>
      <w:pPr>
        <w:pStyle w:val="BookText"/>
        <w:rPr/>
      </w:pPr>
      <w:r>
        <w:rPr>
          <w:rFonts w:ascii="IRNazanin" w:hAnsi="IRNazanin" w:eastAsia="IRNazanin"/>
          <w:color w:val="111111"/>
          <w:sz w:val="28"/>
          <w:sz w:val="28"/>
          <w:szCs w:val="28"/>
          <w:rtl w:val="true"/>
          <w:lang w:bidi="fa-IR"/>
        </w:rPr>
        <w:t>حمل السمعانیّ الجرّ أیضاً علی الغسل، وقدّر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برؤوسکم واغسلوا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یعطف الشیء علی الشیء وإن کان یخالفه فی الفعل</w:t>
      </w:r>
      <w:r>
        <w:rPr>
          <w:rStyle w:val="FootnoteAnchor"/>
          <w:rtl w:val="true"/>
        </w:rPr>
        <w:footnoteReference w:id="359"/>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متنکّباً رمحاً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علّفتها تبناً وماءً بارداً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وسقیتها ماءً بارداً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فالجرّ عنده علی الجوار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الغسل، واستدلّ لإثبات هذه الدعوی بما حکی عن أبی زید الأنصاریّ من أنّ المسح خفیف الغسل، ثمّ حمل المسح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 </w:t>
      </w:r>
    </w:p>
    <w:p>
      <w:pPr>
        <w:pStyle w:val="BookText"/>
        <w:rPr/>
      </w:pPr>
      <w:r>
        <w:rPr>
          <w:rFonts w:ascii="IRNazanin" w:hAnsi="IRNazanin" w:eastAsia="IRNazanin"/>
          <w:color w:val="111111"/>
          <w:sz w:val="28"/>
          <w:sz w:val="28"/>
          <w:szCs w:val="28"/>
          <w:rtl w:val="true"/>
          <w:lang w:bidi="fa-IR"/>
        </w:rPr>
        <w:t xml:space="preserve">الحقیقیّ وفی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الغسل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الجواب عن الجرّ بالجوار، وأنّ ذلک یقطع العلاقة بین اللفظ والمعنی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متقلّداً سیفاً ورمحاً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الجواب عنه</w:t>
      </w:r>
      <w:r>
        <w:rPr>
          <w:rStyle w:val="FootnoteAnchor"/>
          <w:rtl w:val="true"/>
        </w:rPr>
        <w:footnoteReference w:id="362"/>
      </w:r>
      <w:r>
        <w:rPr>
          <w:rFonts w:ascii="IRNazanin" w:hAnsi="IRNazanin" w:eastAsia="IRNazanin"/>
          <w:color w:val="111111"/>
          <w:sz w:val="28"/>
          <w:sz w:val="28"/>
          <w:szCs w:val="28"/>
          <w:rtl w:val="true"/>
          <w:lang w:bidi="fa-IR"/>
        </w:rPr>
        <w:t>، وأنّه لا یکون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علّفتها تبناً وماءً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لکان العامل واحداً، وهو لا یعمل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العامل محذوف،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وسقیتها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من قبیل عطف الجملة الفعلیّة علی مثلها، وذلک لأنّ الفعل الأوّل لا یصلح للعمل فی الاسم الذی بعد الواو، فلذا یقدّر له عامل صالح، والآیة لیست کذلک،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حاجة إلی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حذف، بل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والتزموا 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فالتزموا محتجّین بقول طرفة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سبب ترعی به الماءَ والشَّجَر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6193_70835"/>
    </w:p>
    <w:p>
      <w:pPr>
        <w:pStyle w:val="Heading3"/>
        <w:numPr>
          <w:ilvl w:val="2"/>
          <w:numId w:val="1"/>
        </w:numPr>
        <w:rPr/>
      </w:pPr>
      <w:bookmarkStart w:id="217" w:name="__RefHeading___Toc972206_237004111"/>
      <w:bookmarkStart w:id="218" w:name="_Toc77"/>
      <w:bookmarkEnd w:id="216"/>
      <w:bookmarkEnd w:id="217"/>
      <w:r>
        <w:rPr/>
        <w:t>55</w:t>
      </w:r>
      <w:r>
        <w:rPr>
          <w:rtl w:val="true"/>
        </w:rPr>
        <w:t xml:space="preserve"> - </w:t>
      </w:r>
      <w:r>
        <w:rPr>
          <w:rtl w:val="true"/>
        </w:rPr>
        <w:t xml:space="preserve">أبو شامة </w:t>
      </w:r>
      <w:r>
        <w:rPr>
          <w:rtl w:val="true"/>
        </w:rPr>
        <w:t>(</w:t>
      </w:r>
      <w:r>
        <w:rPr>
          <w:rtl w:val="true"/>
        </w:rPr>
        <w:t xml:space="preserve">ت </w:t>
      </w:r>
      <w:r>
        <w:rPr/>
        <w:t>665</w:t>
      </w:r>
      <w:r>
        <w:rPr>
          <w:rtl w:val="true"/>
        </w:rPr>
        <w:t xml:space="preserve"> </w:t>
      </w:r>
      <w:r>
        <w:rPr>
          <w:rtl w:val="true"/>
        </w:rPr>
        <w:t xml:space="preserve">ه </w:t>
      </w:r>
      <w:r>
        <w:rPr>
          <w:rtl w:val="true"/>
        </w:rPr>
        <w:t>)</w:t>
      </w:r>
      <w:bookmarkEnd w:id="218"/>
    </w:p>
    <w:p>
      <w:pPr>
        <w:pStyle w:val="BookText"/>
        <w:rPr/>
      </w:pPr>
      <w:r>
        <w:rPr>
          <w:rFonts w:ascii="IRNazanin" w:hAnsi="IRNazanin" w:eastAsia="IRNazanin"/>
          <w:color w:val="111111"/>
          <w:sz w:val="28"/>
          <w:sz w:val="28"/>
          <w:szCs w:val="28"/>
          <w:rtl w:val="true"/>
          <w:lang w:bidi="fa-IR"/>
        </w:rPr>
        <w:t xml:space="preserve">أصاب أبو شامة فی افادة قراءة الجرّ للمسح، لکنّه أخطأ فی حمله علی الخفّین، فهو رجع إلی الحقّ فی إثبات أنّ التحدید لا یدلّ علی الغسل فی هذه القراءة، معللاً بأنّ التحدید لا دلالة فیه علی غسل ولا مسح، وإنّما یذکر عند الحاجة إلیه، فلمّا کانت الید والرجل محدّدة فی الذکر الحکیم، فهی تفهمنا بأنّ اللّه سبحانه ذکرها کی لا یقتصر الغاسل للأیدی علی ما یجب قطعه فی السرقة، وکذا لیس له أن یتجاوز غسلها إلی غسل الإبطین، وکذا الحال فی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فحدّدها سبحانه کی لا تتجاوز إلی غسل الفخذ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یحتج إلی تحدید کما فی غسل الوجه ومسح الرأس، فلا تحدید فیه سواء کان غسلاً أو مسحاً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الطریف أن أنقل هنا ما رواه النَّسائیُّ فی سننه 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خلف أبی هریرة وهو یتوضّا للصلاة، وکان یغسل یدیه حتّی یبلغ إبطیه،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هریرة، ما هذا الوضوء؟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تسمیة لمن لم یکن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هاهنا؟ لو علمت أنّکم ها هنا ما توضّأت هذا الوضوء</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بسنده عن نعیم المجمر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رقیت مع أبی هریرة علی ظهر المسجد وعلیه سراویل من تحت قمیصه، فنزع سراویله ثمّ توضّأ وغسل وجهه ویدیه، ورفع فی عضدیه الوضوء ورجلیه، فرفع فی ساقه،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أُمّتی یأتون یوم القیامة غرّاً محجّلین من آثار الوضوء؛ فمن </w:t>
      </w:r>
    </w:p>
    <w:p>
      <w:pPr>
        <w:pStyle w:val="BookText"/>
        <w:rPr/>
      </w:pPr>
      <w:r>
        <w:rPr>
          <w:rFonts w:ascii="IRNazanin" w:hAnsi="IRNazanin" w:eastAsia="IRNazanin"/>
          <w:color w:val="111111"/>
          <w:sz w:val="28"/>
          <w:sz w:val="28"/>
          <w:szCs w:val="28"/>
          <w:rtl w:val="true"/>
          <w:lang w:bidi="fa-IR"/>
        </w:rPr>
        <w:t>استطاع منکم أن یطیل غرّته فلیفعل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مصنّف ابن أبی شیبة بسنده عن أبی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هریرة دار مروان بن الحکم، فدعا بوضوء فلمّا غسل ذراعیه جاوز المرفقین، فلمّا غسل رجلیه جاوز الکعبین إلی الساقین،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مبلغ الحلیة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إلی منکبیه وإلی رکبتیه،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تکتفی بما فرض اللّه علیک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الحلیة مبلغ الوضوء، فأحببت أن یزیدنی فی حلیتی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إلی التطوّر الذی لازم الوضوء الغسلیّ بعد إحداثه فی عهد عثمان بن عفّان، فقد تطوّر غسل الأرجل ثلاثاً فی عهد عثمان إلی تثلیث مسح الرأس مقبلاً ومدبراً فی عهد معاویة، وأعقبه مسح الأُذنین باطنهما وظاهرهما، وها هو یتطور إلی ما هو اسمی من کل ذلک فی عهد أبی‌هریرة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فیغسل الرجل یدیه إلی إبطیه ورجلیه إلی ساقیه، ثم یخاف أنْ یراه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 أبی شامة المسح علی الخفّین فقد تحدثنا عنه فیما سبق، وأنّ الخفّ لا یسمّی رجلاً فی اللغة والشرع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ما ذکره فی التحدید هو الحقّ الصحیح الذی أشرنا إلیه فی السابق وأشار إلیه غیر واحد من الأعلام</w:t>
      </w:r>
      <w:r>
        <w:rPr>
          <w:rFonts w:eastAsia="IRNazanin" w:cs="IRNazanin"/>
          <w:color w:val="111111"/>
          <w:sz w:val="28"/>
          <w:szCs w:val="28"/>
          <w:rtl w:val="true"/>
          <w:lang w:bidi="fa-IR"/>
        </w:rPr>
        <w:t xml:space="preserve">. </w:t>
      </w:r>
      <w:bookmarkStart w:id="219" w:name="pg6193_70838"/>
    </w:p>
    <w:p>
      <w:pPr>
        <w:pStyle w:val="Heading3"/>
        <w:numPr>
          <w:ilvl w:val="2"/>
          <w:numId w:val="1"/>
        </w:numPr>
        <w:rPr/>
      </w:pPr>
      <w:bookmarkStart w:id="220" w:name="__RefHeading___Toc972208_237004111"/>
      <w:bookmarkStart w:id="221" w:name="_Toc78"/>
      <w:bookmarkEnd w:id="219"/>
      <w:bookmarkEnd w:id="220"/>
      <w:r>
        <w:rPr/>
        <w:t>56</w:t>
      </w:r>
      <w:r>
        <w:rPr>
          <w:rtl w:val="true"/>
        </w:rPr>
        <w:t xml:space="preserve"> - </w:t>
      </w:r>
      <w:r>
        <w:rPr>
          <w:rtl w:val="true"/>
        </w:rPr>
        <w:t xml:space="preserve">القرطبیّ </w:t>
      </w:r>
      <w:r>
        <w:rPr>
          <w:rtl w:val="true"/>
        </w:rPr>
        <w:t>(</w:t>
      </w:r>
      <w:r>
        <w:rPr>
          <w:rtl w:val="true"/>
        </w:rPr>
        <w:t xml:space="preserve">ت </w:t>
      </w:r>
      <w:r>
        <w:rPr/>
        <w:t>671</w:t>
      </w:r>
      <w:r>
        <w:rPr>
          <w:rtl w:val="true"/>
        </w:rPr>
        <w:t xml:space="preserve"> </w:t>
      </w:r>
      <w:r>
        <w:rPr>
          <w:rtl w:val="true"/>
        </w:rPr>
        <w:t xml:space="preserve">ه </w:t>
      </w:r>
      <w:r>
        <w:rPr>
          <w:rtl w:val="true"/>
        </w:rPr>
        <w:t>)</w:t>
      </w:r>
      <w:bookmarkEnd w:id="221"/>
    </w:p>
    <w:p>
      <w:pPr>
        <w:pStyle w:val="BookText"/>
        <w:rPr/>
      </w:pPr>
      <w:r>
        <w:rPr>
          <w:rFonts w:ascii="IRNazanin" w:hAnsi="IRNazanin" w:eastAsia="IRNazanin"/>
          <w:color w:val="111111"/>
          <w:sz w:val="28"/>
          <w:sz w:val="28"/>
          <w:szCs w:val="28"/>
          <w:rtl w:val="true"/>
          <w:lang w:bidi="fa-IR"/>
        </w:rPr>
        <w:t>یظهر من کلام القرطبیّ أنّه غیر متردّد فی أنّ الجرّ یفید المسح، وذلک لإعجابه بقول ابن العربیّ المالکیّ الناقل اتفاق العلماء علی وجوب الغسل فی الرجلین، ولم یردّ ذلک سوی الطبریّ من فقهاء المسلمین والرافضة</w:t>
      </w:r>
      <w:r>
        <w:rPr>
          <w:rStyle w:val="FootnoteAnchor"/>
          <w:rtl w:val="true"/>
        </w:rPr>
        <w:footnoteReference w:id="368"/>
      </w:r>
      <w:r>
        <w:rPr>
          <w:rFonts w:ascii="IRNazanin" w:hAnsi="IRNazanin" w:eastAsia="IRNazanin"/>
          <w:color w:val="111111"/>
          <w:sz w:val="28"/>
          <w:sz w:val="28"/>
          <w:szCs w:val="28"/>
          <w:rtl w:val="true"/>
          <w:lang w:bidi="fa-IR"/>
        </w:rPr>
        <w:t>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وتعلّقوا بقراءة الخفض</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وقفة مع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الکلام المنقول عن ابن العربی والمتبنی عند القرطبی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الکلام لو دلّ علی شیء لدلّ علی مدی علم ابن العربیّ ومدی التزامه بالصدق والأمانة، وقد علمت إلی الآن أنّ الاتفاق مفقود، والخلاف فیها موجود بین الصحابة والتابعین وحتی بین ائمّة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نقلنا عنهم أنّهم رووا مسح الرجلین عن رسول اللّه صلی الله علیه و آله تارةً</w:t>
      </w:r>
      <w:r>
        <w:rPr>
          <w:rStyle w:val="FootnoteAnchor"/>
          <w:rtl w:val="true"/>
        </w:rPr>
        <w:footnoteReference w:id="370"/>
      </w:r>
      <w:r>
        <w:rPr>
          <w:rFonts w:ascii="IRNazanin" w:hAnsi="IRNazanin" w:eastAsia="IRNazanin"/>
          <w:color w:val="111111"/>
          <w:sz w:val="28"/>
          <w:sz w:val="28"/>
          <w:szCs w:val="28"/>
          <w:rtl w:val="true"/>
          <w:lang w:bidi="fa-IR"/>
        </w:rPr>
        <w:t>، وعن أمیرالمؤمنین علیّ علیه السلام تارة أُخری</w:t>
      </w:r>
      <w:r>
        <w:rPr>
          <w:rStyle w:val="FootnoteAnchor"/>
          <w:rtl w:val="true"/>
        </w:rPr>
        <w:footnoteReference w:id="371"/>
      </w:r>
      <w:r>
        <w:rPr>
          <w:rFonts w:ascii="IRNazanin" w:hAnsi="IRNazanin" w:eastAsia="IRNazanin"/>
          <w:color w:val="111111"/>
          <w:sz w:val="28"/>
          <w:sz w:val="28"/>
          <w:szCs w:val="28"/>
          <w:rtl w:val="true"/>
          <w:lang w:bidi="fa-IR"/>
        </w:rPr>
        <w:t>، وعن ابن عبّاس</w:t>
      </w:r>
      <w:r>
        <w:rPr>
          <w:rStyle w:val="FootnoteAnchor"/>
          <w:rtl w:val="true"/>
        </w:rPr>
        <w:footnoteReference w:id="372"/>
      </w:r>
      <w:r>
        <w:rPr>
          <w:rFonts w:ascii="IRNazanin" w:hAnsi="IRNazanin" w:eastAsia="IRNazanin"/>
          <w:color w:val="111111"/>
          <w:sz w:val="28"/>
          <w:sz w:val="28"/>
          <w:szCs w:val="28"/>
          <w:rtl w:val="true"/>
          <w:lang w:bidi="fa-IR"/>
        </w:rPr>
        <w:t>وانس، وعکرمة والشعبیّ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الاتفاق الذی یدّعیه هذا الرجل المتعصب؟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اتفاق علمائهم علی ذلک، فهل هؤلاء العلماء هم أعلی رتبةً من رسول </w:t>
      </w:r>
    </w:p>
    <w:p>
      <w:pPr>
        <w:pStyle w:val="BookText"/>
        <w:rPr/>
      </w:pPr>
      <w:r>
        <w:rPr>
          <w:rFonts w:ascii="IRNazanin" w:hAnsi="IRNazanin" w:eastAsia="IRNazanin"/>
          <w:color w:val="111111"/>
          <w:sz w:val="28"/>
          <w:sz w:val="28"/>
          <w:szCs w:val="28"/>
          <w:rtl w:val="true"/>
          <w:lang w:bidi="fa-IR"/>
        </w:rPr>
        <w:t xml:space="preserve">اللّه صلی الله علیه و آله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الرازیّ حول آیة الوضوء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لکم عنّی حدیث فاعرضوه علی کتاب الله فإن و افقه فاقبلوه و إلّا 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 لا یعرض ابن العربیّ أقوالَ هؤلاء العلماء وَآراءَهُمْ علی الکتاب العزیز؟ وهل حقّاً أنّهم اتفقوا علی قول واحد کما ادّعاه ابن العربی؟ أم أنّهم مختلفون فی التأویلات والتفسیرات ووجوه القراءات؟ وإذا کانوا مختلفین فکیف یدّعی اتفاق العلماء علیه؟</w:t>
      </w:r>
    </w:p>
    <w:p>
      <w:pPr>
        <w:pStyle w:val="BookText"/>
        <w:rPr/>
      </w:pPr>
      <w:r>
        <w:rPr>
          <w:rFonts w:ascii="IRNazanin" w:hAnsi="IRNazanin" w:eastAsia="IRNazanin"/>
          <w:color w:val="111111"/>
          <w:sz w:val="28"/>
          <w:sz w:val="28"/>
          <w:szCs w:val="28"/>
          <w:rtl w:val="true"/>
          <w:lang w:bidi="fa-IR"/>
        </w:rPr>
        <w:t>وإنّی علی ثقة فی أنّ هؤلاء أخذوا یفسّرون وفقاً لما عرفوه من أُصول</w:t>
      </w:r>
      <w:r>
        <w:rPr>
          <w:rStyle w:val="FootnoteAnchor"/>
          <w:rtl w:val="true"/>
        </w:rPr>
        <w:footnoteReference w:id="374"/>
      </w:r>
      <w:r>
        <w:rPr>
          <w:rFonts w:ascii="IRNazanin" w:hAnsi="IRNazanin" w:eastAsia="IRNazanin"/>
          <w:color w:val="111111"/>
          <w:sz w:val="28"/>
          <w:sz w:val="28"/>
          <w:szCs w:val="28"/>
          <w:rtl w:val="true"/>
          <w:lang w:bidi="fa-IR"/>
        </w:rPr>
        <w:t>مذاهبهم؛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جیء به لیجاری أقوال أئمّتهم، لا أنّهم أخذوا أحکام دینهم من القرآن، کل ذلک بدعوی أنّ الصحابة أو أئمّة المذاهب لا یقولون بشیء مخالف للقرآن، أی أنّهم تمذهبوا قبل أن یتعبّدوا بقول اللّه ورسوله، وإنّ قناعات هؤلاء العلماء کان لها دخل فی الاستنتاجات بلا شکّ، لان عناوین الأبواب فی الکتب الحدیثیة رسمت طبق قناعات هؤلاء العلماء، فتری روایات المسح علی القدمین مثلاً توضع فی ابواب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تجرّدوا عن التمذهب وقرؤوا القرآن علی الفطرة، لرأوا أنّ الآیة ظاهرة فی المسح بلا شکّ ولا ریب، وهذا ما قاله کثیر من العلماء، لکنّهم لو أرادوا أن یجمعوا بین السیرة الصحیحة والسنّة المخترعة وبین النص القرآنی والاجتهاد </w:t>
      </w:r>
    </w:p>
    <w:p>
      <w:pPr>
        <w:pStyle w:val="BookText"/>
        <w:rPr/>
      </w:pPr>
      <w:r>
        <w:rPr>
          <w:rFonts w:ascii="IRNazanin" w:hAnsi="IRNazanin" w:eastAsia="IRNazanin"/>
          <w:color w:val="111111"/>
          <w:sz w:val="28"/>
          <w:sz w:val="28"/>
          <w:szCs w:val="28"/>
          <w:rtl w:val="true"/>
          <w:lang w:bidi="fa-IR"/>
        </w:rPr>
        <w:t>بالرای، لواجهوا مشاکل عدیدة ذکرنا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علمت من 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ذنب الشیعة إذا کنت جاهلاً، لم تبلغک آراء قومک من أهل الخلاف حیث مَلَؤُوْا الطوامیر بنقل المسح عن رسول اللّه صلی الله علیه و آله وعن أمیرالمؤمنین علیّ بن أبی طالب علیه السلام وابن عبّاس وانس بن مالک وعکرمة والشعبیّ والطبریّ والحسن البصریّ</w:t>
      </w:r>
      <w:r>
        <w:rPr>
          <w:rStyle w:val="FootnoteAnchor"/>
          <w:rtl w:val="true"/>
        </w:rPr>
        <w:footnoteReference w:id="375"/>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أَحْکامُ اللّه تابعة لعلمک؟ بحیث إذا لم تعلم شیئاً رفع التکلیف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یجب علیک معرفة أَحکام اللّه واتباع کتابه وسنته کغیرک من المسلمین؟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 من فقهاء المسلمین والرافضة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إلی هذا الکلام آلشّائِنُ القبیح، وهل یجوز إخراج الشیعة الأبرار من المسلمین وجعلُهم فی عداد الکفّار والمشرکین؟ بل هل یجوز نبز هذه الفرقة بلقب الرافضة، وهی الفرقة التی دافعت عن سنة رسول اللّه وَحَافَظَتْ علیه بِرَغْمِ التطبیق تحدیثاً وتدویناً وکتابة وسبحانه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إنّهم نبزوا المؤمنین الشیعة بالرَّفْض لرفضهم سنّة أبی بکر وعمر وعثمان وتمسّکهم بحکم القرآن الکریم وبسنّة رسول اللّه صلی الله علیه و آله الأطهر، وذلک شرف لهم، لوقوفهم علی التضاد الموجود بین سنة الشیخین وسنة رسول اللّه، فلا یرجحون کلام الشیخین علی کلام رسول اللّه، ولم یَجْعَلُوْا ملاک الکفر والإسلام حب أبی بکر وعمر، بل یجعلوه بشهادة ان لا إله إلّااللّه، وان محمداً رسول اللّه، وهو الذی </w:t>
      </w:r>
    </w:p>
    <w:p>
      <w:pPr>
        <w:pStyle w:val="BookText"/>
        <w:rPr/>
      </w:pPr>
      <w:r>
        <w:rPr>
          <w:rFonts w:ascii="IRNazanin" w:hAnsi="IRNazanin" w:eastAsia="IRNazanin"/>
          <w:color w:val="111111"/>
          <w:sz w:val="28"/>
          <w:sz w:val="28"/>
          <w:szCs w:val="28"/>
          <w:rtl w:val="true"/>
          <w:lang w:bidi="fa-IR"/>
        </w:rPr>
        <w:t>جاء فی مقدمة صحیح مسلم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أقرّ بوحدانیّة اللّه ونبوّة خاتم المرسلین وصلّی إلی القبلة وصام وحجّ وزکّی؛ فهو مسلم، حرام علی المسلمین دمه وماله وعرضه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والشیعة مسلمون بحکم هذه النصوص المرویّة فی کتب العامّة؛ ولکن ابن العربیّ رمی فرقة کبیرة من المسلمین بدائه وانسلّ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ضاقت به السبل رجع إلی القول بأنّ القراءتین بمنزلة آیتین، والمسح واجب علی قراءة الجرّ، والغسل علی قراءة النصب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فی کلام ابن عطیّة منفذاً للفرار عن الحقّ، فلم یتأمّل فی الخروج منها بل قبله، وهو أنّ المسح مشترک لفظیّ بین المسح والغسل مؤیِّداً کلامه بما عزی إلی أبی زید الأنصاریّ المردود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 علیه أنّ الجرّ یحتمل المسح والغسل، والنصب لا یحتمل إلّاالغسل فقط، فیحمل الجرّ المحتمل علی النصب المتیقّن فیحکم بالغسل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خطأ، لأنّ النصب أیضاً یحتمل الغسل کما یحتمل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أنّه مشترک 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المسح فی النصب من باب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والعطف علی المحلّ هنا جائز، ولا یجوز العطف علی الوجوه مع الفصل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أوّلاً أنّ النصب لا اختلاف فِیهْ، ولا احتمال حتّی یحمل الجرّ علیه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سلّمنا أنّه لا احتمال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احتمال فیه غیر المسح، إذ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یفید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الفصل بین المتعاطفین، وذلک لا یجوز لو کان الفصل بمفرد فضلاً عن الجملة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قلنا مع عدم الجواز بوقوعه فی القرآن، لکان ذلک قولاً باشتمال القرآن علی مخالفة القیاس النحویّ المشتهر فیما بین معظم أصحابه وهو الکاشف عن العربیة الصحیحة، وذلک من اسباب الإخلال بالفصاحة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والقرطبیّ لم یقنط من الإعراب بالمجاورة المردود فی القرآن، واحتمل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عطفاً علی اللفظ دون المعنی، ویکون المعنی علی الغسل دون المسح، ویکون الإعراب بالمجاورة</w:t>
      </w:r>
      <w:r>
        <w:rPr>
          <w:rStyle w:val="FootnoteAnchor"/>
          <w:rtl w:val="true"/>
        </w:rPr>
        <w:footnoteReference w:id="379"/>
      </w:r>
      <w:r>
        <w:rPr>
          <w:rFonts w:ascii="IRNazanin" w:hAnsi="IRNazanin" w:eastAsia="IRNazanin"/>
          <w:color w:val="111111"/>
          <w:sz w:val="28"/>
          <w:sz w:val="28"/>
          <w:szCs w:val="28"/>
          <w:rtl w:val="true"/>
          <w:lang w:bidi="fa-IR"/>
        </w:rPr>
        <w:t>، واستدلّ لإثبات ورود ذلک بآیات من القرآن وأبیات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عَلَیْکُما شُواظٌ مِنْ نارٍ وَ 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الأبیات فمنها قول امرئ القیس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کبیر أُناس فی بجاد مزمّل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فخفض مزمّل بالجوار، والمزمّل الرجل وإعرابه الرفع، وقد تحدثنا عنه فیما مضی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زهیر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لَعِبَ الریاح بها وَغیّرها بَعْدِی سَوافی المُورِ والقَطْر</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کان الوجه القطر بالرَّفْع ولکنّه جرّه علی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مذهب الأخفش وأبی عبیدة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علّفتها تبناً وماءً بارداً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متقلّداً سیفاً ورمحاً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بالجلهتین ظباؤها ونعامها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شَرّابُ ألْبانٍ وتَمْرٍ وأَقِط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وسقیتها ماءً بارداً، وحاملاً رمحاً، وأفرخت نعامها، وشراب ألبان وأکل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 کلّ هذا علی ادّعاء أنّ العرب قد تعطف الشیء علی الشیء بفعل ینفرد به أحدهما،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الخبز واللبن؛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وشربت اللبن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الإعراب بالمجاورة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تعرّض لردّه غیر واحد من أهل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القول فیه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ردّه الزجّاج کما تقدّم، وآخر مَن ردّه النحّاس الأدیب،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عنه القرطبیّ فی تفسیره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غلط عظیم، لأنّ الجوار لا یکون فی الکلام أن یقاس علیه، وإنّما هو غلط ونظیره الإقواء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وانخرط فی هذا السلک من النحویّین من لهم شأن فی العربیّة کبیر، سوف نتعرّض لهم فی الخاتمة إن شاء اللّه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آیة سورة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مستنداً للإعراب بالجوار، لأنّ الرفع إنّما یکون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والجرّ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مجرورة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أنّه فی هذه القراءة أیضاً معطوف علی شواظ والجرّ بالمجاورة، بل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محذور، والمعنی مستقیم کما </w:t>
      </w:r>
    </w:p>
    <w:p>
      <w:pPr>
        <w:pStyle w:val="BookText"/>
        <w:rPr/>
      </w:pPr>
      <w:r>
        <w:rPr>
          <w:rFonts w:ascii="IRNazanin" w:hAnsi="IRNazanin" w:eastAsia="IRNazanin"/>
          <w:color w:val="111111"/>
          <w:sz w:val="28"/>
          <w:sz w:val="28"/>
          <w:szCs w:val="28"/>
          <w:rtl w:val="true"/>
          <w:lang w:bidi="fa-IR"/>
        </w:rPr>
        <w:t xml:space="preserve">نصّ علیه الفرّاء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ولو خفض کان صواباً، یراد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نار ومن نحاس</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آیة سورة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أوضح من الأوّل، وقد حکم الفرّاء فی ذلک أیضاً بالقول الفصل، وأبطل الاستدلال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من صفة اللوح، ومن رفع جعله للقرآن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بیت امرئ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أیضاً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بیت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دلیلاً له علینا،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والسوافی داخل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وهی کما تکون سوافی التراب والغبار وهما معنی المور، فکذلک تصلح أن تکون سوافی القطر أی قطرات المطر وهذا واضح لکلّ من رأی نزول المطر عند هبوب الریاح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 المور والقطر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یحصل لِلّبِیْبِ معنی علی قول القرطبیّ،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استوفی مفعوله وهو ضمیر المؤنّث،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له مضاف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والقطر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أفضل من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علیه، لأنّه أیضاً فاعل علی هذا التقدیر لا مفعول لخلوّه، حینئذٍ عن المعنی الصحیح، ویلزم منه تقدیم المعطوف علی المعطوف علیه، وهو وإن جاز فی الشعر للضرورة إلّاأنّه إذا أمکن حمل </w:t>
      </w:r>
      <w:bookmarkStart w:id="222" w:name="pg6193_70854"/>
    </w:p>
    <w:p>
      <w:pPr>
        <w:pStyle w:val="BookText"/>
        <w:rPr/>
      </w:pPr>
      <w:bookmarkEnd w:id="222"/>
      <w:r>
        <w:rPr>
          <w:rFonts w:ascii="IRNazanin" w:hAnsi="IRNazanin" w:eastAsia="IRNazanin"/>
          <w:color w:val="111111"/>
          <w:sz w:val="28"/>
          <w:sz w:val="28"/>
          <w:szCs w:val="28"/>
          <w:rtl w:val="true"/>
          <w:lang w:bidi="fa-IR"/>
        </w:rPr>
        <w:t>الکلام علی ما یخرجه عن ارتکاب الضرورة فهو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واضح لمن کان له أدنی إلمام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وسائر الأبیات أیضاً تقدّم الجواب عنها، وقد اشرنا إلیها فی مواضعها فلتراجع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ألبان وتمر وأقط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بلا فرق</w:t>
      </w:r>
      <w:r>
        <w:rPr>
          <w:rFonts w:eastAsia="IRNazanin" w:cs="IRNazanin"/>
          <w:color w:val="111111"/>
          <w:sz w:val="28"/>
          <w:szCs w:val="28"/>
          <w:rtl w:val="true"/>
          <w:lang w:bidi="fa-IR"/>
        </w:rPr>
        <w:t>.</w:t>
      </w:r>
    </w:p>
    <w:p>
      <w:pPr>
        <w:pStyle w:val="Heading3"/>
        <w:numPr>
          <w:ilvl w:val="2"/>
          <w:numId w:val="1"/>
        </w:numPr>
        <w:rPr/>
      </w:pPr>
      <w:bookmarkStart w:id="223" w:name="__RefHeading___Toc972210_237004111"/>
      <w:bookmarkStart w:id="224" w:name="_Toc79"/>
      <w:bookmarkEnd w:id="223"/>
      <w:r>
        <w:rPr/>
        <w:t>57</w:t>
      </w:r>
      <w:r>
        <w:rPr>
          <w:rtl w:val="true"/>
        </w:rPr>
        <w:t xml:space="preserve"> - </w:t>
      </w:r>
      <w:r>
        <w:rPr>
          <w:rtl w:val="true"/>
        </w:rPr>
        <w:t xml:space="preserve">المحقّق الحلّیّ </w:t>
      </w:r>
      <w:r>
        <w:rPr>
          <w:rtl w:val="true"/>
        </w:rPr>
        <w:t>(</w:t>
      </w:r>
      <w:r>
        <w:rPr>
          <w:rtl w:val="true"/>
        </w:rPr>
        <w:t xml:space="preserve">ت </w:t>
      </w:r>
      <w:r>
        <w:rPr/>
        <w:t>676</w:t>
      </w:r>
      <w:r>
        <w:rPr>
          <w:rtl w:val="true"/>
        </w:rPr>
        <w:t xml:space="preserve"> </w:t>
      </w:r>
      <w:r>
        <w:rPr>
          <w:rtl w:val="true"/>
        </w:rPr>
        <w:t xml:space="preserve">ه </w:t>
      </w:r>
      <w:r>
        <w:rPr>
          <w:rtl w:val="true"/>
        </w:rPr>
        <w:t>)</w:t>
      </w:r>
      <w:bookmarkEnd w:id="224"/>
    </w:p>
    <w:p>
      <w:pPr>
        <w:pStyle w:val="BookText"/>
        <w:rPr/>
      </w:pPr>
      <w:r>
        <w:rPr>
          <w:rFonts w:ascii="Amiri" w:hAnsi="Amiri" w:eastAsia="Amiri" w:cs="Amiri"/>
          <w:color w:val="111111"/>
          <w:sz w:val="28"/>
          <w:sz w:val="28"/>
          <w:szCs w:val="28"/>
          <w:rtl w:val="true"/>
          <w:lang w:bidi="ar-SA"/>
        </w:rPr>
        <w:t>تمسّک المحقّق الحلّیّ بمحکم التنزیل فی الفتوی بالمسح لو قرئ بالجرّ أیضاً وبأنّ الإعراب بالمجاورة نادر، قَصَرَهُ أَهْلُ الأَدَبِ علی موارده فلا یقاس علیه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حذّاق النُّحاة أنکروا الإعراب بالجوار أصلاً، وتأوّلوا المواضع التی توهم 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صحّته وجواز القیاس علیه لکان مشروطاً بعدم اللبس وزواله، وهنا یحصل الالتباس، فلا یستعمل المجاورة لفوات شرط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لم یقع فی العطف بالحرف، وروی علی ضعف فی النعت والتوکید من أقسام التوابع الخمسة، وقد اشرنا إلیه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عن استدلالهم علی ذلک بقراءة حمزة والکسائیّ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ولا وجه له ظاهراً إلّابالجوار،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یطفن ولا یطاف بهنّ </w:t>
      </w:r>
    </w:p>
    <w:p>
      <w:p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 مضاف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مقارنة 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نقل عن الفارسیّ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 استدلالهم لإثبات ذلک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لم یبق إلّاأسیر غیر منفلتٍ وموثق فی حبال الأسر مکبولُ</w:t>
      </w:r>
    </w:p>
    <w:p>
      <w:pPr>
        <w:pStyle w:val="BookText"/>
        <w:rPr/>
      </w:pP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أمثلة وقوع الجرّ بالجوار مع العاطف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هذا لا یثبت ما 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استدلالهم لإثبات ذلک بالمنقول عن أبی زید من أنّ المسح بمعنی الغسل الخفیف</w:t>
      </w:r>
      <w:r>
        <w:rPr>
          <w:rStyle w:val="FootnoteAnchor"/>
          <w:rtl w:val="true"/>
        </w:rPr>
        <w:footnoteReference w:id="392"/>
      </w:r>
      <w:r>
        <w:rPr>
          <w:rFonts w:ascii="Amiri" w:hAnsi="Amiri" w:eastAsia="Amiri" w:cs="Amiri"/>
          <w:color w:val="111111"/>
          <w:sz w:val="28"/>
          <w:sz w:val="28"/>
          <w:szCs w:val="28"/>
          <w:rtl w:val="true"/>
          <w:lang w:bidi="ar-SA"/>
        </w:rPr>
        <w:t>، وکذا عن قولهم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 بِالسُّوقِ وَ الْأَعْناقِ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العرف الشرعیّ فارق بینهما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وقوعه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فرّق بینهما فی الأعضاء، فجعل بعضها مغسولاً وبعضها ممسوحاً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یشتمل علی المسح، لأنّه مسح وزیادة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لیس کلّ مشتمل علی شیءٍ یسمّی باسم ما هو داخل تحته، فإنّ </w:t>
      </w:r>
      <w:bookmarkStart w:id="225" w:name="pg6193_70858"/>
    </w:p>
    <w:p>
      <w:pPr>
        <w:pStyle w:val="BookText"/>
        <w:rPr/>
      </w:pPr>
      <w:bookmarkEnd w:id="225"/>
      <w:r>
        <w:rPr>
          <w:rFonts w:ascii="IRNazanin" w:hAnsi="IRNazanin" w:eastAsia="IRNazanin"/>
          <w:color w:val="111111"/>
          <w:sz w:val="28"/>
          <w:sz w:val="28"/>
          <w:szCs w:val="28"/>
          <w:rtl w:val="true"/>
          <w:lang w:bidi="fa-IR"/>
        </w:rPr>
        <w:t>السکنجبین مشتمل علی السکّر والخلّ ولا یسمّی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أبی زید فمردود بما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قراءة الجرّ تقتضی المسح فَقِراءَة النَّصْبِ تقتضی الغسل، فیلزم إمّا التخییر أو العمل بالغسل توفیقاً بین القراءة ونقل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تقتضی الغسل؛ لأنّ العطف علی الموضع مستمرّ فی الاستعمال معروف بین أهل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المانع من أن ننزل قراءة الجرّ علی المسح علی الخفّین، وقراءة النصب علی غسل الرجلین؟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حمل النصب علی الغسل مردود بما ذکرناه من أنّ المسح فی الآیة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والخفّ لا یسمّی رجلاً حقیقةً أبداً، وقد تقدم ذلک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72212_237004111"/>
      <w:bookmarkStart w:id="227" w:name="_Toc80"/>
      <w:bookmarkEnd w:id="226"/>
      <w:r>
        <w:rPr/>
        <w:t>58</w:t>
      </w:r>
      <w:r>
        <w:rPr>
          <w:rtl w:val="true"/>
        </w:rPr>
        <w:t xml:space="preserve"> - </w:t>
      </w:r>
      <w:r>
        <w:rPr>
          <w:rtl w:val="true"/>
        </w:rPr>
        <w:t xml:space="preserve">علیّ بن محمّد القُمّیّ </w:t>
      </w:r>
      <w:r>
        <w:rPr>
          <w:rtl w:val="true"/>
        </w:rPr>
        <w:t>(</w:t>
      </w:r>
      <w:r>
        <w:rPr>
          <w:rtl w:val="true"/>
        </w:rPr>
        <w:t>من أعلام القرن السابع</w:t>
      </w:r>
      <w:r>
        <w:rPr>
          <w:rtl w:val="true"/>
        </w:rPr>
        <w:t>)</w:t>
      </w:r>
      <w:bookmarkEnd w:id="227"/>
    </w:p>
    <w:p>
      <w:pPr>
        <w:pStyle w:val="BookText"/>
        <w:rPr/>
      </w:pPr>
      <w:r>
        <w:rPr>
          <w:rFonts w:ascii="IRNazanin" w:hAnsi="IRNazanin" w:eastAsia="IRNazanin"/>
          <w:color w:val="111111"/>
          <w:sz w:val="28"/>
          <w:sz w:val="28"/>
          <w:szCs w:val="28"/>
          <w:rtl w:val="true"/>
          <w:lang w:bidi="fa-IR"/>
        </w:rPr>
        <w:t xml:space="preserve">علیّ بن محمّد القمیّ یعتقد بأنّ الجرّ لا یخالف النصب فی أنّ مُفاده واحد وهو المسح، ولا وجه للجرّ إلّاالعطف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کما لا وجه للنصب عند المتعبّدین إلّاالعطف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والجرّ بالجوار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أنکر القمّیّ الجرّ بالجوار أَلبتّة واستند فی هذا الإنکار إلی أدلّة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إنکار حذّاق العربیّة إیّاه وتأویل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 جحره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حسنٍ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شذوذ الجرّ بالجوار عند من جوّزه، والقرآن أرفع شأناً وأعلی مکاناً من الحمل علی الشذوذ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الجرّ بالمجاورة فی العطف من التوابع لو ثبت وروده فی النعت والتأکید، کما قدّمنا، وذلک لمنع العاطف من المجاورة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بالجوار إنّما یتصوّر فی الکلام مع الأمن من الالتباس کما فی المنقول عن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کونه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الخراب إنّما یصلح وصفاً للجُحْر لا الضبِّ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کما یمکن أن تکون مغسولة یصحّ أن تکون ممسوحةً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العطف علی المحلّ مخالف للقوانین الشائعة عند أهل العربیّة، وهم متفقون علی أنّ إعمال الأقرب أولی من الأبعد، ومثله قول عقیبة بن هبیرة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فلسنا بالجبالِ ولا الحدیدا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فقراءة الجرّ لا یحتمل سوی المسح، ویحمل قراءة النصب علیها حفظاً للمطابقة بین القراءتین والجمع مهما أمکن</w:t>
      </w:r>
      <w:r>
        <w:rPr>
          <w:rFonts w:eastAsia="IRNazanin" w:cs="IRNazanin"/>
          <w:color w:val="111111"/>
          <w:sz w:val="28"/>
          <w:szCs w:val="28"/>
          <w:rtl w:val="true"/>
          <w:lang w:bidi="fa-IR"/>
        </w:rPr>
        <w:t xml:space="preserve">. </w:t>
      </w:r>
      <w:bookmarkStart w:id="228" w:name="pg6193_70862"/>
    </w:p>
    <w:p>
      <w:pPr>
        <w:pStyle w:val="Heading3"/>
        <w:numPr>
          <w:ilvl w:val="2"/>
          <w:numId w:val="1"/>
        </w:numPr>
        <w:rPr/>
      </w:pPr>
      <w:bookmarkStart w:id="229" w:name="__RefHeading___Toc972214_237004111"/>
      <w:bookmarkStart w:id="230" w:name="_Toc81"/>
      <w:bookmarkEnd w:id="228"/>
      <w:bookmarkEnd w:id="229"/>
      <w:r>
        <w:rPr/>
        <w:t>59</w:t>
      </w:r>
      <w:r>
        <w:rPr>
          <w:rtl w:val="true"/>
        </w:rPr>
        <w:t xml:space="preserve"> - </w:t>
      </w:r>
      <w:r>
        <w:rPr>
          <w:rtl w:val="true"/>
        </w:rPr>
        <w:t xml:space="preserve">البیضاویّ </w:t>
      </w:r>
      <w:r>
        <w:rPr>
          <w:rtl w:val="true"/>
        </w:rPr>
        <w:t>(</w:t>
      </w:r>
      <w:r>
        <w:rPr>
          <w:rtl w:val="true"/>
        </w:rPr>
        <w:t xml:space="preserve">ت </w:t>
      </w:r>
      <w:r>
        <w:rPr/>
        <w:t>682</w:t>
      </w:r>
      <w:r>
        <w:rPr>
          <w:rtl w:val="true"/>
        </w:rPr>
        <w:t xml:space="preserve"> </w:t>
      </w:r>
      <w:r>
        <w:rPr>
          <w:rtl w:val="true"/>
        </w:rPr>
        <w:t xml:space="preserve">ه </w:t>
      </w:r>
      <w:r>
        <w:rPr>
          <w:rtl w:val="true"/>
        </w:rPr>
        <w:t>)</w:t>
      </w:r>
      <w:bookmarkEnd w:id="230"/>
    </w:p>
    <w:p>
      <w:pPr>
        <w:pStyle w:val="BookText"/>
        <w:rPr/>
      </w:pPr>
      <w:r>
        <w:rPr>
          <w:rFonts w:ascii="IRNazanin" w:hAnsi="IRNazanin" w:eastAsia="IRNazanin"/>
          <w:color w:val="111111"/>
          <w:sz w:val="28"/>
          <w:sz w:val="28"/>
          <w:szCs w:val="28"/>
          <w:rtl w:val="true"/>
          <w:lang w:bidi="fa-IR"/>
        </w:rPr>
        <w:t>لم یَحِدِ البیضاویُّ عن الباطل قید شعرة، إذ حمل الجرّ أیضاً علی الغسل، وجعل الإعراب بالمجاورة مدّعیاً ورود ذلک فی القرآن والشعر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فی قراءة حمزة والکسائیّ،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العرب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فائدة الجرّ بالجوار تقلیداً للزمخشریّ بأنّها التنبیه علی الاقتصاد فی صَبّ الماء والنهی عن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واجه مخالفة کلامه للقانون النحویّ المشتهر بین مُعظم أصحابه، وهو الفصل بین المتعاطفین، وهو ضعف التألیف المخلّ بالبلاغة، اعتذر عنها بأنّها للتنبیه علی الترتیب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الآیة وقول العرب قد تقدّم الکلام فیه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بین المتعاطفین فهو لا یجوز بمفردٍ فضلاً عن الجملة، وهذا ما نصّ علیه ابن هشام فی شرح الشذور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فالغلط لا یمکن أن یکون لنکتة، وإلّا لکان المرتکبون لها والواقعون فیها بمندوحة عن الاعتذار، ومفتوحاً أمامهم باب ارتکابه بحجّة أنّه یکون لنکتة تنبّه لها الغالط وغفل عنها الآخرون</w:t>
      </w:r>
      <w:r>
        <w:rPr>
          <w:rFonts w:eastAsia="IRNazanin" w:cs="IRNazanin"/>
          <w:color w:val="111111"/>
          <w:sz w:val="28"/>
          <w:szCs w:val="28"/>
          <w:rtl w:val="true"/>
          <w:lang w:bidi="fa-IR"/>
        </w:rPr>
        <w:t xml:space="preserve">. </w:t>
      </w:r>
      <w:bookmarkStart w:id="231" w:name="pg6193_70864"/>
    </w:p>
    <w:p>
      <w:pPr>
        <w:pStyle w:val="BookText"/>
        <w:rPr/>
      </w:pPr>
      <w:bookmarkEnd w:id="231"/>
      <w:r>
        <w:rPr>
          <w:rFonts w:ascii="IRNazanin" w:hAnsi="IRNazanin" w:eastAsia="IRNazanin"/>
          <w:color w:val="111111"/>
          <w:sz w:val="28"/>
          <w:sz w:val="28"/>
          <w:szCs w:val="28"/>
          <w:rtl w:val="true"/>
          <w:lang w:bidi="fa-IR"/>
        </w:rPr>
        <w:t>مضافاً إلی أنّ ذلک لو وقع فی کلام العرب ولم یکن غلطاً؛ لکان مخالفةً للقانون النحویّ المشتهر، والکلام المشتمل علیها لا یکون فصیحاً، والمسلم بل حتی غیر المسلم المنصف أیضاً لا یقولان باشتمال القرآن علی غیر الفصیح، وأهل الفصاحة من الأعراب أیضاً اعترفوا بالعجز عن المعارضة، وهؤلاء لو وجدوا سبیلاً إلی الطعن علیه لسلکوه، وأراحوا أنفسهم عن المعارضة بالسنان لسهولة المعارضة باللسان، وقد تقدم الحدیث فی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یریدون حمل القرآن علی المذهب لم یتفکّروا فی خلفیات زعمهم ونتائج عملهم، ولو تفکّروا لم یحملوا القرآن علی الهوی، ولم یقعوا فی تلک المضایق لو کانوا مُنْصِفیْنَ</w:t>
      </w:r>
      <w:r>
        <w:rPr>
          <w:rFonts w:eastAsia="IRNazanin" w:cs="IRNazanin"/>
          <w:color w:val="111111"/>
          <w:sz w:val="28"/>
          <w:szCs w:val="28"/>
          <w:rtl w:val="true"/>
          <w:lang w:bidi="fa-IR"/>
        </w:rPr>
        <w:t>.</w:t>
      </w:r>
    </w:p>
    <w:p>
      <w:pPr>
        <w:pStyle w:val="Heading3"/>
        <w:numPr>
          <w:ilvl w:val="2"/>
          <w:numId w:val="1"/>
        </w:numPr>
        <w:rPr/>
      </w:pPr>
      <w:bookmarkStart w:id="232" w:name="__RefHeading___Toc972216_237004111"/>
      <w:bookmarkStart w:id="233" w:name="_Toc82"/>
      <w:bookmarkEnd w:id="232"/>
      <w:r>
        <w:rPr/>
        <w:t>60</w:t>
      </w:r>
      <w:r>
        <w:rPr>
          <w:rtl w:val="true"/>
        </w:rPr>
        <w:t xml:space="preserve"> - </w:t>
      </w:r>
      <w:r>
        <w:rPr>
          <w:rtl w:val="true"/>
        </w:rPr>
        <w:t xml:space="preserve">ابن المنیر الاسکندریّ </w:t>
      </w:r>
      <w:r>
        <w:rPr>
          <w:rtl w:val="true"/>
        </w:rPr>
        <w:t>(</w:t>
      </w:r>
      <w:r>
        <w:rPr>
          <w:rtl w:val="true"/>
        </w:rPr>
        <w:t xml:space="preserve">ت </w:t>
      </w:r>
      <w:r>
        <w:rPr/>
        <w:t>683</w:t>
      </w:r>
      <w:r>
        <w:rPr>
          <w:rtl w:val="true"/>
        </w:rPr>
        <w:t xml:space="preserve"> </w:t>
      </w:r>
      <w:r>
        <w:rPr>
          <w:rtl w:val="true"/>
        </w:rPr>
        <w:t xml:space="preserve">ه </w:t>
      </w:r>
      <w:r>
        <w:rPr>
          <w:rtl w:val="true"/>
        </w:rPr>
        <w:t>)</w:t>
      </w:r>
      <w:bookmarkEnd w:id="233"/>
    </w:p>
    <w:p>
      <w:pPr>
        <w:pStyle w:val="BookText"/>
        <w:rPr/>
      </w:pPr>
      <w:r>
        <w:rPr>
          <w:rFonts w:ascii="IRNazanin" w:hAnsi="IRNazanin" w:eastAsia="IRNazanin"/>
          <w:color w:val="111111"/>
          <w:sz w:val="28"/>
          <w:sz w:val="28"/>
          <w:szCs w:val="28"/>
          <w:rtl w:val="true"/>
          <w:lang w:bidi="fa-IR"/>
        </w:rPr>
        <w:t>قال ابن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یوجّه الجرّ بما یشفی الغلیل، والوجه فیه أنّ الغسل والمسح متقاربان من حیث إنّ کلّ واحد منهما إمساس بِآلعُضْوِ، فیسهل عطف المغسول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الممسوح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ثمّ کقوله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r>
        <w:rPr>
          <w:rStyle w:val="FootnoteAnchor"/>
          <w:rtl w:val="true"/>
        </w:rPr>
        <w:footnoteReference w:id="400"/>
      </w:r>
      <w:bookmarkStart w:id="234" w:name="pg6193_70865"/>
    </w:p>
    <w:p>
      <w:pPr>
        <w:pStyle w:val="BookText"/>
        <w:rPr/>
      </w:pPr>
      <w:bookmarkEnd w:id="234"/>
      <w:r>
        <w:rPr>
          <w:rFonts w:ascii="IRNazanin" w:hAnsi="IRNazanin" w:eastAsia="IRNazanin"/>
          <w:color w:val="111111"/>
          <w:sz w:val="28"/>
          <w:sz w:val="28"/>
          <w:szCs w:val="28"/>
          <w:rtl w:val="true"/>
          <w:lang w:bidi="fa-IR"/>
        </w:rPr>
        <w:t>ونظائره کثیرة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ذکره ابن المنیر هو الذی أسّسه الزمخشریّ من عنده وَتَفَلْسَفَ بهِ، ثمّ تبعه الجماعة واحداً تَلو الآخر، وکلّ واحد یعرف أنّه منه محاولة تطبیق القرآن علی المذهب لا أخذ المذهب من القرآن، وهذا الدلیل ذکروه بعبارات مختلفة، وعبّر عنه هنا بالإیجاز والاختصار، وتوکید الفائدة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تعبیرهم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واغسلوا أرجلکم غسلاً خفیفاً لا إسراف فیه، کما هو المعتاد، فاختصرت هذه المقاصد بإشراکه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الممسوح، تنبیهاً علی أنّ الغسل المطلوب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خفیف یقارب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الأمر کما یزعمون، لکان ذلک تعقیداً لفظیّاً لا یفهم المراد منه؛ وهو مخلّ بالفصاحة ودالّ علی عجز المتکلّم عن أن یأتی بهذه الأغراض بعبارة واضحة، وذلک یأبی منه کلام اللّه، فهو ممّا لا یجترئ علیه أحدٌ من المسلمین، بل اعترف بنزاهة القرآن منه المنصفون من الکفّار والمتعنّتون من فصحاء العرب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أنّهم لم یجدوا القراءة الجرّ معنی مقنعا إلّاالمسح ولکنّهم أبو إلّا الغسل</w:t>
      </w:r>
      <w:r>
        <w:rPr>
          <w:rFonts w:eastAsia="IRNazanin" w:cs="IRNazanin"/>
          <w:color w:val="111111"/>
          <w:sz w:val="28"/>
          <w:szCs w:val="28"/>
          <w:rtl w:val="true"/>
          <w:lang w:bidi="fa-IR"/>
        </w:rPr>
        <w:t>.</w:t>
      </w:r>
    </w:p>
    <w:p>
      <w:pPr>
        <w:pStyle w:val="Heading3"/>
        <w:numPr>
          <w:ilvl w:val="2"/>
          <w:numId w:val="1"/>
        </w:numPr>
        <w:rPr/>
      </w:pPr>
      <w:bookmarkStart w:id="235" w:name="__RefHeading___Toc972218_237004111"/>
      <w:bookmarkStart w:id="236" w:name="_Toc83"/>
      <w:bookmarkEnd w:id="235"/>
      <w:r>
        <w:rPr/>
        <w:t>61</w:t>
      </w:r>
      <w:r>
        <w:rPr>
          <w:rtl w:val="true"/>
        </w:rPr>
        <w:t xml:space="preserve"> - </w:t>
      </w:r>
      <w:r>
        <w:rPr>
          <w:rtl w:val="true"/>
        </w:rPr>
        <w:t xml:space="preserve">أبو البرکات النسفیّ </w:t>
      </w:r>
      <w:r>
        <w:rPr>
          <w:rtl w:val="true"/>
        </w:rPr>
        <w:t>(</w:t>
      </w:r>
      <w:r>
        <w:rPr>
          <w:rtl w:val="true"/>
        </w:rPr>
        <w:t xml:space="preserve">ت </w:t>
      </w:r>
      <w:r>
        <w:rPr/>
        <w:t>710</w:t>
      </w:r>
      <w:r>
        <w:rPr>
          <w:rtl w:val="true"/>
        </w:rPr>
        <w:t xml:space="preserve"> </w:t>
      </w:r>
      <w:r>
        <w:rPr>
          <w:rtl w:val="true"/>
        </w:rPr>
        <w:t xml:space="preserve">ه </w:t>
      </w:r>
      <w:r>
        <w:rPr>
          <w:rtl w:val="true"/>
        </w:rPr>
        <w:t>)</w:t>
      </w:r>
      <w:bookmarkEnd w:id="2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أبو البرکات الجرّ علی الغسل مع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بما أبدعه الزمخشریّ من عنده، والزمخشری فتح لهؤلاء الجماعة باب </w:t>
      </w:r>
    </w:p>
    <w:p>
      <w:pPr>
        <w:pStyle w:val="BookText"/>
        <w:rPr/>
      </w:pPr>
      <w:r>
        <w:rPr>
          <w:rFonts w:ascii="IRNazanin" w:hAnsi="IRNazanin" w:eastAsia="IRNazanin"/>
          <w:color w:val="111111"/>
          <w:sz w:val="28"/>
          <w:sz w:val="28"/>
          <w:szCs w:val="28"/>
          <w:rtl w:val="true"/>
          <w:lang w:bidi="fa-IR"/>
        </w:rPr>
        <w:t>التفسیر بالرأی علی مصراعیه، فأوردهم موارد الهلکة، وما أبدعه الزمخشری هو أنّ الأرجل بالجرّ عطف علی الرؤوس لا لتمسح بل للتبیه علی وجوب الإقتصاد فی غسل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 الزمخشریّ الآخر علی ذلک التفسیر التحدید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الممسوح عندهم غیر محدود، فلمّا جیء بالتحدید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المراد من المسح الغسل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الجواب عن هذا فیما سبق</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النَسَفیّ عن جامع العلوم أیضاً أن یکون الجرّ للمجاورة والحکم الغسل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مستدلاً بروایة هی أدل علی المسح من الغسل مفادها أن رسول اللّه صلی الله علیه و آله رأی قوماً یمسحون علی أرجلهم،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من هذا النص أنّ الحکم فی الأرجل کان المسح لا الغسل، لأنّه صلی الله علیه و آله رآهم یمسحون ولم یعترض، بل ذکّرهم بشیء آخر خارج عن حقیقة الوضوء، وهو الویل للاعقاب من النار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من المعلوم بأن الاعقاب معرضة للنجاسة، ومن العرب من کان بوالاً علی عقبیه، وأن أکثر عذاب أهل القبور هو من البول کما فی الحدیث الشریف، فقد یکون النبی أراد بقوله ان یجلب انتباه المسلمین إلی هذه الحقیقة ورعایة النظافة لا لشیء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یمکن طرح هذا الأمر بصورة السؤال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القوم الذین رآهم رسول اللّه صلی الله علیه و آله یمسحون أرجلهم فی الوضوء کانوا من المسلمین أو من غیرهم؟</w:t>
      </w:r>
    </w:p>
    <w:p>
      <w:pPr>
        <w:pStyle w:val="BookText"/>
        <w:rPr/>
      </w:pPr>
      <w:r>
        <w:rPr>
          <w:rFonts w:ascii="IRNazanin" w:hAnsi="IRNazanin" w:eastAsia="IRNazanin"/>
          <w:color w:val="111111"/>
          <w:sz w:val="28"/>
          <w:sz w:val="28"/>
          <w:szCs w:val="28"/>
          <w:rtl w:val="true"/>
          <w:lang w:bidi="fa-IR"/>
        </w:rPr>
        <w:t>فإن کانوا من غیرهم فلا علاقة لهذه الروایة بموضوع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کانوا مسلمین فأیّ لومٍ یتوجّه إلیهم وهم الذین تعلّموا الوضوء من رسول‌اللّه صلی الله علیه و آله ولم یَتَوضَّؤُوْا من عند أنفسهم؟ إذ إنّهم لم یکونوا یعرفون الطهارة بهذه الکیفیّة قبل رسول اللّه صلی الله علیه و آله وقد تعلّموها منه صلی الله علیه و آله فکیف یلومهم علی الفعل الذی علّمهم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القوم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الوضوء الذی تعلّمناه منک یا نبیّ اللّه؟ فإن یک فیه شیء فمنک أخذناه، وإن تغیّر حکمه فبیِّنْه لنا، وان لم نعمل به فوجّه اللوم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فلا یمکن التمسک بأمثال هذه الروایات علی وجوب غسل القدمین والذی مر الکلام عنها فی البحث الروائی من هذه الدراسة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النّسفی عن عطاء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 أحداً من أصحاب رسول اللّه صلی الله علیه و آله مسح علی القدمین، وإنّما أمر بغلسل هذه الأعضاء لیطهّرها من الأوساخ الّتی تتّصل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عطاء نقل المسح عن رسول اللّه صلی الله علیه و آله، عن یعلی بن عطاء عنه عن اوس بن أبی 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علی قدمیه</w:t>
      </w:r>
      <w:r>
        <w:rPr>
          <w:rStyle w:val="FootnoteAnchor"/>
          <w:rtl w:val="true"/>
        </w:rPr>
        <w:footnoteReference w:id="405"/>
      </w:r>
      <w:r>
        <w:rPr>
          <w:rFonts w:ascii="IRNazanin" w:hAnsi="IRNazanin" w:eastAsia="IRNazanin"/>
          <w:color w:val="111111"/>
          <w:sz w:val="28"/>
          <w:sz w:val="28"/>
          <w:szCs w:val="28"/>
          <w:rtl w:val="true"/>
          <w:lang w:bidi="fa-IR"/>
        </w:rPr>
        <w:t xml:space="preserve">، وقد مرّ هذا الحدیث فی کلامنا مع الطبّری، فکیف یقول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عبدالبرّ اعترف بأنّ المسح روی عن بعض الصّحابة والتّابعین </w:t>
      </w:r>
      <w:bookmarkStart w:id="237" w:name="pg6193_70871"/>
    </w:p>
    <w:p>
      <w:pPr>
        <w:pStyle w:val="BookText"/>
        <w:rPr/>
      </w:pPr>
      <w:bookmarkEnd w:id="237"/>
      <w:r>
        <w:rPr>
          <w:rFonts w:ascii="IRNazanin" w:hAnsi="IRNazanin" w:eastAsia="IRNazanin"/>
          <w:color w:val="111111"/>
          <w:sz w:val="28"/>
          <w:sz w:val="28"/>
          <w:szCs w:val="28"/>
          <w:rtl w:val="true"/>
          <w:lang w:bidi="fa-IR"/>
        </w:rPr>
        <w:t>وتعلق به بعض المتأخرین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72220_237004111"/>
      <w:bookmarkStart w:id="239" w:name="_Toc84"/>
      <w:bookmarkEnd w:id="238"/>
      <w:r>
        <w:rPr/>
        <w:t>62</w:t>
      </w:r>
      <w:r>
        <w:rPr>
          <w:rtl w:val="true"/>
        </w:rPr>
        <w:t xml:space="preserve"> - </w:t>
      </w:r>
      <w:r>
        <w:rPr>
          <w:rtl w:val="true"/>
        </w:rPr>
        <w:t xml:space="preserve">علاء الدین علیّ بن محمّد البغدادیّ الشهیر بالخازن </w:t>
      </w:r>
      <w:r>
        <w:rPr>
          <w:rtl w:val="true"/>
        </w:rPr>
        <w:t>(</w:t>
      </w:r>
      <w:r>
        <w:rPr>
          <w:rtl w:val="true"/>
        </w:rPr>
        <w:t xml:space="preserve">ت </w:t>
      </w:r>
      <w:r>
        <w:rPr/>
        <w:t>725</w:t>
      </w:r>
      <w:r>
        <w:rPr>
          <w:rtl w:val="true"/>
        </w:rPr>
        <w:t xml:space="preserve"> </w:t>
      </w:r>
      <w:r>
        <w:rPr>
          <w:rtl w:val="true"/>
        </w:rPr>
        <w:t xml:space="preserve">ه </w:t>
      </w:r>
      <w:r>
        <w:rPr>
          <w:rtl w:val="true"/>
        </w:rPr>
        <w:t>)</w:t>
      </w:r>
      <w:bookmarkEnd w:id="239"/>
    </w:p>
    <w:p>
      <w:pPr>
        <w:pStyle w:val="BookText"/>
        <w:rPr/>
      </w:pPr>
      <w:r>
        <w:rPr>
          <w:rFonts w:ascii="IRNazanin" w:hAnsi="IRNazanin" w:eastAsia="IRNazanin"/>
          <w:color w:val="111111"/>
          <w:sz w:val="28"/>
          <w:sz w:val="28"/>
          <w:szCs w:val="28"/>
          <w:rtl w:val="true"/>
          <w:lang w:bidi="fa-IR"/>
        </w:rPr>
        <w:t xml:space="preserve">لم یجد الخازن البغدادی بُدّاً من الاعتراف بأنّ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عن أبی حاتم وابن الأنباریّ وأبی علیّ الفارسی ذلک أیضاً، إلّاأنّه انقاد أخیراً للهوی وحمل 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الغسل بدلیل التحدید المجاب عنه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یقتنع بذلک حتّی توغّل فی الباطل، فأهمل وظیفة حرف العطف فی إفادة الجمع،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العطف وإن کان علی الممسوح أیضاً لا یفید المسح فی جانب الأرجل؛ لأنّه قد ینسق بالشیء علی غیره والحکم فیهما مختلف، مستدلّاً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أجبنا عن ذلک کلّه فی الأبحاث المتقدّمة، مبینین بطلان کلامه من کلّ الجوانب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240" w:name="pg6193_70873"/>
    </w:p>
    <w:p>
      <w:pPr>
        <w:pStyle w:val="BookText"/>
        <w:rPr/>
      </w:pPr>
      <w:bookmarkEnd w:id="240"/>
      <w:r>
        <w:rPr>
          <w:rFonts w:ascii="IRNazanin" w:hAnsi="IRNazanin" w:eastAsia="IRNazanin"/>
          <w:color w:val="111111"/>
          <w:sz w:val="28"/>
          <w:sz w:val="28"/>
          <w:szCs w:val="28"/>
          <w:rtl w:val="true"/>
          <w:lang w:bidi="fa-IR"/>
        </w:rPr>
        <w:t>وأمّا الجرّ بالجوار فلم یمل إلیه الخازن ولم یرغب فیه، بل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یحمل الکلام علیه للضرورة الشعریّة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الأمن من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العطف بالحرف وفیه لا یمکن، ولم تتکلّم به العرب</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72222_237004111"/>
      <w:bookmarkStart w:id="242" w:name="_Toc85"/>
      <w:bookmarkEnd w:id="241"/>
      <w:r>
        <w:rPr/>
        <w:t>63</w:t>
      </w:r>
      <w:r>
        <w:rPr>
          <w:rtl w:val="true"/>
        </w:rPr>
        <w:t xml:space="preserve"> - </w:t>
      </w:r>
      <w:r>
        <w:rPr>
          <w:rtl w:val="true"/>
        </w:rPr>
        <w:t xml:space="preserve">العلّامة الحلّیّ الحسن بن یوسف بن المطهّر </w:t>
      </w:r>
      <w:r>
        <w:rPr>
          <w:rtl w:val="true"/>
        </w:rPr>
        <w:t>(</w:t>
      </w:r>
      <w:r>
        <w:rPr>
          <w:rtl w:val="true"/>
        </w:rPr>
        <w:t xml:space="preserve">ت </w:t>
      </w:r>
      <w:r>
        <w:rPr/>
        <w:t>726</w:t>
      </w:r>
      <w:r>
        <w:rPr>
          <w:rtl w:val="true"/>
        </w:rPr>
        <w:t xml:space="preserve"> </w:t>
      </w:r>
      <w:r>
        <w:rPr>
          <w:rtl w:val="true"/>
        </w:rPr>
        <w:t xml:space="preserve">ه </w:t>
      </w:r>
      <w:r>
        <w:rPr>
          <w:rtl w:val="true"/>
        </w:rPr>
        <w:t>)</w:t>
      </w:r>
      <w:bookmarkEnd w:id="242"/>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المسح لا الغسل عند العلّامة الحلّی، أمّا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مجرورة، ولم یتقدّم اسم مجرور علیه حیث یعطف علیه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العطف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یکون الإعراب بالمجاورة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المحقّقین أنکروه، وقال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القرآن؛ وکلامه فی هذا المجالِ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فرض صحّته فی غیر القرآن هو شاذّ، وفصیح القرآن لا یُحْمَلُ علی الشاذّ</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بالمجاورة لم یرد فی العطف بالحرف لو قلنا تَنَزُّلاً بوروده فی </w:t>
      </w:r>
    </w:p>
    <w:p>
      <w:pPr>
        <w:pStyle w:val="BookText"/>
        <w:rPr/>
      </w:pPr>
      <w:r>
        <w:rPr>
          <w:rFonts w:ascii="IRNazanin" w:hAnsi="IRNazanin" w:eastAsia="IRNazanin"/>
          <w:color w:val="111111"/>
          <w:sz w:val="28"/>
          <w:sz w:val="28"/>
          <w:szCs w:val="28"/>
          <w:rtl w:val="true"/>
          <w:lang w:bidi="fa-IR"/>
        </w:rPr>
        <w:t>النعت والتأکید،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کبیر أُناس فی بجادٍ مزمّلِ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فیجب الاقتصار علی مورد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مع الأمن من اللبس والعلم بالمعنی کما فی المثالین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فتعیّن العطف عَلَیْها، لأنّ القرب معتبر عند أهل اللغة حتّی لو صلح آلْعامِلان للعمل، فإنّ الأقرب یمنع الأبعد عن العمل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الانتقال من جملة إلی أُخری قبل استیفاء الغرض من الأُولی قبیح فی لغة العرب، فلا یحسن الانتقال إلی جملة المسح إلّابعد استیفاء المقصود من جملة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عبّاس المرویّ عند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غسلتان ومسحتان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المسح فبحکم العطف الذی لا ینکره إلّامکابر ینکر الضروریّات والمسلّمات، وإلّا کان الإتیان بالعاطف لغواً، تعالی اللّه عمّا یقول الظالمون عُلُوّاً کبیراً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فالجرّ لا یصحّ إلّامع العطف علی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المشارکة فی الحکم، لاتفاق أهل اللغة علی أنّ الواو مشترکة فی الإعراب والمعنی،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لمطلق الجمع</w:t>
      </w:r>
      <w:r>
        <w:rPr>
          <w:rFonts w:eastAsia="IRNazanin" w:cs="IRNazanin"/>
          <w:color w:val="111111"/>
          <w:sz w:val="28"/>
          <w:szCs w:val="28"/>
          <w:rtl w:val="true"/>
          <w:lang w:bidi="fa-IR"/>
        </w:rPr>
        <w:t xml:space="preserve">. </w:t>
      </w:r>
      <w:bookmarkStart w:id="243" w:name="pg6193_70877"/>
    </w:p>
    <w:p>
      <w:pPr>
        <w:pStyle w:val="BookText"/>
        <w:rPr/>
      </w:pPr>
      <w:bookmarkEnd w:id="243"/>
      <w:r>
        <w:rPr>
          <w:rFonts w:ascii="IRNazanin" w:hAnsi="IRNazanin" w:eastAsia="IRNazanin"/>
          <w:color w:val="111111"/>
          <w:sz w:val="28"/>
          <w:sz w:val="28"/>
          <w:szCs w:val="28"/>
          <w:rtl w:val="true"/>
          <w:lang w:bidi="fa-IR"/>
        </w:rPr>
        <w:t>والجرّ بالجوار یرد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تنصیص النحویین علی أنّ الإعراب بالمجاورة لا یقاس علیه، وإذا خرج إلی هذا الحدّ فی الشذوذ استحال حمل کلام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إنکار الأخفش وروده فی کتاب اللّه مطلقاً وقوله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یتصوّر هو فی مقام الأمن من الالتباس کالمثل والبیت</w:t>
      </w:r>
      <w:r>
        <w:rPr>
          <w:rStyle w:val="FootnoteAnchor"/>
          <w:rtl w:val="true"/>
        </w:rPr>
        <w:footnoteReference w:id="412"/>
      </w:r>
      <w:r>
        <w:rPr>
          <w:rFonts w:ascii="IRNazanin" w:hAnsi="IRNazanin" w:eastAsia="IRNazanin"/>
          <w:color w:val="111111"/>
          <w:sz w:val="28"/>
          <w:sz w:val="28"/>
          <w:szCs w:val="28"/>
          <w:rtl w:val="true"/>
          <w:lang w:bidi="fa-IR"/>
        </w:rPr>
        <w:t>، وفی الآیة یحصل الالتباس لو قلنا فیها بالإعراب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وروده فی عطف النسق، کما فی المثال والبیت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استشعر اعتراضاً علی نفسه بإنکار الجرّ بالجوار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قائلاً بأنّه لیس من الباب، وبه صرّح أبو علی الفارسیّ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وحمله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جَنّاتِ النَّعِیمِ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علی حذف المضاف، وتقدیره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جنّات النعیم، وفی مقارنة حور عین أو معاشرة حور عین، کما نقلنا نصّه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أکثر القرّاء قرؤوا بالرفع، ولم یقرأ بالجرّ غیر حمزة والکسائیّ</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72224_237004111"/>
      <w:bookmarkStart w:id="245" w:name="_Toc86"/>
      <w:bookmarkEnd w:id="244"/>
      <w:r>
        <w:rPr/>
        <w:t>64</w:t>
      </w:r>
      <w:r>
        <w:rPr>
          <w:rtl w:val="true"/>
        </w:rPr>
        <w:t xml:space="preserve"> - </w:t>
      </w:r>
      <w:r>
        <w:rPr>
          <w:rtl w:val="true"/>
        </w:rPr>
        <w:t xml:space="preserve">ابن تیمیّة الحرّانیّ </w:t>
      </w:r>
      <w:r>
        <w:rPr>
          <w:rtl w:val="true"/>
        </w:rPr>
        <w:t>(</w:t>
      </w:r>
      <w:r>
        <w:rPr>
          <w:rtl w:val="true"/>
        </w:rPr>
        <w:t xml:space="preserve">ت </w:t>
      </w:r>
      <w:r>
        <w:rPr/>
        <w:t>728</w:t>
      </w:r>
      <w:r>
        <w:rPr>
          <w:rtl w:val="true"/>
        </w:rPr>
        <w:t xml:space="preserve"> </w:t>
      </w:r>
      <w:r>
        <w:rPr>
          <w:rtl w:val="true"/>
        </w:rPr>
        <w:t xml:space="preserve">ه </w:t>
      </w:r>
      <w:r>
        <w:rPr>
          <w:rtl w:val="true"/>
        </w:rPr>
        <w:t>)</w:t>
      </w:r>
      <w:bookmarkEnd w:id="2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 ابن تیمیة أنّ الجرّ یفید الغسل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الآیة لا تفید المسح أصلاً، مستدلاً باُمور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الأمر إلی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هم الذین قرؤوها بالخفض ومع ذلک اعترفوا بالغسل، وهذا دلیل علی أنّ الجرّ یفید المسح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الأمر ما عاد إلی الغسل، وإذا ثَبُتَتْ قراءة الجرّ وأنّه لا یمکن توجیهه مع الاحتفاظ بکرامة القرآن وبلاغته إلّابالمسح، فقول السلف معارَض بالقرآن فیضرب به عرض الجدار، لأنّه اجتهاد قبال النصّ، وهو باطل باعتراف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الباء فی الآیة حرف جرّ أصلیّ، ومعناه الإلصاق لا أنّها زائدة، ومفاده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اللّه أمر بالمسح بالعضو، لا مسح العضو، فلو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المأمور به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المسح بها، وهذا ینافی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فی الفرق بین مسح العضو والمسح بالعضو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المسح بالعضو یقتضی إلصاق الممسوح، لأنّ الباء للإلصاق، وهذا یقتضی إیصال الماء إلی العضو،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الباء لا یقتضی ذلک، أی لم یقتض إیصال الماء إلی العضو</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فابن تیمیة مصرّ علی أنّ الباء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زائدة، وأنّها لو حذفت أخلّ بالمعنی، فعنده لا یجوز العطف علی محلّ المجرور بها، بل علی لفظ المجرور بها أو علی ما قبله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الباء زائدة</w:t>
      </w:r>
      <w:r>
        <w:rPr>
          <w:rStyle w:val="FootnoteAnchor"/>
          <w:rtl w:val="true"/>
        </w:rPr>
        <w:footnoteReference w:id="415"/>
      </w:r>
      <w:r>
        <w:rPr>
          <w:rFonts w:ascii="IRNazanin" w:hAnsi="IRNazanin" w:eastAsia="IRNazanin"/>
          <w:color w:val="111111"/>
          <w:sz w:val="28"/>
          <w:sz w:val="28"/>
          <w:szCs w:val="28"/>
          <w:rtl w:val="true"/>
          <w:lang w:bidi="fa-IR"/>
        </w:rPr>
        <w:t xml:space="preserve">لا محالة،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 بنفسه لا یحتاج إلی </w:t>
      </w:r>
    </w:p>
    <w:p>
      <w:pPr>
        <w:pStyle w:val="BookText"/>
        <w:rPr/>
      </w:pPr>
      <w:r>
        <w:rPr>
          <w:rFonts w:ascii="IRNazanin" w:hAnsi="IRNazanin" w:eastAsia="IRNazanin"/>
          <w:color w:val="111111"/>
          <w:sz w:val="28"/>
          <w:sz w:val="28"/>
          <w:szCs w:val="28"/>
          <w:rtl w:val="true"/>
          <w:lang w:bidi="fa-IR"/>
        </w:rPr>
        <w:t xml:space="preserve">الباء، وأمّا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ثبت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الزیادة، لأنّ التأکید أضعف المعانی واقلّها فلو لم یکن لزم اللغو، ومعنی هذا أنّها لو أفادت زائداً علی التأکید 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التبعیض الذی قاله الشافعیّ</w:t>
      </w:r>
      <w:r>
        <w:rPr>
          <w:rStyle w:val="FootnoteAnchor"/>
          <w:rtl w:val="true"/>
        </w:rPr>
        <w:footnoteReference w:id="416"/>
      </w:r>
      <w:r>
        <w:rPr>
          <w:rFonts w:ascii="IRNazanin" w:hAnsi="IRNazanin" w:eastAsia="IRNazanin"/>
          <w:color w:val="111111"/>
          <w:sz w:val="28"/>
          <w:sz w:val="28"/>
          <w:szCs w:val="28"/>
          <w:rtl w:val="true"/>
          <w:lang w:bidi="fa-IR"/>
        </w:rPr>
        <w:t xml:space="preserve">أو الإلصاق الذی قاله ابن تیمیّة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ذلک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ذکره ابن تیمیّة لا یعرفه أهل العربیّة والذین لهم شأن فی هذا من غیرهم، وابن تیمیّة لیس من علم الأدب فی قبیل ولا دبیر؛ فقوله غیر معتدّ به ومردود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الذی ذکره اختلقه من عنده ولا یعرفه أهل اللغة واللسان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یمکننا ان نقول بأن قول ابن تیمیة الآنف فی بیان الفرق بین مسح العضو والمسح بالعضو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العضو بدون الباء لا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لأن الأرجُل لو عطفت علی الرؤوس المجرورة بالباء، لزم أن تکون الأرجُل أیضاً مجرورة بالباء، فتکون الأرجُل والرؤوس متحدّین فی کونهما مجرورین بباء الالصاق علی زعمه، فیجب أن یمسحا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مقتضی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برؤوسکم وامسحوا بارجلکم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أغفله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کون الباء للإلصاق هنا، لم یقل به أحد، کما لا معنی له بل المراد التبعیض</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الجر فی ارجلکم، وأمّا علی النصب فهو علی محل الرؤوس، فتکون الأرجل ممسوحة بغیر باء التبعیض، لأن الأرجُل مقیدة بکونهما إلی الکعبین، فهی محدودة ببعضها ولا تحتاج إلی الباء، وحینئذ فما قاله ابن تیمیة من کون الباء للإلصاق، وأن ذلک یقتضی ایصال الماء، ادّعاء منه لم یعرفه أهل العرف ولا أهل </w:t>
      </w:r>
    </w:p>
    <w:p>
      <w:pPr>
        <w:pStyle w:val="BookText"/>
        <w:rPr/>
      </w:pPr>
      <w:r>
        <w:rPr>
          <w:rFonts w:ascii="Amiri" w:hAnsi="Amiri" w:eastAsia="Amiri" w:cs="Amiri"/>
          <w:color w:val="111111"/>
          <w:sz w:val="28"/>
          <w:sz w:val="28"/>
          <w:szCs w:val="28"/>
          <w:rtl w:val="true"/>
          <w:lang w:bidi="ar-SA"/>
        </w:rPr>
        <w:t>اللغة فهو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لقرئ فی آیة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فلمّا اتفقوا علی الجرّ فی آیة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العطف علی المحلّ لو کان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العطف علی اللفظ ولم یکن فی آیة التیمّم منصوباً معطوفاً علی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آیة الوضوء</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بین القراءتین من حیث الإعراب، وأنّی لابن تیمیّه إثبات تِلْکَ الملازمة؟</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آیة التیمّم لو کان لها علاقة بآیة الوضوء من حیث الإعراب، وقرئ فیها بالجرّ فقط، لکان مُفاد ذلک صحّة القراءة بالجرّ فقط فی آیة الوضوء، ولا سبیل إلی تخریجه حینئذٍ إلّاالمسح الذی یفرّ منه ابن تیمیّة وَنُظراؤُهُ، فأین راح الدلیل؟</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آیة التیمّم شاهدة علی المسح، إذ لم یقرأ فیها إلّاالجرّ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حسبما اعترف به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الوضوء مِثلْها من هذه الحیثیّة فینبغی أن یقرأ بالجرّ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القراءة التی لا مردّ لها، ولیس مفادها إلّاالمسح، والذین أحدثوا فیها قراءة النصب بعد ذلک فراراً من المسح ولجوءً إلی الغسل، وقعوا فی ورطة مخالفة القیاس النحویّ التی هی من أسباب الإخلال بالبلاغة، کما بیّنّاه فی المباحث المتقدّمة غیر مرّةٍ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الغسل لا المسح، حیث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قدّر أنّ العطف علی المحلّ کالقول الآخر، وأن </w:t>
      </w:r>
    </w:p>
    <w:p>
      <w:pPr>
        <w:pStyle w:val="BookText"/>
        <w:rPr/>
      </w:pP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 رجلین کعبین وفی کلّ رجل کعب واحد، لقیل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لما کان فی کلّ ید 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بین الشرط والجزاء شرعاً وعرفاً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رجلا کلّ متطهّر، وفیهما عندنا کعبان، وهذا أَوْلی من قول مخالفینا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رجل کلّ متطهّر لأنّ الفرض یتناول الرجلین معاً، فصرف الخطاب إلیهما أولی</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بالتثنیة فی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فی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التفنّن فی التعبیر، وهو من موجبات تحسین الکلام وأسباب التَّطْرِیة والنَّشاط بالنسبة إلی السامع، فلا بأس باشتمال القرآن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الممسوح بین مغسولین وقطع الجملة الأُولی قبل تمامها بجملة المسح الأجنبیّة للدلالة علی الترتیب المشروع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الترتیب إنّما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 غالٍ، وهو کبح بلاغة القرآن للوصول إلی هذا الترتیب وهو خطأ، فإنّ لبیان الترتیب حروفاً معهودة لا یعدل عنها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التعلیل العلیل یدلّ علی أنّ اللّه عزّ وعلا لم یکن قادراً بالجمع بین البلاغة والترتیب، فآثر الترتیب علی البلاغة، وهذا ممّا یقود نسبة العجز أو الجهل إلیه تعالی عمّا یقول الظالمون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تُفَسِّرُ القرآن وتبینه، وهی قد جاءت بالغسل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أنّ السنّة تُفسِّرُ القرآن، لکن السنة الصحیحة الموجودة </w:t>
      </w:r>
      <w:bookmarkStart w:id="246" w:name="pg6193_70886"/>
    </w:p>
    <w:p>
      <w:pPr>
        <w:pStyle w:val="BookText"/>
        <w:rPr/>
      </w:pPr>
      <w:bookmarkEnd w:id="246"/>
      <w:r>
        <w:rPr>
          <w:rFonts w:ascii="IRNazanin" w:hAnsi="IRNazanin" w:eastAsia="IRNazanin"/>
          <w:color w:val="111111"/>
          <w:sz w:val="28"/>
          <w:sz w:val="28"/>
          <w:szCs w:val="28"/>
          <w:rtl w:val="true"/>
          <w:lang w:bidi="fa-IR"/>
        </w:rPr>
        <w:t>عند أهل البیت، لا سنة الخلفاء المانعین للتحدیث والتدوین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أهل البیت أعرف بسنّة جدّهم رسول اللّه صلی الله علیه و آله من غیرهم، مع اعتراف الجمیع بفضلهم</w:t>
      </w:r>
      <w:r>
        <w:rPr>
          <w:rStyle w:val="FootnoteAnchor"/>
          <w:rtl w:val="true"/>
        </w:rPr>
        <w:footnoteReference w:id="421"/>
      </w:r>
      <w:r>
        <w:rPr>
          <w:rFonts w:ascii="IRNazanin" w:hAnsi="IRNazanin" w:eastAsia="IRNazanin"/>
          <w:color w:val="111111"/>
          <w:sz w:val="28"/>
          <w:sz w:val="28"/>
          <w:szCs w:val="28"/>
          <w:rtl w:val="true"/>
          <w:lang w:bidi="fa-IR"/>
        </w:rPr>
        <w:t>وعدالتهم وصدقهم وأمانتهم ولزوم عدم آلتَّقَدُّمِ علیهمِ لأنّ من تقدمهم هلک، وهؤلاء قد نقل عنهم المفسّرون المسح علی الرجلین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السنّة التی یدّعیها ابن تیمیّة مفسّرةً للقرآن ودالّةً علیه ومعبّرةً عنه، قد جاءت بالمسح لا الغسل، وان کان بعض الأمویین قد نقل الغسل عن رسول اللّه مخالفاً لما جاء فی الذکر الحکیم، أجل إن عمر بن عبدالعزیز أراد ان یدون سنة الحکام ویوصلها إلی من بعده، والعباسیون جاءوا لیأصلو هذه الفکرة فی أطار تأسیسهم للمذاهب الأربعة، فدخل المختلف فیه أو المشکوک علی أنّه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السنّة التی یدّعیها ابن تیمیّة هی سنّة أمویّة یجب ان یُضْرَبَ بها عرض الجدار لمخالفتها کتاب اللّه، وإن المروی فی کتبهم یخالف صریح القرآن المجید وهو یعنی کونها موضوعة علی لسان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247" w:name="__RefHeading___Toc972226_237004111"/>
      <w:bookmarkStart w:id="248" w:name="_Toc87"/>
      <w:bookmarkEnd w:id="247"/>
      <w:r>
        <w:rPr/>
        <w:t>65</w:t>
      </w:r>
      <w:r>
        <w:rPr>
          <w:rtl w:val="true"/>
        </w:rPr>
        <w:t xml:space="preserve"> - </w:t>
      </w:r>
      <w:r>
        <w:rPr>
          <w:rtl w:val="true"/>
        </w:rPr>
        <w:t xml:space="preserve">نظام الدین النیسابوریّ </w:t>
      </w:r>
      <w:r>
        <w:rPr>
          <w:rtl w:val="true"/>
        </w:rPr>
        <w:t>(</w:t>
      </w:r>
      <w:r>
        <w:rPr>
          <w:rtl w:val="true"/>
        </w:rPr>
        <w:t xml:space="preserve">ت </w:t>
      </w:r>
      <w:r>
        <w:rPr/>
        <w:t>728</w:t>
      </w:r>
      <w:r>
        <w:rPr>
          <w:rtl w:val="true"/>
        </w:rPr>
        <w:t xml:space="preserve"> </w:t>
      </w:r>
      <w:r>
        <w:rPr>
          <w:rtl w:val="true"/>
        </w:rPr>
        <w:t xml:space="preserve">ه </w:t>
      </w:r>
      <w:r>
        <w:rPr>
          <w:rtl w:val="true"/>
        </w:rPr>
        <w:t>)</w:t>
      </w:r>
      <w:bookmarkEnd w:id="24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أنصف النیسابوریّ فی تفسیر هذه الآیة أَیَّما إِنْصافٍ، حیث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 هو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کسر علی الجوار؛ لأنّ ذلک لم یجئ فی کلام الفصحاء وفی السعة، وأیضاً أنّه جاء حیث لا لبس ولا عطف بخلاف الآیة</w:t>
      </w:r>
      <w:r>
        <w:rPr>
          <w:rFonts w:eastAsia="IRNazanin" w:cs="IRNazanin"/>
          <w:color w:val="111111"/>
          <w:sz w:val="28"/>
          <w:szCs w:val="28"/>
          <w:rtl w:val="true"/>
          <w:lang w:bidi="fa-IR"/>
        </w:rPr>
        <w:t xml:space="preserve">. </w:t>
      </w:r>
      <w:bookmarkStart w:id="249" w:name="pg6193_70888"/>
    </w:p>
    <w:p>
      <w:pPr>
        <w:pStyle w:val="BookText"/>
        <w:rPr/>
      </w:pPr>
      <w:bookmarkEnd w:id="249"/>
      <w:r>
        <w:rPr>
          <w:rFonts w:ascii="IRNazanin" w:hAnsi="IRNazanin" w:eastAsia="IRNazanin"/>
          <w:color w:val="111111"/>
          <w:sz w:val="28"/>
          <w:sz w:val="28"/>
          <w:szCs w:val="28"/>
          <w:rtl w:val="true"/>
          <w:lang w:bidi="fa-IR"/>
        </w:rPr>
        <w:t>کما اعترف بأنّ نصّ الآیة هی حجّة للماسحین علی الغاسلین، فی حین أنّ الغاسلین احتجّوا علی الغسل بأخبار آحاد لا تصلح أن تعارض القرآن ولا أن تنسخه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972228_237004111"/>
      <w:bookmarkStart w:id="251" w:name="_Toc88"/>
      <w:bookmarkEnd w:id="250"/>
      <w:r>
        <w:rPr/>
        <w:t>66</w:t>
      </w:r>
      <w:r>
        <w:rPr>
          <w:rtl w:val="true"/>
        </w:rPr>
        <w:t xml:space="preserve"> - </w:t>
      </w:r>
      <w:r>
        <w:rPr>
          <w:rtl w:val="true"/>
        </w:rPr>
        <w:t xml:space="preserve">ابن جزی الکلبیّ </w:t>
      </w:r>
      <w:r>
        <w:rPr>
          <w:rtl w:val="true"/>
        </w:rPr>
        <w:t>(</w:t>
      </w:r>
      <w:r>
        <w:rPr>
          <w:rtl w:val="true"/>
        </w:rPr>
        <w:t xml:space="preserve">ت </w:t>
      </w:r>
      <w:r>
        <w:rPr/>
        <w:t>741</w:t>
      </w:r>
      <w:r>
        <w:rPr>
          <w:rtl w:val="true"/>
        </w:rPr>
        <w:t xml:space="preserve"> </w:t>
      </w:r>
      <w:r>
        <w:rPr>
          <w:rtl w:val="true"/>
        </w:rPr>
        <w:t xml:space="preserve">ه </w:t>
      </w:r>
      <w:r>
        <w:rPr>
          <w:rtl w:val="true"/>
        </w:rPr>
        <w:t>)</w:t>
      </w:r>
      <w:bookmarkEnd w:id="251"/>
    </w:p>
    <w:p>
      <w:pPr>
        <w:pStyle w:val="BookText"/>
        <w:rPr/>
      </w:pPr>
      <w:r>
        <w:rPr>
          <w:rFonts w:ascii="IRNazanin" w:hAnsi="IRNazanin" w:eastAsia="IRNazanin"/>
          <w:color w:val="111111"/>
          <w:sz w:val="28"/>
          <w:sz w:val="28"/>
          <w:szCs w:val="28"/>
          <w:rtl w:val="true"/>
          <w:lang w:bidi="fa-IR"/>
        </w:rPr>
        <w:t xml:space="preserve">ذهب الکلبیّ إلی أن الجرّ یحکم بالمسح عطفاً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أن یفید الجرّ الغسل أیضاً، لکن بالتأویلات التی ذکرها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الجوار لا علی العطف، والمعنی علی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علی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والمعنی المسح علی الخفّین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العطف والمؤدّی المسح، لکن الآیة منسوخة بالسنّة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ردّ کلّ ذلک مفصّلاً ولا حاجة إلی الإعادة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72230_237004111"/>
      <w:bookmarkStart w:id="253" w:name="_Toc89"/>
      <w:bookmarkEnd w:id="252"/>
      <w:r>
        <w:rPr/>
        <w:t>67</w:t>
      </w:r>
      <w:r>
        <w:rPr>
          <w:rtl w:val="true"/>
        </w:rPr>
        <w:t xml:space="preserve"> - </w:t>
      </w:r>
      <w:r>
        <w:rPr>
          <w:rtl w:val="true"/>
        </w:rPr>
        <w:t xml:space="preserve">أبو حیّان الأندلسیّ </w:t>
      </w:r>
      <w:r>
        <w:rPr>
          <w:rtl w:val="true"/>
        </w:rPr>
        <w:t>(</w:t>
      </w:r>
      <w:r>
        <w:rPr>
          <w:rtl w:val="true"/>
        </w:rPr>
        <w:t xml:space="preserve">ت </w:t>
      </w:r>
      <w:r>
        <w:rPr/>
        <w:t>754</w:t>
      </w:r>
      <w:r>
        <w:rPr>
          <w:rtl w:val="true"/>
        </w:rPr>
        <w:t xml:space="preserve"> </w:t>
      </w:r>
      <w:r>
        <w:rPr>
          <w:rtl w:val="true"/>
        </w:rPr>
        <w:t xml:space="preserve">ه </w:t>
      </w:r>
      <w:r>
        <w:rPr>
          <w:rtl w:val="true"/>
        </w:rPr>
        <w:t>)</w:t>
      </w:r>
      <w:bookmarkEnd w:id="25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استظهر أَبُوْ حیان من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اندراجا فی المسح مع الرأس، وأیّد ذلک بروایة ابن عبّاس إیجاب مسح الرجلین، وکذا المروی عن أنس وعکرمة والشعبیّ وأبی جعفر الباقر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الإمامیّة من الشیعة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إنّه نقل عن الجمهور فرض الغسل فیهما، وعن داود بن علی الظاهری وجوب الجمع بین المسح والغسل، وعن الحسن البصریّ وابن جریر الطبریّ السنّیّ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تصدّی لبیان التأویلات التی ارتکبها القائلون بالغسل فی قراءة الجرّ 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والتأویلات التی ابتدعوها یمکن ذکرها فی ضِمْنِ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ضعیف جدّاً، ولم یرد إلّافی النعت حیث لا یلتبس، علی خلاف فیه قد قرّر فی علم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بباء محذوفة یتعلّق بفعل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وافعلوا بأرجلکم الغسل، وحذف الفعل وحرف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تأویل فی غایة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الغسل، والسبب فی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الأعضاء الثلاثة المغسولة مظنّة الإسراف المذموم المخفیّ عنه فعطف علی الممسوح، لا لیمسح ولکن لینبّه علی وجوب الاقتصار فی صبّ الماء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قول الزمخشری ثم قفا أَثَره غیر واحدٍ من أعلام العامَّةً، زاعمین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هذا المعنی، والغایة إنّما جیء بها لإناطة ظنّ ظانّ یحسبها ممسوحة، لأنّ المسح لم یضرب له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هذا التأویل، وهو کما تری فی غایة التلفیق وتعمیة فی الأحکام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شرح هذا الخطأ فیما عرضناه من رأی الشیخ الطبرسی نقلاً عن السیّد المرتضی فی رسائله</w:t>
      </w:r>
      <w:r>
        <w:rPr>
          <w:rFonts w:eastAsia="IRNazanin" w:cs="IRNazanin"/>
          <w:color w:val="111111"/>
          <w:sz w:val="28"/>
          <w:szCs w:val="28"/>
          <w:rtl w:val="true"/>
          <w:lang w:bidi="fa-IR"/>
        </w:rPr>
        <w:t xml:space="preserve">. </w:t>
      </w:r>
      <w:bookmarkStart w:id="254" w:name="pg6193_70892"/>
    </w:p>
    <w:p>
      <w:pPr>
        <w:pStyle w:val="Heading3"/>
        <w:numPr>
          <w:ilvl w:val="2"/>
          <w:numId w:val="1"/>
        </w:numPr>
        <w:rPr/>
      </w:pPr>
      <w:bookmarkStart w:id="255" w:name="__RefHeading___Toc972232_237004111"/>
      <w:bookmarkStart w:id="256" w:name="_Toc90"/>
      <w:bookmarkEnd w:id="254"/>
      <w:bookmarkEnd w:id="255"/>
      <w:r>
        <w:rPr/>
        <w:t>68</w:t>
      </w:r>
      <w:r>
        <w:rPr>
          <w:rtl w:val="true"/>
        </w:rPr>
        <w:t xml:space="preserve"> - </w:t>
      </w:r>
      <w:r>
        <w:rPr>
          <w:rtl w:val="true"/>
        </w:rPr>
        <w:t xml:space="preserve">ابن کثیر </w:t>
      </w:r>
      <w:r>
        <w:rPr>
          <w:rtl w:val="true"/>
        </w:rPr>
        <w:t>(</w:t>
      </w:r>
      <w:r>
        <w:rPr>
          <w:rtl w:val="true"/>
        </w:rPr>
        <w:t xml:space="preserve">ت </w:t>
      </w:r>
      <w:r>
        <w:rPr/>
        <w:t>774</w:t>
      </w:r>
      <w:r>
        <w:rPr>
          <w:rtl w:val="true"/>
        </w:rPr>
        <w:t xml:space="preserve"> </w:t>
      </w:r>
      <w:r>
        <w:rPr>
          <w:rtl w:val="true"/>
        </w:rPr>
        <w:t xml:space="preserve">ه </w:t>
      </w:r>
      <w:r>
        <w:rPr>
          <w:rtl w:val="true"/>
        </w:rPr>
        <w:t>)</w:t>
      </w:r>
      <w:bookmarkEnd w:id="256"/>
    </w:p>
    <w:p>
      <w:pPr>
        <w:pStyle w:val="BookText"/>
        <w:rPr/>
      </w:pPr>
      <w:r>
        <w:rPr>
          <w:rFonts w:ascii="IRNazanin" w:hAnsi="IRNazanin" w:eastAsia="IRNazanin"/>
          <w:color w:val="111111"/>
          <w:sz w:val="28"/>
          <w:sz w:val="28"/>
          <w:szCs w:val="28"/>
          <w:rtl w:val="true"/>
          <w:lang w:bidi="fa-IR"/>
        </w:rPr>
        <w:t xml:space="preserve">لم یقتنع ابن کثیر بالنصّ فتشبّث بالتأویل، حیث ذکر أوّلاً أنّ الشیعة احتجّت بها علی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وروی عن طائفة من السلف ما یوهم القول بالمسح، علی حدّ تعبیره، ثم تعرّض للروایات الدالّة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موسی بن أنس عن أبیه فی تکذیب الحجّاج فی القول بغسل الرجلین وتصدیق القرآن فی الأمر بالمسح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عاصم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نزل بالمسح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یوسف بن مهران عن ابن عبّاس أیضاً للقول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المسح عن علقمة وأبی جعفر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یزید ومجاهد والشعبیّ</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آثار غریبة جدّاً، وهی محمولة علی أنّ المراد بالمسح هو الغسل الخفیف، وتأوّل روایة الجرّ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بالمجاورة استدلالاً بقول العرب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عالِیَهُمْ ثِیابُ سُندُسٍ خُضْرٌ وَ إِسْتَبْرَقٌ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ذائع شائع فی لغة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المسح لکنّه حمل علی الخفّین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المفاد المسح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الخفیف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 لإطلاق المسح علی الخفّین بما نقلوه عن أبی زیدٍ الأنصاریّ، وهو أنّ العرب تسمّی الغسل الخفیف مسحاً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الجواب عن کلّ واحدٍ منها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خطّأ الشیعة فی القول بالمسح علی القدمین من غیر دلیلٍ، ولم یستدلّ علی مذهبه إلّابالروایات التی هی موضوعة أو مُساءٌ 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وتسوّر علی مقام العلماء من أهل الخلاف أیضاً بنسبتهم إلی الطبریّ القول بالتخییر بین المسح والغسل،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یفهموا کلام الطبریّ، وأنّ مراده من المسح فی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أهل الشرع، مستدلاً علی الغسل بروایات تَقَدَّمَت المناقشة فیها متناً وسنداً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الصحیحین من روایة أبی عوانة، عن أبی بشر، عن یوسف بن ماهک،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رسول اللّه فی سفرة سافرناها، فأدرکنا وقد أرهقتنا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نتوضّأ، فجعلنا نمسح علی أرجلنا، فنادی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 ویل للأعقاب من النار</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هی أصرح فی المسح من الغسل، وقد یمکن أن نقول بأن آثار الوضع والاختلاق ظاهرة عَلَیْها؛ لأنّها تدلّ علی أنّهم کانوا یعرفون الصلاة والوضوء، ولم یکن هذا أوّل عمل لهم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کانوا عارفین بکیفیّة الصلاة والوضوء، فمن الذی علّمهم هذا الوضوء قبل تلک الواقعة حتّی استمرّوا </w:t>
      </w:r>
      <w:bookmarkStart w:id="257" w:name="pg6193_70896"/>
    </w:p>
    <w:p>
      <w:pPr>
        <w:pStyle w:val="BookText"/>
        <w:rPr/>
      </w:pPr>
      <w:bookmarkEnd w:id="257"/>
      <w:r>
        <w:rPr>
          <w:rFonts w:ascii="IRNazanin" w:hAnsi="IRNazanin" w:eastAsia="IRNazanin"/>
          <w:color w:val="111111"/>
          <w:sz w:val="28"/>
          <w:sz w:val="28"/>
          <w:szCs w:val="28"/>
          <w:rtl w:val="true"/>
          <w:lang w:bidi="fa-IR"/>
        </w:rPr>
        <w:t>علی ذلک إلی أن أدرکهم رسول اللّه صلی الله علیه و آله؟</w:t>
      </w:r>
    </w:p>
    <w:p>
      <w:pPr>
        <w:pStyle w:val="BookText"/>
        <w:rPr/>
      </w:pPr>
      <w:r>
        <w:rPr>
          <w:rFonts w:ascii="IRNazanin" w:hAnsi="IRNazanin" w:eastAsia="IRNazanin"/>
          <w:color w:val="111111"/>
          <w:sz w:val="28"/>
          <w:sz w:val="28"/>
          <w:szCs w:val="28"/>
          <w:rtl w:val="true"/>
          <w:lang w:bidi="fa-IR"/>
        </w:rPr>
        <w:t>فی حین أن الاسباغ والویل من الأعقاب لا دلالة لها علی وجوب الغسل کما یقولون، فلو أراد صلی الله علیه و آله الغسل لنادی باعلی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ارجلکم ولا تمسحوها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 ویل للاعقاب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هذَیْنِ حکمان خارجان عن کیفیة الوضوء الغسلی أو المسحی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صلی الله علیه و آله علّمهم هذا الوضوء وتوضّؤوا علی ما عُلِموا، فلا ذنب لهم حتّی یهدّدهم رسول اللّه صلی الله علیه و آله من غیر نهی سابق أو إعلان نسخٍ للحکم السابق، فهذا ادّعاء للنسخ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یعلّمهم رسول اللّه صلی الله علیه و آله فمن أین تعلّموا الصلاة والوضوء؟ وکیف کانوا برهةً من الدَّهْر یمسحون أرجلهم ثمّ أدرکهم رسول اللّه صلی الله علیه و آله؟</w:t>
      </w:r>
      <w:r>
        <w:rPr>
          <w:rFonts w:eastAsia="IRNazanin" w:cs="IRNazanin"/>
          <w:color w:val="111111"/>
          <w:sz w:val="28"/>
          <w:szCs w:val="28"/>
          <w:rtl w:val="true"/>
          <w:lang w:bidi="fa-IR"/>
        </w:rPr>
        <w:t>!</w:t>
      </w:r>
    </w:p>
    <w:p>
      <w:pPr>
        <w:pStyle w:val="Heading3"/>
        <w:numPr>
          <w:ilvl w:val="2"/>
          <w:numId w:val="1"/>
        </w:numPr>
        <w:rPr/>
      </w:pPr>
      <w:bookmarkStart w:id="258" w:name="__RefHeading___Toc972234_237004111"/>
      <w:bookmarkStart w:id="259" w:name="_Toc91"/>
      <w:bookmarkEnd w:id="258"/>
      <w:r>
        <w:rPr/>
        <w:t>69</w:t>
      </w:r>
      <w:r>
        <w:rPr>
          <w:rtl w:val="true"/>
        </w:rPr>
        <w:t xml:space="preserve"> - </w:t>
      </w:r>
      <w:r>
        <w:rPr>
          <w:rtl w:val="true"/>
        </w:rPr>
        <w:t xml:space="preserve">السّمین الحلبی </w:t>
      </w:r>
      <w:r>
        <w:rPr>
          <w:rtl w:val="true"/>
        </w:rPr>
        <w:t>(</w:t>
      </w:r>
      <w:r>
        <w:rPr>
          <w:rtl w:val="true"/>
        </w:rPr>
        <w:t xml:space="preserve">ت </w:t>
      </w:r>
      <w:r>
        <w:rPr/>
        <w:t>756</w:t>
      </w:r>
      <w:r>
        <w:rPr>
          <w:rtl w:val="true"/>
        </w:rPr>
        <w:t xml:space="preserve"> </w:t>
      </w:r>
      <w:r>
        <w:rPr>
          <w:rtl w:val="true"/>
        </w:rPr>
        <w:t xml:space="preserve">ه </w:t>
      </w:r>
      <w:r>
        <w:rPr>
          <w:rtl w:val="true"/>
        </w:rPr>
        <w:t>)</w:t>
      </w:r>
      <w:bookmarkEnd w:id="259"/>
    </w:p>
    <w:p>
      <w:pPr>
        <w:pStyle w:val="BookText"/>
        <w:rPr/>
      </w:pPr>
      <w:r>
        <w:rPr>
          <w:rFonts w:ascii="IRNazanin" w:hAnsi="IRNazanin" w:eastAsia="IRNazanin"/>
          <w:color w:val="111111"/>
          <w:sz w:val="28"/>
          <w:sz w:val="28"/>
          <w:szCs w:val="28"/>
          <w:rtl w:val="true"/>
          <w:lang w:bidi="fa-IR"/>
        </w:rPr>
        <w:t>قال السّمین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الجر فیها أربعة تخاریج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الجوار ولکنّ العطف علی الأیدی والمعی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الأبیات المعروفة الّتی یجاء بها شاهدة علی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الجوار بأنّه ضعیف من حیث الجملة، أنّ الجوار وارد فی النّعت لا فی العطف وقد ورد فی التوکید قلیلاً فی ضرورة الشعر، فلا ینبغی أن یخرّج علیه کتاب اللّه تعالی، وقد اوضحت هذه المسألة فی شرح التّسهیل، وقول الأخفش وأبی عبید بعید لا یحمل علیه القرآن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رد أبا لبقاء فی قوله بالجوار والشواهد التی ذکرها، وأنّ أبا البقاء یقول بالجر </w:t>
      </w:r>
    </w:p>
    <w:p>
      <w:pPr>
        <w:pStyle w:val="BookText"/>
        <w:rPr/>
      </w:pPr>
      <w:r>
        <w:rPr>
          <w:rFonts w:ascii="IRNazanin" w:hAnsi="IRNazanin" w:eastAsia="IRNazanin"/>
          <w:color w:val="111111"/>
          <w:sz w:val="28"/>
          <w:sz w:val="28"/>
          <w:szCs w:val="28"/>
          <w:rtl w:val="true"/>
          <w:lang w:bidi="fa-IR"/>
        </w:rPr>
        <w:t>ویرد النّصب والرّفع، ونحن نقول بأحدهما ونرد الجوار والجرّ فکلّ محتمل</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العطف علی الرّؤوس لفظاً ومعنیً ثمّ نسخ بوجوب الغسل، أو هو حکم باقٍ وبه قال جماعة، أو یحمل علی بعض الأحوال وهو لبس 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العطف علی الرّؤوس الممسوح فبماذا نسخ وحمل علی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الروایات المزعومة أو المساء فهمها کالویل للأعقاب وغیره أم بتاریخ ثابت لا نقاش فیه أم بتطبیق أحکام اللّه بالمذهب هواء ورأیا؟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 علی بعض الأحوال مثل حالة لبس الخفّ فلا یبقی للأرجل حکم فی الآیة، علی أنّ الأرجل غیر الخفّ لغة وعزماً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الحکم الغسل ولکنه جرّ للتنبیه علی عدم الإسراف فی صبّ الماء فعطفت علی الممسوح وإلیه ذهب الزّمخشری ولکنّه استدلّ بالتّحدید وکأنّه لم یرتض القول بالتّنبیه لعدم الإسراف وهو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علی التّنبیه لعدم الإسراف بعید جدّاً بعدما اعترف أنّه عطف علی الممسوح، ولیس هذا الحمل إلّاللفرار عن الحقیقة أو لتطبیق القرآن علی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أجبنا عن التحدید الّذی قال به الزّمخشری غیر مرة، وردّ ذلک أبو شامة من أعلام السنّة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مجرورة بحرف جر مقدّر دل علیه المعنی مع فعله المناسب للمقام </w:t>
      </w:r>
      <w:bookmarkStart w:id="260" w:name="pg6193_70900"/>
    </w:p>
    <w:p>
      <w:pPr>
        <w:pStyle w:val="BookText"/>
        <w:rPr/>
      </w:pPr>
      <w:bookmarkEnd w:id="260"/>
      <w:r>
        <w:rPr>
          <w:rFonts w:ascii="IRNazanin" w:hAnsi="IRNazanin" w:eastAsia="IRNazanin"/>
          <w:color w:val="111111"/>
          <w:sz w:val="28"/>
          <w:sz w:val="28"/>
          <w:szCs w:val="28"/>
          <w:rtl w:val="true"/>
          <w:lang w:bidi="fa-IR"/>
        </w:rPr>
        <w:t xml:space="preserve">والحکم الغسل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بارجلکم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فیدّعی حذف جملة فعلیّة، وحذف حرف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حرف الجرّ وإبقاء البجر جائز،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مشائیم لیسوا مصلحین عشیرة ولا ناعب الّا ببین غرابها</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لی أنّی لست مدرک ما مضی ولا سابقٍ شیئاً إذا کان جائیا</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هو نفسه أنّ حذف الجارّ وابقاء الجر لیس علی إطلاقه وإنّما یطّرد فی مواضع نصّ علیها أهل اللّسان، لیس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 فی البیتین عند النحاة من باب العطف علی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أجاب به هو نفسه أیضاً وقال فظهر هذا التخریج</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هذا التخریج تقدیر جملة فعلیّة أیضاً کما اشار السّمین، وعدم التقدیر أولی حینما لا ضرورة</w:t>
      </w:r>
      <w:r>
        <w:rPr>
          <w:rFonts w:eastAsia="IRNazanin" w:cs="IRNazanin"/>
          <w:color w:val="111111"/>
          <w:sz w:val="28"/>
          <w:szCs w:val="28"/>
          <w:rtl w:val="true"/>
          <w:lang w:bidi="fa-IR"/>
        </w:rPr>
        <w:t>.</w:t>
      </w:r>
    </w:p>
    <w:p>
      <w:pPr>
        <w:pStyle w:val="Heading3"/>
        <w:numPr>
          <w:ilvl w:val="2"/>
          <w:numId w:val="1"/>
        </w:numPr>
        <w:rPr/>
      </w:pPr>
      <w:bookmarkStart w:id="261" w:name="__RefHeading___Toc972236_237004111"/>
      <w:bookmarkStart w:id="262" w:name="_Toc92"/>
      <w:bookmarkEnd w:id="261"/>
      <w:r>
        <w:rPr/>
        <w:t>70</w:t>
      </w:r>
      <w:r>
        <w:rPr>
          <w:rtl w:val="true"/>
        </w:rPr>
        <w:t xml:space="preserve"> - </w:t>
      </w:r>
      <w:r>
        <w:rPr>
          <w:rtl w:val="true"/>
        </w:rPr>
        <w:t xml:space="preserve">الشهید محمّد بن مکّیّ </w:t>
      </w:r>
      <w:r>
        <w:rPr>
          <w:rtl w:val="true"/>
        </w:rPr>
        <w:t>(</w:t>
      </w:r>
      <w:r>
        <w:rPr>
          <w:rtl w:val="true"/>
        </w:rPr>
        <w:t xml:space="preserve">المستشهد </w:t>
      </w:r>
      <w:r>
        <w:rPr/>
        <w:t>786</w:t>
      </w:r>
      <w:r>
        <w:rPr>
          <w:rtl w:val="true"/>
        </w:rPr>
        <w:t xml:space="preserve"> </w:t>
      </w:r>
      <w:r>
        <w:rPr>
          <w:rtl w:val="true"/>
        </w:rPr>
        <w:t xml:space="preserve">ه </w:t>
      </w:r>
      <w:r>
        <w:rPr>
          <w:rtl w:val="true"/>
        </w:rPr>
        <w:t>)</w:t>
      </w:r>
      <w:bookmarkEnd w:id="26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المسح، وهذا من قبیل العطف علی اللفظ المجمع علی شهرته وکثرته فی لغة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یمکن جعله علی الجوار کما ادّعی فی قول العرب المذکور جوابه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 امرئ القیس الذی تقدم ذکره</w:t>
      </w:r>
      <w:r>
        <w:rPr>
          <w:rStyle w:val="FootnoteAnchor"/>
          <w:rtl w:val="true"/>
        </w:rPr>
        <w:footnoteReference w:id="436"/>
      </w:r>
      <w:r>
        <w:rPr>
          <w:rFonts w:ascii="IRNazanin" w:hAnsi="IRNazanin" w:eastAsia="IRNazanin"/>
          <w:color w:val="111111"/>
          <w:sz w:val="28"/>
          <w:sz w:val="28"/>
          <w:szCs w:val="28"/>
          <w:rtl w:val="true"/>
          <w:lang w:bidi="fa-IR"/>
        </w:rPr>
        <w:t xml:space="preserve">، وکذا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حمزة بالجر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 الشاعر</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لم یبق إلّاأسیر غیر منفلتٍ وموثق فی عقال الأسر مکبولُ</w:t>
      </w:r>
    </w:p>
    <w:p>
      <w:p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المجاولة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حقّه الرفع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یصلح دلیلاً لورود الجرّ بالجوار، لأنّه من باب العطف علی التوهّم، وهو إنّما یتصوّر فی کلام البشر، ولا یتصوّر فی کلام خالق القوی والقدر،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قول زهیر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لی أنّی لست مُدْرکَ ما مضی ولا سابق شیئاً إذا کان جائیا</w:t>
      </w:r>
    </w:p>
    <w:p>
      <w:pPr>
        <w:pStyle w:val="BookText"/>
        <w:rPr/>
      </w:pPr>
      <w:r>
        <w:rPr>
          <w:rFonts w:ascii="IRNazanin" w:hAnsi="IRNazanin" w:eastAsia="IRNazanin"/>
          <w:color w:val="111111"/>
          <w:sz w:val="28"/>
          <w:sz w:val="28"/>
          <w:szCs w:val="28"/>
          <w:rtl w:val="true"/>
          <w:lang w:bidi="fa-IR"/>
        </w:rPr>
        <w:t xml:space="preserve">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علی توهّم دخول الباء فی الخبر لکثرة دخولها فیه،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التوهّم کما تقدم ذکره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لَمْ تکن هذه الإشکالاتُ واردةً اعترف الغاسلون عموماً بأنّ الجرّ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ولکنّهم تأوّلوا الآیة بتأویلات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علی الغسل، وعبّر عن الغسل بالمسح تنبیهاً علی وجوب الاقتصاد فی صبّ الماء،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 بالنسبة إلی سائر الاعضاء فهی مظنّة الإسراف، ثمّ جیء بالتحدید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w:t>
      </w:r>
    </w:p>
    <w:p>
      <w:pPr>
        <w:pStyle w:val="BookText"/>
        <w:rPr/>
      </w:pPr>
      <w:r>
        <w:rPr>
          <w:rFonts w:ascii="IRNazanin" w:hAnsi="IRNazanin" w:eastAsia="IRNazanin"/>
          <w:color w:val="111111"/>
          <w:sz w:val="28"/>
          <w:sz w:val="28"/>
          <w:szCs w:val="28"/>
          <w:rtl w:val="true"/>
          <w:lang w:bidi="fa-IR"/>
        </w:rPr>
        <w:t>احتمال المسح، لأنّ المسح غیر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الغاسلین حاولوا الفرار من مخالفة القواعد النحویّة، فوقعوا فی مخالفة الوضع اللغویّ والشرعیّ، غیر متخلصین منها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الذی بعث علی التعبیر بِأَحَدِهما عن الآخر وَجَعَلَهُ مضلّةً للأفهام وعرضةً للأوهام؟</w:t>
      </w:r>
    </w:p>
    <w:p>
      <w:pPr>
        <w:pStyle w:val="BookText"/>
        <w:rPr/>
      </w:pPr>
      <w:r>
        <w:rPr>
          <w:rFonts w:ascii="IRNazanin" w:hAnsi="IRNazanin" w:eastAsia="IRNazanin"/>
          <w:color w:val="111111"/>
          <w:sz w:val="28"/>
          <w:sz w:val="28"/>
          <w:szCs w:val="28"/>
          <w:rtl w:val="true"/>
          <w:lang w:bidi="fa-IR"/>
        </w:rPr>
        <w:t xml:space="preserve">ومن ذا الذی قال بالاقتصاد فی صبّ الماء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ومن أین صار الاقتصاد مدلول المسح؟</w:t>
      </w:r>
    </w:p>
    <w:p>
      <w:pPr>
        <w:pStyle w:val="BookText"/>
        <w:rPr/>
      </w:pPr>
      <w:r>
        <w:rPr>
          <w:rFonts w:ascii="IRNazanin" w:hAnsi="IRNazanin" w:eastAsia="IRNazanin"/>
          <w:color w:val="111111"/>
          <w:sz w:val="28"/>
          <w:sz w:val="28"/>
          <w:szCs w:val="28"/>
          <w:rtl w:val="true"/>
          <w:lang w:bidi="fa-IR"/>
        </w:rPr>
        <w:t>وأیّ محذور یلزم من عطف المحدود علی غیر المحدود</w:t>
      </w:r>
      <w:r>
        <w:rPr>
          <w:rStyle w:val="FootnoteAnchor"/>
          <w:rtl w:val="true"/>
        </w:rPr>
        <w:footnoteReference w:id="4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حسّن الشهید عطف المحدود علی غیر المحدود، بأنّ العطف فی الغسل من هذا القبیل، فکذا ینبغی فی المسح حفظاً للتناسب بین الجملتین، ولتأخذ الجملة الثانیة بحجزة الجملة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والمراد من المسح إنّما هو المسح علی الخفّین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الجواب عَنْ هذا أیضاً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الشهید فی ردّه مضافاً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الواردة من قبل أهل السنّة أیضاً تدلّ علی المسح علی الرجلین لا الخفّین، وقد تقدّمت روایة أوس بن أوس الثقفیّ، وابن عبّاس، وروایة ابن عُلَّیَة عن موسی بن أنس فی تکذیب الحجّاج، وروایة الشعبیّ وروایة عکرمة عن ابن عبّاس وغیرهم</w:t>
      </w:r>
      <w:r>
        <w:rPr>
          <w:rFonts w:eastAsia="IRNazanin" w:cs="IRNazanin"/>
          <w:color w:val="111111"/>
          <w:sz w:val="28"/>
          <w:szCs w:val="28"/>
          <w:rtl w:val="true"/>
          <w:lang w:bidi="fa-IR"/>
        </w:rPr>
        <w:t xml:space="preserve">. </w:t>
      </w:r>
      <w:bookmarkStart w:id="263" w:name="pg6193_70906"/>
    </w:p>
    <w:p>
      <w:pPr>
        <w:pStyle w:val="BookText"/>
        <w:rPr/>
      </w:pPr>
      <w:bookmarkEnd w:id="263"/>
      <w:r>
        <w:rPr>
          <w:rFonts w:ascii="IRNazanin" w:hAnsi="IRNazanin" w:eastAsia="IRNazanin"/>
          <w:color w:val="111111"/>
          <w:sz w:val="28"/>
          <w:sz w:val="28"/>
          <w:szCs w:val="28"/>
          <w:rtl w:val="true"/>
          <w:lang w:bidi="fa-IR"/>
        </w:rPr>
        <w:t>وأمّا الخاصّة فالأخبار عندهم بالمسح متواترة، وأنّ الإجماع واقع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فأخبار الغسل من طرق العامّة تعارض أخبار المسح المرویة من طرقهم ومن طرق الخاصّة، کل ذلک مع اعتضاد المسح بالکتاب العزیز</w:t>
      </w:r>
      <w:r>
        <w:rPr>
          <w:rFonts w:eastAsia="IRNazanin" w:cs="IRNazanin"/>
          <w:color w:val="111111"/>
          <w:sz w:val="28"/>
          <w:szCs w:val="28"/>
          <w:rtl w:val="true"/>
          <w:lang w:bidi="fa-IR"/>
        </w:rPr>
        <w:t>.</w:t>
      </w:r>
    </w:p>
    <w:p>
      <w:pPr>
        <w:pStyle w:val="Heading3"/>
        <w:numPr>
          <w:ilvl w:val="2"/>
          <w:numId w:val="1"/>
        </w:numPr>
        <w:rPr/>
      </w:pPr>
      <w:bookmarkStart w:id="264" w:name="__RefHeading___Toc972238_237004111"/>
      <w:bookmarkStart w:id="265" w:name="_Toc93"/>
      <w:bookmarkEnd w:id="264"/>
      <w:r>
        <w:rPr/>
        <w:t>71</w:t>
      </w:r>
      <w:r>
        <w:rPr>
          <w:rtl w:val="true"/>
        </w:rPr>
        <w:t xml:space="preserve"> - </w:t>
      </w:r>
      <w:r>
        <w:rPr>
          <w:rtl w:val="true"/>
        </w:rPr>
        <w:t xml:space="preserve">التفتازانی </w:t>
      </w:r>
      <w:r>
        <w:rPr>
          <w:rtl w:val="true"/>
        </w:rPr>
        <w:t>(</w:t>
      </w:r>
      <w:r>
        <w:rPr>
          <w:rtl w:val="true"/>
        </w:rPr>
        <w:t xml:space="preserve">ت </w:t>
      </w:r>
      <w:r>
        <w:rPr/>
        <w:t>793</w:t>
      </w:r>
      <w:r>
        <w:rPr>
          <w:rtl w:val="true"/>
        </w:rPr>
        <w:t xml:space="preserve"> </w:t>
      </w:r>
      <w:r>
        <w:rPr>
          <w:rtl w:val="true"/>
        </w:rPr>
        <w:t xml:space="preserve">ه </w:t>
      </w:r>
      <w:r>
        <w:rPr>
          <w:rtl w:val="true"/>
        </w:rPr>
        <w:t>)</w:t>
      </w:r>
      <w:bookmarkEnd w:id="265"/>
    </w:p>
    <w:p>
      <w:pPr>
        <w:pStyle w:val="BookText"/>
        <w:rPr/>
      </w:pPr>
      <w:r>
        <w:rPr>
          <w:rFonts w:ascii="IRNazanin" w:hAnsi="IRNazanin" w:eastAsia="IRNazanin"/>
          <w:color w:val="111111"/>
          <w:sz w:val="28"/>
          <w:sz w:val="28"/>
          <w:szCs w:val="28"/>
          <w:rtl w:val="true"/>
          <w:lang w:bidi="fa-IR"/>
        </w:rPr>
        <w:t xml:space="preserve">اعترف التفتازانیّ بأنّ قراءة الجر تفید المسح عطفاً للأرجل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دفع احتمال کون الجرّ علی الجوار،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توفیقاً بین القراءتین،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شنّ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زهیر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الزَّمان بها وغیّرها بعدی سوافی المور والقطر</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الفرزدق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أنت إن ماتت أتانک راکب إلی آل بسطام بن قیس فخاطب</w:t>
      </w:r>
    </w:p>
    <w:p>
      <w:pPr>
        <w:pStyle w:val="BookText"/>
        <w:rPr/>
      </w:pP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الجوار مع عطفه علی راکب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النصب محمول علی العطف المحلّیّ، والجرّ علی العطف اللفظیّ لا علی الجوار جمعاً بین القراءتین، کما فی قول رؤبة الراجز</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یَذهَبْنَ فی نجدٍ وغَوْراً غَائراً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وصرّح بأنّ هذا هو اختیار المحقّقین من النُّحاة وهو إعراب شائع مستفیض وفیه مرجّحان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الفصل بالأجنبی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التفتازانیّ یرجح المذهبیة علی القواعد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لقد سعی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لأبناء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یقدّم المذهب علی القانون المشهور، فحمل المسح المفاد بالجرّ علی الغَسْل متشبّثاً بقرینة التحدید وهو إلی الکعبین، والمسح فی الشریعة غیر محدّد، فتکون الآیة من باب المشاکلة کما فی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اطبخوا لی جبّةً وقمیصاً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زعم التفتازانی أنّ فائدة هذه المشاکلة التحذیر عن الإسراف المنهیّ عنه،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للإسراف، فعطف علی الممسوح لتمسح، ولکن لینبّه علی وجوب الاقتصاد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استشعر اعتراض الجمع بین الحقیقة والمجاز</w:t>
      </w:r>
      <w:r>
        <w:rPr>
          <w:rStyle w:val="FootnoteAnchor"/>
          <w:rtl w:val="true"/>
        </w:rPr>
        <w:footnoteReference w:id="445"/>
      </w:r>
      <w:r>
        <w:rPr>
          <w:rFonts w:ascii="IRNazanin" w:hAnsi="IRNazanin" w:eastAsia="IRNazanin"/>
          <w:color w:val="111111"/>
          <w:sz w:val="28"/>
          <w:sz w:val="28"/>
          <w:szCs w:val="28"/>
          <w:rtl w:val="true"/>
          <w:lang w:bidi="fa-IR"/>
        </w:rPr>
        <w:t xml:space="preserve">المجمع علی بطلانه، وأجاب عنه بأنّ المعنی المجازیّ للمسح وهو الغسل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تدلّ علیه الواو العاطفة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یلزم الجمع بین الحقیقة والمجاز فی 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المحاولة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التفتازانی علی محاولته غیر المقنعة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النبیّ صلی الله علیه و آله وغسله لقدمیه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ومعاذ اللّه أن یخالف رسول اللّه کتاب اللّه العزیز النازل بالمسح، وهو الداعی صلی الله علیه و آله إلی عرض کَلامِهِ علی القرآن، فإن وافق القرآن یؤخذ به وإلا فلیطرح عرض الحائط</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الغسل علی المسح وزیادة، أی بالغسل یتحقق المسح وزیادة، من غیر عکس فی المسح علی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الأمر کما یقوله للزم تطبیقه فی کل اعضاء الوضوء، وهذا باطل، لأنّ الرأس ممسوح بالاتفاق، وان تجویز غسله یسقط حکم المسح من القرآن أصلاً، وإن کان هناک من یجوز هذا الفعل علی کراهة، فی حین ان القول بهذا یُبْعِدُنا عن لغتنا، وذلک بعدم تَمییزِنا بین الغسل والمسح فی اللغة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الغاسل للأرجل سیجمع بین الأدلة ویوفق بین الجماعة، وفی </w:t>
      </w:r>
    </w:p>
    <w:p>
      <w:pPr>
        <w:pStyle w:val="BookText"/>
        <w:rPr/>
      </w:pPr>
      <w:r>
        <w:rPr>
          <w:rFonts w:ascii="IRNazanin" w:hAnsi="IRNazanin" w:eastAsia="IRNazanin"/>
          <w:color w:val="111111"/>
          <w:sz w:val="28"/>
          <w:sz w:val="28"/>
          <w:szCs w:val="28"/>
          <w:rtl w:val="true"/>
          <w:lang w:bidi="fa-IR"/>
        </w:rPr>
        <w:t>عمله تحصیلٌ للطهارة أکثر من المسح وبه یسقط التکلیف</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زعموه دلیلاً للغسل باطل کما ذکرناه، فلا معنی للجمع بین الأدلّة، حیث لا یکون هاهنا إلّادلیل المسح بنظرنا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موافقة الجماعة إذا کان فیها مخالفة للّه ولرسوله فلا خیر فیها، ولا غرض للعاقل من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تحصیل الطهارة فینبغی أن یکون من طریق شرعی لا ذوقی، کما أنّ تحصیل طهارة الثوب وسائر البدن مطلوب لکنّه لم یکن امراً عبادیاً، فسبحانه لم یأمر بغمس المکلّف ثوبه أو بدنه فی الماء تحصیلاً للطهارة، فکذا هاهنا، فقد تکون للتنظیف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فما شیّده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 إذ لا یخرج ما تعلق بذمتنا من أَمْرٍ إلهی بعمل مشکوک من قبلنا، وأن الاشتغال الیقینی یستدعی البراءة الیقینیة وهی غیر حاصله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التحدید فقد تقدّم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المشاکلة التی ادّعاها فی الآیة فمردودة أیضاً، لأنّ المشاکلة من المحسنات المعنویّة فی علم البدیع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عرّفه التفتازانیّ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یعرف به وجوه تحسین الکلام بعد رعایة مطابقة الکلام لمقتضی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رعایة وضوح الدلالة بالخلوّ عن التعقید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علی أنّ هذه الوجوه إنّما تعدّ محسنة للکلام بعد رعایة الأمرین؛ وإلّا لکان کتعلیق </w:t>
      </w:r>
    </w:p>
    <w:p>
      <w:pPr>
        <w:pStyle w:val="BookText"/>
        <w:rPr/>
      </w:pPr>
      <w:r>
        <w:rPr>
          <w:rFonts w:ascii="IRNazanin" w:hAnsi="IRNazanin" w:eastAsia="IRNazanin"/>
          <w:color w:val="111111"/>
          <w:sz w:val="28"/>
          <w:sz w:val="28"/>
          <w:szCs w:val="28"/>
          <w:rtl w:val="true"/>
          <w:lang w:bidi="fa-IR"/>
        </w:rPr>
        <w:t>الدرر علی أعناق الخنازیر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المشاکلة إنّما یمکن اعتبارها بعد اعتبار البلاغة وإلّا لم یکن مُحَسّناً، ومع الذی یدّعیه التفتازانیّ لا یمکن اعتبار البلاغة؛ لأنّه إبطالٌ لِأَثَرِ الإعراب فی الکلمة ومخالفة للقواعد النحویّة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المشاکلة</w:t>
      </w:r>
      <w:r>
        <w:rPr>
          <w:rStyle w:val="FootnoteAnchor"/>
          <w:rtl w:val="true"/>
        </w:rPr>
        <w:footnoteReference w:id="450"/>
      </w:r>
      <w:r>
        <w:rPr>
          <w:rFonts w:ascii="IRNazanin" w:hAnsi="IRNazanin" w:eastAsia="IRNazanin"/>
          <w:color w:val="111111"/>
          <w:sz w:val="28"/>
          <w:sz w:val="28"/>
          <w:szCs w:val="28"/>
          <w:rtl w:val="true"/>
          <w:lang w:bidi="fa-IR"/>
        </w:rPr>
        <w:t>نوعان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المشاکلة التحقیقیّة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اقترح شیئاً نُجِد لک طبخه قلت اطبخوا لی جبّة وقمیصا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فالشاعر ذکر خیاطة‌الجبّة بلفظ الطبخ، لوقوعها فی صحبة طبخ الطعام، ومثله قوله تعالی حکایة عن نبیّه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فِی نَفْسِی وَ لا أَعْلَمُ ما فِی نَفْسِکَ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أطلق النَّفْس علی ذات اللّه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والمشاکلة التقدیریّة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تطهیر اللّه، لأنّ الإیمان یطهّر النفوس، والأصل فیه أنّ النصاری کانوا یغمسون أولادهم فی ماء أصفر یسمّونه المعمودیة،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تطهیر لهم، فعبّر عن الإیمان باللّه بصبغة اللّه للمشاکلة مع صبغة النصاری تقدیراً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المشاکلة تحتاج إلی القرینة، والقرینة فی الآیة حالیة، وهی سبب النزول عن غمس النصاری أولادهم فی الماء الأصفر وإن لم یذکر ذلک لفظاً</w:t>
      </w:r>
      <w:r>
        <w:rPr>
          <w:rFonts w:eastAsia="IRNazanin" w:cs="IRNazanin"/>
          <w:color w:val="111111"/>
          <w:sz w:val="28"/>
          <w:szCs w:val="28"/>
          <w:rtl w:val="true"/>
          <w:lang w:bidi="fa-IR"/>
        </w:rPr>
        <w:t xml:space="preserve">. </w:t>
      </w:r>
      <w:bookmarkStart w:id="266" w:name="pg6193_70916"/>
    </w:p>
    <w:p>
      <w:pPr>
        <w:pStyle w:val="BookText"/>
        <w:rPr/>
      </w:pPr>
      <w:bookmarkEnd w:id="266"/>
      <w:r>
        <w:rPr>
          <w:rFonts w:ascii="IRNazanin" w:hAnsi="IRNazanin" w:eastAsia="IRNazanin"/>
          <w:color w:val="111111"/>
          <w:sz w:val="28"/>
          <w:sz w:val="28"/>
          <w:szCs w:val="28"/>
          <w:rtl w:val="true"/>
          <w:lang w:bidi="fa-IR"/>
        </w:rPr>
        <w:t>والأوّل لا یحتاج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النوعین الأمن من الالتباس والاختلاط بالغیر کما تری فی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فالمشاکلة فی الآیة مفقودة، إذ هی کما لا تکون من قبیل الأوّل لا تکون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البیت الذی أورده التفتازانیّ ذکر المتعاطفین بعد لفظ واحدٍ بمعنی واحد،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واحد بمعنی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والآیة لیست کذلک؛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المتعاطفین، والخصم یعترف بذلک ویقول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لا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هُنا بمعنی المسح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یتصوّر فیه إمکان المشاکلة، لأنّ الالتباس یحصل بسببه، وهو مرتفع فی البیت والآیة السابقة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972240_237004111"/>
      <w:bookmarkStart w:id="268" w:name="_Toc94"/>
      <w:bookmarkEnd w:id="267"/>
      <w:r>
        <w:rPr/>
        <w:t>72</w:t>
      </w:r>
      <w:r>
        <w:rPr>
          <w:rtl w:val="true"/>
        </w:rPr>
        <w:t xml:space="preserve"> - </w:t>
      </w:r>
      <w:r>
        <w:rPr>
          <w:rtl w:val="true"/>
        </w:rPr>
        <w:t xml:space="preserve">الزرکشیّ </w:t>
      </w:r>
      <w:r>
        <w:rPr>
          <w:rtl w:val="true"/>
        </w:rPr>
        <w:t>(</w:t>
      </w:r>
      <w:r>
        <w:rPr>
          <w:rtl w:val="true"/>
        </w:rPr>
        <w:t xml:space="preserve">ت </w:t>
      </w:r>
      <w:r>
        <w:rPr/>
        <w:t>794</w:t>
      </w:r>
      <w:r>
        <w:rPr>
          <w:rtl w:val="true"/>
        </w:rPr>
        <w:t xml:space="preserve"> </w:t>
      </w:r>
      <w:r>
        <w:rPr>
          <w:rtl w:val="true"/>
        </w:rPr>
        <w:t xml:space="preserve">ه </w:t>
      </w:r>
      <w:r>
        <w:rPr>
          <w:rtl w:val="true"/>
        </w:rPr>
        <w:t>)</w:t>
      </w:r>
      <w:bookmarkEnd w:id="268"/>
    </w:p>
    <w:p>
      <w:pPr>
        <w:pStyle w:val="BookText"/>
        <w:rPr/>
      </w:pPr>
      <w:r>
        <w:rPr>
          <w:rFonts w:ascii="IRNazanin" w:hAnsi="IRNazanin" w:eastAsia="IRNazanin"/>
          <w:color w:val="111111"/>
          <w:sz w:val="28"/>
          <w:sz w:val="28"/>
          <w:szCs w:val="28"/>
          <w:rtl w:val="true"/>
          <w:lang w:bidi="fa-IR"/>
        </w:rPr>
        <w:t xml:space="preserve">أفتی الزرکشی بالغسل فی قراءة الجرّ بعد أن اعترف بأنّها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منه بحکم الإعراب المسح، مدّعیاً أنّ مخالفة حکم الإعراب والحمل علی الغسل إنّما ثبت لعارضٍ یرجّح</w:t>
      </w:r>
      <w:r>
        <w:rPr>
          <w:rStyle w:val="FootnoteAnchor"/>
          <w:rtl w:val="true"/>
        </w:rPr>
        <w:footnoteReference w:id="453"/>
      </w:r>
      <w:r>
        <w:rPr>
          <w:rFonts w:ascii="IRNazanin" w:hAnsi="IRNazanin" w:eastAsia="IRNazanin"/>
          <w:color w:val="111111"/>
          <w:sz w:val="28"/>
          <w:sz w:val="28"/>
          <w:szCs w:val="28"/>
          <w:rtl w:val="true"/>
          <w:lang w:bidi="fa-IR"/>
        </w:rPr>
        <w:t>، والرجح عندهم لیس إلّاما ذکروه من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bookmarkStart w:id="269" w:name="pg6193_70918"/>
    </w:p>
    <w:p>
      <w:pPr>
        <w:pStyle w:val="BookText"/>
        <w:rPr/>
      </w:pPr>
      <w:bookmarkEnd w:id="269"/>
      <w:r>
        <w:rPr>
          <w:rFonts w:ascii="IRNazanin" w:hAnsi="IRNazanin" w:eastAsia="IRNazanin"/>
          <w:color w:val="111111"/>
          <w:sz w:val="28"/>
          <w:sz w:val="28"/>
          <w:szCs w:val="28"/>
          <w:rtl w:val="true"/>
          <w:lang w:bidi="fa-IR"/>
        </w:rPr>
        <w:t>أو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السنة المرویة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کل ذلک فی مطاوی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المرجّح للغسل علی المسح، ولعلّه مبتنٍ علی أمر مفروغ عنه عند أبناء العامّة، وهو جعل الغسل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للقرآن علی مبانی المذهب وتطبیقاً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استناداً إلی ما نسبوه إلی رسول اللّه عنوة، أو لإجماع زعموه علی الغسل من فعل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 هذه المعاذیر مرفوضة فی مقابل محکم القران وظاهره الموافق لقواعد اللغة</w:t>
      </w:r>
      <w:r>
        <w:rPr>
          <w:rFonts w:eastAsia="IRNazanin" w:cs="IRNazanin"/>
          <w:color w:val="111111"/>
          <w:sz w:val="28"/>
          <w:szCs w:val="28"/>
          <w:rtl w:val="true"/>
          <w:lang w:bidi="fa-IR"/>
        </w:rPr>
        <w:t>.</w:t>
      </w:r>
    </w:p>
    <w:p>
      <w:pPr>
        <w:pStyle w:val="Heading3"/>
        <w:numPr>
          <w:ilvl w:val="2"/>
          <w:numId w:val="1"/>
        </w:numPr>
        <w:rPr/>
      </w:pPr>
      <w:bookmarkStart w:id="270" w:name="__RefHeading___Toc972242_237004111"/>
      <w:bookmarkStart w:id="271" w:name="_Toc95"/>
      <w:bookmarkEnd w:id="270"/>
      <w:r>
        <w:rPr/>
        <w:t>73</w:t>
      </w:r>
      <w:r>
        <w:rPr>
          <w:rtl w:val="true"/>
        </w:rPr>
        <w:t xml:space="preserve"> - </w:t>
      </w:r>
      <w:r>
        <w:rPr>
          <w:rtl w:val="true"/>
        </w:rPr>
        <w:t xml:space="preserve">الفیروزآبادیّ </w:t>
      </w:r>
      <w:r>
        <w:rPr>
          <w:rtl w:val="true"/>
        </w:rPr>
        <w:t>(</w:t>
      </w:r>
      <w:r>
        <w:rPr>
          <w:rtl w:val="true"/>
        </w:rPr>
        <w:t xml:space="preserve">ت </w:t>
      </w:r>
      <w:r>
        <w:rPr/>
        <w:t>817</w:t>
      </w:r>
      <w:r>
        <w:rPr>
          <w:rtl w:val="true"/>
        </w:rPr>
        <w:t xml:space="preserve"> </w:t>
      </w:r>
      <w:r>
        <w:rPr>
          <w:rtl w:val="true"/>
        </w:rPr>
        <w:t xml:space="preserve">ه </w:t>
      </w:r>
      <w:r>
        <w:rPr>
          <w:rtl w:val="true"/>
        </w:rPr>
        <w:t>)</w:t>
      </w:r>
      <w:bookmarkEnd w:id="271"/>
    </w:p>
    <w:p>
      <w:pPr>
        <w:pStyle w:val="BookText"/>
        <w:rPr/>
      </w:pPr>
      <w:r>
        <w:rPr>
          <w:rFonts w:ascii="IRNazanin" w:hAnsi="IRNazanin" w:eastAsia="IRNazanin"/>
          <w:color w:val="111111"/>
          <w:sz w:val="28"/>
          <w:sz w:val="28"/>
          <w:szCs w:val="28"/>
          <w:rtl w:val="true"/>
          <w:lang w:bidi="fa-IR"/>
        </w:rPr>
        <w:t>ادعی الفیروزآبادی دلالة قراءتی النصب والجر المرویة عن ابن عباس علی الغسل غیر مستدل علی مدعاه بشیء</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أَنّ الروایات الثابتة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أهل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کالرازیّ والزمخشریّ والقرطبیّ والطبری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نسبة الغسل إلی ابن عباس وتثبت مسحه علی القدمین</w:t>
      </w:r>
      <w:r>
        <w:rPr>
          <w:rStyle w:val="FootnoteAnchor"/>
          <w:rtl w:val="true"/>
        </w:rPr>
        <w:footnoteReference w:id="455"/>
      </w:r>
      <w:r>
        <w:rPr>
          <w:rFonts w:ascii="Amiri" w:hAnsi="Amiri" w:eastAsia="Amiri" w:cs="Amiri"/>
          <w:color w:val="111111"/>
          <w:sz w:val="28"/>
          <w:sz w:val="28"/>
          <w:szCs w:val="28"/>
          <w:rtl w:val="true"/>
          <w:lang w:bidi="ar-SA"/>
        </w:rPr>
        <w:t xml:space="preserve">، إِذ إنّه أَنکر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الإنکار معترضاً علی الرُّبیّع بنت معوذ فی نقلها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ویأبی الناس إلّاالغسل</w:t>
      </w:r>
      <w:r>
        <w:rPr>
          <w:rFonts w:eastAsia="IRNazanin" w:cs="IRNazanin"/>
          <w:color w:val="111111"/>
          <w:sz w:val="28"/>
          <w:szCs w:val="28"/>
          <w:rtl w:val="true"/>
          <w:lang w:bidi="fa-IR"/>
        </w:rPr>
        <w:t xml:space="preserve">. </w:t>
      </w:r>
      <w:bookmarkStart w:id="272" w:name="pg6193_70920"/>
    </w:p>
    <w:p>
      <w:pPr>
        <w:pStyle w:val="BookText"/>
        <w:rPr/>
      </w:pPr>
      <w:bookmarkEnd w:id="27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غسلتان ومسحتان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غیرها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الفتوی المنقولة عن ابن عباس فی التفسیر المنسوب إلیه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الفیروزابادی تخالف الثابت الصحیح عنه</w:t>
      </w:r>
      <w:r>
        <w:rPr>
          <w:rFonts w:eastAsia="IRNazanin" w:cs="IRNazanin"/>
          <w:color w:val="111111"/>
          <w:sz w:val="28"/>
          <w:szCs w:val="28"/>
          <w:rtl w:val="true"/>
          <w:lang w:bidi="fa-IR"/>
        </w:rPr>
        <w:t>.</w:t>
      </w:r>
    </w:p>
    <w:p>
      <w:pPr>
        <w:pStyle w:val="Heading3"/>
        <w:numPr>
          <w:ilvl w:val="2"/>
          <w:numId w:val="1"/>
        </w:numPr>
        <w:rPr/>
      </w:pPr>
      <w:bookmarkStart w:id="273" w:name="__RefHeading___Toc972244_237004111"/>
      <w:bookmarkStart w:id="274" w:name="_Toc96"/>
      <w:bookmarkEnd w:id="273"/>
      <w:r>
        <w:rPr/>
        <w:t>74</w:t>
      </w:r>
      <w:r>
        <w:rPr>
          <w:rtl w:val="true"/>
        </w:rPr>
        <w:t xml:space="preserve"> - </w:t>
      </w:r>
      <w:r>
        <w:rPr>
          <w:rtl w:val="true"/>
        </w:rPr>
        <w:t xml:space="preserve">المقداد بن عبداللّه السیوریّ </w:t>
      </w:r>
      <w:r>
        <w:rPr>
          <w:rtl w:val="true"/>
        </w:rPr>
        <w:t>(</w:t>
      </w:r>
      <w:r>
        <w:rPr>
          <w:rtl w:val="true"/>
        </w:rPr>
        <w:t xml:space="preserve">ت </w:t>
      </w:r>
      <w:r>
        <w:rPr/>
        <w:t>826</w:t>
      </w:r>
      <w:r>
        <w:rPr>
          <w:rtl w:val="true"/>
        </w:rPr>
        <w:t xml:space="preserve"> </w:t>
      </w:r>
      <w:r>
        <w:rPr>
          <w:rtl w:val="true"/>
        </w:rPr>
        <w:t xml:space="preserve">ه </w:t>
      </w:r>
      <w:r>
        <w:rPr>
          <w:rtl w:val="true"/>
        </w:rPr>
        <w:t>)</w:t>
      </w:r>
      <w:bookmarkEnd w:id="274"/>
    </w:p>
    <w:p>
      <w:pPr>
        <w:pStyle w:val="BookText"/>
        <w:rPr/>
      </w:pPr>
      <w:r>
        <w:rPr>
          <w:rFonts w:ascii="IRNazanin" w:hAnsi="IRNazanin" w:eastAsia="IRNazanin"/>
          <w:color w:val="111111"/>
          <w:sz w:val="28"/>
          <w:sz w:val="28"/>
          <w:szCs w:val="28"/>
          <w:rtl w:val="true"/>
          <w:lang w:bidi="fa-IR"/>
        </w:rPr>
        <w:t xml:space="preserve">الجرّ ظاهر فی‌المسح 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المقداد السیوریّ، وهو المروی عن النبیّ صلی الله علیه و آله من أنّه توضّأ ومسح علی قدمیه</w:t>
      </w:r>
      <w:r>
        <w:rPr>
          <w:rStyle w:val="FootnoteAnchor"/>
          <w:rtl w:val="true"/>
        </w:rPr>
        <w:footnoteReference w:id="456"/>
      </w:r>
      <w:r>
        <w:rPr>
          <w:rFonts w:ascii="IRNazanin" w:hAnsi="IRNazanin" w:eastAsia="IRNazanin"/>
          <w:color w:val="111111"/>
          <w:sz w:val="28"/>
          <w:sz w:val="28"/>
          <w:szCs w:val="28"/>
          <w:rtl w:val="true"/>
          <w:lang w:bidi="fa-IR"/>
        </w:rPr>
        <w:t>ونعلیه، ومثله المروی عن أمیر المؤمنین علیه السلام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 ابن عبّاس أنّه وصف وضوء رسول اللّه صلی الله علیه و آله، فمسح علی رجلیه</w:t>
      </w:r>
      <w:r>
        <w:rPr>
          <w:rStyle w:val="FootnoteAnchor"/>
          <w:rtl w:val="true"/>
        </w:rPr>
        <w:footnoteReference w:id="45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إجماع أهل بیت الوحی علیهم السلام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لإفادة الجرِّ الغسلَ بالمجاورة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الآیتین علی حدِّ زعمهم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فیما مضی من أبحاثنا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حمزة، فإنّه لیس معطوفاً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طَیْرٍ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أنّهم ادعوا اتفاق الأمة علی غسل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الإعراب بالجوار فقد تقدّم الجواب عنه، وأنّه ضعیف لا یلیق بالقرآن وأنّ أکثر أهل العربیّة أنکره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فرض وقوعه فهو مشروط بشرطین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الالتباس کما فی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مفقود والالتباس حاصل،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ممسوحة ومغسولة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الالتباس زائل بالتحدید بالغایة، لأنّ التحدید إنّما هو للمغسول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فی شرعنا اختلاف المتفقات فی الحکم وبالعکس، فلا یزول الالتباس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معه حرف عطف کالمثال، وهنا حرف عطف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ادّعی مجیئه مع العطف فی قول الفرزدق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راکب إلی آل بسطام بن قیس فخاطب</w:t>
      </w:r>
    </w:p>
    <w:p>
      <w:pPr>
        <w:pStyle w:val="BookText"/>
        <w:rPr/>
      </w:pPr>
      <w:r>
        <w:rPr>
          <w:rFonts w:ascii="IRNazanin" w:hAnsi="IRNazanin" w:eastAsia="IRNazanin"/>
          <w:color w:val="111111"/>
          <w:sz w:val="28"/>
          <w:sz w:val="28"/>
          <w:szCs w:val="28"/>
          <w:rtl w:val="true"/>
          <w:lang w:bidi="fa-IR"/>
        </w:rPr>
        <w:t>فإنّ فخاطبِ مجرور بالجوار مع العطف وهو الفاء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یُجاب بما ذکره المعرّیّ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السقط</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75" w:name="pg6193_70924"/>
    </w:p>
    <w:p>
      <w:pPr>
        <w:pStyle w:val="BookText"/>
        <w:rPr/>
      </w:pPr>
      <w:bookmarkEnd w:id="275"/>
      <w:r>
        <w:rPr>
          <w:rFonts w:ascii="IRNazanin" w:hAnsi="IRNazanin" w:eastAsia="IRNazanin"/>
          <w:color w:val="111111"/>
          <w:sz w:val="28"/>
          <w:sz w:val="28"/>
          <w:szCs w:val="28"/>
          <w:rtl w:val="true"/>
          <w:lang w:bidi="fa-IR"/>
        </w:rPr>
        <w:t xml:space="preserve">وأجاب عن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الالتباس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أجاب به الشیخ الطوسیّ نقلاً عن أبی علیّ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اتفاق الأمة علی الغسل فمردودة أیضاً، لأَنّ الصحابة قد اختلفوا فیه، فمنهم من ذهب إلی المسح کأنس وعلی وابن عباس، وآخرون إلی الغسل کعثمان وعبداللّه بن عمرو بن العاص وعبداللّه بن زید، وهکذا الحال بالنسبة إلی التابعین وتابعی التابعین، فمنهم من ذهب إلی المسح وَآخَرُوْنَ إلی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مدرسة أهل البیت فلم یُرْوَ عنها إلّاالمسح، وعلی ذلک فالمسح متفق علیه بین الفریقین بعکس الغسل المختلف فیه والمنقول بطریق واحد</w:t>
      </w:r>
      <w:r>
        <w:rPr>
          <w:rFonts w:eastAsia="IRNazanin" w:cs="IRNazanin"/>
          <w:color w:val="111111"/>
          <w:sz w:val="28"/>
          <w:szCs w:val="28"/>
          <w:rtl w:val="true"/>
          <w:lang w:bidi="fa-IR"/>
        </w:rPr>
        <w:t>.</w:t>
      </w:r>
    </w:p>
    <w:p>
      <w:pPr>
        <w:pStyle w:val="Heading3"/>
        <w:numPr>
          <w:ilvl w:val="2"/>
          <w:numId w:val="1"/>
        </w:numPr>
        <w:rPr/>
      </w:pPr>
      <w:bookmarkStart w:id="276" w:name="__RefHeading___Toc972246_237004111"/>
      <w:bookmarkStart w:id="277" w:name="_Toc97"/>
      <w:bookmarkEnd w:id="276"/>
      <w:r>
        <w:rPr/>
        <w:t>75</w:t>
      </w:r>
      <w:r>
        <w:rPr>
          <w:rtl w:val="true"/>
        </w:rPr>
        <w:t xml:space="preserve"> - </w:t>
      </w:r>
      <w:r>
        <w:rPr>
          <w:rtl w:val="true"/>
        </w:rPr>
        <w:t>یوسف بن أحمد بن عثمان الشهیر بالفقیه یوسف</w:t>
      </w:r>
      <w:bookmarkEnd w:id="277"/>
    </w:p>
    <w:p>
      <w:pPr>
        <w:pStyle w:val="BookText"/>
        <w:rPr/>
      </w:pPr>
      <w:r>
        <w:rPr>
          <w:rFonts w:ascii="IRNazanin" w:hAnsi="IRNazanin" w:eastAsia="IRNazanin"/>
          <w:color w:val="111111"/>
          <w:sz w:val="28"/>
          <w:sz w:val="28"/>
          <w:szCs w:val="28"/>
          <w:rtl w:val="true"/>
          <w:lang w:bidi="fa-IR"/>
        </w:rPr>
        <w:t xml:space="preserve">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الفقیه یوسف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 إِلَی الْکَعْبَیْنِ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مذهب القاسمیّة، وزید، وأبی حنیفة، والشافعی، وأکثر الفقهاء أنّ طهارتهما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وقال النّاصر، والصادق، والباقر، ومرویّ 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الجمع بین المسح والغسل، وقال أبو علی الجبائی، وابن جریر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مخیّر بینت الغسل والمسح، وسبب هذا الخلاف قراءة نافع، وابن عامر، والکسائی، وحفص عن عاصم بالنصب، وذلک فی قراءة أمیرالمؤمنین، وعبداللّه بن مسعود، وابن عباس، وقرء الباقون بالکسر، وهی قراءة أنس، والحسن، فقال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النصب ظاهراً </w:t>
      </w:r>
    </w:p>
    <w:p>
      <w:pPr>
        <w:pStyle w:val="BookText"/>
        <w:rPr/>
      </w:pPr>
      <w:r>
        <w:rPr>
          <w:rFonts w:ascii="IRNazanin" w:hAnsi="IRNazanin" w:eastAsia="IRNazanin"/>
          <w:color w:val="111111"/>
          <w:sz w:val="28"/>
          <w:sz w:val="28"/>
          <w:szCs w:val="28"/>
          <w:rtl w:val="true"/>
          <w:lang w:bidi="fa-IR"/>
        </w:rPr>
        <w:t>یفید الغسل بالعطف علی الوجوه والأیدی، وقراءة الجزّ ظاهرها یفید المسح بالعطف علی الرؤوس، ویرجّح الغسل فیلزم التأویل فی 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والمرجّح للغسل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مثل قوله صلی الله علیه و آله للأعرابی السائل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 رأسک واغسل رجلیک ومثل قوله صلی الله علیه و آله إنّی أری من عقبک جافاً فان کنت امسسته الماء فامض وان کنت لم یمسسه الماء فاخرج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اصنع؟ استقبل الطهور؟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اغسل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خلّل الأصابع لا تخلّل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غسل صلی الله علیه و آله قدمیه فی حدیث أبی رافع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توضأ وغسل رجلیه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علیه السلام أنّه توضأ فغسل رجلیه ثلاثاً،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طهور رسول اللّه، وفی حدیثه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صلاة امرء حتی یضع الوضوء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 رجلیه، وقوله صلی الله علیه و آله فی من توضا وأعقابهم بیض تلوح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 للعراقیب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عن الصّحابة مثل قول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تقطّعا أحبّ إلیّ من أن أمسح علی القدمین بغیر خفین، وقول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أن أحداً من أصحاب رسول اللّه صلی الله علیه و آله مسح علی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کلّه تأولوا قراءة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الجرّ للمجاورة وحکمه الغسل، ولکن قال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لأن جماهیر أهل اللّغة قالوا بأنّ المجاورة لضرورة الشعر لا فی کتاب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عطف علی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المعنی مثل قول الشاعر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 الزمان بها وغیرها بعدی سوا فی المُور والقطرِ </w:t>
      </w:r>
    </w:p>
    <w:p>
      <w:pPr>
        <w:pStyle w:val="BookText"/>
        <w:rPr/>
      </w:pPr>
      <w:r>
        <w:rPr>
          <w:rFonts w:ascii="IRNazanin" w:hAnsi="IRNazanin" w:eastAsia="IRNazanin"/>
          <w:color w:val="111111"/>
          <w:sz w:val="28"/>
          <w:sz w:val="28"/>
          <w:szCs w:val="28"/>
          <w:rtl w:val="true"/>
          <w:lang w:bidi="fa-IR"/>
        </w:rPr>
        <w:t>بخفض القطر، ولو عطف علی المعنی لرفع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الأرجل مغسولة ثبت غسلها بقراءة النّصب، وقراءة الجرّ عطف علی الممسوح لا لیمسح، ولکن لینبّه علی وجوب الإقتصاد فی الماء وصبّه علیها وجئ بالکعبین لرفع الظانّ بأنّها ممسوحة لأنّ المسح لم تضرب له غایة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أرادة المسح علی الخفین عند من قال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قال بترجیح قراءة الجر ووجوب المسح وهم الإمامیّة، والشعبیّ، وقتادة، وعکرمة یری أنّ العطف علی الرؤوس هو الأسبق، وأنّ النّصب بالعطف علی محل الرؤوس</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النصب ظاهراً یفید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فرض ذلک مفروغاً عنه مع أنّ النّصب لیس معناه الغسل لجواز کون النّصب عطفاً علی محلّ الرؤوس ویفید المسح کما نقل ذلک بعد عن القائلین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الأحادیث التی استدل بها علی الغسل فقد مرّ جوابنا عنها فی المجلدات السابقة من کتابنا</w:t>
      </w:r>
      <w:r>
        <w:rPr>
          <w:rStyle w:val="FootnoteAnchor"/>
          <w:rtl w:val="true"/>
        </w:rPr>
        <w:footnoteReference w:id="466"/>
      </w:r>
      <w:r>
        <w:rPr>
          <w:rFonts w:ascii="IRNazanin" w:hAnsi="IRNazanin" w:eastAsia="IRNazanin"/>
          <w:color w:val="111111"/>
          <w:sz w:val="28"/>
          <w:sz w:val="28"/>
          <w:szCs w:val="28"/>
          <w:rtl w:val="true"/>
          <w:lang w:bidi="fa-IR"/>
        </w:rPr>
        <w:t>هذا، علی أن بعضها فی طهارة الخبث ولا الحدث، وبعضها یحمل علی ما بعد الوضوء للنقاوة والنّظافة مثل أنّ صلی الله علیه و آله غسل رجلیه ثلاثاً وکذا ما نقل عن علی 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علمت أنّ أحداً من أصحاب رسول اللّه صلی الله علیه و آله مسح علی </w:t>
      </w:r>
    </w:p>
    <w:p>
      <w:pPr>
        <w:pStyle w:val="BookText"/>
        <w:rPr/>
      </w:pPr>
      <w:r>
        <w:rPr>
          <w:rFonts w:ascii="IRNazanin" w:hAnsi="IRNazanin" w:eastAsia="IRNazanin"/>
          <w:color w:val="111111"/>
          <w:sz w:val="28"/>
          <w:sz w:val="28"/>
          <w:szCs w:val="28"/>
          <w:rtl w:val="true"/>
          <w:lang w:bidi="fa-IR"/>
        </w:rPr>
        <w:t>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ینافی ما رواه یعلن بن عطاء عنه عن أوس بن أبی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علی قدمیه</w:t>
      </w:r>
      <w:r>
        <w:rPr>
          <w:rStyle w:val="FootnoteAnchor"/>
          <w:rtl w:val="true"/>
        </w:rPr>
        <w:footnoteReference w:id="467"/>
      </w:r>
      <w:r>
        <w:rPr>
          <w:rFonts w:ascii="IRNazanin" w:hAnsi="IRNazanin" w:eastAsia="IRNazanin"/>
          <w:color w:val="111111"/>
          <w:sz w:val="28"/>
          <w:sz w:val="28"/>
          <w:szCs w:val="28"/>
          <w:rtl w:val="true"/>
          <w:lang w:bidi="fa-IR"/>
        </w:rPr>
        <w:t>، ونقلنا عن ابن عبدالبرّ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المسح عن بعض الصحابة والتّابعین وتعلّق به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ذلک فکیف یقسم عطاء باللّه تعالی أنّه ما علم عن أحد من الصّحابة مسح علی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ما جهل من عطاء أو تدلیس أو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الجرّ فاعترف بأنّه یفید المسح إلّاأنّه رجّح الغسل، وحمله علی المجاورة، ولکنا أجبنا عنها فی مواضع من هذا المجلد، منها فی هامش بحثنا عن کلام ابن عبدالبرّ فی قراءة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عطف علی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المعنی مثل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بخفض القطر مع أنّه فاعل غیر ومرفوع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اللّفظ لا علی المعنی إدّعاء صرف واین له من اثباته ولو اثبته لیس إلّابالرّوایات وقد اجبنا عنها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استشهاده بالبیت المذکور لا یفیده إذ الواجب علیه إثبات الحکم أولاً ثم الاستشهاد بالبیت ثانیاً، علی أنّ البیت من العطف علی الجوار وقد اجبنا عنه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جار اللّه فقد صار مستمسکاً لکثیر منهم ونقلوه مراراً وأجبنا عنه أیضاً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 الجرّ علی المسح علی الخفیّن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الخفین خلافیّ بینهم</w:t>
      </w:r>
      <w:r>
        <w:rPr>
          <w:rFonts w:eastAsia="IRNazanin" w:cs="IRNazanin"/>
          <w:color w:val="111111"/>
          <w:sz w:val="28"/>
          <w:szCs w:val="28"/>
          <w:rtl w:val="true"/>
          <w:lang w:bidi="fa-IR"/>
        </w:rPr>
        <w:t xml:space="preserve">. </w:t>
      </w:r>
      <w:bookmarkStart w:id="278" w:name="pg6193_70932"/>
    </w:p>
    <w:p>
      <w:pPr>
        <w:pStyle w:val="BookText"/>
        <w:rPr/>
      </w:pPr>
      <w:bookmarkEnd w:id="278"/>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استدلّوا له بالرّوایات، وهی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الآیة دالّة علی المسح علی الخفیّن فأین دلالتها علی غسل الرّجلین مع أنّ الآیة فی مقام بیان کیفیّة الوضوع وعدّ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ضرب الغایة فی الرجلین فلا یدلّ علی وجوب الغسل وموازنته مع ما ضرب فیه الغایة ویغسل قیاس، ولیس بشیء</w:t>
      </w:r>
      <w:r>
        <w:rPr>
          <w:rFonts w:eastAsia="IRNazanin" w:cs="IRNazanin"/>
          <w:color w:val="111111"/>
          <w:sz w:val="28"/>
          <w:szCs w:val="28"/>
          <w:rtl w:val="true"/>
          <w:lang w:bidi="fa-IR"/>
        </w:rPr>
        <w:t>.</w:t>
      </w:r>
    </w:p>
    <w:p>
      <w:pPr>
        <w:pStyle w:val="Heading3"/>
        <w:numPr>
          <w:ilvl w:val="2"/>
          <w:numId w:val="1"/>
        </w:numPr>
        <w:rPr/>
      </w:pPr>
      <w:bookmarkStart w:id="279" w:name="__RefHeading___Toc972248_237004111"/>
      <w:bookmarkStart w:id="280" w:name="_Toc98"/>
      <w:bookmarkEnd w:id="279"/>
      <w:r>
        <w:rPr/>
        <w:t>76</w:t>
      </w:r>
      <w:r>
        <w:rPr>
          <w:rtl w:val="true"/>
        </w:rPr>
        <w:t xml:space="preserve"> - </w:t>
      </w:r>
      <w:r>
        <w:rPr>
          <w:rtl w:val="true"/>
        </w:rPr>
        <w:t xml:space="preserve">ابن حجر العسقلانیّ </w:t>
      </w:r>
      <w:r>
        <w:rPr>
          <w:rtl w:val="true"/>
        </w:rPr>
        <w:t>(</w:t>
      </w:r>
      <w:r>
        <w:rPr>
          <w:rtl w:val="true"/>
        </w:rPr>
        <w:t xml:space="preserve">ت </w:t>
      </w:r>
      <w:r>
        <w:rPr/>
        <w:t>852</w:t>
      </w:r>
      <w:r>
        <w:rPr>
          <w:rtl w:val="true"/>
        </w:rPr>
        <w:t xml:space="preserve"> </w:t>
      </w:r>
      <w:r>
        <w:rPr>
          <w:rtl w:val="true"/>
        </w:rPr>
        <w:t xml:space="preserve">ه </w:t>
      </w:r>
      <w:r>
        <w:rPr>
          <w:rtl w:val="true"/>
        </w:rPr>
        <w:t>)</w:t>
      </w:r>
      <w:bookmarkEnd w:id="280"/>
    </w:p>
    <w:p>
      <w:pPr>
        <w:pStyle w:val="BookText"/>
        <w:rPr/>
      </w:pPr>
      <w:r>
        <w:rPr>
          <w:rFonts w:ascii="IRNazanin" w:hAnsi="IRNazanin" w:eastAsia="IRNazanin"/>
          <w:color w:val="111111"/>
          <w:sz w:val="28"/>
          <w:sz w:val="28"/>
          <w:szCs w:val="28"/>
          <w:rtl w:val="true"/>
          <w:lang w:bidi="fa-IR"/>
        </w:rPr>
        <w:t xml:space="preserve">نقل ابن حجر قول القائلین بالمسح، وأنّهم تمسّکوا بظاهر هذه الآیة فعطفوا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أَضاف أنّ هذا هو مذهب جماعة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نقل أَدلة الماسحین وهو غیر مقتنع بأقوالهم، إذ نقل أیضاً عن طریق آخرین الحکم بالغسل، وأَن العطف علی الرؤوس جاء للتحذیر من الإِسراف، معلّقاً علی المروی عن ابن عباس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ابن عبّاس فی روایةٍ ضعیفة والثابت عنه خلافه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أَن هذا الکلام باطل جملة وتفصیلاً، وقد تعرضنا له فی البحث الروائی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مرویات ابن عباس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مثبتین بأن المروی عن ابن عباس فی الغسل هی الروایات الضعیفة لا المسح، لأنّ المرویّ بالمسح عنه هو صَحیحٌ علی شرط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یخرجاه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عن ابن عباس فی 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بأنّه لم یکن واقعیاً ومنصفاً عند نقله للأخبار؛ لأنّ نقل المسح عنه جاء فی روایات کثیرة </w:t>
      </w:r>
    </w:p>
    <w:p>
      <w:pPr>
        <w:pStyle w:val="BookText"/>
        <w:rPr/>
      </w:pPr>
      <w:r>
        <w:rPr>
          <w:rFonts w:ascii="IRNazanin" w:hAnsi="IRNazanin" w:eastAsia="IRNazanin"/>
          <w:color w:val="111111"/>
          <w:sz w:val="28"/>
          <w:sz w:val="28"/>
          <w:szCs w:val="28"/>
          <w:rtl w:val="true"/>
          <w:lang w:bidi="fa-IR"/>
        </w:rPr>
        <w:t>ومتواترة، لا فی روایة واحدة ضعیفة کما یزعمه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المروی عن غیره مثل عکرمة والشعبیّ وقتادة، فإنهم کلهم رووا المسح عن النبیّ وکانوا یمسحون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حجر اعترف بأنّ الجرّ یفید المسح، کما أنّه یفید الغسل أیضاً</w:t>
      </w:r>
      <w:r>
        <w:rPr>
          <w:rStyle w:val="FootnoteAnchor"/>
          <w:rtl w:val="true"/>
        </w:rPr>
        <w:footnoteReference w:id="470"/>
      </w:r>
      <w:r>
        <w:rPr>
          <w:rFonts w:ascii="Amiri" w:hAnsi="Amiri" w:eastAsia="Amiri" w:cs="Amiri"/>
          <w:color w:val="111111"/>
          <w:sz w:val="28"/>
          <w:sz w:val="28"/>
          <w:szCs w:val="28"/>
          <w:rtl w:val="true"/>
          <w:lang w:bidi="ar-SA"/>
        </w:rPr>
        <w:t>؛ لکنّه حمله علی المسح علی الخفّین لا علی الرجلین، وقد تقدّم أنّ الرِجْلَ لا تُسَمّی خُفّاً؛ لا فی اللُّغَةِ ولا فی الشَّرْعِ ولا فی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جدّ بعد ذلک لینتصر لمذهبه، فنقل عن بعضٍ أنّ الحکم فی الجرّ أیضاً الغسل،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للتحذیر عن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الکلام الذی ابتدعه الزمخشریّ ثمّ تبعه أهل السنة والجماعة من غیر تحقیق، والدلیل الذی ذکروه لإرادة هذا المعنی هو التحدید الذی لم یقبلوه فی المسح</w:t>
      </w:r>
      <w:r>
        <w:rPr>
          <w:rStyle w:val="FootnoteAnchor"/>
          <w:rtl w:val="true"/>
        </w:rPr>
        <w:footnoteReference w:id="471"/>
      </w:r>
      <w:r>
        <w:rPr>
          <w:rFonts w:ascii="IRNazanin" w:hAnsi="IRNazanin" w:eastAsia="IRNazanin"/>
          <w:color w:val="111111"/>
          <w:sz w:val="28"/>
          <w:sz w:val="28"/>
          <w:szCs w:val="28"/>
          <w:rtl w:val="true"/>
          <w:lang w:bidi="fa-IR"/>
        </w:rPr>
        <w:t>، وأنت تعلم بأنّ هذا إبطال لِحکم الإعراب وإخلال ببلاغة الکلام، والتحدید لا یختصّ بقبیلٍ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إعجاب ابن حجر بما ذهب إلیه ابن العربیّ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 حجر نقل عن أبی بکر ابن العربیّ تعارض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مذهبهم حیث یعطفون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فیفید الغسل،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فیفید المسح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والقانون فی المتعارضین وجوب العمل بهما مع إمکان العمل، وإلّا فالعمل بما أمکن منهما</w:t>
      </w:r>
      <w:r>
        <w:rPr>
          <w:rFonts w:eastAsia="IRNazanin" w:cs="IRNazanin"/>
          <w:color w:val="111111"/>
          <w:sz w:val="28"/>
          <w:szCs w:val="28"/>
          <w:rtl w:val="true"/>
          <w:lang w:bidi="fa-IR"/>
        </w:rPr>
        <w:t xml:space="preserve">. </w:t>
      </w:r>
      <w:bookmarkStart w:id="281" w:name="pg6193_70937"/>
    </w:p>
    <w:p>
      <w:pPr>
        <w:pStyle w:val="BookText"/>
        <w:rPr/>
      </w:pPr>
      <w:bookmarkEnd w:id="281"/>
      <w:r>
        <w:rPr>
          <w:rFonts w:ascii="IRNazanin" w:hAnsi="IRNazanin" w:eastAsia="IRNazanin"/>
          <w:color w:val="111111"/>
          <w:sz w:val="28"/>
          <w:sz w:val="28"/>
          <w:szCs w:val="28"/>
          <w:rtl w:val="true"/>
          <w:lang w:bidi="fa-IR"/>
        </w:rPr>
        <w:t>والعمل بالقراءتین فی عضو واحد فی حالة واحدة غیر ممکن هنا، لأنّ معناه الجمع بین الغسل والمسح؛ وذلک یؤدّی إلی التکرار؛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المسح بناءً 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یشتمل علی المسح والأمر لا یقتضی التکرار، فلذا عملوا بالقدر الممکن، وعملوا بالمتعارضین فی حالین توفیقاً بین القراءتین؛ فحملوا النصب علی الغسل والجرّ علی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حجر نقش علی العرش قبل أن یثبت، ورقم علی الماء وهو سائل لا یثبت، إذ القراءتان غیر متعارضتین، حیث إنّ النصب والجرّ یعطف علی معطوف واحد باعتبارین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تکونا متعارضتین فلا یُحتاجُ إلی الذی ذکره ابن حجر</w:t>
      </w:r>
      <w:r>
        <w:rPr>
          <w:rFonts w:eastAsia="IRNazanin" w:cs="IRNazanin"/>
          <w:color w:val="111111"/>
          <w:sz w:val="28"/>
          <w:szCs w:val="28"/>
          <w:rtl w:val="true"/>
          <w:lang w:bidi="fa-IR"/>
        </w:rPr>
        <w:t>.</w:t>
      </w:r>
    </w:p>
    <w:p>
      <w:pPr>
        <w:pStyle w:val="Heading3"/>
        <w:numPr>
          <w:ilvl w:val="2"/>
          <w:numId w:val="1"/>
        </w:numPr>
        <w:rPr/>
      </w:pPr>
      <w:bookmarkStart w:id="282" w:name="__RefHeading___Toc972250_237004111"/>
      <w:bookmarkStart w:id="283" w:name="_Toc99"/>
      <w:bookmarkEnd w:id="282"/>
      <w:r>
        <w:rPr/>
        <w:t>77</w:t>
      </w:r>
      <w:r>
        <w:rPr>
          <w:rtl w:val="true"/>
        </w:rPr>
        <w:t xml:space="preserve"> - </w:t>
      </w:r>
      <w:r>
        <w:rPr>
          <w:rtl w:val="true"/>
        </w:rPr>
        <w:t xml:space="preserve">جلال الدین المحلّیّ </w:t>
      </w:r>
      <w:r>
        <w:rPr>
          <w:rtl w:val="true"/>
        </w:rPr>
        <w:t>(</w:t>
      </w:r>
      <w:r>
        <w:rPr>
          <w:rtl w:val="true"/>
        </w:rPr>
        <w:t xml:space="preserve">ت </w:t>
      </w:r>
      <w:r>
        <w:rPr/>
        <w:t>864</w:t>
      </w:r>
      <w:r>
        <w:rPr>
          <w:rtl w:val="true"/>
        </w:rPr>
        <w:t xml:space="preserve"> </w:t>
      </w:r>
      <w:r>
        <w:rPr>
          <w:rtl w:val="true"/>
        </w:rPr>
        <w:t xml:space="preserve">ه </w:t>
      </w:r>
      <w:r>
        <w:rPr>
          <w:rtl w:val="true"/>
        </w:rPr>
        <w:t>)</w:t>
      </w:r>
      <w:bookmarkEnd w:id="283"/>
    </w:p>
    <w:p>
      <w:pPr>
        <w:pStyle w:val="BookText"/>
        <w:rPr/>
      </w:pPr>
      <w:r>
        <w:rPr>
          <w:rFonts w:ascii="IRNazanin" w:hAnsi="IRNazanin" w:eastAsia="IRNazanin"/>
          <w:color w:val="111111"/>
          <w:sz w:val="28"/>
          <w:sz w:val="28"/>
          <w:szCs w:val="28"/>
          <w:rtl w:val="true"/>
          <w:lang w:bidi="fa-IR"/>
        </w:rPr>
        <w:t>جعل السیوطی الجرّ بالمجاورة والمفاد الغسل</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الجواب عنه مفصّلاً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72252_237004111"/>
      <w:bookmarkStart w:id="285" w:name="_Toc100"/>
      <w:bookmarkEnd w:id="284"/>
      <w:r>
        <w:rPr/>
        <w:t>78</w:t>
      </w:r>
      <w:r>
        <w:rPr>
          <w:rtl w:val="true"/>
        </w:rPr>
        <w:t xml:space="preserve"> - </w:t>
      </w:r>
      <w:r>
        <w:rPr>
          <w:rtl w:val="true"/>
        </w:rPr>
        <w:t xml:space="preserve">الثعالبیّ </w:t>
      </w:r>
      <w:r>
        <w:rPr>
          <w:rtl w:val="true"/>
        </w:rPr>
        <w:t>(</w:t>
      </w:r>
      <w:r>
        <w:rPr>
          <w:rtl w:val="true"/>
        </w:rPr>
        <w:t xml:space="preserve">ت </w:t>
      </w:r>
      <w:r>
        <w:rPr/>
        <w:t>875</w:t>
      </w:r>
      <w:r>
        <w:rPr>
          <w:rtl w:val="true"/>
        </w:rPr>
        <w:t xml:space="preserve"> </w:t>
      </w:r>
      <w:r>
        <w:rPr>
          <w:rtl w:val="true"/>
        </w:rPr>
        <w:t xml:space="preserve">ه </w:t>
      </w:r>
      <w:r>
        <w:rPr>
          <w:rtl w:val="true"/>
        </w:rPr>
        <w:t>)</w:t>
      </w:r>
      <w:bookmarkEnd w:id="285"/>
    </w:p>
    <w:p>
      <w:pPr>
        <w:pStyle w:val="BookText"/>
        <w:rPr/>
      </w:pPr>
      <w:r>
        <w:rPr>
          <w:rFonts w:ascii="IRNazanin" w:hAnsi="IRNazanin" w:eastAsia="IRNazanin"/>
          <w:color w:val="111111"/>
          <w:sz w:val="28"/>
          <w:sz w:val="28"/>
          <w:szCs w:val="28"/>
          <w:rtl w:val="true"/>
          <w:lang w:bidi="fa-IR"/>
        </w:rPr>
        <w:t>بیّن الثعالبی للجرّ وجهین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علی المسح فی الرأس والرجلین ولم یستدلّ بشیءٍ، إذ هی من الوضوح بحیث لا یحتاج إلی الدلیل</w:t>
      </w:r>
      <w:r>
        <w:rPr>
          <w:rFonts w:eastAsia="IRNazanin" w:cs="IRNazanin"/>
          <w:color w:val="111111"/>
          <w:sz w:val="28"/>
          <w:szCs w:val="28"/>
          <w:rtl w:val="true"/>
          <w:lang w:bidi="fa-IR"/>
        </w:rPr>
        <w:t xml:space="preserve">. </w:t>
      </w:r>
      <w:bookmarkStart w:id="286" w:name="pg6193_70939"/>
    </w:p>
    <w:p>
      <w:pPr>
        <w:pStyle w:val="BookText"/>
        <w:rPr/>
      </w:pPr>
      <w:bookmarkEnd w:id="28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والمسح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المسح علی الخفّین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قد تقدّم عند مناقشتنا لکلام ابن الفرس الاندلسی</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972254_237004111"/>
      <w:bookmarkStart w:id="288" w:name="_Toc101"/>
      <w:bookmarkEnd w:id="287"/>
      <w:r>
        <w:rPr/>
        <w:t>79</w:t>
      </w:r>
      <w:r>
        <w:rPr>
          <w:rtl w:val="true"/>
        </w:rPr>
        <w:t xml:space="preserve"> - </w:t>
      </w:r>
      <w:r>
        <w:rPr>
          <w:rtl w:val="true"/>
        </w:rPr>
        <w:t xml:space="preserve">برهان الدین أبوالحسن إبراهیم بن عمر البقاعیّ </w:t>
      </w:r>
      <w:r>
        <w:rPr>
          <w:rtl w:val="true"/>
        </w:rPr>
        <w:t>(</w:t>
      </w:r>
      <w:r>
        <w:rPr>
          <w:rtl w:val="true"/>
        </w:rPr>
        <w:t xml:space="preserve">ت </w:t>
      </w:r>
      <w:r>
        <w:rPr/>
        <w:t>885</w:t>
      </w:r>
      <w:r>
        <w:rPr>
          <w:rtl w:val="true"/>
        </w:rPr>
        <w:t xml:space="preserve"> </w:t>
      </w:r>
      <w:r>
        <w:rPr>
          <w:rtl w:val="true"/>
        </w:rPr>
        <w:t xml:space="preserve">ه </w:t>
      </w:r>
      <w:r>
        <w:rPr>
          <w:rtl w:val="true"/>
        </w:rPr>
        <w:t>)</w:t>
      </w:r>
      <w:bookmarkEnd w:id="288"/>
    </w:p>
    <w:p>
      <w:pPr>
        <w:pStyle w:val="BookText"/>
        <w:rPr/>
      </w:pPr>
      <w:r>
        <w:rPr>
          <w:rFonts w:ascii="IRNazanin" w:hAnsi="IRNazanin" w:eastAsia="IRNazanin"/>
          <w:color w:val="111111"/>
          <w:sz w:val="28"/>
          <w:sz w:val="28"/>
          <w:szCs w:val="28"/>
          <w:rtl w:val="true"/>
          <w:lang w:bidi="fa-IR"/>
        </w:rPr>
        <w:t>قال البقاعی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غسل الرّجل مظنّة الإسراف فکان مأموراً بالإقتصاد فیه، وکان المسح علی الخفّ سائغاً کافیاً،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علی المجاورة إشارة إلی ذلک، أو لأنّ الغاسل یدلک 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کالمنع إمرار الید علی الشیء السائل، فیکون ذلک إشارة أیضاً إلی استحباب الدّلک، والقرینة الدالّة علی استعمال هذا المشترک فی أحد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النّصب، وبیان النبیّ صلی الله علیه و آله، ومرّ استعمال فیه، وفیه الإشارة إلی الرفق بالنّصب علی الأصل</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کلّ ما قال فقد جاء فی مواضع مختلفة فلا یفید وکل ما قاله جاء تقلیداً لما ذهب إلیه الزمخشری،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المشترک فی أحد معنییه قربته 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قراءة النّصب لا یمکن أن تکون قرینة لقراءة الجرّ وبالعکس، هذه قراءة وتلک قراءة</w:t>
      </w:r>
      <w:r>
        <w:rPr>
          <w:rFonts w:eastAsia="IRNazanin" w:cs="IRNazanin"/>
          <w:color w:val="111111"/>
          <w:sz w:val="28"/>
          <w:szCs w:val="28"/>
          <w:rtl w:val="true"/>
          <w:lang w:bidi="fa-IR"/>
        </w:rPr>
        <w:t xml:space="preserve">. </w:t>
      </w:r>
      <w:bookmarkStart w:id="289" w:name="pg6193_70941"/>
    </w:p>
    <w:p>
      <w:pPr>
        <w:pStyle w:val="Heading3"/>
        <w:numPr>
          <w:ilvl w:val="2"/>
          <w:numId w:val="1"/>
        </w:numPr>
        <w:rPr/>
      </w:pPr>
      <w:bookmarkStart w:id="290" w:name="__RefHeading___Toc972256_237004111"/>
      <w:bookmarkStart w:id="291" w:name="_Toc102"/>
      <w:bookmarkEnd w:id="289"/>
      <w:bookmarkEnd w:id="290"/>
      <w:r>
        <w:rPr/>
        <w:t>80</w:t>
      </w:r>
      <w:r>
        <w:rPr>
          <w:rtl w:val="true"/>
        </w:rPr>
        <w:t xml:space="preserve"> - </w:t>
      </w:r>
      <w:r>
        <w:rPr>
          <w:rtl w:val="true"/>
        </w:rPr>
        <w:t xml:space="preserve">الدّمشقی الحنبلیّ </w:t>
      </w:r>
      <w:r>
        <w:rPr>
          <w:rtl w:val="true"/>
        </w:rPr>
        <w:t>(</w:t>
      </w:r>
      <w:r>
        <w:rPr>
          <w:rtl w:val="true"/>
        </w:rPr>
        <w:t xml:space="preserve">ت بعد </w:t>
      </w:r>
      <w:r>
        <w:rPr/>
        <w:t>880</w:t>
      </w:r>
      <w:r>
        <w:rPr>
          <w:rtl w:val="true"/>
        </w:rPr>
        <w:t xml:space="preserve"> </w:t>
      </w:r>
      <w:r>
        <w:rPr>
          <w:rtl w:val="true"/>
        </w:rPr>
        <w:t xml:space="preserve">ه </w:t>
      </w:r>
      <w:r>
        <w:rPr>
          <w:rtl w:val="true"/>
        </w:rPr>
        <w:t>)</w:t>
      </w:r>
      <w:bookmarkEnd w:id="291"/>
    </w:p>
    <w:p>
      <w:pPr>
        <w:pStyle w:val="BookText"/>
        <w:rPr/>
      </w:pPr>
      <w:r>
        <w:rPr>
          <w:rFonts w:ascii="IRNazanin" w:hAnsi="IRNazanin" w:eastAsia="IRNazanin"/>
          <w:color w:val="111111"/>
          <w:sz w:val="28"/>
          <w:sz w:val="28"/>
          <w:szCs w:val="28"/>
          <w:rtl w:val="true"/>
          <w:lang w:bidi="fa-IR"/>
        </w:rPr>
        <w:t>أورد الدمشقی الحنبلیّ ما أورده السمین الحلبی فی قراءة الجر حذو النعل بالنّعل</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هو الجواب عنه</w:t>
      </w:r>
      <w:r>
        <w:rPr>
          <w:rFonts w:eastAsia="IRNazanin" w:cs="IRNazanin"/>
          <w:color w:val="111111"/>
          <w:sz w:val="28"/>
          <w:szCs w:val="28"/>
          <w:rtl w:val="true"/>
          <w:lang w:bidi="fa-IR"/>
        </w:rPr>
        <w:t>.</w:t>
      </w:r>
    </w:p>
    <w:p>
      <w:pPr>
        <w:pStyle w:val="Heading3"/>
        <w:numPr>
          <w:ilvl w:val="2"/>
          <w:numId w:val="1"/>
        </w:numPr>
        <w:rPr/>
      </w:pPr>
      <w:bookmarkStart w:id="292" w:name="__RefHeading___Toc972258_237004111"/>
      <w:bookmarkStart w:id="293" w:name="_Toc103"/>
      <w:bookmarkEnd w:id="292"/>
      <w:r>
        <w:rPr/>
        <w:t>81</w:t>
      </w:r>
      <w:r>
        <w:rPr>
          <w:rtl w:val="true"/>
        </w:rPr>
        <w:t xml:space="preserve"> - </w:t>
      </w:r>
      <w:r>
        <w:rPr>
          <w:rtl w:val="true"/>
        </w:rPr>
        <w:t xml:space="preserve">جلال الدین السیوطیّ </w:t>
      </w:r>
      <w:r>
        <w:rPr>
          <w:rtl w:val="true"/>
        </w:rPr>
        <w:t>(</w:t>
      </w:r>
      <w:r>
        <w:rPr>
          <w:rtl w:val="true"/>
        </w:rPr>
        <w:t xml:space="preserve">ت </w:t>
      </w:r>
      <w:r>
        <w:rPr/>
        <w:t>911</w:t>
      </w:r>
      <w:r>
        <w:rPr>
          <w:rtl w:val="true"/>
        </w:rPr>
        <w:t xml:space="preserve"> </w:t>
      </w:r>
      <w:r>
        <w:rPr>
          <w:rtl w:val="true"/>
        </w:rPr>
        <w:t xml:space="preserve">ه </w:t>
      </w:r>
      <w:r>
        <w:rPr>
          <w:rtl w:val="true"/>
        </w:rPr>
        <w:t>)</w:t>
      </w:r>
      <w:bookmarkEnd w:id="293"/>
    </w:p>
    <w:p>
      <w:pPr>
        <w:pStyle w:val="BookText"/>
        <w:rPr/>
      </w:pPr>
      <w:r>
        <w:rPr>
          <w:rFonts w:ascii="IRNazanin" w:hAnsi="IRNazanin" w:eastAsia="IRNazanin"/>
          <w:color w:val="111111"/>
          <w:sz w:val="28"/>
          <w:sz w:val="28"/>
          <w:szCs w:val="28"/>
          <w:rtl w:val="true"/>
          <w:lang w:bidi="fa-IR"/>
        </w:rPr>
        <w:t>ذکر السیوطی وجهین فی توجیه الجرّ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الجوار، وقد عرفت ردّه وبطلانه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الجرّ علی الجوار ولم یسمّه، کأنّه کان غضبان علی الوجه الثانی، حیث لا یوافق رأیه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الغیر لا یجوز أن یکون إلّاالعطف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والمؤدّی المسح وهو الحقّ، لأنّ الجوار فی القرآن ممنوع</w:t>
      </w:r>
      <w:r>
        <w:rPr>
          <w:rFonts w:eastAsia="IRNazanin" w:cs="IRNazanin"/>
          <w:color w:val="111111"/>
          <w:sz w:val="28"/>
          <w:szCs w:val="28"/>
          <w:rtl w:val="true"/>
          <w:lang w:bidi="fa-IR"/>
        </w:rPr>
        <w:t>.</w:t>
      </w:r>
    </w:p>
    <w:p>
      <w:pPr>
        <w:pStyle w:val="Heading3"/>
        <w:numPr>
          <w:ilvl w:val="2"/>
          <w:numId w:val="1"/>
        </w:numPr>
        <w:rPr/>
      </w:pPr>
      <w:bookmarkStart w:id="294" w:name="__RefHeading___Toc972260_237004111"/>
      <w:bookmarkStart w:id="295" w:name="_Toc104"/>
      <w:bookmarkEnd w:id="294"/>
      <w:r>
        <w:rPr/>
        <w:t>82</w:t>
      </w:r>
      <w:r>
        <w:rPr>
          <w:rtl w:val="true"/>
        </w:rPr>
        <w:t xml:space="preserve"> - </w:t>
      </w:r>
      <w:r>
        <w:rPr>
          <w:rtl w:val="true"/>
        </w:rPr>
        <w:t xml:space="preserve">أبو السعود </w:t>
      </w:r>
      <w:r>
        <w:rPr>
          <w:rtl w:val="true"/>
        </w:rPr>
        <w:t>(</w:t>
      </w:r>
      <w:r>
        <w:rPr>
          <w:rtl w:val="true"/>
        </w:rPr>
        <w:t xml:space="preserve">ت </w:t>
      </w:r>
      <w:r>
        <w:rPr/>
        <w:t>951</w:t>
      </w:r>
      <w:r>
        <w:rPr>
          <w:rtl w:val="true"/>
        </w:rPr>
        <w:t xml:space="preserve"> </w:t>
      </w:r>
      <w:r>
        <w:rPr>
          <w:rtl w:val="true"/>
        </w:rPr>
        <w:t xml:space="preserve">ه </w:t>
      </w:r>
      <w:r>
        <w:rPr>
          <w:rtl w:val="true"/>
        </w:rPr>
        <w:t>)</w:t>
      </w:r>
      <w:bookmarkEnd w:id="29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تشبّث أَبُوْ السعود فی المجاورة الباطلة بکلام الفصحاء وبکتاب اللّه، واستشهد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مصادرة، إذ ثبوتها فی القرآن أوّل </w:t>
      </w:r>
      <w:bookmarkStart w:id="296" w:name="pg6193_70943"/>
    </w:p>
    <w:p>
      <w:pPr>
        <w:pStyle w:val="BookText"/>
        <w:rPr/>
      </w:pPr>
      <w:bookmarkEnd w:id="296"/>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والتوجیه هو التوجیه الذی اختلقه الزمخشریّ أوّل مرّةٍ ثمّ تبعه القوم علیه عن بکرة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اعتراض الفصل بین المتعاطفین بأنّه إیماءٌ إلی الترتیب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لبیان الترتیب حروفاً خاصّة مذکورة فی باب العطف، ولم یذکر أحد العلماء من الرعیل الأوّل إلی الآن أنّ الفصل بین المتعاطفین أیضاً من أدوات بیان الترتیب ولم یقدم لنا الشیخ أَبو السعود دلیلاً علی صدق ما ذهب إلیه</w:t>
      </w:r>
      <w:r>
        <w:rPr>
          <w:rFonts w:eastAsia="IRNazanin" w:cs="IRNazanin"/>
          <w:color w:val="111111"/>
          <w:sz w:val="28"/>
          <w:szCs w:val="28"/>
          <w:rtl w:val="true"/>
          <w:lang w:bidi="fa-IR"/>
        </w:rPr>
        <w:t>.</w:t>
      </w:r>
    </w:p>
    <w:p>
      <w:pPr>
        <w:pStyle w:val="Heading3"/>
        <w:numPr>
          <w:ilvl w:val="2"/>
          <w:numId w:val="1"/>
        </w:numPr>
        <w:rPr/>
      </w:pPr>
      <w:bookmarkStart w:id="297" w:name="__RefHeading___Toc972262_237004111"/>
      <w:bookmarkStart w:id="298" w:name="_Toc105"/>
      <w:bookmarkEnd w:id="297"/>
      <w:r>
        <w:rPr/>
        <w:t>83</w:t>
      </w:r>
      <w:r>
        <w:rPr>
          <w:rtl w:val="true"/>
        </w:rPr>
        <w:t xml:space="preserve"> - </w:t>
      </w:r>
      <w:r>
        <w:rPr>
          <w:rtl w:val="true"/>
        </w:rPr>
        <w:t xml:space="preserve">إبراهیم بن محمّد الحنفی الحلبیّ </w:t>
      </w:r>
      <w:r>
        <w:rPr>
          <w:rtl w:val="true"/>
        </w:rPr>
        <w:t>(</w:t>
      </w:r>
      <w:r>
        <w:rPr>
          <w:rtl w:val="true"/>
        </w:rPr>
        <w:t xml:space="preserve">ت </w:t>
      </w:r>
      <w:r>
        <w:rPr/>
        <w:t>956</w:t>
      </w:r>
      <w:r>
        <w:rPr>
          <w:rtl w:val="true"/>
        </w:rPr>
        <w:t xml:space="preserve"> </w:t>
      </w:r>
      <w:r>
        <w:rPr>
          <w:rtl w:val="true"/>
        </w:rPr>
        <w:t xml:space="preserve">ه </w:t>
      </w:r>
      <w:r>
        <w:rPr>
          <w:rtl w:val="true"/>
        </w:rPr>
        <w:t>)</w:t>
      </w:r>
      <w:bookmarkEnd w:id="298"/>
    </w:p>
    <w:p>
      <w:pPr>
        <w:pStyle w:val="BookText"/>
        <w:rPr/>
      </w:pPr>
      <w:r>
        <w:rPr>
          <w:rFonts w:ascii="Amiri" w:hAnsi="Amiri" w:eastAsia="Amiri" w:cs="Amiri"/>
          <w:color w:val="111111"/>
          <w:sz w:val="28"/>
          <w:sz w:val="28"/>
          <w:szCs w:val="28"/>
          <w:rtl w:val="true"/>
          <w:lang w:bidi="ar-SA"/>
        </w:rPr>
        <w:t xml:space="preserve">قال الأستاد إبراهیم بن محمّد الإمام الخطیب فی جامع السلطان محمد الفاتح بقسطنطینیّة عند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فی السّبعة بالنّصب والجرّ، والمشهور أنّ النصب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والجرّ علی الجوار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والصحیح أنّ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القراءتین، ونصبها علی المحلّ وجرّها علی اللّفظ، وذلک لامتناع العطف علی المنصوب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للفصل بین المعطوف والمعطوف علیه بجملة اجنبیّة، والأصل أن لا یفصل بینهما بمفرد فضلاً عن الجملة ولم یسمع فی الفصیح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 أو مررت بعمرو، وبکرا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کلاماً فی توجیه غسل الرّجلین وذکر روایات فی وجوب غسل </w:t>
      </w:r>
      <w:bookmarkStart w:id="299" w:name="pg6193_70945"/>
    </w:p>
    <w:p>
      <w:pPr>
        <w:pStyle w:val="BookText"/>
        <w:rPr/>
      </w:pPr>
      <w:bookmarkEnd w:id="299"/>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بمن جوّز المسح علی القدمین من الشیعة، ومن شذّ</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أجاب الدکتور محدّث الارموی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مثل المؤلّف فی مثل تلک الأوساط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تغلب علیها العلوم الأدبیّة أکثر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یعتنی به مع عدم الإنکار علیه طول تلک المدّة، ومقبولیّة کتابه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شعری کیف یحکم بذوقه الأدبیّ التسلیم أوّلاً بوجوب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وجوب المسح علی الرجلین ولکن یخرج النیتجة بقوله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عبرة بمن جوّز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ونعم ما قال شیخنا البهائی رحمه الله خطاباً لصاحب العصر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وانقذ کتاب اللّه من ید عصبة غصوا وتمادوا فی عتوّ واضرار</w:t>
      </w:r>
    </w:p>
    <w:p>
      <w:pPr>
        <w:pStyle w:val="BookText"/>
        <w:rPr/>
      </w:pPr>
      <w:r>
        <w:rPr>
          <w:rFonts w:ascii="IRNazanin" w:hAnsi="IRNazanin" w:eastAsia="IRNazanin"/>
          <w:color w:val="111111"/>
          <w:sz w:val="28"/>
          <w:sz w:val="28"/>
          <w:szCs w:val="28"/>
          <w:rtl w:val="true"/>
          <w:lang w:bidi="fa-IR"/>
        </w:rPr>
        <w:t>یحیدون عن آیاته لروایة رواها أبو شیعون عن کعب الأحبار</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وأمّا نحن فبدراستنا هذه، وما وضحناه فی قراءتی الجرّ والنّصب کنا قد أجبنا عن أدلتهم وروایاتهم بالتفصیل فلا یحتاج إلی التکرار</w:t>
      </w:r>
      <w:r>
        <w:rPr>
          <w:rFonts w:eastAsia="IRNazanin" w:cs="IRNazanin"/>
          <w:color w:val="111111"/>
          <w:sz w:val="28"/>
          <w:szCs w:val="28"/>
          <w:rtl w:val="true"/>
          <w:lang w:bidi="fa-IR"/>
        </w:rPr>
        <w:t>.</w:t>
      </w:r>
    </w:p>
    <w:p>
      <w:pPr>
        <w:pStyle w:val="Heading3"/>
        <w:numPr>
          <w:ilvl w:val="2"/>
          <w:numId w:val="1"/>
        </w:numPr>
        <w:rPr/>
      </w:pPr>
      <w:bookmarkStart w:id="300" w:name="__RefHeading___Toc972264_237004111"/>
      <w:bookmarkStart w:id="301" w:name="_Toc106"/>
      <w:bookmarkEnd w:id="300"/>
      <w:r>
        <w:rPr/>
        <w:t>84</w:t>
      </w:r>
      <w:r>
        <w:rPr>
          <w:rtl w:val="true"/>
        </w:rPr>
        <w:t xml:space="preserve"> - </w:t>
      </w:r>
      <w:r>
        <w:rPr>
          <w:rtl w:val="true"/>
        </w:rPr>
        <w:t xml:space="preserve">الشهید الثانی </w:t>
      </w:r>
      <w:r>
        <w:rPr>
          <w:rtl w:val="true"/>
        </w:rPr>
        <w:t>(</w:t>
      </w:r>
      <w:r>
        <w:rPr>
          <w:rtl w:val="true"/>
        </w:rPr>
        <w:t xml:space="preserve">المستشهد </w:t>
      </w:r>
      <w:r>
        <w:rPr/>
        <w:t>966</w:t>
      </w:r>
      <w:r>
        <w:rPr>
          <w:rtl w:val="true"/>
        </w:rPr>
        <w:t xml:space="preserve"> </w:t>
      </w:r>
      <w:r>
        <w:rPr>
          <w:rtl w:val="true"/>
        </w:rPr>
        <w:t xml:space="preserve">ه </w:t>
      </w:r>
      <w:r>
        <w:rPr>
          <w:rtl w:val="true"/>
        </w:rPr>
        <w:t>)</w:t>
      </w:r>
      <w:bookmarkEnd w:id="30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 عند الشهید الثانی هو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علی الجوار </w:t>
      </w:r>
      <w:bookmarkStart w:id="302" w:name="pg6193_70947"/>
    </w:p>
    <w:p>
      <w:pPr>
        <w:pStyle w:val="BookText"/>
        <w:rPr/>
      </w:pPr>
      <w:bookmarkEnd w:id="302"/>
      <w:r>
        <w:rPr>
          <w:rFonts w:ascii="IRNazanin" w:hAnsi="IRNazanin" w:eastAsia="IRNazanin"/>
          <w:color w:val="111111"/>
          <w:sz w:val="28"/>
          <w:sz w:val="28"/>
          <w:szCs w:val="28"/>
          <w:rtl w:val="true"/>
          <w:lang w:bidi="fa-IR"/>
        </w:rPr>
        <w:t>المردود فی القرآن عامة وفی الآیة خاصة 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إنکار الثقات والحذّاق من أهل العربیّة إیّاه أوّلاً، وعدم کونه لائقاً بکتاب اللّه ثانیاً، لو فرضنا وروده فی کلام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وروده فی کلام غیر الفصحاء منوط بعدم الالتباس والأمن منه، وهذا الشرط مفقود فی الآیة، إذ الالتباس حاصل،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فیها المسح والغسل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علی عدم وروده فی عطف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والآیات التی استدلّوا بها علی 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فرض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مؤوّلة، لانّ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صحّ فهو مأمون الالتباس،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 مضاف؛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المقرّبون فی جنّات النعیم ومصاحبة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لمنع العاطف عن التجاور</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972266_237004111"/>
      <w:bookmarkStart w:id="304" w:name="_Toc107"/>
      <w:bookmarkEnd w:id="303"/>
      <w:r>
        <w:rPr/>
        <w:t>85</w:t>
      </w:r>
      <w:r>
        <w:rPr>
          <w:rtl w:val="true"/>
        </w:rPr>
        <w:t xml:space="preserve"> - </w:t>
      </w:r>
      <w:r>
        <w:rPr>
          <w:rtl w:val="true"/>
        </w:rPr>
        <w:t xml:space="preserve">المولی الکاشانی </w:t>
      </w:r>
      <w:r>
        <w:rPr>
          <w:rtl w:val="true"/>
        </w:rPr>
        <w:t>(</w:t>
      </w:r>
      <w:r>
        <w:rPr>
          <w:rtl w:val="true"/>
        </w:rPr>
        <w:t xml:space="preserve">ت </w:t>
      </w:r>
      <w:r>
        <w:rPr/>
        <w:t>988</w:t>
      </w:r>
      <w:r>
        <w:rPr>
          <w:rtl w:val="true"/>
        </w:rPr>
        <w:t xml:space="preserve"> </w:t>
      </w:r>
      <w:r>
        <w:rPr>
          <w:rtl w:val="true"/>
        </w:rPr>
        <w:t xml:space="preserve">ه </w:t>
      </w:r>
      <w:r>
        <w:rPr>
          <w:rtl w:val="true"/>
        </w:rPr>
        <w:t>)</w:t>
      </w:r>
      <w:bookmarkEnd w:id="3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وقرء بالنّصب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محلّه النّصب، والقراءتان تدلان علی معنی واحد، وهو وجوب المسح کما هو مذهب أصحابنا الإمامیّة ویؤیّده ما روی عن النبیّ صلی الله علیه و آله أنّه توضّأ ومسح علی قدمیه ونعلیه، ومثله عن علی وأبن عباس</w:t>
      </w:r>
      <w:r>
        <w:rPr>
          <w:rFonts w:eastAsia="IRNazanin" w:cs="IRNazanin"/>
          <w:color w:val="111111"/>
          <w:sz w:val="28"/>
          <w:szCs w:val="28"/>
          <w:rtl w:val="true"/>
          <w:lang w:bidi="fa-IR"/>
        </w:rPr>
        <w:t xml:space="preserve">. </w:t>
      </w:r>
      <w:bookmarkStart w:id="305" w:name="pg6193_70949"/>
    </w:p>
    <w:p>
      <w:pPr>
        <w:pStyle w:val="BookText"/>
        <w:rPr/>
      </w:pPr>
      <w:bookmarkEnd w:id="305"/>
      <w:r>
        <w:rPr>
          <w:rFonts w:ascii="IRNazanin" w:hAnsi="IRNazanin" w:eastAsia="IRNazanin"/>
          <w:color w:val="111111"/>
          <w:sz w:val="28"/>
          <w:sz w:val="28"/>
          <w:szCs w:val="28"/>
          <w:rtl w:val="true"/>
          <w:lang w:bidi="fa-IR"/>
        </w:rPr>
        <w:t>وأیضاً أن ابن عباس وصف وضوء رسول اللّه فمسح علی رجلیه، واجماع أئمّة أهل البیت صلوات اللّه علیهم علی ذلک،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الرجل الستّون، والسّبعون، ما قبل اللّه منه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یغسل ما أمر اللّه بمسحه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ابن عباس عن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غسلتان ومسحتان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الفقهاء الأربعة بوجوب الغسل محتجین فی قراءة الجر بالمجاورة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أنّه ضعیف جداً لا یلیق بکتاب اللّه، وقد أنکره أکثر أهل العربیّة، مع أنّه بشرطین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الإلتباس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حرف العطف معه، والشّرطان منفیّان هنا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972268_237004111"/>
      <w:bookmarkStart w:id="307" w:name="_Toc108"/>
      <w:bookmarkEnd w:id="306"/>
      <w:r>
        <w:rPr/>
        <w:t>86</w:t>
      </w:r>
      <w:r>
        <w:rPr>
          <w:rtl w:val="true"/>
        </w:rPr>
        <w:t xml:space="preserve"> - </w:t>
      </w:r>
      <w:r>
        <w:rPr>
          <w:rtl w:val="true"/>
        </w:rPr>
        <w:t xml:space="preserve">المحقّق الأردبیلیّ </w:t>
      </w:r>
      <w:r>
        <w:rPr>
          <w:rtl w:val="true"/>
        </w:rPr>
        <w:t>(</w:t>
      </w:r>
      <w:r>
        <w:rPr>
          <w:rtl w:val="true"/>
        </w:rPr>
        <w:t xml:space="preserve">ت </w:t>
      </w:r>
      <w:r>
        <w:rPr/>
        <w:t>993</w:t>
      </w:r>
      <w:r>
        <w:rPr>
          <w:rtl w:val="true"/>
        </w:rPr>
        <w:t xml:space="preserve"> </w:t>
      </w:r>
      <w:r>
        <w:rPr>
          <w:rtl w:val="true"/>
        </w:rPr>
        <w:t xml:space="preserve">ه </w:t>
      </w:r>
      <w:r>
        <w:rPr>
          <w:rtl w:val="true"/>
        </w:rPr>
        <w:t>)</w:t>
      </w:r>
      <w:bookmarkEnd w:id="307"/>
    </w:p>
    <w:p>
      <w:pPr>
        <w:pStyle w:val="BookText"/>
        <w:rPr/>
      </w:pPr>
      <w:r>
        <w:rPr>
          <w:rFonts w:ascii="IRNazanin" w:hAnsi="IRNazanin" w:eastAsia="IRNazanin"/>
          <w:color w:val="111111"/>
          <w:sz w:val="28"/>
          <w:sz w:val="28"/>
          <w:szCs w:val="28"/>
          <w:rtl w:val="true"/>
          <w:lang w:bidi="fa-IR"/>
        </w:rPr>
        <w:t xml:space="preserve">استدلّ المحقق الاردبیلی علی المسح علی القدمین بإجماع الإمامیّة وأخبارهم وظاهر الآیة، مصرحاً بأنّ قراءة الجرّ هی صریحة فی ذلک، لأنّه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احتمال آخر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972270_237004111"/>
      <w:bookmarkStart w:id="309" w:name="_Toc109"/>
      <w:bookmarkEnd w:id="308"/>
      <w:r>
        <w:rPr/>
        <w:t>87</w:t>
      </w:r>
      <w:r>
        <w:rPr>
          <w:rtl w:val="true"/>
        </w:rPr>
        <w:t xml:space="preserve"> - </w:t>
      </w:r>
      <w:r>
        <w:rPr>
          <w:rtl w:val="true"/>
        </w:rPr>
        <w:t xml:space="preserve">الشیخ بِهاء الدین محمّد العاملیّ </w:t>
      </w:r>
      <w:r>
        <w:rPr>
          <w:rtl w:val="true"/>
        </w:rPr>
        <w:t>(</w:t>
      </w:r>
      <w:r>
        <w:rPr>
          <w:rtl w:val="true"/>
        </w:rPr>
        <w:t xml:space="preserve">ت </w:t>
      </w:r>
      <w:r>
        <w:rPr/>
        <w:t>1031</w:t>
      </w:r>
      <w:r>
        <w:rPr>
          <w:rtl w:val="true"/>
        </w:rPr>
        <w:t xml:space="preserve"> </w:t>
      </w:r>
      <w:r>
        <w:rPr>
          <w:rtl w:val="true"/>
        </w:rPr>
        <w:t xml:space="preserve">ه </w:t>
      </w:r>
      <w:r>
        <w:rPr>
          <w:rtl w:val="true"/>
        </w:rPr>
        <w:t>)</w:t>
      </w:r>
      <w:bookmarkEnd w:id="30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کلام الشیخ العاملی بأنّه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علماء مدرسة أهل البیت </w:t>
      </w:r>
    </w:p>
    <w:p>
      <w:pPr>
        <w:pStyle w:val="BookText"/>
        <w:rPr/>
      </w:pPr>
      <w:r>
        <w:rPr>
          <w:rFonts w:ascii="IRNazanin" w:hAnsi="IRNazanin" w:eastAsia="IRNazanin"/>
          <w:color w:val="111111"/>
          <w:sz w:val="28"/>
          <w:sz w:val="28"/>
          <w:szCs w:val="28"/>
          <w:rtl w:val="true"/>
          <w:lang w:bidi="fa-IR"/>
        </w:rPr>
        <w:t xml:space="preserve">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قراءة الجر فی المسح، والظهور لا یحتاج إلی الدلیل، وذلک 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اضطراب الجمهور فی توجیه الجرّ، فمرّةً قالوا بالجوار، ومرّة ثانیةً قالوا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والمفاد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التجؤوا إلی ما ذکره الزمخشریّ،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المسح الغسل الخفیف تحذیراً من الإسراف فی صبّ الماء</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واخیراً رجح ما قاله أتباع مدرسة أهل البیت علیهم السلام مستدلاً بالروایات المتواترة عنهم فی المسح علی القدمین، منکراً علی الغاسلین ما رووه واستدلوا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ردّ الجرّ بالجوار من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الجرّ بالجوار فی کلام العرب وانکار أکثر أهل العربیّة له، ولضعفه هذا لم یعده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قراءة الجرّ، بل تکلّف لها وجهاً آخر ابتدعه من عنده ما أنزل اللّه بِهِ من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شذوذه فی الکلام فإنّما یصحّ مع الأمن من اللبس، والشرط هنا مفقود إذ الأمن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وتجویز الجرّ بالجوار یوجب الْتِباسَ حکم الأرجل، لتساوی احتمال الجرّ بالجوار المفید للغسل، وجرّها بالعطف علی الأقرب المقتضی للمسح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التحدید هو قرینة للغسل فلا یوجب الالتباس، إذ المناسب عطف ذی الغایة علی مثله، وتناسب المتعاطفین أمر مرغوب فیه فی البلاغة العربیة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بقرینة أُخری دالّة علی المسح، وهی المناسبة بین الجملتین المتعاطفین، إذ فی الجملة الأُولی عطف </w:t>
      </w:r>
    </w:p>
    <w:p>
      <w:pPr>
        <w:pStyle w:val="BookText"/>
        <w:rPr/>
      </w:pPr>
      <w:r>
        <w:rPr>
          <w:rFonts w:ascii="IRNazanin" w:hAnsi="IRNazanin" w:eastAsia="IRNazanin"/>
          <w:color w:val="111111"/>
          <w:sz w:val="28"/>
          <w:sz w:val="28"/>
          <w:szCs w:val="28"/>
          <w:rtl w:val="true"/>
          <w:lang w:bidi="fa-IR"/>
        </w:rPr>
        <w:t>المحدود علی غیر المحدود، فکذا فی الثانیة لو عطف المحدود علی غیر المحدود لکان أنسب وأفضل، وعند تعارض القرینتین یبقی اللبس بحاله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لم یرد فی العطف بالحرف مطلقاً؛ لأنّ العاطف یمنع من المجاورة، ولو ثبت وروده ضعیفاً فإنّما یثبت فی‌النعت والتأکید، والآیة من قبیل العطف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ادّعی الخصم ورود الجرّ بالجوار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حمزة والکسائیّ، وهی من باب العطف، فکیف تقول بعدم وروده فی العطف؟ وکذا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راحل إلی آل بسطام بن قیس فخاطب</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وجرّه بالجوار؟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الآیة فالجرّ فیها لیس علی الجوار، بل هو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جنّات ومصاحبة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صرّح به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ینعمون بأکوابٍ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لأنّه یطاف بالحور بینهم مثل ما یجاء بسراری الملوک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ودعوی أنّهنّ یطفن ولا یطاف بهنّ لم یثبت بها روایة ولم یشهد لها درایة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البیت فالجواب عنه قد تقدم من وجوهٍ نعید بعضها مرة للتَّنبیْه والاستذکار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نسلّم کون البیت من قصیدة مجرورة القوافی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سلّمنا کونه کذلک فلا نسلّم 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لجواز کونها فعل أمر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خاطب مرفوع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مجرور، وفی البیت إقواء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الروی رفعاً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ثابت فی شعر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فی البیت مجرور علی المجاورة، ولا یلزم من وقوعه فی الشعر وقوعه فی القرآن، لأنّهم جوّزوا فی الشعر لضرورة الوزن أو القافیة ما لم یجوّزوا فی غیره، والقرآن لا یحمل علی الشعر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العاملیّ والزمخشریّ</w:t>
      </w:r>
    </w:p>
    <w:p>
      <w:pPr>
        <w:pStyle w:val="BookText"/>
        <w:rPr/>
      </w:pPr>
      <w:r>
        <w:rPr>
          <w:rFonts w:ascii="IRNazanin" w:hAnsi="IRNazanin" w:eastAsia="IRNazanin"/>
          <w:color w:val="111111"/>
          <w:sz w:val="28"/>
          <w:sz w:val="28"/>
          <w:szCs w:val="28"/>
          <w:rtl w:val="true"/>
          <w:lang w:bidi="fa-IR"/>
        </w:rPr>
        <w:t xml:space="preserve">لقد خرّج الزمخشریّ الجرّ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یکون العطف لإفادة المسح بل الغسل الخفیف تحذیراً من آلإِسْرافِ، والغایة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التخریج تعسّف شدید وتمحّل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القائِل بوجوب الاقتصاد فی صبّ الماء علیها؟ وأیّ إسراف یکون بصبّ الماء علیها؟ ومن أین یفهم السامع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الممسوحة وجعلها معمولةً لفعل المسح بأنّ المراد غسلهما غسلاً خفیفاً مشابهاً للمسح؟ فهذا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زیداً وعمراً وأهنت خالداً وبکراً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یفهم أهل اللسان من هذا القول إلّاإکرام زید وعمرو، وإهانة خالد وبکر؟ ولو قال القائل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 لم أقصد من عطف بکر علی خالد أنّنی أهنته، وإنّما قصدت أنّنی أکرمته </w:t>
      </w:r>
    </w:p>
    <w:p>
      <w:pPr>
        <w:pStyle w:val="BookText"/>
        <w:rPr/>
      </w:pPr>
      <w:r>
        <w:rPr>
          <w:rFonts w:ascii="IRNazanin" w:hAnsi="IRNazanin" w:eastAsia="IRNazanin"/>
          <w:color w:val="111111"/>
          <w:sz w:val="28"/>
          <w:sz w:val="28"/>
          <w:szCs w:val="28"/>
          <w:rtl w:val="true"/>
          <w:lang w:bidi="fa-IR"/>
        </w:rPr>
        <w:t>إکراماً حقیراً قریباً من الإهانة، للامَ القائلَ أهلُ اللسان وزیّفوا کلامه وحکموا بخروجه عن أُسلوب کلام الفصحاء واشتماله علی التعقید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والفصاحة فی الکلام یُشْتَرَطُ فِیْها خلوّه عن التعقید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لفظیّاً ومعنویّاً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حکموا فی القرآن باشتماله علی التعقید، وهذا ما لا یقول به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البیانیّون بأنّ قول العبّاس بن الأحنف</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سأطلب بعد الدار عنکم لتقربوا وتسکب عینای الدموع لتجمدا</w:t>
      </w:r>
    </w:p>
    <w:p>
      <w:pPr>
        <w:pStyle w:val="BookText"/>
        <w:rPr/>
      </w:pPr>
      <w:r>
        <w:rPr>
          <w:rFonts w:ascii="IRNazanin" w:hAnsi="IRNazanin" w:eastAsia="IRNazanin"/>
          <w:color w:val="111111"/>
          <w:sz w:val="28"/>
          <w:sz w:val="28"/>
          <w:szCs w:val="28"/>
          <w:rtl w:val="true"/>
          <w:lang w:bidi="fa-IR"/>
        </w:rPr>
        <w:t>خارج من قانون الفصاحة لخلل واقع فی الانتقال، أی بُعْد انتقال السامع من جمود العین إلی ما قصده الشاعر من الفرح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الشاعر جعل سکب الدموع وهو البکاء کنایة عمّا یلزم فراق الأحبّة من الکآبة والحزن وأصاب فی ذلک؛ لأنّ البکاء کثیراً ما یجعل دلیلاً علی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أخطأ فی الکنایة عمّا یوجبه دوام التلاقی والوصال من الفرح والسرور بجمود العین، فإنّ الانتقال من جمود العین إلی بخلها بالدموع لا إلی ما قصده الشاعر من السرور الحاصل بملاقاة الأحبّاء</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الانتقال إلی المعنی الذی تمحّله صاحب الکشّاف أبعد من الانتقال إلی المعنی الذی قصده العبّاس بن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العاملیّ والتحدید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الزمخشریّ التحدید قرینة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مغسولة، مستدلاً بأن المسح لم تضرب له غایة فی الشریعة</w:t>
      </w:r>
      <w:r>
        <w:rPr>
          <w:rFonts w:eastAsia="IRNazanin" w:cs="IRNazanin"/>
          <w:color w:val="111111"/>
          <w:sz w:val="28"/>
          <w:szCs w:val="28"/>
          <w:rtl w:val="true"/>
          <w:lang w:bidi="fa-IR"/>
        </w:rPr>
        <w:t xml:space="preserve">. </w:t>
      </w:r>
      <w:bookmarkStart w:id="310" w:name="pg6193_70959"/>
    </w:p>
    <w:p>
      <w:pPr>
        <w:pStyle w:val="BookText"/>
        <w:rPr/>
      </w:pPr>
      <w:bookmarkEnd w:id="310"/>
      <w:r>
        <w:rPr>
          <w:rFonts w:ascii="IRNazanin" w:hAnsi="IRNazanin" w:eastAsia="IRNazanin"/>
          <w:color w:val="111111"/>
          <w:sz w:val="28"/>
          <w:sz w:val="28"/>
          <w:szCs w:val="28"/>
          <w:rtl w:val="true"/>
          <w:lang w:bidi="fa-IR"/>
        </w:rPr>
        <w:t>وکلامه باطل، لأنّه إن أراد أنّ مطلق المسح لم تضرب له غایة فی الشریعة ولم ترد به الآیة الکریمة، فهو عین المتنازع فیه بین فِرَق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والزمخشریّ مع شدّة اضطرابه فی تطبیق قراءة الجرّ علی مدّعاه فقد ناقض نفسه فی کلامین لیس بینهما إلّاأسطر قلائل؛ وذلک أنّه قال عند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یکون الأمر شاملاً للمحدّثین وغیرهم لهؤلاء علی وجه الوجوب ولهؤلاء علی وجه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تناول الکلمة لمعنیین مختلفین من باب الألغاز والتعمیة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حمل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أشدّ إِلْغازاً وأکثر تعمیة من کثیر من الألغاز والمعمیات، وأجاز تناول الکلمة لمعنیین مختلفین، إذ المسح من حیث وروده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المسح الحقیقیّ، ومن حیث وروده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الغسل القریب من المسح</w:t>
      </w:r>
      <w:r>
        <w:rPr>
          <w:rStyle w:val="FootnoteAnchor"/>
          <w:rtl w:val="true"/>
        </w:rPr>
        <w:footnoteReference w:id="493"/>
      </w:r>
      <w:r>
        <w:rPr>
          <w:rFonts w:ascii="IRNazanin" w:hAnsi="IRNazanin" w:eastAsia="IRNazanin"/>
          <w:color w:val="111111"/>
          <w:sz w:val="28"/>
          <w:sz w:val="28"/>
          <w:szCs w:val="28"/>
          <w:rtl w:val="true"/>
          <w:lang w:bidi="fa-IR"/>
        </w:rPr>
        <w:t>؟</w:t>
      </w:r>
    </w:p>
    <w:p>
      <w:pPr>
        <w:pStyle w:val="Heading3"/>
        <w:numPr>
          <w:ilvl w:val="2"/>
          <w:numId w:val="1"/>
        </w:numPr>
        <w:rPr/>
      </w:pPr>
      <w:bookmarkStart w:id="311" w:name="__RefHeading___Toc972272_237004111"/>
      <w:bookmarkStart w:id="312" w:name="_Toc110"/>
      <w:bookmarkEnd w:id="311"/>
      <w:r>
        <w:rPr/>
        <w:t>88</w:t>
      </w:r>
      <w:r>
        <w:rPr>
          <w:rtl w:val="true"/>
        </w:rPr>
        <w:t xml:space="preserve"> - </w:t>
      </w:r>
      <w:r>
        <w:rPr>
          <w:rtl w:val="true"/>
        </w:rPr>
        <w:t xml:space="preserve">العلّامة الجواد الکاظمی </w:t>
      </w:r>
      <w:r>
        <w:rPr>
          <w:rtl w:val="true"/>
        </w:rPr>
        <w:t>(</w:t>
      </w:r>
      <w:r>
        <w:rPr>
          <w:rtl w:val="true"/>
        </w:rPr>
        <w:t>ت فی أواسط القرن الحادی عشر</w:t>
      </w:r>
      <w:r>
        <w:rPr>
          <w:rtl w:val="true"/>
        </w:rPr>
        <w:t>)</w:t>
      </w:r>
      <w:bookmarkEnd w:id="312"/>
    </w:p>
    <w:p>
      <w:pPr>
        <w:pStyle w:val="BookText"/>
        <w:rPr/>
      </w:pPr>
      <w:r>
        <w:rPr>
          <w:rFonts w:ascii="IRNazanin" w:hAnsi="IRNazanin" w:eastAsia="IRNazanin"/>
          <w:color w:val="111111"/>
          <w:sz w:val="28"/>
          <w:sz w:val="28"/>
          <w:szCs w:val="28"/>
          <w:rtl w:val="true"/>
          <w:lang w:bidi="fa-IR"/>
        </w:rPr>
        <w:t>قال رحمه الله اختلف الاُمّة فی حکمها، فأصحابنا الإمامیة وجماعة من العامّة علی أنّ حکمها المسح وهو المستفاد من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الجرّ فظاهر؛ لأنّه عطف علی الرؤوس الممسوحة فیلحقها حکمها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تقدیر النّصب فلأنّها معطوفة علی محلّ الرؤوس لکونه أقرب، </w:t>
      </w:r>
      <w:bookmarkStart w:id="313" w:name="pg6193_70961"/>
    </w:p>
    <w:p>
      <w:pPr>
        <w:pStyle w:val="BookText"/>
        <w:rPr/>
      </w:pPr>
      <w:bookmarkEnd w:id="313"/>
      <w:r>
        <w:rPr>
          <w:rFonts w:ascii="IRNazanin" w:hAnsi="IRNazanin" w:eastAsia="IRNazanin"/>
          <w:color w:val="111111"/>
          <w:sz w:val="28"/>
          <w:sz w:val="28"/>
          <w:szCs w:val="28"/>
          <w:rtl w:val="true"/>
          <w:lang w:bidi="fa-IR"/>
        </w:rPr>
        <w:t>والعطف علی المحلّ شایع فی کلام العرب، وشواهده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صاحب الکشّاف بقراءة النّصب علی أنّ الأرجل مغسولة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علی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وأیّده بالسّنّة الشایعة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أکثر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کلّ ذلک نظر، ثمّ أجاب عن کلّ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العطف علی الوجوه بعید، خلاف الفصاحة القرآنیّة، إذ الجملة المأمور فیها بالغسل قد انقضت وتمّ حکمها وبعد التمام لا یرجع إلیه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وتأییده بالسنّة وعمل الصّحابة أبعد من ذلک، فمن الصّحابة عبداللّه بن عباس، وعبداللّه بن عمر، وأنس بن مالک، وجمع کثیر منهم مسحوا علی أرجلهم فی الوضوء بل أنکروا علی من غسلها، وروایات أهل البیت وهم أدری بما فی البیت، وهم أعلم بدین جدهم متواترة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والتّحدید لیس دلیلاً، بل هو فی الدّلالة علی ما نذهب أقرب، وقیل جرت بالجوار، ویرّده أنّ الجرّ بالجوار ضعیف جدّاً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972274_237004111"/>
      <w:bookmarkStart w:id="315" w:name="_Toc111"/>
      <w:bookmarkEnd w:id="314"/>
      <w:r>
        <w:rPr/>
        <w:t>89</w:t>
      </w:r>
      <w:r>
        <w:rPr>
          <w:rtl w:val="true"/>
        </w:rPr>
        <w:t xml:space="preserve"> - </w:t>
      </w:r>
      <w:r>
        <w:rPr>
          <w:rtl w:val="true"/>
        </w:rPr>
        <w:t xml:space="preserve">أبو البقاء الکفوی </w:t>
      </w:r>
      <w:r>
        <w:rPr>
          <w:rtl w:val="true"/>
        </w:rPr>
        <w:t>(</w:t>
      </w:r>
      <w:r>
        <w:rPr>
          <w:rtl w:val="true"/>
        </w:rPr>
        <w:t xml:space="preserve">ت </w:t>
      </w:r>
      <w:r>
        <w:rPr/>
        <w:t>1094</w:t>
      </w:r>
      <w:r>
        <w:rPr>
          <w:rtl w:val="true"/>
        </w:rPr>
        <w:t xml:space="preserve"> </w:t>
      </w:r>
      <w:r>
        <w:rPr>
          <w:rtl w:val="true"/>
        </w:rPr>
        <w:t xml:space="preserve">ه </w:t>
      </w:r>
      <w:r>
        <w:rPr>
          <w:rtl w:val="true"/>
        </w:rPr>
        <w:t>)</w:t>
      </w:r>
      <w:bookmarkEnd w:id="31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والغسل جمیعاً، بالنسبة </w:t>
      </w:r>
      <w:bookmarkStart w:id="316" w:name="pg6193_70963"/>
    </w:p>
    <w:p>
      <w:pPr>
        <w:pStyle w:val="BookText"/>
        <w:rPr/>
      </w:pPr>
      <w:bookmarkEnd w:id="316"/>
      <w:r>
        <w:rPr>
          <w:rFonts w:ascii="IRNazanin" w:hAnsi="IRNazanin" w:eastAsia="IRNazanin"/>
          <w:color w:val="111111"/>
          <w:sz w:val="28"/>
          <w:sz w:val="28"/>
          <w:szCs w:val="28"/>
          <w:rtl w:val="true"/>
          <w:lang w:bidi="fa-IR"/>
        </w:rPr>
        <w:t>إلی الرأس مسّح وإلی الرّجل غسل، والدلیل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خفض الأرجل تغسل الارجل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وتمسح الرؤوس، ولم یوجب عطفها علی الرؤوس أن تکون الأرجل ممسوحة کالرؤوس لأنّ العرب تستعمل المسح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النّضح والآخر الغسل کما حکی عن أبی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توضّأت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البقاء اعترف أن عطف الأرجل علی الرؤوس ولذلک لم یشیر إلی قراءة النّصب وغیره وبناء 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النبی صلی الله علیه و آله لم یثبت، وما نقل عن الصحابد یختلف ولم یثبت لنا فعل الصّحابة بعینه، وأمّا التابعون فمختلفون فی النّقل عنهم فبعضهم قال بوجوب المسح ولیس إلّاوبعضهم بالغسل تبعاً لما روی ولما قالوا، وأمّا قول أبی زید فقد أجبنا عنه مراراً وأنّه المعنی المجازی للمسح تسمیة للکلّ باسم الجزء</w:t>
      </w:r>
      <w:r>
        <w:rPr>
          <w:rFonts w:eastAsia="IRNazanin" w:cs="IRNazanin"/>
          <w:color w:val="111111"/>
          <w:sz w:val="28"/>
          <w:szCs w:val="28"/>
          <w:rtl w:val="true"/>
          <w:lang w:bidi="fa-IR"/>
        </w:rPr>
        <w:t>.</w:t>
      </w:r>
    </w:p>
    <w:p>
      <w:pPr>
        <w:pStyle w:val="Heading3"/>
        <w:numPr>
          <w:ilvl w:val="2"/>
          <w:numId w:val="1"/>
        </w:numPr>
        <w:rPr/>
      </w:pPr>
      <w:bookmarkStart w:id="317" w:name="__RefHeading___Toc972276_237004111"/>
      <w:bookmarkStart w:id="318" w:name="_Toc112"/>
      <w:bookmarkEnd w:id="317"/>
      <w:r>
        <w:rPr/>
        <w:t>90</w:t>
      </w:r>
      <w:r>
        <w:rPr>
          <w:rtl w:val="true"/>
        </w:rPr>
        <w:t xml:space="preserve"> - </w:t>
      </w:r>
      <w:r>
        <w:rPr>
          <w:rtl w:val="true"/>
        </w:rPr>
        <w:t xml:space="preserve">الفیض الکاشانیّ </w:t>
      </w:r>
      <w:r>
        <w:rPr>
          <w:rtl w:val="true"/>
        </w:rPr>
        <w:t>(</w:t>
      </w:r>
      <w:r>
        <w:rPr>
          <w:rtl w:val="true"/>
        </w:rPr>
        <w:t xml:space="preserve">ت </w:t>
      </w:r>
      <w:r>
        <w:rPr/>
        <w:t>1091</w:t>
      </w:r>
      <w:r>
        <w:rPr>
          <w:rtl w:val="true"/>
        </w:rPr>
        <w:t xml:space="preserve"> </w:t>
      </w:r>
      <w:r>
        <w:rPr>
          <w:rtl w:val="true"/>
        </w:rPr>
        <w:t xml:space="preserve">ه </w:t>
      </w:r>
      <w:r>
        <w:rPr>
          <w:rtl w:val="true"/>
        </w:rPr>
        <w:t>)</w:t>
      </w:r>
      <w:bookmarkEnd w:id="318"/>
    </w:p>
    <w:p>
      <w:pPr>
        <w:pStyle w:val="BookText"/>
        <w:rPr/>
      </w:pPr>
      <w:r>
        <w:rPr>
          <w:rFonts w:ascii="IRNazanin" w:hAnsi="IRNazanin" w:eastAsia="IRNazanin"/>
          <w:color w:val="111111"/>
          <w:sz w:val="28"/>
          <w:sz w:val="28"/>
          <w:szCs w:val="28"/>
          <w:rtl w:val="true"/>
          <w:lang w:bidi="fa-IR"/>
        </w:rPr>
        <w:t>استدلّ الفیض الکاشانی علی المسح بعدة امور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بظاهر القرآن علی قراءة الجرّ</w:t>
      </w:r>
      <w:r>
        <w:rPr>
          <w:rFonts w:eastAsia="IRNazanin" w:cs="IRNazanin"/>
          <w:color w:val="111111"/>
          <w:sz w:val="28"/>
          <w:szCs w:val="28"/>
          <w:rtl w:val="true"/>
          <w:lang w:bidi="fa-IR"/>
        </w:rPr>
        <w:t xml:space="preserve">. </w:t>
      </w:r>
      <w:bookmarkStart w:id="319" w:name="pg6193_70965"/>
    </w:p>
    <w:p>
      <w:pPr>
        <w:pStyle w:val="BookText"/>
        <w:rPr/>
      </w:pPr>
      <w:bookmarkEnd w:id="31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الإمام أبی جعفر الباقر وغیره من الأئمّة علیهم السلام علی المسح، وهم الذین نزل الکتاب فی بیوتهم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الغاسلین بدلالة القرآن علی المسح</w:t>
      </w:r>
      <w:r>
        <w:rPr>
          <w:rFonts w:eastAsia="IRNazanin" w:cs="IRNazanin"/>
          <w:color w:val="111111"/>
          <w:sz w:val="28"/>
          <w:szCs w:val="28"/>
          <w:rtl w:val="true"/>
          <w:lang w:bidi="fa-IR"/>
        </w:rPr>
        <w:t>.</w:t>
      </w:r>
    </w:p>
    <w:p>
      <w:pPr>
        <w:pStyle w:val="Heading3"/>
        <w:numPr>
          <w:ilvl w:val="2"/>
          <w:numId w:val="1"/>
        </w:numPr>
        <w:rPr/>
      </w:pPr>
      <w:bookmarkStart w:id="320" w:name="__RefHeading___Toc972278_237004111"/>
      <w:bookmarkStart w:id="321" w:name="_Toc113"/>
      <w:bookmarkEnd w:id="320"/>
      <w:r>
        <w:rPr/>
        <w:t>91</w:t>
      </w:r>
      <w:r>
        <w:rPr>
          <w:rtl w:val="true"/>
        </w:rPr>
        <w:t xml:space="preserve"> - </w:t>
      </w:r>
      <w:r>
        <w:rPr>
          <w:rtl w:val="true"/>
        </w:rPr>
        <w:t xml:space="preserve">المحقّق الخوانساریّ </w:t>
      </w:r>
      <w:r>
        <w:rPr>
          <w:rtl w:val="true"/>
        </w:rPr>
        <w:t>(</w:t>
      </w:r>
      <w:r>
        <w:rPr>
          <w:rtl w:val="true"/>
        </w:rPr>
        <w:t xml:space="preserve">ت </w:t>
      </w:r>
      <w:r>
        <w:rPr/>
        <w:t>1099</w:t>
      </w:r>
      <w:r>
        <w:rPr>
          <w:rtl w:val="true"/>
        </w:rPr>
        <w:t xml:space="preserve"> </w:t>
      </w:r>
      <w:r>
        <w:rPr>
          <w:rtl w:val="true"/>
        </w:rPr>
        <w:t xml:space="preserve">ه </w:t>
      </w:r>
      <w:r>
        <w:rPr>
          <w:rtl w:val="true"/>
        </w:rPr>
        <w:t>)</w:t>
      </w:r>
      <w:bookmarkEnd w:id="321"/>
    </w:p>
    <w:p>
      <w:pPr>
        <w:pStyle w:val="BookText"/>
        <w:rPr/>
      </w:pPr>
      <w:r>
        <w:rPr>
          <w:rFonts w:ascii="IRNazanin" w:hAnsi="IRNazanin" w:eastAsia="IRNazanin"/>
          <w:color w:val="111111"/>
          <w:sz w:val="28"/>
          <w:sz w:val="28"/>
          <w:szCs w:val="28"/>
          <w:rtl w:val="true"/>
          <w:lang w:bidi="fa-IR"/>
        </w:rPr>
        <w:t xml:space="preserve">ذهب المحقق الخوانساریّ إلی أن الحقّ هو أنّ الجرّ وهو یفید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الکتاب وما اقتضَتْه قواعد لغة العرب وعلیه إجماع أهل البیت النبویّ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الخونساری لردّ الإعراب بالجوار بأُمور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الفاصل بالعاطف مانع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 لا یحمل القرآن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یتصوّر فی مقام الأمن من الالتباس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بالشعر والضرورة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أهل السنّة أیضاً نقلوا المسح عن النبیّ صلی الله علیه و آله وعن أمیرالمؤمنین علیه السلام وعن ابن عبّاس وعکرمة والشعبیّ وقتادة وأنس بن مالک وموسی بن أنس مضافاً إلی الباقر والصادق علیهم السلام و</w:t>
      </w:r>
      <w:r>
        <w:rPr>
          <w:rFonts w:eastAsia="IRNazanin" w:cs="IRNazanin"/>
          <w:color w:val="111111"/>
          <w:sz w:val="28"/>
          <w:szCs w:val="28"/>
          <w:rtl w:val="true"/>
          <w:lang w:bidi="fa-IR"/>
        </w:rPr>
        <w:t>....</w:t>
      </w:r>
    </w:p>
    <w:p>
      <w:pPr>
        <w:pStyle w:val="Heading3"/>
        <w:numPr>
          <w:ilvl w:val="2"/>
          <w:numId w:val="1"/>
        </w:numPr>
        <w:rPr/>
      </w:pPr>
      <w:bookmarkStart w:id="322" w:name="__RefHeading___Toc972280_237004111"/>
      <w:bookmarkStart w:id="323" w:name="_Toc114"/>
      <w:bookmarkEnd w:id="322"/>
      <w:r>
        <w:rPr/>
        <w:t>92</w:t>
      </w:r>
      <w:r>
        <w:rPr>
          <w:rtl w:val="true"/>
        </w:rPr>
        <w:t xml:space="preserve"> - </w:t>
      </w:r>
      <w:r>
        <w:rPr>
          <w:rtl w:val="true"/>
        </w:rPr>
        <w:t xml:space="preserve">الحویزیّ </w:t>
      </w:r>
      <w:r>
        <w:rPr>
          <w:rtl w:val="true"/>
        </w:rPr>
        <w:t>(</w:t>
      </w:r>
      <w:r>
        <w:rPr>
          <w:rtl w:val="true"/>
        </w:rPr>
        <w:t xml:space="preserve">ت </w:t>
      </w:r>
      <w:r>
        <w:rPr/>
        <w:t>1112</w:t>
      </w:r>
      <w:r>
        <w:rPr>
          <w:rtl w:val="true"/>
        </w:rPr>
        <w:t xml:space="preserve"> </w:t>
      </w:r>
      <w:r>
        <w:rPr>
          <w:rtl w:val="true"/>
        </w:rPr>
        <w:t xml:space="preserve">ه </w:t>
      </w:r>
      <w:r>
        <w:rPr>
          <w:rtl w:val="true"/>
        </w:rPr>
        <w:t>)</w:t>
      </w:r>
      <w:bookmarkEnd w:id="32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یتعرّض الحویزی للجرّ والنصب بل حکم بالمسح من دون تردّد من باب </w:t>
      </w:r>
      <w:bookmarkStart w:id="324" w:name="pg6193_70967"/>
    </w:p>
    <w:p>
      <w:pPr>
        <w:pStyle w:val="BookText"/>
        <w:rPr/>
      </w:pPr>
      <w:bookmarkEnd w:id="324"/>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الباء الزائدة علی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المسح ببعض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مالک حیث أوجب الاستیعاب، وأثبت مثل ذلک فی جانب المسح علی الرجلین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972282_237004111"/>
      <w:bookmarkStart w:id="326" w:name="_Toc115"/>
      <w:bookmarkEnd w:id="325"/>
      <w:r>
        <w:rPr/>
        <w:t>93</w:t>
      </w:r>
      <w:r>
        <w:rPr>
          <w:rtl w:val="true"/>
        </w:rPr>
        <w:t xml:space="preserve"> - </w:t>
      </w:r>
      <w:r>
        <w:rPr>
          <w:rtl w:val="true"/>
        </w:rPr>
        <w:t xml:space="preserve">البناء صاحب الإتحاف </w:t>
      </w:r>
      <w:r>
        <w:rPr>
          <w:rtl w:val="true"/>
        </w:rPr>
        <w:t>(</w:t>
      </w:r>
      <w:r>
        <w:rPr>
          <w:rtl w:val="true"/>
        </w:rPr>
        <w:t xml:space="preserve">ت </w:t>
      </w:r>
      <w:r>
        <w:rPr/>
        <w:t>1117</w:t>
      </w:r>
      <w:r>
        <w:rPr>
          <w:rtl w:val="true"/>
        </w:rPr>
        <w:t xml:space="preserve"> </w:t>
      </w:r>
      <w:r>
        <w:rPr>
          <w:rtl w:val="true"/>
        </w:rPr>
        <w:t xml:space="preserve">ه </w:t>
      </w:r>
      <w:r>
        <w:rPr>
          <w:rtl w:val="true"/>
        </w:rPr>
        <w:t>)</w:t>
      </w:r>
      <w:bookmarkEnd w:id="326"/>
    </w:p>
    <w:p>
      <w:pPr>
        <w:pStyle w:val="BookText"/>
        <w:rPr/>
      </w:pPr>
      <w:r>
        <w:rPr>
          <w:rFonts w:ascii="IRNazanin" w:hAnsi="IRNazanin" w:eastAsia="IRNazanin"/>
          <w:color w:val="111111"/>
          <w:sz w:val="28"/>
          <w:sz w:val="28"/>
          <w:szCs w:val="28"/>
          <w:rtl w:val="true"/>
          <w:lang w:bidi="fa-IR"/>
        </w:rPr>
        <w:t>حمل صاحب الإتحاف قراءة الجرّ علی المسح جریاً علی ظاهر العطف، وحکم أوّلاً بالمسح فی الرأس والرجلین، ثمّ ادّعی أنّ ذلک منسوخ بوجوب الغسل، أو أنه محمول علی الخفّین لا القدمین</w:t>
      </w:r>
      <w:r>
        <w:rPr>
          <w:rStyle w:val="FootnoteAnchor"/>
          <w:rtl w:val="true"/>
        </w:rPr>
        <w:footnoteReference w:id="499"/>
      </w:r>
      <w:r>
        <w:rPr>
          <w:rFonts w:ascii="IRNazanin" w:hAnsi="IRNazanin" w:eastAsia="IRNazanin"/>
          <w:color w:val="111111"/>
          <w:sz w:val="28"/>
          <w:sz w:val="28"/>
          <w:szCs w:val="28"/>
          <w:rtl w:val="true"/>
          <w:lang w:bidi="fa-IR"/>
        </w:rPr>
        <w:t>منبهاً بما ذکر من تعلیل، وهو عدم الإسراف فی صبّ الماء، لأنّه مظنّة لصبّ الماء کثیراً، فعطف علی الممسوح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تعلم بأنّ هذا التعلیل علیل، لان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وأجلّ من أن یکون عاجزاً عن أداء مقصود بالصراحة حتی یلجا إلی الإلغاز والتعمیة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الجرّ بالجوار أیضاً، ولکنه ضعفه من الثبوت، بحیث لا یخفی علی الغاسلین، ولذا نقل ضعفه عن بعضهم فی نفس المقام</w:t>
      </w:r>
      <w:r>
        <w:rPr>
          <w:rFonts w:eastAsia="IRNazanin" w:cs="IRNazanin"/>
          <w:color w:val="111111"/>
          <w:sz w:val="28"/>
          <w:szCs w:val="28"/>
          <w:rtl w:val="true"/>
          <w:lang w:bidi="fa-IR"/>
        </w:rPr>
        <w:t>.</w:t>
      </w:r>
    </w:p>
    <w:p>
      <w:pPr>
        <w:pStyle w:val="Heading3"/>
        <w:numPr>
          <w:ilvl w:val="2"/>
          <w:numId w:val="1"/>
        </w:numPr>
        <w:rPr/>
      </w:pPr>
      <w:bookmarkStart w:id="327" w:name="__RefHeading___Toc972284_237004111"/>
      <w:bookmarkStart w:id="328" w:name="_Toc116"/>
      <w:bookmarkEnd w:id="327"/>
      <w:r>
        <w:rPr/>
        <w:t>94</w:t>
      </w:r>
      <w:r>
        <w:rPr>
          <w:rtl w:val="true"/>
        </w:rPr>
        <w:t xml:space="preserve"> - </w:t>
      </w:r>
      <w:r>
        <w:rPr>
          <w:rtl w:val="true"/>
        </w:rPr>
        <w:t xml:space="preserve">المیرزا محمد المشهدیّ القمّی </w:t>
      </w:r>
      <w:r>
        <w:rPr>
          <w:rtl w:val="true"/>
        </w:rPr>
        <w:t>(</w:t>
      </w:r>
      <w:r>
        <w:rPr>
          <w:rtl w:val="true"/>
        </w:rPr>
        <w:t xml:space="preserve">ت </w:t>
      </w:r>
      <w:r>
        <w:rPr/>
        <w:t>125</w:t>
      </w:r>
      <w:r>
        <w:rPr>
          <w:rtl w:val="true"/>
        </w:rPr>
        <w:t xml:space="preserve"> </w:t>
      </w:r>
      <w:r>
        <w:rPr>
          <w:rtl w:val="true"/>
        </w:rPr>
        <w:t xml:space="preserve">ه </w:t>
      </w:r>
      <w:r>
        <w:rPr>
          <w:rtl w:val="true"/>
        </w:rPr>
        <w:t>)</w:t>
      </w:r>
      <w:bookmarkEnd w:id="32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المشهدیّ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بالجرّ علی العطف‌ب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الخفض هی أم علی العطف؟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w:t>
      </w:r>
      <w:bookmarkStart w:id="329" w:name="pg6193_70969"/>
    </w:p>
    <w:p>
      <w:pPr>
        <w:pStyle w:val="BookText"/>
        <w:rPr/>
      </w:pPr>
      <w:bookmarkEnd w:id="329"/>
      <w:r>
        <w:rPr>
          <w:rFonts w:ascii="IRNazanin" w:hAnsi="IRNazanin" w:eastAsia="IRNazanin"/>
          <w:color w:val="111111"/>
          <w:sz w:val="28"/>
          <w:sz w:val="28"/>
          <w:szCs w:val="28"/>
          <w:rtl w:val="true"/>
          <w:lang w:bidi="fa-IR"/>
        </w:rPr>
        <w:t>علی الخفض</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الغسل علی تقدیر الجرّ، والجرّ علی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الجوار عربیّ ردیّ فلا یصار إلیه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972286_237004111"/>
      <w:bookmarkStart w:id="331" w:name="_Toc117"/>
      <w:bookmarkEnd w:id="330"/>
      <w:r>
        <w:rPr/>
        <w:t>95</w:t>
      </w:r>
      <w:r>
        <w:rPr>
          <w:rtl w:val="true"/>
        </w:rPr>
        <w:t xml:space="preserve"> - </w:t>
      </w:r>
      <w:r>
        <w:rPr>
          <w:rtl w:val="true"/>
        </w:rPr>
        <w:t xml:space="preserve">القاضی محمد المظهری النقشبندی الحنفی </w:t>
      </w:r>
      <w:r>
        <w:rPr>
          <w:rtl w:val="true"/>
        </w:rPr>
        <w:t>(</w:t>
      </w:r>
      <w:r>
        <w:rPr>
          <w:rtl w:val="true"/>
        </w:rPr>
        <w:t xml:space="preserve">ت </w:t>
      </w:r>
      <w:r>
        <w:rPr/>
        <w:t>1143</w:t>
      </w:r>
      <w:r>
        <w:rPr>
          <w:rtl w:val="true"/>
        </w:rPr>
        <w:t xml:space="preserve"> -</w:t>
      </w:r>
      <w:bookmarkEnd w:id="331"/>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بالجرّ علی الجوار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بأنّ جرّ الجوار انکره أکثر النّحاة ومن جوزه جوزه بشرطین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توسط حرف العطف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الأمن من الإلتباس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إذ الأمن من الالتباس حاصل بذکر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وانکار أکثر النّحاة ممنوع ومکابرة لوقوعه کثیراً فی القرآن وکلام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الأمثلة یقتضی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توسط حرف العطف،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یجیئ لأن العاطف یمنع التّجاور، والحقّ أنّه یجوز فإنّ العاطف موضوع لتأکید الوصل دون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مالک وخالد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الواو یختصّ من بین سائر حروف العطف بأحد وعشرین حکما منها جواز جرّ الجوار فی المعطوف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دلیل آخر علی جواز الجرّ بالجوار مع حرف العطف فهذه الآیة الدالّة علی وجوب غسل الرجلین بما ذکرناه من وجوه العطف علی الأیدی وعدم جواز عطف الأرجل علی الرؤوس، وبما لحقه البیان من الأحادیث والإجماع کافی لاثبات جواز جرّ الجوار بتوسط </w:t>
      </w:r>
    </w:p>
    <w:p>
      <w:pPr>
        <w:pStyle w:val="BookText"/>
        <w:rPr/>
      </w:pPr>
      <w:r>
        <w:rPr>
          <w:rFonts w:ascii="Amiri" w:hAnsi="Amiri" w:eastAsia="Amiri" w:cs="Amiri"/>
          <w:color w:val="111111"/>
          <w:sz w:val="28"/>
          <w:sz w:val="28"/>
          <w:szCs w:val="28"/>
          <w:rtl w:val="true"/>
          <w:lang w:bidi="ar-SA"/>
        </w:rPr>
        <w:t>الواو العاطفة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قیل بصیرورته حینئذ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وعمرا، واکرمت بکرا وخالدا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اذ لا قرینة هناک ولا مانع لعطف خالد علی بکر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ردّ الإمامیّة بأنّ توجیهاتهم رکیکة، ثم ذکر روایات الغسل، وأنّه لم یرو عن النبی صلی الله علیه و آله المسح أصلا، وأجمع علی الغسل الصّحابة ولم یثبت عن أحد منهم خلاف ذلک وروی عن علی وابن عباس وانس المسح ولکنّهم رجعوا إلی الغسل، وأنّ المسح منسوخ بعمل النبیّ صلی الله علیه و آله وإن کان ظاهر القرآن المسح</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أستدل للغسل فی الحقیقة بأشیاء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الجوار، وهو کثیر فی القرآن وکلام البلغاء ثم أشار إلی الأمثلة وأنّ ذکرها یطول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العاطف لا یضرّ، فإنّ العاطف موضوع لتأکید الوصل دون القطع وأنّ ابن مالک وخالد الأزهری قالا باختصاص الواو وبامور أحدها جواز جرّ 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دالّة علی وجوب الغسل بما ذکرناه من وجوه العطف علی الأیدی، وعدم جواز عطف الأرجل علی الرؤوس، ووجود الأحادیث، والإجماع کلّها کافیة لإثبات جرّ الجوار بتوسط الواو العاطفة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صیرورته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وعمرا، واکرمت بکرا وخالدا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إذ لاقرینة هناک ولا مانع لعطف خالد علی بکر</w:t>
      </w:r>
      <w:r>
        <w:rPr>
          <w:rFonts w:eastAsia="IRNazanin" w:cs="IRNazanin"/>
          <w:color w:val="111111"/>
          <w:sz w:val="28"/>
          <w:szCs w:val="28"/>
          <w:rtl w:val="true"/>
          <w:lang w:bidi="fa-IR"/>
        </w:rPr>
        <w:t xml:space="preserve">. </w:t>
      </w:r>
      <w:bookmarkStart w:id="332" w:name="pg6193_70973"/>
    </w:p>
    <w:p>
      <w:pPr>
        <w:pStyle w:val="BookText"/>
        <w:rPr/>
      </w:pPr>
      <w:bookmarkEnd w:id="33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توجیهات الإمامیّة للمسح رکیکة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یرو عن النبیّ صلی الله علیه و آله المسح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إجماع الصحابة علی الغسل ولم یثبت خلاف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روی عن علی، وابن عباس، وأنس فإنّهم رجعوا إلی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المسح مدلول الآیة فی القرآن وظاهرها ولکنه نسخ بعمل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قد أجبنا عن جمیع هذه الأمور فی مطاوی کلامنا فی هذا الکتاب</w:t>
      </w:r>
      <w:r>
        <w:rPr>
          <w:rFonts w:eastAsia="IRNazanin" w:cs="IRNazanin"/>
          <w:color w:val="111111"/>
          <w:sz w:val="28"/>
          <w:szCs w:val="28"/>
          <w:rtl w:val="true"/>
          <w:lang w:bidi="fa-IR"/>
        </w:rPr>
        <w:t>.</w:t>
      </w:r>
    </w:p>
    <w:p>
      <w:pPr>
        <w:pStyle w:val="Heading3"/>
        <w:numPr>
          <w:ilvl w:val="2"/>
          <w:numId w:val="1"/>
        </w:numPr>
        <w:rPr/>
      </w:pPr>
      <w:bookmarkStart w:id="333" w:name="__RefHeading___Toc972288_237004111"/>
      <w:bookmarkStart w:id="334" w:name="_Toc118"/>
      <w:bookmarkEnd w:id="333"/>
      <w:r>
        <w:rPr/>
        <w:t>96</w:t>
      </w:r>
      <w:r>
        <w:rPr>
          <w:rtl w:val="true"/>
        </w:rPr>
        <w:t xml:space="preserve"> - </w:t>
      </w:r>
      <w:r>
        <w:rPr>
          <w:rtl w:val="true"/>
        </w:rPr>
        <w:t xml:space="preserve">المحقّق البحرانیّ </w:t>
      </w:r>
      <w:r>
        <w:rPr>
          <w:rtl w:val="true"/>
        </w:rPr>
        <w:t>(</w:t>
      </w:r>
      <w:r>
        <w:rPr>
          <w:rtl w:val="true"/>
        </w:rPr>
        <w:t xml:space="preserve">ت </w:t>
      </w:r>
      <w:r>
        <w:rPr/>
        <w:t>1186</w:t>
      </w:r>
      <w:r>
        <w:rPr>
          <w:rtl w:val="true"/>
        </w:rPr>
        <w:t xml:space="preserve"> </w:t>
      </w:r>
      <w:r>
        <w:rPr>
          <w:rtl w:val="true"/>
        </w:rPr>
        <w:t xml:space="preserve">ه </w:t>
      </w:r>
      <w:r>
        <w:rPr>
          <w:rtl w:val="true"/>
        </w:rPr>
        <w:t>)</w:t>
      </w:r>
      <w:bookmarkEnd w:id="334"/>
    </w:p>
    <w:p>
      <w:pPr>
        <w:pStyle w:val="BookText"/>
        <w:rPr/>
      </w:pPr>
      <w:r>
        <w:rPr>
          <w:rFonts w:ascii="IRNazanin" w:hAnsi="IRNazanin" w:eastAsia="IRNazanin"/>
          <w:color w:val="111111"/>
          <w:sz w:val="28"/>
          <w:sz w:val="28"/>
          <w:szCs w:val="28"/>
          <w:rtl w:val="true"/>
          <w:lang w:bidi="fa-IR"/>
        </w:rPr>
        <w:t xml:space="preserve">المعتبر عند الشیخ یوسف البحرانی هو قراءة الجرّ، مستدلاً بما رواه غالب بن الهذیل عن أبی جعفر الباقر للعلوم علیه السلام، حینما 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مجرورة أم منصوبة؟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علی الخفض</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قراءة أهل البیت علیهم السلام، وهی الأصل عندنا</w:t>
      </w:r>
      <w:r>
        <w:rPr>
          <w:rFonts w:eastAsia="IRNazanin" w:cs="IRNazanin"/>
          <w:color w:val="111111"/>
          <w:sz w:val="28"/>
          <w:szCs w:val="28"/>
          <w:rtl w:val="true"/>
          <w:lang w:bidi="fa-IR"/>
        </w:rPr>
        <w:t>.</w:t>
      </w:r>
    </w:p>
    <w:p>
      <w:pPr>
        <w:pStyle w:val="Heading3"/>
        <w:numPr>
          <w:ilvl w:val="2"/>
          <w:numId w:val="1"/>
        </w:numPr>
        <w:rPr/>
      </w:pPr>
      <w:bookmarkStart w:id="335" w:name="__RefHeading___Toc972290_237004111"/>
      <w:bookmarkStart w:id="336" w:name="_Toc119"/>
      <w:bookmarkEnd w:id="335"/>
      <w:r>
        <w:rPr/>
        <w:t>97</w:t>
      </w:r>
      <w:r>
        <w:rPr>
          <w:rtl w:val="true"/>
        </w:rPr>
        <w:t xml:space="preserve"> - </w:t>
      </w:r>
      <w:r>
        <w:rPr>
          <w:rtl w:val="true"/>
        </w:rPr>
        <w:t xml:space="preserve">الصّبّان </w:t>
      </w:r>
      <w:r>
        <w:rPr>
          <w:rtl w:val="true"/>
        </w:rPr>
        <w:t>(</w:t>
      </w:r>
      <w:r>
        <w:rPr>
          <w:rtl w:val="true"/>
        </w:rPr>
        <w:t xml:space="preserve">ت </w:t>
      </w:r>
      <w:r>
        <w:rPr/>
        <w:t>1206</w:t>
      </w:r>
      <w:r>
        <w:rPr>
          <w:rtl w:val="true"/>
        </w:rPr>
        <w:t xml:space="preserve"> </w:t>
      </w:r>
      <w:r>
        <w:rPr>
          <w:rtl w:val="true"/>
        </w:rPr>
        <w:t xml:space="preserve">ه </w:t>
      </w:r>
      <w:r>
        <w:rPr>
          <w:rtl w:val="true"/>
        </w:rPr>
        <w:t>)</w:t>
      </w:r>
      <w:bookmarkEnd w:id="3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من باب جرّ الجوار،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ویختصّ الجوار بالجرّ ویجئ فی النّعت قلیلا والتؤکید نادراً علی ما فی التسهیل والمغنی، وقال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العمة یجوز فی العطف لکن بالواو خاصّة وجعل منه </w:t>
      </w:r>
      <w:bookmarkStart w:id="337" w:name="pg6193_70975"/>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الجرّ وضعفه فی المغنی بأن العاطف یمنع التجاور ویکون جرّ الأرجل للعطف علی الرؤوس لا لتمسح بل للتنبیه علی طلب الإقتصاد فی غسلها الذی هو مظنّة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وجئ بالغایة دفعاً لتوهم المسح لأنّ المسح لم تضرب له غایة فی الشّرع کذا فی الکشاف ویلزم علیه إمّا استعمال المسح فی حقیقته بالنسبة إلی الرؤوس وفی مجازه وهو الغسل الشبیه بالمسح بالنسبة إلی الأرجل وصاحب الکشاف ممّن یمنعه، وإمّا جعل العاطف من عطف الجمل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الجارّ وإبقاء عمله وهو ضعیف</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وفی الدمامینیّ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جنّی انکره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ضبّ بتقدیر مضاف أی خرب جحره، وعبارة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انکر ابن جنیّ الجر علی الجوار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لضبّ والأصل خرب جحره مع جریان الصفة علی غیر ما هی له، وهو لا یجوز عند البصریّین وإن أمن اللبّس</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للّه‌أنّهم أغنونا عن مؤنة الجواب وأجابوا عن الجر بالجوار بما لا مزید علیه</w:t>
      </w:r>
      <w:r>
        <w:rPr>
          <w:rFonts w:eastAsia="IRNazanin" w:cs="IRNazanin"/>
          <w:color w:val="111111"/>
          <w:sz w:val="28"/>
          <w:szCs w:val="28"/>
          <w:rtl w:val="true"/>
          <w:lang w:bidi="fa-IR"/>
        </w:rPr>
        <w:t>!</w:t>
      </w:r>
    </w:p>
    <w:p>
      <w:pPr>
        <w:pStyle w:val="Heading3"/>
        <w:numPr>
          <w:ilvl w:val="2"/>
          <w:numId w:val="1"/>
        </w:numPr>
        <w:rPr/>
      </w:pPr>
      <w:bookmarkStart w:id="338" w:name="__RefHeading___Toc972292_237004111"/>
      <w:bookmarkStart w:id="339" w:name="_Toc120"/>
      <w:bookmarkEnd w:id="338"/>
      <w:r>
        <w:rPr/>
        <w:t>98</w:t>
      </w:r>
      <w:r>
        <w:rPr>
          <w:rtl w:val="true"/>
        </w:rPr>
        <w:t xml:space="preserve"> - </w:t>
      </w:r>
      <w:r>
        <w:rPr>
          <w:rtl w:val="true"/>
        </w:rPr>
        <w:t xml:space="preserve">أحمد بن محمد بن المهدی ابن عجیبة الحسینی </w:t>
      </w:r>
      <w:r>
        <w:rPr>
          <w:rtl w:val="true"/>
        </w:rPr>
        <w:t>(</w:t>
      </w:r>
      <w:r>
        <w:rPr>
          <w:rtl w:val="true"/>
        </w:rPr>
        <w:t xml:space="preserve">ت </w:t>
      </w:r>
      <w:r>
        <w:rPr/>
        <w:t>1224</w:t>
      </w:r>
      <w:r>
        <w:rPr>
          <w:rtl w:val="true"/>
        </w:rPr>
        <w:t xml:space="preserve"> </w:t>
      </w:r>
      <w:r>
        <w:rPr>
          <w:rtl w:val="true"/>
        </w:rPr>
        <w:t xml:space="preserve">ه </w:t>
      </w:r>
      <w:r>
        <w:rPr>
          <w:rtl w:val="true"/>
        </w:rPr>
        <w:t>)</w:t>
      </w:r>
      <w:bookmarkEnd w:id="3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 ابن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خفض فعلی الجوار وفائدته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340" w:name="pg6193_70977"/>
    </w:p>
    <w:p>
      <w:pPr>
        <w:pStyle w:val="BookText"/>
        <w:rPr/>
      </w:pPr>
      <w:bookmarkEnd w:id="340"/>
      <w:r>
        <w:rPr>
          <w:rFonts w:ascii="IRNazanin" w:hAnsi="IRNazanin" w:eastAsia="IRNazanin"/>
          <w:color w:val="111111"/>
          <w:sz w:val="28"/>
          <w:sz w:val="28"/>
          <w:szCs w:val="28"/>
          <w:rtl w:val="true"/>
          <w:lang w:bidi="fa-IR"/>
        </w:rPr>
        <w:t>ویأتی کلامه فی النّصب، وکذا فی الجرّ علی الجوار فأنتظر</w:t>
      </w:r>
      <w:r>
        <w:rPr>
          <w:rFonts w:eastAsia="IRNazanin" w:cs="IRNazanin"/>
          <w:color w:val="111111"/>
          <w:sz w:val="28"/>
          <w:szCs w:val="28"/>
          <w:rtl w:val="true"/>
          <w:lang w:bidi="fa-IR"/>
        </w:rPr>
        <w:t>.</w:t>
      </w:r>
    </w:p>
    <w:p>
      <w:pPr>
        <w:pStyle w:val="Heading3"/>
        <w:numPr>
          <w:ilvl w:val="2"/>
          <w:numId w:val="1"/>
        </w:numPr>
        <w:rPr/>
      </w:pPr>
      <w:bookmarkStart w:id="341" w:name="__RefHeading___Toc972294_237004111"/>
      <w:bookmarkStart w:id="342" w:name="_Toc121"/>
      <w:bookmarkEnd w:id="341"/>
      <w:r>
        <w:rPr/>
        <w:t>99</w:t>
      </w:r>
      <w:r>
        <w:rPr>
          <w:rtl w:val="true"/>
        </w:rPr>
        <w:t xml:space="preserve"> - </w:t>
      </w:r>
      <w:r>
        <w:rPr>
          <w:rtl w:val="true"/>
        </w:rPr>
        <w:t xml:space="preserve">السیّد عبداللّه الشُّبلّر </w:t>
      </w:r>
      <w:r>
        <w:rPr>
          <w:rtl w:val="true"/>
        </w:rPr>
        <w:t>(</w:t>
      </w:r>
      <w:r>
        <w:rPr>
          <w:rtl w:val="true"/>
        </w:rPr>
        <w:t xml:space="preserve">ت </w:t>
      </w:r>
      <w:r>
        <w:rPr/>
        <w:t>1243</w:t>
      </w:r>
      <w:r>
        <w:rPr>
          <w:rtl w:val="true"/>
        </w:rPr>
        <w:t xml:space="preserve"> </w:t>
      </w:r>
      <w:r>
        <w:rPr>
          <w:rtl w:val="true"/>
        </w:rPr>
        <w:t xml:space="preserve">ه </w:t>
      </w:r>
      <w:r>
        <w:rPr>
          <w:rtl w:val="true"/>
        </w:rPr>
        <w:t>)</w:t>
      </w:r>
      <w:bookmarkEnd w:id="342"/>
    </w:p>
    <w:p>
      <w:pPr>
        <w:pStyle w:val="BookText"/>
        <w:rPr/>
      </w:pPr>
      <w:r>
        <w:rPr>
          <w:rFonts w:ascii="IRNazanin" w:hAnsi="IRNazanin" w:eastAsia="IRNazanin"/>
          <w:color w:val="111111"/>
          <w:sz w:val="28"/>
          <w:sz w:val="28"/>
          <w:szCs w:val="28"/>
          <w:rtl w:val="true"/>
          <w:lang w:bidi="fa-IR"/>
        </w:rPr>
        <w:t>قال الشُّبّر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 حمزة، وابن کثیر، وأبو عمرو، وأبو بکر، وهو قراءة أهل البیت علیهم السلام ونصب الباقون، واختلف فی مسح الأرجل وغسلها، فالإمامیّة کافّة أوجبوا المسح، وهو مذهب أهل البیت، وابن عباس، وجمع من التّابعین، وأوجب فقهاء الأربعة الغسل، وجماعة الجمع، وخیّر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والقراءتان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الجرّ فواضح، لعطفها علی الرؤوس ومقتضاه وجوب المسح، وجعلها معطوفة علیها لا لتمسح بل لیقتصد فی صب الماء علیها ولا یسرف فیه فتغسل غسلاً شبیهاً بالمسح تعسّف والغاز وتعمیة، کیف یقع فی کلام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 الذی هو هدی ونور وآیات بیّنات؟ وکذا جعلها معطوفة علی الوجوه والجرّ للمجاورة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وشذوذ جرّ المجاورة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وقصره علی السّماع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وکونه فیما لا لبس فیه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حرف عطف معه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343" w:name="pg6193_70979"/>
    </w:p>
    <w:p>
      <w:pPr>
        <w:pStyle w:val="BookText"/>
        <w:rPr/>
      </w:pPr>
      <w:bookmarkEnd w:id="343"/>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کلامه فی قراءة النّصب</w:t>
      </w:r>
      <w:r>
        <w:rPr>
          <w:rFonts w:eastAsia="IRNazanin" w:cs="IRNazanin"/>
          <w:color w:val="111111"/>
          <w:sz w:val="28"/>
          <w:szCs w:val="28"/>
          <w:rtl w:val="true"/>
          <w:lang w:bidi="fa-IR"/>
        </w:rPr>
        <w:t>.</w:t>
      </w:r>
    </w:p>
    <w:p>
      <w:pPr>
        <w:pStyle w:val="Heading3"/>
        <w:numPr>
          <w:ilvl w:val="2"/>
          <w:numId w:val="1"/>
        </w:numPr>
        <w:rPr/>
      </w:pPr>
      <w:bookmarkStart w:id="344" w:name="__RefHeading___Toc972296_237004111"/>
      <w:bookmarkStart w:id="345" w:name="_Toc122"/>
      <w:bookmarkEnd w:id="344"/>
      <w:r>
        <w:rPr/>
        <w:t>100</w:t>
      </w:r>
      <w:r>
        <w:rPr>
          <w:rtl w:val="true"/>
        </w:rPr>
        <w:t xml:space="preserve"> - </w:t>
      </w:r>
      <w:r>
        <w:rPr>
          <w:rtl w:val="true"/>
        </w:rPr>
        <w:t xml:space="preserve">الآلوسیّ </w:t>
      </w:r>
      <w:r>
        <w:rPr>
          <w:rtl w:val="true"/>
        </w:rPr>
        <w:t>(</w:t>
      </w:r>
      <w:r>
        <w:rPr>
          <w:rtl w:val="true"/>
        </w:rPr>
        <w:t xml:space="preserve">ت </w:t>
      </w:r>
      <w:r>
        <w:rPr/>
        <w:t>1270</w:t>
      </w:r>
      <w:r>
        <w:rPr>
          <w:rtl w:val="true"/>
        </w:rPr>
        <w:t xml:space="preserve"> </w:t>
      </w:r>
      <w:r>
        <w:rPr>
          <w:rtl w:val="true"/>
        </w:rPr>
        <w:t xml:space="preserve">ه </w:t>
      </w:r>
      <w:r>
        <w:rPr>
          <w:rtl w:val="true"/>
        </w:rPr>
        <w:t>)</w:t>
      </w:r>
      <w:bookmarkEnd w:id="345"/>
    </w:p>
    <w:p>
      <w:pPr>
        <w:pStyle w:val="BookText"/>
        <w:rPr/>
      </w:pPr>
      <w:r>
        <w:rPr>
          <w:rFonts w:ascii="IRNazanin" w:hAnsi="IRNazanin" w:eastAsia="IRNazanin"/>
          <w:color w:val="111111"/>
          <w:sz w:val="28"/>
          <w:sz w:val="28"/>
          <w:szCs w:val="28"/>
          <w:rtl w:val="true"/>
          <w:lang w:bidi="fa-IR"/>
        </w:rPr>
        <w:t xml:space="preserve">نقل الألوسی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کثیر وحمزة وأبی عمرو وعاصم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تلک القراءة دلیل القائلین بالمسح بمقتضی حکم العطف وهو التشریک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الآلوسیّ والجرّ بالجوار</w:t>
      </w:r>
    </w:p>
    <w:p>
      <w:pPr>
        <w:pStyle w:val="BookText"/>
        <w:rPr/>
      </w:pPr>
      <w:r>
        <w:rPr>
          <w:rFonts w:ascii="IRNazanin" w:hAnsi="IRNazanin" w:eastAsia="IRNazanin"/>
          <w:color w:val="111111"/>
          <w:sz w:val="28"/>
          <w:sz w:val="28"/>
          <w:szCs w:val="28"/>
          <w:rtl w:val="true"/>
          <w:lang w:bidi="fa-IR"/>
        </w:rPr>
        <w:t>لکنه ضعف الجر بالجوار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الجرّ بالجوار لَحْنٌ قد یتمحّل لأجل الضرورة الشرعیّة، وان کلام اللّه یجب تنزیهه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الجر بالجوار یصار إلیه فی مقام الأمن من اللبس، والأمن فی الآیة غیر 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فقدانه فی العطف، ونقل أنّ القائلین بالمسح ردّوا النصب أیضاً إلی الجرّ فی إفادة المسح 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للقریب فالقریب، والحکم التشریک فی المسح، مؤیداً استدلال الماسحین بأنّ العطف علی المحلّ هو مذهب مشهور للنُّحاة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الآلوسیّ والتسوّر علی مقام الرازیّ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 الآلوسی بأنّ البحث فی الغسل والمسح ممّا کثر فیه الخصام وطالما زلّت فیه الأقدام، ثمّ تهجّم علی الرازیّ لموافقته للشیعة فی إِفادة الآیة للمسح </w:t>
      </w:r>
    </w:p>
    <w:p>
      <w:pPr>
        <w:pStyle w:val="BookText"/>
        <w:rPr/>
      </w:pPr>
      <w:r>
        <w:rPr>
          <w:rFonts w:ascii="Amiri" w:hAnsi="Amiri" w:eastAsia="Amiri" w:cs="Amiri"/>
          <w:color w:val="111111"/>
          <w:sz w:val="28"/>
          <w:sz w:val="28"/>
          <w:szCs w:val="28"/>
          <w:rtl w:val="true"/>
          <w:lang w:bidi="ar-SA"/>
        </w:rPr>
        <w:t xml:space="preserve">سواء أَقُرِئَت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أم بالجرّ،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کلام الرازیّ یدلّ علی أنّه راجل فی هذا المیدان وظالع، لا یطیق العروج إلی شأو ضلیعِ تحقیقٍ تبتهج به الخواطر والأذهان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زعم نفسه أنّه ضلیع فی التحقیق، وأنّه یبسط الکلام فی ذلک رَغماً لأُنوف الشیعة السالکین کلّ سبیل حالک علی حدّ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 المنصف أنّ الرازیّ أعلی رتبةً من الآلوسیّ وأمثاله فی غالب العلوم الإسلامیّة ولاسیّما علم التفسیر، وأنا لا أستدلّ علی مدعای بأَکثر من إحالة القارئ علی تفسیری الرازیّ والآلوسیّ، حیث إنّ صاحب الفهم السلیم یعرف بعد قراءته لهذین التفسیرین بأنّ ما وصف الآلوسیّ نفسه بأنّه الضلیع فی التحقیق، إنّما هو وصف للرازیّ لا لنفسه، کما أنّ ما نبز به الرازیّ هو وصف لنفسه فی الحقیقة، لأنّه راجل فی هذا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الآلوسیّ کلامه علی قاعدة أُصولیّة، وهی أنّ القراءتین المتواترتین إذا تعارضتا فی آیة واحدة فلهما حکم آیتین، وَزَعَمَ أنّ ذلک من القواعد المتفق علیها بین الطائفتین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 هکذا أمر یجب أوّلاً الجمع بینهما مهما أمکن، لأنّ الإعمال اولی من الإهمال حسب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الترجیح بینهما إذا لم یمکن التوفیق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یترکان إذا لم یتیسّر الترجیح بینهما ویؤخذ بدلائل أُخر من السنّة، ثم نقل عن الأُصولیّین أنّهم یرجعون إلی السنة اذا تعارضت الآیات حیث لا یمکن التوفیق أو الترجیح بینها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وأرجع تعارض السنّة وَاختلافها أیضاً إلی اختلاف أقوال الصحابة وأهل البیت علیهم السلام أو إلی القیاس</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زعم الآلوسیّ أنّه تأمّل فی آیة الوضوء ووجد توفیقاً بین القراءتین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المسح علی الغسل استناداً إلی قول أبی زید الأنصاریّ وغیره من أهل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ضعّفه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أیضاً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الوجهان هما اللذان تغنی بهما الآلوسی، واعتبر نفسه ضلیع فی التحقیق من خلالهما متهجماً علی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أنک تعرف 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أو محلّاً لا یوجب اختلافاً بین القراءتین، فلا تجری فیهما القاعدة التی ذکرها، ولا یخرِّج بهذین التخریجین الباطلین اللَّذین أوقع الآلوسیّ نفسه بورطتهما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أفتری الرازیّ قد غفل عن هذین الوجهین حتّی صار راجلاً وظالعاً، أم ناقشهما فرآهما قاصرین عن اثبات المدّعی، بل هُما ممّا تضحک مِنْهُ الثکلی، فأعرض عن إیرادهما؟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عرف الرازیّ فی علمه وتعنّته عرف أنّ الوجهین لم یکونا وافیین بالمراد وإلّا لذکرهما الرازیّ إذ هو أعقّ وأظلم للشیعة الإمامیّة من الآلوسی وأمثاله، وأبعد عن حدود الإنصاف، لکنّه لم یجد إلی المراوغة سبیلاً فی مثل هذا الامر، فاعترف </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واستشعر الآلوسیّ ببطلان الوجهین، فأوردهما بقصد الإجابة عن الاعتراضات الواردة علیهما، وأنا ألخص الإیراد والجواب حتّی یتبیّن الصبح لذی 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الاعتراضات علی التخریج الاول للآلوسی،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مختلفان شرعاً وعرفاً ولغة، وقد فرّق اللّه بینهما فی الأعضاء المغسولة والممسوحة، فکیف یحمل المسح علی الغسل؟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الممسوحة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التشریک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بقانون العطف النحوی، وإلّا لزم الجمع بین الحقیقة والمجاز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أُرید من المسح الغسلُ سقط استدلال أهل الخلاف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غسل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یمکن أن یکون قد مسحهما، فسمّی المسح غسلاً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زید موضوع علیه أوّلاً؛ لأنّه وضع کتاباً فی هذا الشأن سمّاه بالنوادر، وهذا غیر موجود فیه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 وعلی فرض ثبوته فهو لقصد الإیجاز، وذلک لأنّهم أرادوا الإخبار عن الطهور بلفظ موجز، فلم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لإیهام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تمسّحت، لأنّ المغسول من الأعضاء ممسوح أیضاً، فتجوّزوا بذلک اعتماداً علی المراد تحرّیاً للاختصار؛ وذلک لا یقتضی جعل المسح من أسماء الغسل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الآلوسیّ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الاعتراف بما 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المسح </w:t>
      </w:r>
    </w:p>
    <w:p>
      <w:pPr>
        <w:pStyle w:val="BookText"/>
        <w:rPr/>
      </w:pPr>
      <w:r>
        <w:rPr>
          <w:rFonts w:ascii="IRNazanin" w:hAnsi="IRNazanin" w:eastAsia="IRNazanin"/>
          <w:color w:val="111111"/>
          <w:sz w:val="28"/>
          <w:sz w:val="28"/>
          <w:szCs w:val="28"/>
          <w:rtl w:val="true"/>
          <w:lang w:bidi="fa-IR"/>
        </w:rPr>
        <w:t>علی الغسل فی بعض المواضع جائز ولیس فی اللغة والشرع ما یأباه، علی أنّه قد ورد ذلک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لا یدفع الإیراد بل یجلب إلیه إِشکالین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حمل المسح علی الغسل جائزاً فلیعرّفنا أوّلاً دلیل الجواز،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الدلیل علی أنّ هذا الموضع من ذلک البعض؟</w:t>
      </w:r>
    </w:p>
    <w:p>
      <w:pPr>
        <w:pStyle w:val="BookText"/>
        <w:rPr/>
      </w:pPr>
      <w:r>
        <w:rPr>
          <w:rFonts w:ascii="IRNazanin" w:hAnsi="IRNazanin" w:eastAsia="IRNazanin"/>
          <w:color w:val="111111"/>
          <w:sz w:val="28"/>
          <w:sz w:val="28"/>
          <w:szCs w:val="28"/>
          <w:rtl w:val="true"/>
          <w:lang w:bidi="fa-IR"/>
        </w:rPr>
        <w:t>فإنّ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القلّة لو کان صحیحاً، فلا یحمل القرآن علی القلیل، فإنّه دلیل الضعف والخروج عن کلام 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جواز ذلک فی اللغة والشرع ممنوع، إذ الشرع لم یستعمل واحداً منهما مکان الآخر، والآیة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واللغة أیضاً تَأْبی ذلک من غیر ریب، وادّعاء ورود ذلک فی الکلام أیضاً موبقة علیه، لأنّه إن أراد بالکلام کلام الفصحاء فهو مجاز یحتاج إلی القرینة وهی هاهنا مفقودة، وإن کان کلام غیر الفصحاء فلا یقاس علیه القرآن، ولم یمثّل الآلوسی فی أیّ کلام ورد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الأمر کما یقول، فلیدلّنا علیه الآلوسیّ إن کان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الأرجل فیتعدّد اللفظ، ولا بأس بأن یتعدّد المعنی بتعدّد اللفظ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والمجاز هما خلاف الأصل، ولا یُصار إلیهما إلّاعند الضرورة المقتضیة لهما، وکلام اللّه فی مندوحةٍ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لو کان صحیحاً وجاریاً؛ فإنّما یتصوّر فی مقام تصحیح معنی للکلام ضرورة لا فی کل الاحیان، وإذا کانت الآیة مستقیمة المعنی فلا حاجة إلی هذا، فما الداعی إلی القول 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نقله 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فیه أصلاً، وهو خارج عن </w:t>
      </w:r>
    </w:p>
    <w:p>
      <w:pPr>
        <w:pStyle w:val="BookText"/>
        <w:rPr/>
      </w:pPr>
      <w:r>
        <w:rPr>
          <w:rFonts w:ascii="IRNazanin" w:hAnsi="IRNazanin" w:eastAsia="IRNazanin"/>
          <w:color w:val="111111"/>
          <w:sz w:val="28"/>
          <w:sz w:val="28"/>
          <w:szCs w:val="28"/>
          <w:rtl w:val="true"/>
          <w:lang w:bidi="fa-IR"/>
        </w:rPr>
        <w:t xml:space="preserve">الموضوع، لأنّ إرادة معنیین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المتعاطفین لو کان صحیحاً فإنّما هو فی مقام لا یمکن حمل الکلام إلّاعلیه، والآیة لیست کذلک، لأنّ معناها من دون التقدیر یصحّ ویفید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کلّ هذه التأویلات لو کانت صحیحةً فإنّما هی لإخراج الکلام عن حیّز الغلط وتأتی غالباً للضرورة فلا یحمل علیه القرآن، ولا سیّما مع صحّة المعنی بلا حاجة إلیها، لأنّ ادّعاء وقوع هذه فی القرآن دلیل العجز والضعف عن إفادة المعنی المراد بطرق مختلفة فی الوضوح والخَفاء، وهذا تنقیص للقرآن وبلاغته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المسح علی الغسل لداعٍ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حمل القرآن علی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حمل الغسل علی المسح بغیر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رجلیه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المسح کیف یکون بغیر داعٍ وهو أخذ المذهب من القرآن وحمله علیه، وهذا أقوی من داعیکم وهو حمل القرآن علی المذهب، فسقط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العدول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لإیهام الغسل فی الأوّل دون الثانی، فإنّ الثانی فی ذلک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الاکتفاء علی هذا الدلیل، ویکفی فی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الأرض المطر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تمسّحت وأنّه غیر صحیح،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الأرض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ثابتٍ فی الکلام الفصیح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الاعتراضات علی التخریج الثانی للآلوسیّ</w:t>
      </w:r>
    </w:p>
    <w:p>
      <w:pPr>
        <w:pStyle w:val="BookText"/>
        <w:rPr/>
      </w:pPr>
      <w:r>
        <w:rPr>
          <w:rFonts w:ascii="IRNazanin" w:hAnsi="IRNazanin" w:eastAsia="IRNazanin"/>
          <w:color w:val="111111"/>
          <w:sz w:val="28"/>
          <w:sz w:val="28"/>
          <w:szCs w:val="28"/>
          <w:rtl w:val="true"/>
          <w:lang w:bidi="fa-IR"/>
        </w:rPr>
        <w:t xml:space="preserve">وهو حمل الجرِّ علی الجوار،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علیه وجوه قبلها هو قبیل ذلک کما نقلنا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اعترف به الآلوسیّ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عدّوه فی اللحن الذی لا یجوز حمل القرآن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ثبوته مشروط بحصول الأمن من اللبس وهو مفقود هاهنا، وهو مع هذا إنّما یکون ضعیفاً فقط لا فصیحاً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فقدانه فی العطف مجمع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اشتماله علی مخالفة القیاس النحویّ المُخلّ بالبلاغة، وذلک بالفصل بین المتعاطفین بجملة أجنبیّةٍ غیر معترضةٍ، وهو غیر جائز عند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إخراج القرآن علی هذا قبیح جدّاً، ویکون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وأکرمت خالداً وبکراً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أنّه مضروب لا مکرم، فإنهم اتفقوا علی أنّه مستهجن جدّاً، تنفر عنه الطباع ولا تقبله الأسماع، فکیف یحمل علیه کلام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الآلوسیّ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الأخفش وأبا البقاء وسائر مَهَرَةِ العربیّة وأئمّتها جوّزوا جرّ الجوار، وقالوا بوقوعه فی الفصیح ولم ینکره إلّاالزجّاج، وإنکاره مع ثبوته فی کلامهم یدلّ علی قصور تتبّعه، ومن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مقدّم علی النافی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الأخفش فبعد ان ذکر احتمال الجرّ بالجوار اعترف بأنّ النصب هو أجود وأسلم من هذا الاضطرار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مع هذا لم یکن أفضل من الزجّاج فی العربیّة، فکلامه یعارض کلام الزجّاج وهو ساقط عن درجة الاعتبار، لأنّ الحذّاق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الإمام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یقفون فی جانب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البقاء فلیس من علم الإعراب فی شیءٍ، وقد صرح بهذا إمام أهل العربیّة فی عصره ابن هشام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والمراجع لکتاب المغنی یری نقل ابن هشام لکلام ابی البقاء ونقضه ورده علیه، وهذا ما یشاهده المطالع من أول المغنی إلی 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مهرة العربیّة وأئمّتها فیا لیت الآلوسیّ ذکر أسماءهم حتّی ننظر فی مهارتهم وحذقهم، فلیدلّنا علی تلک الجماعة إن کان من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الزجّاج فإنکاره ذلک دلیل علی سعة تتبّعه وحذقه وقصور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المثبت مقدّم علی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إذا کانا متکافئین من حیث الرتبة والدلیل، فی حین ان الآیة لیست من هذا القبیل، وبذلک یکون الترجیح لکلام الزجّاج والأئمّة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الآلوسی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وروده فی الکلام مقیّداً بالأمن من اللبس ولم ینقل عن النُّحاة فی ذلک شیء، وإن کان بعضهم جعل الأمن من اللبس من شرائط حسن الجرّ بالمجاورة مع تضمّن نکتة، وادّعی أنّ النکتة هنا موجودة، وهی الغایة الدالّة علی أنّ المجرور لیس بممسوحٍ بناءً علی أنّ المسح غیر محدودٍ فی الشریعة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النحویین صرّحوا بأنّه ضعیف، وأَنّه یکون مع عدم اللبس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 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عدم تصریحهم بهذا الشرط فإنّما بیّنوه </w:t>
      </w:r>
    </w:p>
    <w:p>
      <w:pPr>
        <w:pStyle w:val="BookText"/>
        <w:rPr/>
      </w:pPr>
      <w:r>
        <w:rPr>
          <w:rFonts w:ascii="IRNazanin" w:hAnsi="IRNazanin" w:eastAsia="IRNazanin"/>
          <w:color w:val="111111"/>
          <w:sz w:val="28"/>
          <w:sz w:val="28"/>
          <w:szCs w:val="28"/>
          <w:rtl w:val="true"/>
          <w:lang w:bidi="fa-IR"/>
        </w:rPr>
        <w:t xml:space="preserve">بالمثال، حیث مثّلوا بالنعت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ضبّ خرب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ذوی الزوجات کلّهم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لبس فیهما، فوروده علی ضعفه مشروط بعدم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الآلوسیّ اعترف بأنّ بعضهم جعله من شرائط الحسن مع تضمّن النکتة، والغایة وقد تقدّم الکلام علیها</w:t>
      </w:r>
      <w:r>
        <w:rPr>
          <w:rStyle w:val="FootnoteAnchor"/>
          <w:rtl w:val="true"/>
        </w:rPr>
        <w:footnoteReference w:id="517"/>
      </w:r>
      <w:r>
        <w:rPr>
          <w:rFonts w:ascii="IRNazanin" w:hAnsi="IRNazanin" w:eastAsia="IRNazanin"/>
          <w:color w:val="111111"/>
          <w:sz w:val="28"/>
          <w:sz w:val="28"/>
          <w:szCs w:val="28"/>
          <w:rtl w:val="true"/>
          <w:lang w:bidi="fa-IR"/>
        </w:rPr>
        <w:t>، وأنّها یتصوّر فی الممسوح والمغسول علی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وقوعه فی النعت والتأکید والعطف مصرَّح به من قبل النُّحاة، واستدلّ 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النابغة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یبق إلّاأسیر غیر منفلتٍ وموثق فی حبال القدّ مجنوب</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النعت والتأکید فقد تقدّم ضعف الجوار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العطف بالحرف فقد تقدّم عدم صحّة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 عن الآیة</w:t>
      </w:r>
      <w:r>
        <w:rPr>
          <w:rStyle w:val="FootnoteAnchor"/>
          <w:rtl w:val="true"/>
        </w:rPr>
        <w:footnoteReference w:id="519"/>
      </w:r>
      <w:r>
        <w:rPr>
          <w:rFonts w:ascii="IRNazanin" w:hAnsi="IRNazanin" w:eastAsia="IRNazanin"/>
          <w:color w:val="111111"/>
          <w:sz w:val="28"/>
          <w:sz w:val="28"/>
          <w:szCs w:val="28"/>
          <w:rtl w:val="true"/>
          <w:lang w:bidi="fa-IR"/>
        </w:rPr>
        <w:t>، والبیت سابقاً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 الرابع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أجنبیّةً عن الأُولی، فلا یلزم الفصل بین المتعاطفین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أحد من الأئمّة العربیّة إلی امتناع الفصل بین الجملتین المتعاطفتین أو المعطوف والمعطوف علیه بل صرّحوا بالجواز، ونقل أبو البقاء إجماع النحویّین علی ذلک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المتعاطفین بالأجنبیّ فی کلام البلغاء لا یکون خالیاً من النکتة، وهی فی الآیة إمّا إرادة الغسل من المسح أو الإیماء إلی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النحویّون ومنهم ابن هشام فی شرح الشذور</w:t>
      </w:r>
      <w:r>
        <w:rPr>
          <w:rStyle w:val="FootnoteAnchor"/>
          <w:rtl w:val="true"/>
        </w:rPr>
        <w:footnoteReference w:id="522"/>
      </w:r>
      <w:r>
        <w:rPr>
          <w:rFonts w:ascii="IRNazanin" w:hAnsi="IRNazanin" w:eastAsia="IRNazanin"/>
          <w:color w:val="111111"/>
          <w:sz w:val="28"/>
          <w:sz w:val="28"/>
          <w:szCs w:val="28"/>
          <w:rtl w:val="true"/>
          <w:lang w:bidi="fa-IR"/>
        </w:rPr>
        <w:t xml:space="preserve">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 الأُولی، ولو لم تکن کذلک لم یجز ربطهما بحرف العطف، لأنّه إذا کان بینهما کمال الاتصال لا یجوز الإتیان بالرابط، وإلّا لکان إخلالاً بالبلاغة کما فی باب الفصل والوصل من علم المعانی</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الحلبیّ وابن هشام وابن عصفور وغیرهم بامتناع الفصل بین المتعاطفین بالأجنبیّ المفرد فضلاً عن الجملة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القرآن علی الجوار یخرجه عن کلام البلغاء، فلا تصل النوبة إلی تتبّع النکتة لأجل الفصل، لأنّه علی هذا التقدیر لا یکون کلاماً فصیحاً کما علمت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البقاء الذی اعتمد علیه الآلوسیّ، وبلغ فی ذلک کلّ مبلغ، إنّما أراد أن یعطف القواعد علی الهوی، ولم یستند فی أقواله إلی شیء یعتمد علیه، ولذا عدّه ابن‌هشام فی غیر موضع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یعتنی بهم فی علم العربیّة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الفصل لبیان أنّ المراد من المسح الغسل فهو باطل، لأنّ البیانیّین لم‌یذکروا </w:t>
      </w:r>
    </w:p>
    <w:p>
      <w:pPr>
        <w:pStyle w:val="BookText"/>
        <w:rPr/>
      </w:pPr>
      <w:r>
        <w:rPr>
          <w:rFonts w:ascii="IRNazanin" w:hAnsi="IRNazanin" w:eastAsia="IRNazanin"/>
          <w:color w:val="111111"/>
          <w:sz w:val="28"/>
          <w:sz w:val="28"/>
          <w:szCs w:val="28"/>
          <w:rtl w:val="true"/>
          <w:lang w:bidi="fa-IR"/>
        </w:rPr>
        <w:t>من قرائن المجاز الفصل بین المتعاطفین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الإیماء إلی الترتیب الذی ادّعاه فهو باطل؛ لأنّ العرب وضعت لإفادة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الفصل ومن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حرفین مختصرین یُستعملان لهذا الغرض إذا استشعروا الحاجة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العاطفتان، وهل القرآن خالٍ عن بیان الترتیب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والآلوسیّ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الآلوسی أنّ الشیعة حملوا الآیة علی المسح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کونها مفعولاً معه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الماء والخشبة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العطف علی المحلّ خلاف الظاهر، والعدول عن الظاهر بلا دلیل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القرینة علی ذلک، أی لا قرینة علی أنّ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بتقدیر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ویکون ذلک من قبیل قولهم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ما الغانیات برزن یوماً وزجّجن الحواجب والعیونا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فإنّه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وکحّلن 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کأن مولاه یجدع أنفه وعینیه إن مولاه کان له وفر</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أی یفقأ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أنّه من القواعد المقرّرة، إذا اجتمع فعلان متغایران معنیً وکان لِکُلٍ متعلّقٌ، حذف أحدهما وعطف متعلّقه علی متعلّق المذکور کأنّه معموله کما فی الشعر المستشهد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مفیدة للمسح باتفاق المسلمین، حتّی أهل السنّة إذا أرادوا إثبات الغسل منها رجعوا بخُفّی حنین، وتشبّثوا بالروایات التی ینقلونها وینسبونها إلی النبیّ صلی الله علیه و آله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 علی المحلّ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 إذ النصب لا یمکن تخریجه بالطریق الصحیح إلّابذلک، مع أنّ العطف علی المحلّ مجمع علی صحّته، وهو مشهور کثیر فی الکلام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العطف علی المحلّ خلاف الظاهر والآلوسیّ لا یقتنع بالظاهر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العطف علی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فتقدیر العامل </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بالطریق الأولی، لأنّ النحویّین أجمعوا علی أنّ التقدیر خلاف الأصل لا یُصار إلیه إلّابدلیل، ولم یصرّح واحد منهم بأنّ العطف علی المحلّ خلاف الظاهر، وإن أردت الوقوف علی ذلک فعلیک بکتاب مغنی اللبیب</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والآلوسیّ الذی زعم أنّه فرّ من مخالفة الظاهر وقع فیها من حیث یدری أو لا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والمخالفة التی وقع فیها تمسُّ بکرامة القرآن والمخالفة التی یزعم أنّ الشیعة وقعوا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تحتفظ بکرامة القرآن وبلاغته، مع موافقة القانون النحویّ المشتهر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نسبة کون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الشیعة فلا یعرفها الشیعة إلی الیوم، فلیدلّنا علی مأخذه من کتب الشیعة إن کان صادقاً، وهذه کتبهم فی التفسیر والنحو بین أیدی الجمیع، فلیدلنا علی مأخذه کی ننظر فیه؟ فالشیعة بَرِیْئُوْنَ من هذا القول براءة الذئب من دم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الآیة من 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متقلّداً سیفاً ورمحاً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بطلانه وفساده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وادّعاؤه حذف أحد الفعلین المتغایرین وعطف معمول المحذوف علی معمول المذکور من أوضح الفساد، إذ الفعل المحذوف إذا کان مغایراً للمذکور لفظاً ومعنیً فکیف یستدلّ بأحدهما علی الآخر، یا أیّها المنصفون؟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رأی أنّ أدلّة الشیعة تفوق أدلّة السنّة، وأنّ الآیة تفید المسح بلا تأویل، استند إلی الغسل بالروایات المشکوک صدورها أو المُساءِ فهمها، مدعیاً أنّها تفید </w:t>
      </w:r>
    </w:p>
    <w:p>
      <w:pPr>
        <w:pStyle w:val="BookText"/>
        <w:rPr/>
      </w:pPr>
      <w:r>
        <w:rPr>
          <w:rFonts w:ascii="IRNazanin" w:hAnsi="IRNazanin" w:eastAsia="IRNazanin"/>
          <w:color w:val="111111"/>
          <w:sz w:val="28"/>
          <w:sz w:val="28"/>
          <w:szCs w:val="28"/>
          <w:rtl w:val="true"/>
          <w:lang w:bidi="fa-IR"/>
        </w:rPr>
        <w:t>الغسل، وهی طائفتان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أهل السنّة والجماعة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وأخبار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 من أخبار الشیعة عدّة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حدیثاً عن أبی حمزة عن أبی هریرة بطرق العیّاشیّ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وروایةً عن أبی بصیر عن أبی عبداللّه الصادق علیه السلام بطریق محمّد بن النعمان الکلینیّ وأبی جعفر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وروایةً عن زید بن علیّ بن الحسین، عن أمیرالمؤمنین بطریق الصفّار محمّد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وادّعی أنّ الشریف الرضی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وضوء النبیّ صلی الله علیه و آله عن أمیرالمؤمنین علیه السلام وذکر فیه غسل الرجلین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التی حکاها عن أهل البیت علیهم السلام هی مما بحثناها فی القسم الثانی من البحث الروائی</w:t>
      </w:r>
      <w:r>
        <w:rPr>
          <w:rStyle w:val="FootnoteAnchor"/>
          <w:rtl w:val="true"/>
        </w:rPr>
        <w:footnoteReference w:id="533"/>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مناقشة ما رواه أهل البیت فی صفة وضوء النبیء صلی الله علیه و آله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فإنّها لو صحت فقد جاءت للتنظیف أو للتقیة، لا لأن الغسل هو سنة رسول اللّه، وقد یکون بعض تلک الروایات موضوعة علی لسانهم، إذ المسح من سیرتهم بلا خلاف، اذ جزم ابن حجر</w:t>
      </w:r>
      <w:r>
        <w:rPr>
          <w:rStyle w:val="FootnoteAnchor"/>
          <w:rtl w:val="true"/>
        </w:rPr>
        <w:footnoteReference w:id="535"/>
      </w:r>
      <w:r>
        <w:rPr>
          <w:rFonts w:ascii="IRNazanin" w:hAnsi="IRNazanin" w:eastAsia="IRNazanin"/>
          <w:color w:val="111111"/>
          <w:sz w:val="28"/>
          <w:sz w:val="28"/>
          <w:szCs w:val="28"/>
          <w:rtl w:val="true"/>
          <w:lang w:bidi="fa-IR"/>
        </w:rPr>
        <w:t>وابن حزم</w:t>
      </w:r>
      <w:r>
        <w:rPr>
          <w:rStyle w:val="FootnoteAnchor"/>
          <w:rtl w:val="true"/>
        </w:rPr>
        <w:footnoteReference w:id="536"/>
      </w:r>
      <w:r>
        <w:rPr>
          <w:rFonts w:ascii="Amiri" w:hAnsi="Amiri" w:eastAsia="Amiri" w:cs="Amiri"/>
          <w:color w:val="111111"/>
          <w:sz w:val="28"/>
          <w:sz w:val="28"/>
          <w:szCs w:val="28"/>
          <w:rtl w:val="true"/>
          <w:lang w:bidi="ar-SA"/>
        </w:rPr>
        <w:t>وابن قدامة</w:t>
      </w:r>
      <w:r>
        <w:rPr>
          <w:rStyle w:val="FootnoteAnchor"/>
          <w:rtl w:val="true"/>
        </w:rPr>
        <w:footnoteReference w:id="537"/>
      </w:r>
      <w:r>
        <w:rPr>
          <w:rFonts w:ascii="IRNazanin" w:hAnsi="IRNazanin" w:eastAsia="IRNazanin"/>
          <w:color w:val="111111"/>
          <w:sz w:val="28"/>
          <w:sz w:val="28"/>
          <w:szCs w:val="28"/>
          <w:rtl w:val="true"/>
          <w:lang w:bidi="fa-IR"/>
        </w:rPr>
        <w:t xml:space="preserve">وغیرهم </w:t>
      </w:r>
    </w:p>
    <w:p>
      <w:pPr>
        <w:pStyle w:val="BookText"/>
        <w:rPr/>
      </w:pPr>
      <w:r>
        <w:rPr>
          <w:rFonts w:ascii="IRNazanin" w:hAnsi="IRNazanin" w:eastAsia="IRNazanin"/>
          <w:color w:val="111111"/>
          <w:sz w:val="28"/>
          <w:sz w:val="28"/>
          <w:szCs w:val="28"/>
          <w:rtl w:val="true"/>
          <w:lang w:bidi="fa-IR"/>
        </w:rPr>
        <w:t>بأن مذهب الإمام علی علیه السلام کان المسح، وقد مرّ علیک قوله علیه السلام مستدلاً علی أهل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ان باطن القدمین احق بالمسح من ظاهرهما حتی رأیت رسول اللّه یمسح ظاهرهما</w:t>
      </w:r>
      <w:r>
        <w:rPr>
          <w:rStyle w:val="FootnoteAnchor"/>
          <w:rtl w:val="true"/>
        </w:rPr>
        <w:footnoteReference w:id="538"/>
      </w:r>
      <w:r>
        <w:rPr>
          <w:rFonts w:ascii="IRNazanin" w:hAnsi="IRNazanin" w:eastAsia="IRNazanin"/>
          <w:color w:val="111111"/>
          <w:sz w:val="28"/>
          <w:sz w:val="28"/>
          <w:szCs w:val="28"/>
          <w:rtl w:val="true"/>
          <w:lang w:bidi="fa-IR"/>
        </w:rPr>
        <w:t>، وقوله فی نص آخر، بعد أن توضأ ماسحاً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w:t>
      </w:r>
      <w:r>
        <w:rPr>
          <w:rStyle w:val="FootnoteAnchor"/>
          <w:rtl w:val="true"/>
        </w:rPr>
        <w:footnoteReference w:id="539"/>
      </w:r>
      <w:r>
        <w:rPr>
          <w:rFonts w:ascii="IRNazanin" w:hAnsi="IRNazanin" w:eastAsia="IRNazanin"/>
          <w:color w:val="111111"/>
          <w:sz w:val="28"/>
          <w:sz w:val="28"/>
          <w:szCs w:val="28"/>
          <w:rtl w:val="true"/>
          <w:lang w:bidi="fa-IR"/>
        </w:rPr>
        <w:t>، وکتابه إلی محمد بن أبی بکر مشهور، وقد علّمه فیه شرائع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المسح علی القدمین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صرح الفخرالرازی فی تفسیره بأن مذهب الطالبیین وأبناء الإمام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جعفر الباقر علیه السلام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المسح علی القدمین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مرّ علیک أیضاً بأن الإمام السجاد علیه السلام ارسل ابن عمه عبداللّه بن محمد بن عقیل إلی الرُّبَیّع بنت المعوّذ معترضاً علی نقلها غسل رسول اللّه لقدمیه،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کتاب اللّه إلّا غسلتین ومسحتین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النصوص تؤکد أَنَّ مذهب أهل البیت کان هو المسح علی القدمین والشیعة تعلّموا المسح من أهل البیت، لأنّهم أعلم بسنّة جدّهم من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سلّمنا جدلاً صحّة تلک الروایات التی نقلها الآلوسیّ وصدورها عنهم بطریق التقیّة، فهی معارضة بروایات المسح التی هی أکثر وأشهر وأصحّ ما یروی عنهم علیهم السلام، مثلما نُقِلَ عن الإمامین الباقرین الصادقین أبی جعفر وأبی عبداللّه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یصلّی ستّین سنة و لا یقبل منه صلاته، لأنّه یغسل ما أمر الله بمسحه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نقله عن الشریف الرضی فهو موضوع علیه؛ لأنّ غسل الرجلین عن رسول‌اللّه صلی الله علیه و آله من طریق أمیرالمؤمنین علیه السلام غیر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النسخ التی صحّحها أهل السنّة وشرحوها،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والشیخ محمّد عبده، وصبحی الصالح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القوم یرمون الکلام علی عواهنه وینسبون إلی الشیعة ما لم یقولوه ولا یوجد فی کتبهم؟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إذا أرادوا أن ینقلوا قولاً عن کتاب فیأتون بالعجب العجاب، لان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 القرآن وحلیف الشیعة فی کلّ زمان ومکان، فکیف یکون فیه کلام کهذا ویخفی علیهم؟ ولیس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موجوداً فی هذا الکتاب ثمّ حذفوه؛ لأنَّ هذا الکلام باطِلٌ أیضاً، لان نسخ هذا الکتاب موجودة قبل أن یولد الآلوسی، بل ان مصادر کلام الشریف الرضی موجودة فی المصادر التی سبقته، فلا نری بین تلک المصادر ما قاله الآلوسی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جاء عن الإمام أمیر المومنین علی علیه السلام فی الوضوء لکن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شرحه لابن أبی الحدید نقلاً عن الغارات للثقفی، وان ذلک النقل لیس فیه الوضوء الغسلی بل فیه الوضوء المسحی؛ حسب نقلی الشیخ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 والشیخ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لکن المحرفون للتراث بدءً من معاویة</w:t>
      </w:r>
      <w:r>
        <w:rPr>
          <w:rStyle w:val="FootnoteAnchor"/>
          <w:rtl w:val="true"/>
        </w:rPr>
        <w:footnoteReference w:id="546"/>
      </w:r>
      <w:r>
        <w:rPr>
          <w:rFonts w:ascii="IRNazanin" w:hAnsi="IRNazanin" w:eastAsia="IRNazanin"/>
          <w:color w:val="111111"/>
          <w:sz w:val="28"/>
          <w:sz w:val="28"/>
          <w:szCs w:val="28"/>
          <w:rtl w:val="true"/>
          <w:lang w:bidi="fa-IR"/>
        </w:rPr>
        <w:t>إلی علی فکری رئیس اللجنة المغیّرة للکتب فی مصر، اخذوا یعبثون بهذه النصوص فی الغارات وفی غیره</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وضحناه فی البحث التاریخی من دراستنا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الآلوسیّ وروایات المسح</w:t>
      </w:r>
    </w:p>
    <w:p>
      <w:pPr>
        <w:pStyle w:val="BookText"/>
        <w:rPr/>
      </w:pPr>
      <w:r>
        <w:rPr>
          <w:rFonts w:ascii="IRNazanin" w:hAnsi="IRNazanin" w:eastAsia="IRNazanin"/>
          <w:color w:val="111111"/>
          <w:sz w:val="28"/>
          <w:sz w:val="28"/>
          <w:szCs w:val="28"/>
          <w:rtl w:val="true"/>
          <w:lang w:bidi="fa-IR"/>
        </w:rPr>
        <w:t>أنکر الآلوسی روایات المسح التی أوردها الأئمّة من السنّة من زمن الصدور إلی یومه، مدّعیاً أنّ ابن عبّاس وأنساً وأبا العالیة وعکرمة والشعبیّ لم یقولوها، ولم یکونوا یمسحون، وأنّها موضوعة علیهم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کلمات لا مستند لها إلّاالتمرّد علی المنطق والخروج علی الدلیل، وإذا وطئ المنطق تحت أرجل العصبیّة، فیمکن لکلّ أحد أن یقول ما شاء، </w:t>
      </w:r>
    </w:p>
    <w:p>
      <w:pPr>
        <w:pStyle w:val="BookText"/>
        <w:rPr/>
      </w:pPr>
      <w:r>
        <w:rPr>
          <w:rFonts w:ascii="IRNazanin" w:hAnsi="IRNazanin" w:eastAsia="IRNazanin"/>
          <w:color w:val="111111"/>
          <w:sz w:val="28"/>
          <w:sz w:val="28"/>
          <w:szCs w:val="28"/>
          <w:rtl w:val="true"/>
          <w:lang w:bidi="fa-IR"/>
        </w:rPr>
        <w:t>ویقول فی شأن کلّ روایة لا تتفق مع معتقدة إنّها کذب وزور وبهتان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فلیأْتنا بدلیل علی مُدَّعاه أو لیخطئ أسانید تلک المرویات، ولیعرضها علی أقوال ابن عباس وأنس بن مالک وغَیْرِهِما، لا أن یقول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الآلوسیّ والتهجّم علی الشیعة وعلماء السنّة</w:t>
      </w:r>
    </w:p>
    <w:p>
      <w:pPr>
        <w:pStyle w:val="BookText"/>
        <w:rPr/>
      </w:pPr>
      <w:r>
        <w:rPr>
          <w:rFonts w:ascii="IRNazanin" w:hAnsi="IRNazanin" w:eastAsia="IRNazanin"/>
          <w:color w:val="111111"/>
          <w:sz w:val="28"/>
          <w:sz w:val="28"/>
          <w:szCs w:val="28"/>
          <w:rtl w:val="true"/>
          <w:lang w:bidi="fa-IR"/>
        </w:rPr>
        <w:t>ثمّ تهجّم علی الشیعة الإمامیّة بأنّهم اختلقوا روایة التخییر المنسوب إلی الطبریّ،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أهل السنّة ممّن لم یمیّز الصحیح من السقیم من الأخبار قلّدوا الشیعة بلا تحقیق ولا سند، واتسع الخرق علی الراقع</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الذین رووا التخییر عن الطبریّ هو فخر الدین الرازیّ صاحب التفسیر الکبیر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باللّه یا أیّها المنصفون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أَعلی کعباً فی التفسیر والحدیث هل هو الرازی أم الآلوسیّ؟ ومتی قلّد السنّة الشیعة فی شیء حتّی یعتمدوا علیهم فی روایة التخییر؟ والتخییر مَوْجُوْدٌ فی تفسیر الطبریّ حینما رجحّ قراءة الجرّ بعد قبولهما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والرازیّ بل کلّ من له أَنَسَةٌ باللغة العربیّة یفهم من تفسیر الطبری التخییر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افتری الآلوسی فریة أُخری بیّنةً،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جریر القائل بالتخییر هو محمّد بن جریر بن رستم الطبریّ الشیعیّ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للمسترشد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أبو جعفر محمّد بن جریر بن یزید الطبریّ الشافعیّ الذی هو من </w:t>
      </w:r>
    </w:p>
    <w:p>
      <w:pPr>
        <w:pStyle w:val="BookText"/>
        <w:rPr/>
      </w:pPr>
      <w:r>
        <w:rPr>
          <w:rFonts w:ascii="IRNazanin" w:hAnsi="IRNazanin" w:eastAsia="IRNazanin"/>
          <w:color w:val="111111"/>
          <w:sz w:val="28"/>
          <w:sz w:val="28"/>
          <w:szCs w:val="28"/>
          <w:rtl w:val="true"/>
          <w:lang w:bidi="fa-IR"/>
        </w:rPr>
        <w:t>أعلام الجمهور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صح کلامه فبم یجیب ابن الجوزی القائل فی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جریر یری جواز المسح علی القدمین ولا یوجب غسلهما، فلهذا نسب إلی الرفض، وکان قد رفع فی حقه أبو بکر بن أبی داود قصة إلی الحاجب یذکر عنه اشیاء فأنکرها</w:t>
      </w:r>
      <w:r>
        <w:rPr>
          <w:rStyle w:val="FootnoteAnchor"/>
          <w:rtl w:val="true"/>
        </w:rPr>
        <w:footnoteReference w:id="550"/>
      </w:r>
      <w:r>
        <w:rPr>
          <w:rFonts w:ascii="IRNazanin" w:hAnsi="IRNazanin" w:eastAsia="IRNazanin"/>
          <w:color w:val="111111"/>
          <w:sz w:val="28"/>
          <w:sz w:val="28"/>
          <w:szCs w:val="28"/>
          <w:rtl w:val="true"/>
          <w:lang w:bidi="fa-IR"/>
        </w:rPr>
        <w:t>، وروی أیضاً عن ابن سنان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اخفیت حاله لأنّ العامة اجتمعوا ومنعوا من دفنه بالنهار، وادّعوا علیه الرفض ثم ادّعوا علیه الإِلحاد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 من له أدنی إلمام بمذهب الإمامیّة الاثنی عشریّة أنّهم یوجبون المسح فرضاً معیّناً تبعاً للقرآن والعترة، ولا قائل منهم بالتخییر، لأنّهم لا یشکّون فی کونهم علی الحقّ، وإلّا لما اعتنقوا هذا المذهب، وأنّ اعتناقهم لهذا المذهب جاء بدلیل وبرهان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الآلوسی أنکر روایة المسح والجمع والتخییر فی تفسیر الطبریّ مدعیاً أنّه لم یذکر إلّاالغسل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إذا قرأت 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المنتشر فی بلاد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کذب الآلوسی وإضلاله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إلیه أنّه زعم أنّ روایات الشیعة الدالّة علی المسح لا یعتمد علیها، لان الواقف علی أحوال رواتهم یعلم بعدم امکان الاعتماد علی تلک الأخبار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الشیعة لا تحتاج ولا تحتجّ فی إثبات المسح علی مَنْ یُسَمونَ أَنفسهم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بروایاتهم، وإن کانت تلک الروایات صحیحةً عندهم، بل أنّها تحتجّ </w:t>
      </w:r>
    </w:p>
    <w:p>
      <w:pPr>
        <w:pStyle w:val="BookText"/>
        <w:rPr/>
      </w:pPr>
      <w:r>
        <w:rPr>
          <w:rFonts w:ascii="IRNazanin" w:hAnsi="IRNazanin" w:eastAsia="IRNazanin"/>
          <w:color w:val="111111"/>
          <w:sz w:val="28"/>
          <w:sz w:val="28"/>
          <w:szCs w:val="28"/>
          <w:rtl w:val="true"/>
          <w:lang w:bidi="fa-IR"/>
        </w:rPr>
        <w:t xml:space="preserve">بروایات أهل السنّة إلزاماً لهم بما ألزموا به أنفسهم، کما فعلناه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فدرسنا موضوع وضوء رسول اللّه من خلال روایاتهم بدءاً فی اخذنا بروایة الزهری عن عطاء بن یزید اللیثی، عن حمران، عن عثمان من کتابی البخاری ومسلم وغیرها من المجامیع الحدیثیة، وهذه هی سیرة الشیعة مع الجمهور منذ زمن الإمام أمیر المؤمنین علیّ علیه السلام بن أبی طالب علیه السلام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وقف علی أحوال رواة المسلمین من جمیع المذاهب متحرِّراً عن النزعات والعصبیّة العمیاء، وجد رواة الشیعة أصدقهم وأورعهم وأتقاهم وأحفظهم وأعلمهم وأحرصهم علی السنة تدویناً وتحدیثاً</w:t>
      </w:r>
      <w:r>
        <w:rPr>
          <w:rStyle w:val="FootnoteAnchor"/>
          <w:rtl w:val="true"/>
        </w:rPr>
        <w:footnoteReference w:id="553"/>
      </w:r>
      <w:r>
        <w:rPr>
          <w:rFonts w:ascii="IRNazanin" w:hAnsi="IRNazanin" w:eastAsia="IRNazanin"/>
          <w:color w:val="111111"/>
          <w:sz w:val="28"/>
          <w:sz w:val="28"/>
          <w:szCs w:val="28"/>
          <w:rtl w:val="true"/>
          <w:lang w:bidi="fa-IR"/>
        </w:rPr>
        <w:t>واقفین مع الحق، وإن وضعت الصمصامة علی أعناقهم، وأن العامة أخذوا بمرویّات الثقات من الشیعة لوثاقتهم ودینهم عند الخاصّة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رواة أهل السنّة فخذ کتاب البخاریّ مثلاً والموسوم بالصحیح، الذی قیل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کتاب بعد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فتجد بین رواته مجهولٍ إلی خارجیّ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متجاهر بالفسق، إلی منافقٍ مدلّس إلی کذّاب مشهور بالکذب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هذا کلّه فیقول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رواة الشیعة لا یعوَّل علی خبرهم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بأن أصحاب الکتب الأربعة الشیعیة لم یشترطوا علی أنفسهم ما شرطه البخاریّ علی نفسه، فالبخاری یروی عن عمران بن حطّان السدوسیّ الخارجیّ الکافر، ویعتمد فی أخذ الدین علیه خلافاً لشروطه کَما یروی عن حریز بن عثمان الناصبی الأفاکِ الذی کان یلعن إمام المتقین علیاً علیه السلام سبعین مَرّة </w:t>
      </w:r>
    </w:p>
    <w:p>
      <w:pPr>
        <w:pStyle w:val="BookText"/>
        <w:rPr/>
      </w:pPr>
      <w:r>
        <w:rPr>
          <w:rFonts w:ascii="IRNazanin" w:hAnsi="IRNazanin" w:eastAsia="IRNazanin"/>
          <w:color w:val="111111"/>
          <w:sz w:val="28"/>
          <w:sz w:val="28"/>
          <w:szCs w:val="28"/>
          <w:rtl w:val="true"/>
          <w:lang w:bidi="fa-IR"/>
        </w:rPr>
        <w:t>فی الصباح ومثلها فی المساء</w:t>
      </w:r>
      <w:r>
        <w:rPr>
          <w:rStyle w:val="FootnoteAnchor"/>
          <w:rtl w:val="true"/>
        </w:rPr>
        <w:footnoteReference w:id="556"/>
      </w:r>
      <w:r>
        <w:rPr>
          <w:rFonts w:ascii="IRNazanin" w:hAnsi="IRNazanin" w:eastAsia="IRNazanin"/>
          <w:color w:val="111111"/>
          <w:sz w:val="28"/>
          <w:sz w:val="28"/>
          <w:szCs w:val="28"/>
          <w:rtl w:val="true"/>
          <w:lang w:bidi="fa-IR"/>
        </w:rPr>
        <w:t>، ولم ینقل روایة واحدة عن الإمام العسکریّ علیه السلام ابن رسول اللّه صلی الله علیه و آله مع أنّه عاصره، کما أنّه لم یروِ عن الإمام جعفر الصادق علیه السلام إذ عاتبه العلّامة أبو بکر ابن شهاب الدین الحضرمی الشافعی بأبیات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قضیةٌ أَشْبَهُ بِالْمَرْزئَةِ هَذا البخاریُّ إِمامُ الفئةْ</w:t>
      </w:r>
    </w:p>
    <w:p>
      <w:pPr>
        <w:pStyle w:val="BookText"/>
        <w:rPr/>
      </w:pPr>
      <w:r>
        <w:rPr>
          <w:rFonts w:ascii="Amiri" w:hAnsi="Amiri" w:eastAsia="Amiri" w:cs="Amiri"/>
          <w:color w:val="111111"/>
          <w:sz w:val="28"/>
          <w:sz w:val="28"/>
          <w:szCs w:val="28"/>
          <w:rtl w:val="true"/>
          <w:lang w:bidi="ar-SA"/>
        </w:rPr>
        <w:t>بالصادقِ الصدّیقِ ما احتجَّ فی صحیحه واحتجّ بالمرجئةْ</w:t>
      </w:r>
    </w:p>
    <w:p>
      <w:pPr>
        <w:pStyle w:val="BookText"/>
        <w:rPr/>
      </w:pPr>
      <w:r>
        <w:rPr>
          <w:rFonts w:ascii="Amiri" w:hAnsi="Amiri" w:eastAsia="Amiri" w:cs="Amiri"/>
          <w:color w:val="111111"/>
          <w:sz w:val="28"/>
          <w:sz w:val="28"/>
          <w:szCs w:val="28"/>
          <w:rtl w:val="true"/>
          <w:lang w:bidi="ar-SA"/>
        </w:rPr>
        <w:t>ومثلِ عمرانَ بنِ حِطَّانَ أو مروانَ وابنِ المرأةِ المخطئةْ</w:t>
      </w:r>
    </w:p>
    <w:p>
      <w:pPr>
        <w:pStyle w:val="BookText"/>
        <w:rPr/>
      </w:pPr>
      <w:r>
        <w:rPr>
          <w:rFonts w:ascii="Amiri" w:hAnsi="Amiri" w:eastAsia="Amiri" w:cs="Amiri"/>
          <w:color w:val="111111"/>
          <w:sz w:val="28"/>
          <w:sz w:val="28"/>
          <w:szCs w:val="28"/>
          <w:rtl w:val="true"/>
          <w:lang w:bidi="ar-SA"/>
        </w:rPr>
        <w:t>مشکلةٌ ذاتُ عوارٍ إِلی حَیْرَةِ أربابِ النُّهَی مُلْجِئَةْ</w:t>
      </w:r>
    </w:p>
    <w:p>
      <w:pPr>
        <w:pStyle w:val="BookText"/>
        <w:rPr/>
      </w:pPr>
      <w:r>
        <w:rPr>
          <w:rFonts w:ascii="Amiri" w:hAnsi="Amiri" w:eastAsia="Amiri" w:cs="Amiri"/>
          <w:color w:val="111111"/>
          <w:sz w:val="28"/>
          <w:sz w:val="28"/>
          <w:szCs w:val="28"/>
          <w:rtl w:val="true"/>
          <w:lang w:bidi="ar-SA"/>
        </w:rPr>
        <w:t>وحقِّ بیتٍ یَمَّمَتْهُ الوری مُغِذَّةً فی السیر أو مُبْطئةْ</w:t>
      </w:r>
    </w:p>
    <w:p>
      <w:pPr>
        <w:pStyle w:val="BookText"/>
        <w:rPr/>
      </w:pPr>
      <w:r>
        <w:rPr>
          <w:rFonts w:ascii="Amiri" w:hAnsi="Amiri" w:eastAsia="Amiri" w:cs="Amiri"/>
          <w:color w:val="111111"/>
          <w:sz w:val="28"/>
          <w:sz w:val="28"/>
          <w:szCs w:val="28"/>
          <w:rtl w:val="true"/>
          <w:lang w:bidi="ar-SA"/>
        </w:rPr>
        <w:t>إِنّ الإمامَ الصادقَ المجتبی بفضله الآیُ أتَتْ مُنبِئَةْ</w:t>
      </w:r>
    </w:p>
    <w:p>
      <w:pPr>
        <w:pStyle w:val="BookText"/>
        <w:rPr/>
      </w:pPr>
      <w:r>
        <w:rPr>
          <w:rFonts w:ascii="Amiri" w:hAnsi="Amiri" w:eastAsia="Amiri" w:cs="Amiri"/>
          <w:color w:val="111111"/>
          <w:sz w:val="28"/>
          <w:sz w:val="28"/>
          <w:szCs w:val="28"/>
          <w:rtl w:val="true"/>
          <w:lang w:bidi="ar-SA"/>
        </w:rPr>
        <w:t>أجَلُّ مَنْ فی عصرهِ رتبةً لَمْ یَقْترِفْ فِی عُمْرِهِ سَیِّئَةْ</w:t>
      </w:r>
    </w:p>
    <w:p>
      <w:pPr>
        <w:pStyle w:val="BookText"/>
        <w:rPr/>
      </w:pPr>
      <w:r>
        <w:rPr>
          <w:rFonts w:ascii="Amiri" w:hAnsi="Amiri" w:eastAsia="Amiri" w:cs="Amiri"/>
          <w:color w:val="111111"/>
          <w:sz w:val="28"/>
          <w:sz w:val="28"/>
          <w:szCs w:val="28"/>
          <w:rtl w:val="true"/>
          <w:lang w:bidi="ar-SA"/>
        </w:rPr>
        <w:t>قُلامَةٌ من ظُفرِ إِبهامه تعدلُ مِنْ مِثْلِ البخاری مِئَةْ</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نعم لا یعوّل علی خبر الشیعة الحزب القرشیّ والأمویّ والخوارج والفسقة والمردة من حزب إبلیس، والشیعة لا تحتاج إلی أمثال هؤلاء،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یتّخذون المضلّین عضداً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الآلوسیّ وهو یلفظ أنفاسه الأخیرة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أصرّ الآلوسیّ فی نشر الباطل بما ذکرنا، ولم یبق عنده إلّااعتراضان علی الشیعة فأوردهما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الآیة لو کان مسحاً کما یعتقده الإمامیّة لکان الغسل عنه کافیاً، أمّا لو کان حکمه الغسل لما کان المسح عنه کافیاً، وبذلک فالغاسل للرجلین ذمته مبرءة غیر الماسح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الآیة لو کان هو المسح لما کان الغسل عنه کافیاً، لأنّ المسلم یجب ان یتعبّد بما ورد عن الشارع ولا یکون مشرّعاً من عند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ما یقوله صحیحاً لاوجب غسل الرأس أیضاً، لأنّ المسح متّفق علیه بین الفریقین، فهلّا یوجب الآلوسیّ وقومه غسل رؤوسهم لیخرجوا عمّا فی ذمتهم من التکلیف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وإن کان الآلوسی وأضرابه یذهبون إلی جواز غسل الرأس علی کراهة، مسقطین بذلک حکم المسح فی القرآن، فلو جاز الغسل وأنّه مسح وزیادة کما یقولون فَلِمَ لا یغسلون الرأس علی أنّه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أنّه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وعلیه فکما لا یکفی المسح عن الغسل، کذا لا یکفی الغسل عن المسح فیما أُمر فیه بالمسح، لأنا متعبدون بأوامر اللّه ورسوله ولیس لنا الخیرة فی أَمْرِنا، وان دین اللّه لا یؤخذ بالرأی، والکتاب والسنّة شاهدان للشیعة علی 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الغسل أوفق للاحتیاط، لأنّ سنده متّفق علیه، والمسح مختلف فیه فیلزم الشیعة الغسل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فیما سبق أنّ ما تحویه کتب العامّة فی التفسیر والفقه والأحکام هُوَ خلاف ما یقوله الآلوسیّ، وأنّ المسح متفق علیه بین الفریقین بعکس الغسل المختلف فیه، حیث یعتقد به أهل السنّة فقط، وهم مع ذلک نقلوا المسح عن النبیّ فی غیر موضع، وبهذا فقد عرفت تقاطع دعاوی الآلوسیّ مع الحقّ وأنّه فی طرفی نقیض معه</w:t>
      </w:r>
      <w:r>
        <w:rPr>
          <w:rFonts w:eastAsia="IRNazanin" w:cs="IRNazanin"/>
          <w:color w:val="111111"/>
          <w:sz w:val="28"/>
          <w:szCs w:val="28"/>
          <w:rtl w:val="true"/>
          <w:lang w:bidi="fa-IR"/>
        </w:rPr>
        <w:t xml:space="preserve">. </w:t>
      </w:r>
      <w:bookmarkStart w:id="346" w:name="pg6193_71025"/>
    </w:p>
    <w:p>
      <w:pPr>
        <w:pStyle w:val="Heading3"/>
        <w:numPr>
          <w:ilvl w:val="2"/>
          <w:numId w:val="1"/>
        </w:numPr>
        <w:rPr/>
      </w:pPr>
      <w:bookmarkStart w:id="347" w:name="__RefHeading___Toc972298_237004111"/>
      <w:bookmarkStart w:id="348" w:name="_Toc123"/>
      <w:bookmarkEnd w:id="346"/>
      <w:bookmarkEnd w:id="347"/>
      <w:r>
        <w:rPr/>
        <w:t>101</w:t>
      </w:r>
      <w:r>
        <w:rPr>
          <w:rtl w:val="true"/>
        </w:rPr>
        <w:t xml:space="preserve"> - </w:t>
      </w:r>
      <w:r>
        <w:rPr>
          <w:rtl w:val="true"/>
        </w:rPr>
        <w:t xml:space="preserve">الشوکانیّ </w:t>
      </w:r>
      <w:r>
        <w:rPr>
          <w:rtl w:val="true"/>
        </w:rPr>
        <w:t>(</w:t>
      </w:r>
      <w:r>
        <w:rPr>
          <w:rtl w:val="true"/>
        </w:rPr>
        <w:t xml:space="preserve">ت </w:t>
      </w:r>
      <w:r>
        <w:rPr/>
        <w:t>1255</w:t>
      </w:r>
      <w:r>
        <w:rPr>
          <w:rtl w:val="true"/>
        </w:rPr>
        <w:t xml:space="preserve"> </w:t>
      </w:r>
      <w:r>
        <w:rPr>
          <w:rtl w:val="true"/>
        </w:rPr>
        <w:t xml:space="preserve">ه </w:t>
      </w:r>
      <w:r>
        <w:rPr>
          <w:rtl w:val="true"/>
        </w:rPr>
        <w:t>)</w:t>
      </w:r>
      <w:bookmarkEnd w:id="348"/>
    </w:p>
    <w:p>
      <w:pPr>
        <w:pStyle w:val="BookText"/>
        <w:rPr/>
      </w:pPr>
      <w:r>
        <w:rPr>
          <w:rFonts w:ascii="IRNazanin" w:hAnsi="IRNazanin" w:eastAsia="IRNazanin"/>
          <w:color w:val="111111"/>
          <w:sz w:val="28"/>
          <w:sz w:val="28"/>
          <w:szCs w:val="28"/>
          <w:rtl w:val="true"/>
          <w:lang w:bidi="fa-IR"/>
        </w:rPr>
        <w:t>نقل الشوکانی ما استدل به فی قراءة الجر وأن بعض استدل بها علی المسح لأنّها معطوفة علی الرأس وهو مروی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الأمّة علی وجوب غسیلهما، وما علمت من ردّ ذلک إلّا الطبری والرافضة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عکرمة یمسح،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الرجلین غسل إنّما نزل فیهما المسح، وقال عامر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بالمسح، 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اللّه مسحتین وغسلتین، وذهب ابن جریر إلی التخییر وجعل القراءتین کالرّوایتین، وقواه النّحاس، ولکنه قد ثبت فی السنة المطهرة بالأحادیث الصحیحة من فعله، وقوله غسل الرجلین فقط، وثبت عنه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الصحیحین وغیرهما فإفاد وجوب غسل الرجلین وأنّه لا یجزی مسحهما</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رد الغسل عمل أئمّة أهل البیت وبعض الصحابة بالمسح عملاً بظهور الآیة، وقد وقفت علی أقوالهم فی کلام الشوکانی، والأئمّة من أهل البیت جعلو الغسل مختصاً بحالة التقیة أو للتنظیف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دلیل علی وجوب الغسل إلّاروایات الویل، ومعناها غیر ما یریدون منها</w:t>
      </w:r>
      <w:r>
        <w:rPr>
          <w:rFonts w:eastAsia="IRNazanin" w:cs="IRNazanin"/>
          <w:color w:val="111111"/>
          <w:sz w:val="28"/>
          <w:szCs w:val="28"/>
          <w:rtl w:val="true"/>
          <w:lang w:bidi="fa-IR"/>
        </w:rPr>
        <w:t xml:space="preserve">. </w:t>
      </w:r>
      <w:bookmarkStart w:id="349" w:name="pg6193_71027"/>
    </w:p>
    <w:p>
      <w:pPr>
        <w:pStyle w:val="BookText"/>
        <w:rPr/>
      </w:pPr>
      <w:bookmarkEnd w:id="349"/>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الغسل علی قولهم تدل علی الغسل وظاهر الآیة یدل علی المسح، ولیست الروایات بهذه المثابة حتی تنسخ المسح وهذا بحث تعرض له علماء الاُصول، فإذاً مقتضی الجمع هو التّخییر کما قال ابن جریر ولکنّه من هذه الجهة لا من باب القراءتین</w:t>
      </w:r>
      <w:r>
        <w:rPr>
          <w:rFonts w:eastAsia="IRNazanin" w:cs="IRNazanin"/>
          <w:color w:val="111111"/>
          <w:sz w:val="28"/>
          <w:szCs w:val="28"/>
          <w:rtl w:val="true"/>
          <w:lang w:bidi="fa-IR"/>
        </w:rPr>
        <w:t>.</w:t>
      </w:r>
    </w:p>
    <w:p>
      <w:pPr>
        <w:pStyle w:val="Heading3"/>
        <w:numPr>
          <w:ilvl w:val="2"/>
          <w:numId w:val="1"/>
        </w:numPr>
        <w:rPr/>
      </w:pPr>
      <w:bookmarkStart w:id="350" w:name="__RefHeading___Toc972300_237004111"/>
      <w:bookmarkStart w:id="351" w:name="_Toc124"/>
      <w:bookmarkEnd w:id="350"/>
      <w:r>
        <w:rPr/>
        <w:t>102</w:t>
      </w:r>
      <w:r>
        <w:rPr>
          <w:rtl w:val="true"/>
        </w:rPr>
        <w:t xml:space="preserve"> - </w:t>
      </w:r>
      <w:r>
        <w:rPr>
          <w:rtl w:val="true"/>
        </w:rPr>
        <w:t xml:space="preserve">الجواهریّ </w:t>
      </w:r>
      <w:r>
        <w:rPr>
          <w:rtl w:val="true"/>
        </w:rPr>
        <w:t>(</w:t>
      </w:r>
      <w:r>
        <w:rPr>
          <w:rtl w:val="true"/>
        </w:rPr>
        <w:t xml:space="preserve">ت </w:t>
      </w:r>
      <w:r>
        <w:rPr/>
        <w:t>1266</w:t>
      </w:r>
      <w:r>
        <w:rPr>
          <w:rtl w:val="true"/>
        </w:rPr>
        <w:t xml:space="preserve"> </w:t>
      </w:r>
      <w:r>
        <w:rPr>
          <w:rtl w:val="true"/>
        </w:rPr>
        <w:t xml:space="preserve">ه </w:t>
      </w:r>
      <w:r>
        <w:rPr>
          <w:rtl w:val="true"/>
        </w:rPr>
        <w:t>)</w:t>
      </w:r>
      <w:bookmarkEnd w:id="351"/>
    </w:p>
    <w:p>
      <w:pPr>
        <w:pStyle w:val="BookText"/>
        <w:rPr/>
      </w:pPr>
      <w:r>
        <w:rPr>
          <w:rFonts w:ascii="IRNazanin" w:hAnsi="IRNazanin" w:eastAsia="IRNazanin"/>
          <w:color w:val="111111"/>
          <w:sz w:val="28"/>
          <w:sz w:val="28"/>
          <w:szCs w:val="28"/>
          <w:rtl w:val="true"/>
          <w:lang w:bidi="fa-IR"/>
        </w:rPr>
        <w:t xml:space="preserve">نقل الشیخ محمد حسن النجفی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عن أبی جعفر الباقر علیه السلام بروایة غالب بن الهذیل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والمفاد المسح،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مرویّ صحیحاً عن أئمّة أهل البیت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الجواهریّ وجرّ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الجواهریّ احتمال الجرّ بالجوار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المحقّقین إیّاه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تأویلهم ما یوهم ذلک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تصریحهم بعدم وروده فی الفصیح لو قلنا بوروده فی غیره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بکونه مقصوراً علی السماع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ومشروطاً بعدم حرف العطف خامساً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اللبس سادساً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مقالة الغاسلین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مذهب القائلین بأنّ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المسح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لاشتماله علیه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والتحذیر عن الإسراف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والتحدید ثالثاً، بدلیل أنّ المسح غیر محدّد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وتعرّض لردّهم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الکلمتین مختلفتان لفظاً وَمَعْنَیً، عرفاً وشرعاً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الاشتمال لا یوجب صدق الاسم علیه کما قال المرتضی</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الفرض الغسل لما کان صبّ الماء إسرافاً حتّی یحذّر عنه، الذی یخاف الإسراف علیه أن یتدبّر فی وضع أحکامه ولا یضع حکماً موجباً للإسراف، هذا أهون علیه وعلی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التحدید فی المسح، إذ هو والغسل سواء فی قابلیّة التحدید وصلاحیّته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مانع من عطف المحدود علی غیر المحدود کما فی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أنّه أولی لتتوافق الجملتان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ردّ مقالة الحاملین للمسح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أشنع من الأوّل، وان الأصحاب أطالوا البحث معهم، ولا فائدة فی البحث معهم کما قیل</w:t>
      </w:r>
      <w:r>
        <w:rPr>
          <w:rFonts w:eastAsia="IRNazanin" w:cs="IRNazanin"/>
          <w:color w:val="111111"/>
          <w:sz w:val="28"/>
          <w:szCs w:val="28"/>
          <w:rtl w:val="true"/>
          <w:lang w:bidi="fa-IR"/>
        </w:rPr>
        <w:t xml:space="preserve">: </w:t>
      </w:r>
      <w:bookmarkStart w:id="352" w:name="pg6193_71031"/>
    </w:p>
    <w:p>
      <w:pPr>
        <w:pStyle w:val="BookText"/>
        <w:rPr/>
      </w:pPr>
      <w:bookmarkEnd w:id="352"/>
      <w:r>
        <w:rPr>
          <w:rFonts w:ascii="Amiri" w:hAnsi="Amiri" w:eastAsia="Amiri" w:cs="Amiri"/>
          <w:color w:val="111111"/>
          <w:sz w:val="28"/>
          <w:sz w:val="28"/>
          <w:szCs w:val="28"/>
          <w:rtl w:val="true"/>
          <w:lang w:bidi="ar-SA"/>
        </w:rPr>
        <w:t>لقد أسمَعْتَ لو نادَیْتَ حیّاً ولکن لا حیَاةَ لِمَنْ تُنادِی</w:t>
      </w:r>
      <w:r>
        <w:rPr>
          <w:rStyle w:val="FootnoteAnchor"/>
          <w:rtl w:val="true"/>
        </w:rPr>
        <w:footnoteReference w:id="561"/>
      </w:r>
    </w:p>
    <w:p>
      <w:pPr>
        <w:pStyle w:val="Heading3"/>
        <w:numPr>
          <w:ilvl w:val="2"/>
          <w:numId w:val="1"/>
        </w:numPr>
        <w:rPr/>
      </w:pPr>
      <w:bookmarkStart w:id="353" w:name="__RefHeading___Toc972302_237004111"/>
      <w:bookmarkStart w:id="354" w:name="_Toc125"/>
      <w:bookmarkEnd w:id="353"/>
      <w:r>
        <w:rPr/>
        <w:t>103</w:t>
      </w:r>
      <w:r>
        <w:rPr>
          <w:rtl w:val="true"/>
        </w:rPr>
        <w:t xml:space="preserve"> - </w:t>
      </w:r>
      <w:r>
        <w:rPr>
          <w:rtl w:val="true"/>
        </w:rPr>
        <w:t xml:space="preserve">محمد بن عمر نووی الجاوی </w:t>
      </w:r>
      <w:r>
        <w:rPr>
          <w:rtl w:val="true"/>
        </w:rPr>
        <w:t>(</w:t>
      </w:r>
      <w:r>
        <w:rPr>
          <w:rtl w:val="true"/>
        </w:rPr>
        <w:t xml:space="preserve">ت </w:t>
      </w:r>
      <w:r>
        <w:rPr/>
        <w:t>1316</w:t>
      </w:r>
      <w:r>
        <w:rPr>
          <w:rtl w:val="true"/>
        </w:rPr>
        <w:t xml:space="preserve"> </w:t>
      </w:r>
      <w:r>
        <w:rPr>
          <w:rtl w:val="true"/>
        </w:rPr>
        <w:t xml:space="preserve">ه </w:t>
      </w:r>
      <w:r>
        <w:rPr>
          <w:rtl w:val="true"/>
        </w:rPr>
        <w:t>)</w:t>
      </w:r>
      <w:bookmarkEnd w:id="354"/>
    </w:p>
    <w:p>
      <w:pPr>
        <w:pStyle w:val="BookText"/>
        <w:rPr/>
      </w:pPr>
      <w:r>
        <w:rPr>
          <w:rFonts w:ascii="IRNazanin" w:hAnsi="IRNazanin" w:eastAsia="IRNazanin"/>
          <w:color w:val="111111"/>
          <w:sz w:val="28"/>
          <w:sz w:val="28"/>
          <w:szCs w:val="28"/>
          <w:rtl w:val="true"/>
          <w:lang w:bidi="fa-IR"/>
        </w:rPr>
        <w:t>قال نووی الجاوی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القراءة بالجرّ فهی معطوفة علی الرؤوس، فکما یجب المسح فی الرؤوس کذلک فی الأرجل، وإنّما عطفت علی الممسوح للتنبیه علی الإسراف فی استعمال الماء فیها، والمراد غسلها، أو مجرورة بحرف جر محذوف متعلّق بفعل 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بارجلکم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الجر علی الجوار علی أنّه منصوب فی المعنی عطف علی المغسول لأنّه معدود فی اللحن الذی قد یجمل لأجل الضرورة فی الشعر ویجب تنزیه کلام اللّه عنه، ولأنّه یرجع إلیه عند حصول الأمن من الإلتباس کما فی قول الشاعر</w:t>
      </w:r>
    </w:p>
    <w:p>
      <w:pPr>
        <w:pStyle w:val="BookText"/>
        <w:rPr/>
      </w:pPr>
      <w:r>
        <w:rPr>
          <w:rFonts w:ascii="IRNazanin" w:hAnsi="IRNazanin" w:eastAsia="IRNazanin"/>
          <w:color w:val="111111"/>
          <w:sz w:val="28"/>
          <w:sz w:val="28"/>
          <w:szCs w:val="28"/>
          <w:rtl w:val="true"/>
          <w:lang w:bidi="fa-IR"/>
        </w:rPr>
        <w:t>کبیر اناس فی بجاد مزمل</w:t>
      </w:r>
    </w:p>
    <w:p>
      <w:pPr>
        <w:pStyle w:val="BookText"/>
        <w:rPr/>
      </w:pPr>
      <w:r>
        <w:rPr>
          <w:rFonts w:ascii="IRNazanin" w:hAnsi="IRNazanin" w:eastAsia="IRNazanin"/>
          <w:color w:val="111111"/>
          <w:sz w:val="28"/>
          <w:sz w:val="28"/>
          <w:szCs w:val="28"/>
          <w:rtl w:val="true"/>
          <w:lang w:bidi="fa-IR"/>
        </w:rPr>
        <w:t>وفی هذه الآیة لا یحصل الأمن من الإلتباس، ولأنّه إنّما یکون بدون حرف العطف</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الجوار فقد أجاب عنه هو نفسه فلا یفیده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الغسل فالعجب أنّه یقول بالعطف علی الممسوح ومع ذلک یؤوّله بالغسل، وهذا لیس إلاّا الخروج عن ظاهر الآیة، والجمود علی ما یقوله أصحاب مذهبه، وعلی الرّوایات الّتی لیس معناها الغسل، وأنّما أساؤا فهمها فقط</w:t>
      </w:r>
      <w:r>
        <w:rPr>
          <w:rFonts w:eastAsia="IRNazanin" w:cs="IRNazanin"/>
          <w:color w:val="111111"/>
          <w:sz w:val="28"/>
          <w:szCs w:val="28"/>
          <w:rtl w:val="true"/>
          <w:lang w:bidi="fa-IR"/>
        </w:rPr>
        <w:t xml:space="preserve">. </w:t>
      </w:r>
      <w:bookmarkStart w:id="355" w:name="pg6193_71033"/>
    </w:p>
    <w:p>
      <w:pPr>
        <w:pStyle w:val="BookText"/>
        <w:rPr/>
      </w:pPr>
      <w:bookmarkEnd w:id="355"/>
      <w:r>
        <w:rPr>
          <w:rFonts w:ascii="IRNazanin" w:hAnsi="IRNazanin" w:eastAsia="IRNazanin"/>
          <w:color w:val="111111"/>
          <w:sz w:val="28"/>
          <w:sz w:val="28"/>
          <w:szCs w:val="28"/>
          <w:rtl w:val="true"/>
          <w:lang w:bidi="fa-IR"/>
        </w:rPr>
        <w:t>وأمّا تقدیر حرف الجرّ أوّلاً وتقدیر الفعل المتعلّق به تلک الحرف فخروج عن القواعد العربیّة، وأن عدم التّقدیر أولی، ولم ینشّأ إلّامن اللّجاجة</w:t>
      </w:r>
      <w:r>
        <w:rPr>
          <w:rFonts w:eastAsia="IRNazanin" w:cs="IRNazanin"/>
          <w:color w:val="111111"/>
          <w:sz w:val="28"/>
          <w:szCs w:val="28"/>
          <w:rtl w:val="true"/>
          <w:lang w:bidi="fa-IR"/>
        </w:rPr>
        <w:t>.</w:t>
      </w:r>
    </w:p>
    <w:p>
      <w:pPr>
        <w:pStyle w:val="Heading3"/>
        <w:numPr>
          <w:ilvl w:val="2"/>
          <w:numId w:val="1"/>
        </w:numPr>
        <w:rPr/>
      </w:pPr>
      <w:bookmarkStart w:id="356" w:name="__RefHeading___Toc972304_237004111"/>
      <w:bookmarkStart w:id="357" w:name="_Toc126"/>
      <w:bookmarkEnd w:id="356"/>
      <w:r>
        <w:rPr/>
        <w:t>104</w:t>
      </w:r>
      <w:r>
        <w:rPr>
          <w:rtl w:val="true"/>
        </w:rPr>
        <w:t xml:space="preserve"> - </w:t>
      </w:r>
      <w:r>
        <w:rPr>
          <w:rtl w:val="true"/>
        </w:rPr>
        <w:t xml:space="preserve">السید محمد رشید رضا </w:t>
      </w:r>
      <w:r>
        <w:rPr>
          <w:rtl w:val="true"/>
        </w:rPr>
        <w:t>(</w:t>
      </w:r>
      <w:r>
        <w:rPr>
          <w:rtl w:val="true"/>
        </w:rPr>
        <w:t xml:space="preserve">ت </w:t>
      </w:r>
      <w:r>
        <w:rPr/>
        <w:t>1354</w:t>
      </w:r>
      <w:r>
        <w:rPr>
          <w:rtl w:val="true"/>
        </w:rPr>
        <w:t xml:space="preserve"> </w:t>
      </w:r>
      <w:r>
        <w:rPr>
          <w:rtl w:val="true"/>
        </w:rPr>
        <w:t xml:space="preserve">ه </w:t>
      </w:r>
      <w:r>
        <w:rPr>
          <w:rtl w:val="true"/>
        </w:rPr>
        <w:t xml:space="preserve">) </w:t>
      </w:r>
      <w:r>
        <w:rPr>
          <w:rtl w:val="true"/>
        </w:rPr>
        <w:t>تلمیذ الشیخ محمد</w:t>
      </w:r>
      <w:bookmarkEnd w:id="357"/>
    </w:p>
    <w:p>
      <w:pPr>
        <w:pStyle w:val="BookText"/>
        <w:rPr/>
      </w:pPr>
      <w:r>
        <w:rPr>
          <w:rFonts w:ascii="IRNazanin" w:hAnsi="IRNazanin" w:eastAsia="IRNazanin"/>
          <w:color w:val="111111"/>
          <w:sz w:val="28"/>
          <w:sz w:val="28"/>
          <w:szCs w:val="28"/>
          <w:rtl w:val="true"/>
          <w:lang w:bidi="fa-IR"/>
        </w:rPr>
        <w:t>عبده</w:t>
      </w:r>
    </w:p>
    <w:p>
      <w:pPr>
        <w:pStyle w:val="BookText"/>
        <w:rPr/>
      </w:pPr>
      <w:r>
        <w:rPr>
          <w:rFonts w:ascii="IRNazanin" w:hAnsi="IRNazanin" w:eastAsia="IRNazanin"/>
          <w:color w:val="111111"/>
          <w:sz w:val="28"/>
          <w:sz w:val="28"/>
          <w:szCs w:val="28"/>
          <w:rtl w:val="true"/>
          <w:lang w:bidi="fa-IR"/>
        </w:rPr>
        <w:t>قال الشیخ</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قرئ بالفتح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وقرئ بالجرّ والظاهر أنّه عطف علی الرأس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بارجلکم 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اختلف فی غسل الرّجلین ومسحهما فالجماهیر علی الغسل وحده، والشیعة الإمامیة علی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وداود بن علی، والناصر لدین الحق من الزیدیّة علی الجمع ونقل عن الحسن البصری ومحمد بن جریر الطبری التّخییر بالعمل بالقراءتین بأن یغسل ویمسح حین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الجمع فبالعمل بالقراءتین للاحتیاط، ولأن الجمع فی التّعارض أولی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التّخییر فلتجویز الأخذ بکل منهما علی حدته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المسح فللأخذ بقراءة الجرّ، وإرجاع قراءة النصب إلیها، وذکر الرازی عن القفّال أنّ هذا قول ابن عباس، وأنس بن مالک، وعکرمة، والشعبی، وأبی جعفر محمد بن علی الباقر، وقال الحافظ ابن حجر فی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عن أحد من الصحابة خلاف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إلّاعن علیّ، وابن عباس، وأنس، وقد ثبت عنهم الرجوع عن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الجمهور فقد أخذوا بقراءة النصب وارجعوا قراءة الجرّ إلیها، وایدوا ذلک بالسنّة الصحیحة، وإجماع الصّحابة، وهو المنطبق علی حکمة الطهارة، وادّعی الطحاوی وابن حزم ان المسح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 الأحادیث حدیث ابن عمر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رسول اللّه صلی الله علیه و آله فی سفره فأدرکنا وقد أرهقنا العصر فجعلنا نتوضأ ونمسح علی أرجلنا،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باعلی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یتجاذب الإستدلال بهذا الحدیث الطّرفان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الماسحون بأن الصّحابة کانوا یمسحون بمرأی من النبیّ صلی الله علیه و آله فکان المسح معروفاً عندهم وإنّما أنکر النبی صلی الله علیه و آله عدم مسح 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والغاسلون بأن الإنکار کان بسبب المسح کما ذهب إلیه البخاری، والواجب الغسل فانکر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الاُخری التی تقول بالغسل أرجح فیمسح بماء الغسل جمعاً بین الروایتین وأصرح من ذلک روایة مسلم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رأی رجلاً لم یغسل عقبه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ابن جریر الغسل عن النبیّ صلی الله علیه و آله وعن کثیر من الصّحابة والتّابعین، منهم علی کرم اللّه وجهه، ومنهم عمر، وابنه وروی عن عطاء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أری أحداً یمسح علی القدمین ومذهب مالک الغسل دون المسح ویحتج بعمل أهل المدینة، ولکن ابن جریر روی القول بالمسح عن ابن عباس وأنس من الصّحابة وعن بعض التابعین ومن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 وعن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والسنّة الغسل وهو من أعلم الصّحابة بالسنّة، وقال ابن جریر بعد سوق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منت القول عندنا هفی ذلک إنّ اللّه أو بعموم مسح </w:t>
      </w:r>
    </w:p>
    <w:p>
      <w:pPr>
        <w:pStyle w:val="BookText"/>
        <w:rPr/>
      </w:pPr>
      <w:r>
        <w:rPr>
          <w:rFonts w:ascii="IRNazanin" w:hAnsi="IRNazanin" w:eastAsia="IRNazanin"/>
          <w:color w:val="111111"/>
          <w:sz w:val="28"/>
          <w:sz w:val="28"/>
          <w:szCs w:val="28"/>
          <w:rtl w:val="true"/>
          <w:lang w:bidi="fa-IR"/>
        </w:rPr>
        <w:t>الرّجلین بالماء فی الوضوء کما امر بعموم مسح الوجه بالتراب فی التیمم، وإذا فعل ذلک بهما المتوضّی کان ماسحاً غاسلاً لأن غسلها امرار الماء علیهما أو أصابتهما الماء، ومسحهما امرار الید وما قام مقام إلیه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قراءة القرآء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فخفضها بعضهم توجیهاً منه ذلک إلی أن الغرض فیهما المسح فالعطف به علی الرؤوس مع قربة منه اولی من العطف به علی الأیدی وقد حیل بینه وبینها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أطنب السید الآلوسی فی روح المعانی فی توجیه کل من أهل السنّة والشیعة للقراءتین إحدیهما إلی الاُخری ورجحّ قول أهل السنّة ثم تکلم عن الشیعة ونقل بعض روایاتهم ثم ردّهم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تحاملاً علی الشیعة وتکذیباً لهم فی نقل وجد مثله فی کتب أهل السنة کما تقدم، والظاهر أنّه لم یطلع علی تفسیر ابن جریر الطبری، وقد نقلنا بعض روایاته ونص عبارته، وصفوة القول فی مسألة فرض الرجلین فی الوضوء یتضح باُمور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قراءة النّصب وجوب الغسل وظاهر قراءة الجر وجوب المسح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محال النّحو واسع یعنی یمکن تأیید الغسل ببعض الوجوه وتأیید المسح بوجوه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الغسل والمسح مرویّ عن السّلف من الصّحابة والتّابعین ولکنّ العمل بالغسل أعمّ وأکثر وهو الّذی غلب واستمرّ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القول بعدم جواز الغسل أبعد عن النّقل والعقل من القول بعدم جواز </w:t>
      </w:r>
    </w:p>
    <w:p>
      <w:pPr>
        <w:pStyle w:val="BookText"/>
        <w:rPr/>
      </w:pPr>
      <w:r>
        <w:rPr>
          <w:rFonts w:ascii="IRNazanin" w:hAnsi="IRNazanin" w:eastAsia="IRNazanin"/>
          <w:color w:val="111111"/>
          <w:sz w:val="28"/>
          <w:sz w:val="28"/>
          <w:szCs w:val="28"/>
          <w:rtl w:val="true"/>
          <w:lang w:bidi="fa-IR"/>
        </w:rPr>
        <w:t>المسح، وإن روی 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التّعارض بین القراءتین فالسّنّة أیض؛ متعارضة فأهل السنّة والشیعة متفقون علی الجمع إذا أمکن أو ترجیح أحدهما علی الآخر، والجمع هنا ممکن بما قاله ابن جریر وهو المسح فی اثناء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المراء فیما قاله ابن جریر فنقول بالمسح أوّلاً ثمّ الغسل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المسح لیست له حکمة، بل هو خلاف الحکمة، لأن الطهارة تقتضی رفع الوسخ والمسح بالید علی الأرجل یزید وساخته وینال الید الماسحة خطّ من الوساخة</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خلاصة ما قاله رشید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أقرّ بثبوت قراءة الجرّ عن ابن عباس، وأنس بن مالک، وعکرمة، والشعبی، وأبی جعفر الباقر، وعلیّ علیه السلام ولاشکّ أنّ الشیعة استنبط من قول هؤلاء، وفیهم من هو من أهل البیت علیهم السلام المسح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وأمّا ادعاء رجوع ابن عباس ومن معه من المسح إلی الغسل فلم یثبت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الجمهور بقراءة النّصب وإرجاع قراءة الجرّ إلیها مردود؛ لأنّ العطف بالأقرب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الأبعد سواء فی قراءة الجرّ والعطف علی اللّفظ، وقراءة النّصب بالعطف علی محلّ 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فی بعض کلامه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تأییدهم قراءة النّصب والعطف علی الأیدی بالسنّة الصحیحة، لیس </w:t>
      </w:r>
    </w:p>
    <w:p>
      <w:pPr>
        <w:pStyle w:val="BookText"/>
        <w:rPr/>
      </w:pPr>
      <w:r>
        <w:rPr>
          <w:rFonts w:ascii="IRNazanin" w:hAnsi="IRNazanin" w:eastAsia="IRNazanin"/>
          <w:color w:val="111111"/>
          <w:sz w:val="28"/>
          <w:sz w:val="28"/>
          <w:szCs w:val="28"/>
          <w:rtl w:val="true"/>
          <w:lang w:bidi="fa-IR"/>
        </w:rPr>
        <w:t>فی محلّة؛ لأنّ السّنن المذکورة، وإن کانت صحیحة بنظرهم ولکن معناها هو الغسل من الخبث ولا الطّهارة الوضوئیّة مثل ویل للأعقاب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أوّل کلامه أنّ الجمع أولی، نعم الجمع أولی لو لم یکن محمل آخر للکلام وهنا المحمل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وهو العطف علی الأقرب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أو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الماسحین حین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الصّحابة وأنّهم کانوا یمسحون علی عادتهم بلا اختلاف بینهم فی هذه الحالة فلو قلنا إنّ النبیّ صلی الله علیه و آله تساهل فی التبلیغ فهو خلاف ولو قلنا إنّ هؤلاء الصّحابة تساهلوا أو نسوا ما أمر به النبیّ صلی الله علیه و آله فهو خلاف، فلا یبقی إلّاالقول بأنّ مراده صلی الله علیه و آله هو الطّهارة من الخبث فقط، ومن هنا نعلم أنّ إجماع الصّحابة علی الغسل امر موهوم لا حقیقة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بنسخ المسح باطل، لأنّ إقرار بفعل المسح لیس إلّابهذه الرّوایات من الأزمنة مع أنّهم أنکروا المسح من أصله، وأنّ النسخ لیس إلّابهذه الروایات وأصحّها حدیث ابن عمر فی السّفر مع أنّها لا تدل علی الغسل فی الوضوء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عطاء، منقوض بما روی ابنه عن اوس بن أبی اوس أنّه رأی رسول اللّه صلی الله علیه و آله یمسح قدمیه کما فی تفسیر الطبری، وأمّا روایة أنس فثبت عنه أنّه 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القرآن علی وأبی النّاس إلّاالغسل، ومفهومة أنّ مراده من السنّة سنة الناس لا سنة النبی صلی الله علیه و آله، وأمّا حدیث أبی هریرة فلیس فیه غسل القدم، بل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یغسل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لم یغسل عقبه فی الوضوء أم لم یغسله فی الطهارة عن الخبث؟ </w:t>
      </w:r>
      <w:bookmarkStart w:id="358" w:name="pg6193_71043"/>
    </w:p>
    <w:p>
      <w:pPr>
        <w:pStyle w:val="Heading3"/>
        <w:numPr>
          <w:ilvl w:val="2"/>
          <w:numId w:val="1"/>
        </w:numPr>
        <w:rPr/>
      </w:pPr>
      <w:bookmarkStart w:id="359" w:name="__RefHeading___Toc972306_237004111"/>
      <w:bookmarkStart w:id="360" w:name="_Toc127"/>
      <w:bookmarkEnd w:id="358"/>
      <w:bookmarkEnd w:id="359"/>
      <w:r>
        <w:rPr/>
        <w:t>105</w:t>
      </w:r>
      <w:r>
        <w:rPr>
          <w:rtl w:val="true"/>
        </w:rPr>
        <w:t xml:space="preserve"> - </w:t>
      </w:r>
      <w:r>
        <w:rPr>
          <w:rtl w:val="true"/>
        </w:rPr>
        <w:t xml:space="preserve">الزرقانیّ </w:t>
      </w:r>
      <w:r>
        <w:rPr>
          <w:rtl w:val="true"/>
        </w:rPr>
        <w:t>(</w:t>
      </w:r>
      <w:r>
        <w:rPr>
          <w:rtl w:val="true"/>
        </w:rPr>
        <w:t xml:space="preserve">ت </w:t>
      </w:r>
      <w:r>
        <w:rPr/>
        <w:t>1367</w:t>
      </w:r>
      <w:r>
        <w:rPr>
          <w:rtl w:val="true"/>
        </w:rPr>
        <w:t xml:space="preserve"> </w:t>
      </w:r>
      <w:r>
        <w:rPr>
          <w:rtl w:val="true"/>
        </w:rPr>
        <w:t xml:space="preserve">ه </w:t>
      </w:r>
      <w:r>
        <w:rPr>
          <w:rtl w:val="true"/>
        </w:rPr>
        <w:t>)</w:t>
      </w:r>
      <w:bookmarkEnd w:id="360"/>
    </w:p>
    <w:p>
      <w:pPr>
        <w:pStyle w:val="BookText"/>
        <w:rPr/>
      </w:pPr>
      <w:r>
        <w:rPr>
          <w:rFonts w:ascii="IRNazanin" w:hAnsi="IRNazanin" w:eastAsia="IRNazanin"/>
          <w:color w:val="111111"/>
          <w:sz w:val="28"/>
          <w:sz w:val="28"/>
          <w:szCs w:val="28"/>
          <w:rtl w:val="true"/>
          <w:lang w:bidi="fa-IR"/>
        </w:rPr>
        <w:t xml:space="preserve">علم من خلال الأقوال السابقة بأنّ الجرّ یفید المسح عطفاً للأرجل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المجرورة، والرأس ممسوح قطعاً، لکنّ الزرقانی حمله علی المسح علی الخفّین زاعماً أنّ النبیّ صلی الله علیه و آله فعل ذلک</w:t>
      </w:r>
      <w:r>
        <w:rPr>
          <w:rStyle w:val="FootnoteAnchor"/>
          <w:rtl w:val="true"/>
        </w:rPr>
        <w:footnoteReference w:id="566"/>
      </w:r>
      <w:r>
        <w:rPr>
          <w:rFonts w:ascii="IRNazanin" w:hAnsi="IRNazanin" w:eastAsia="IRNazanin"/>
          <w:color w:val="111111"/>
          <w:sz w:val="28"/>
          <w:sz w:val="28"/>
          <w:szCs w:val="28"/>
          <w:rtl w:val="true"/>
          <w:lang w:bidi="fa-IR"/>
        </w:rPr>
        <w:t>، فی حین قد أثبتنا سابقاً أنّ النبیّ صلی الله علیه و آله لم یفعل ذلک</w:t>
      </w:r>
      <w:r>
        <w:rPr>
          <w:rFonts w:eastAsia="IRNazanin" w:cs="IRNazanin"/>
          <w:color w:val="111111"/>
          <w:sz w:val="28"/>
          <w:szCs w:val="28"/>
          <w:rtl w:val="true"/>
          <w:lang w:bidi="fa-IR"/>
        </w:rPr>
        <w:t>.</w:t>
      </w:r>
    </w:p>
    <w:p>
      <w:pPr>
        <w:pStyle w:val="Heading3"/>
        <w:numPr>
          <w:ilvl w:val="2"/>
          <w:numId w:val="1"/>
        </w:numPr>
        <w:rPr/>
      </w:pPr>
      <w:bookmarkStart w:id="361" w:name="__RefHeading___Toc972308_237004111"/>
      <w:bookmarkStart w:id="362" w:name="_Toc128"/>
      <w:bookmarkEnd w:id="361"/>
      <w:r>
        <w:rPr/>
        <w:t>106</w:t>
      </w:r>
      <w:r>
        <w:rPr>
          <w:rtl w:val="true"/>
        </w:rPr>
        <w:t xml:space="preserve"> - </w:t>
      </w:r>
      <w:r>
        <w:rPr>
          <w:rtl w:val="true"/>
        </w:rPr>
        <w:t xml:space="preserve">عبدالرّحمن بن ناصر آل سعدی </w:t>
      </w:r>
      <w:r>
        <w:rPr>
          <w:rtl w:val="true"/>
        </w:rPr>
        <w:t>(</w:t>
      </w:r>
      <w:r>
        <w:rPr>
          <w:rtl w:val="true"/>
        </w:rPr>
        <w:t xml:space="preserve">ت </w:t>
      </w:r>
      <w:r>
        <w:rPr/>
        <w:t>1376</w:t>
      </w:r>
      <w:r>
        <w:rPr>
          <w:rtl w:val="true"/>
        </w:rPr>
        <w:t xml:space="preserve"> </w:t>
      </w:r>
      <w:r>
        <w:rPr>
          <w:rtl w:val="true"/>
        </w:rPr>
        <w:t xml:space="preserve">ه </w:t>
      </w:r>
      <w:r>
        <w:rPr>
          <w:rtl w:val="true"/>
        </w:rPr>
        <w:t>)</w:t>
      </w:r>
      <w:bookmarkEnd w:id="362"/>
    </w:p>
    <w:p>
      <w:pPr>
        <w:pStyle w:val="BookText"/>
        <w:rPr/>
      </w:pPr>
      <w:r>
        <w:rPr>
          <w:rFonts w:ascii="IRNazanin" w:hAnsi="IRNazanin" w:eastAsia="IRNazanin"/>
          <w:color w:val="111111"/>
          <w:sz w:val="28"/>
          <w:sz w:val="28"/>
          <w:szCs w:val="28"/>
          <w:rtl w:val="true"/>
          <w:lang w:bidi="fa-IR"/>
        </w:rPr>
        <w:t>قال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الأمر بغسل الرجلین إلی الکعبین فیها الرّد علی الرافضة علی قراءة الجمهور بالنصب وأنّه لا یجوز مسحهما ما دامتا مکشوفتین، وفیها الإشارة إلی مسح الخفیّن علی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کلّ من القراءتین علی معنی، فعلی قراءة النصب فیها غسلهما إن کانتا مکشوفتین، وعلی قراءة الجرّ فیها مسحهما إذا کانتا مستورتین بالخف</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القارئ الکریم یعلم جیداً أنّ ما قاله ابن ناصر کلّها ادّعاء فی ادّعاء، وأنّ صرف الآیة إلی ما قاله یصیر سبباً لخلوّ الآیة عن حکم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الحکم علی قراءة النصب إذا کان الغسل لو کانتاً مکشوفتین علی قوله فإن کانتاً مستورتین، فما هو حکمهما؟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قراءة الجرّ لو کان الحکم المسح إذا کانتاً مستورتین بالخف علی قوله، </w:t>
      </w:r>
      <w:bookmarkStart w:id="363" w:name="pg6193_71045"/>
    </w:p>
    <w:p>
      <w:pPr>
        <w:pStyle w:val="BookText"/>
        <w:rPr/>
      </w:pPr>
      <w:bookmarkEnd w:id="363"/>
      <w:r>
        <w:rPr>
          <w:rFonts w:ascii="IRNazanin" w:hAnsi="IRNazanin" w:eastAsia="IRNazanin"/>
          <w:color w:val="111111"/>
          <w:sz w:val="28"/>
          <w:sz w:val="28"/>
          <w:szCs w:val="28"/>
          <w:rtl w:val="true"/>
          <w:lang w:bidi="fa-IR"/>
        </w:rPr>
        <w:t>فما هو حکمهما لو کانتا مکشوفتین؟</w:t>
      </w:r>
      <w:r>
        <w:rPr>
          <w:rFonts w:eastAsia="IRNazanin" w:cs="IRNazanin"/>
          <w:color w:val="111111"/>
          <w:sz w:val="28"/>
          <w:szCs w:val="28"/>
          <w:rtl w:val="true"/>
          <w:lang w:bidi="fa-IR"/>
        </w:rPr>
        <w:t>!</w:t>
      </w:r>
    </w:p>
    <w:p>
      <w:pPr>
        <w:pStyle w:val="Heading3"/>
        <w:numPr>
          <w:ilvl w:val="2"/>
          <w:numId w:val="1"/>
        </w:numPr>
        <w:rPr/>
      </w:pPr>
      <w:bookmarkStart w:id="364" w:name="__RefHeading___Toc972310_237004111"/>
      <w:bookmarkStart w:id="365" w:name="_Toc129"/>
      <w:bookmarkEnd w:id="364"/>
      <w:r>
        <w:rPr/>
        <w:t>107</w:t>
      </w:r>
      <w:r>
        <w:rPr>
          <w:rtl w:val="true"/>
        </w:rPr>
        <w:t xml:space="preserve"> - </w:t>
      </w:r>
      <w:r>
        <w:rPr>
          <w:rtl w:val="true"/>
        </w:rPr>
        <w:t xml:space="preserve">الشنقیطیّ </w:t>
      </w:r>
      <w:r>
        <w:rPr>
          <w:rtl w:val="true"/>
        </w:rPr>
        <w:t>(</w:t>
      </w:r>
      <w:r>
        <w:rPr>
          <w:rtl w:val="true"/>
        </w:rPr>
        <w:t xml:space="preserve">ت </w:t>
      </w:r>
      <w:r>
        <w:rPr/>
        <w:t>1393</w:t>
      </w:r>
      <w:r>
        <w:rPr>
          <w:rtl w:val="true"/>
        </w:rPr>
        <w:t xml:space="preserve"> </w:t>
      </w:r>
      <w:r>
        <w:rPr>
          <w:rtl w:val="true"/>
        </w:rPr>
        <w:t xml:space="preserve">ه </w:t>
      </w:r>
      <w:r>
        <w:rPr>
          <w:rtl w:val="true"/>
        </w:rPr>
        <w:t>)</w:t>
      </w:r>
      <w:bookmarkEnd w:id="365"/>
    </w:p>
    <w:p>
      <w:pPr>
        <w:pStyle w:val="BookText"/>
        <w:rPr/>
      </w:pPr>
      <w:r>
        <w:rPr>
          <w:rFonts w:ascii="IRNazanin" w:hAnsi="IRNazanin" w:eastAsia="IRNazanin"/>
          <w:color w:val="111111"/>
          <w:sz w:val="28"/>
          <w:sz w:val="28"/>
          <w:szCs w:val="28"/>
          <w:rtl w:val="true"/>
          <w:lang w:bidi="fa-IR"/>
        </w:rPr>
        <w:t xml:space="preserve">زعم الشنقیطیّ أنّ فی قراءة الجرّ إجمالاً، لأنّ الآیة مفیدة للمسح علی الرجلین کالرأس، وهو خلاف الأحادیث الصحیحة الصریحة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وحملها علی الغسل بجعل الجرّ علی الجوار دفعاً للتعارض بین القراءتین اللتین هما بحکم الآیتین وذلک بالحمل علی الغسل فیهما، لأنّ النصب علی زعمهم یفید الغسل فکذا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لا تعارض بینهما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الجرّ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علی المحلّ، وکلتاهما یفید المسح مع الاحتفاظ بالقوانین النحویّة ومراعاة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الشنقیطیّ والجرّ بالجوار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حمل الشنقیطیّ الجرّ علی الجوار استشعر بالاعتراضات الواردة،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 بالجوار لحن یُتَحَمَّلُ لضرورة الشعر ولا یُحْمَلُ علیه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یتصوّر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النعت والتأکید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یتصوّر فی مقام الأمن من اللبس، ولیس هنا موضعه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فحاول الإجابة عنها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فادّعی أوّلاً أنّ الأئمّة صرّحوا بالجواز ومنهم الأخفش وأبو البقاء، ولم ینکره سوی الزجّاج، وإنکاره مع ثبوته فی کلام العرب یدلّ علی أنّه لم یتتبّع المسألة حقّ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الأخفش أراد تخریج قراءة الجرّ لیخرجه من الغلط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الجرّ یفید المسح وهو من الغاسلین، فأراد وجهاً یوافق اعتقاده وهو الغسل مع تصحیح الجرّ، وهو علی هذا التقدیر لا یمکن تخریجه إلّابالمجاورة، إذ لو لم یقل هذا لأفاد المسح وهم یفرّون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فقد اعترف بالضعف والضرورة، وأنّ النصب أجود وأسلم من هذا الاضطرار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أبو البقاء، والمنصف لو وضع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للجوار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کفّة المیزان العلمیّ، وأبا البقاء فی کفّة أُخری، لم یجد أبا البقاء شیئاً یصلح للموازنة مع الزجّاج، فالإتیان بأبی البقاء بإزاء الزجّاج کالإتیان بالحجر العادی أمام الدرّ الثمین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فالتسوّر علی مقام الزجّاج وإنزاله إلی درجة أبی البقاء لیس إلّالاعترافه بالحقّ وهو تغلیط الجرّ بالجوار، وهذا هو جرمه الذی أُبیح به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الزجّاج آثر الرأی والهوی علی الحقّ وقال بالمجاورة لتصحیح الغسل وحملاً للقرآن علی الرأی، لکان من أعظم المحققین وأعلم أهل العربیّة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 بالجوار أُسلوب من أسالیب العرب فی لغتهم، وأنّه جاء من القرآن لأنّه بلسانٍ عربیّ مبین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بالأبیات والآیات التالیة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امرئ القیس فی النعت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کبیر أُناس فی بجاد مزمّل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المجاورة وإلّا فهو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مرفوع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مطلع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ذی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تُریک سنة وجه غیر مقرفة ملساءَ لیس بها خالٌ ولا ندبُ</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للجوار مع أنّه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المنصوبة علی المفعولیّة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النابغة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لم یبق إلّاأسیر غیر منفلتٍ وموثق فی حبال القدّ مجنوب</w:t>
      </w:r>
    </w:p>
    <w:p>
      <w:pPr>
        <w:pStyle w:val="BookText"/>
        <w:rPr/>
      </w:pP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للمجاورة مع أنّه ینبغی أن یکون مرفوعاً عطفاً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بالفاعلیّة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 امرئ‌القیس</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وظَلَّ طُهاةُ اللَّحْم ما بَیْنَ مُنضِجٍ صفیف شِواءٍ أو قَدیر مُعجَّلِ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لمجاورته للمخفوض مع أنّه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علی المفعولیّة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فعیل بمعنی مفعول وهو المصفوف من اللحم علی الجمر لیُشْوی،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فعیل بمعنی مفعول وهو المجعول فی القدر من اللحم لینضج بالطبخ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فی العطف قول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بلّغ ذوی الزوجات کلّهم أن لیس وصل إذا انحلّت عری الذنب</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الفرّاء لمجاورة المخفوض مع أنّه 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بالمفعولیّة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فی العطف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قراءة حمزة والکسائیّ وروایة المفضّل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لمجاورته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بأکواب</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مع أنّ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إمّا عطفاً علی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الابتدائیّة، والخبر محذوف بقرینة المقام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والعطف إذن بحسب المعنی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النعت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نعت للعذاب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صفة للعذاب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قاله القرطبیّ</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نعتاً لخبر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بیت امرئ القیس فقد تقدّم سابقاً فی عرض رأی الشیخ الطوسیّ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بیت ذی الرمّة فهو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یصلح جعله نعتاً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التذکیر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التأنیث، ولا یمکن جعل المؤنّث صفة للمذکّر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بیت النابغة فقد تقدّم سابقاً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بیت امرئ القیس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ظنّه الرجل، بل 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المضاف،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وطابخ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والقرینة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تضاف إلّاإلی المتعدّد، وذلک لا یمکن إلّابما ذکرناه، وقد صرّح بهذا الصبّان فی حاشیته علی شرح الأشمونیّ علی الألفیة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الکبری</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وهما أعلم من الشنقیطیّ فی علم الإعراب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من ابن قدامة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بیت زهیر فقد تقدّم عند عرض رأی أبی البقاء ونقده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التأکید فی قول الشاعر أنّه محمول علی الضرورة ولا یحمل القرآن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الآیات فقد تقدّم الکلام عنها سابقاً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والعطف علی المعنی لا یتصوّر فی القرآن، إذ هو عبارة أُخری عن العطف علی التوهّم، والذی یقوله فی القرآن فإنّما هو راجع إلی توهّم القارئ، وکلامه کلام سائر العرب لا فرق بینه وبینهم، فإنّ القرّاء غیر معصومین عن الخطأ، فلا حاجة فیه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یمکن أن یکون ممّا أنزل اللّه علی نبیّه، لأنّ التوهّم من العوارض التی تَعْرضُ للمخلوق، واللّه تعالی متعالٍ عمّا یقولون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اللبس بشیئین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التحدید،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بادّعاء أنّ المسح غیر محدود فی الشریعة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النصب، وهی قرینة الجوار، وأنّ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إعراب بالجوار فی الآیة، والعطف هو علی الرؤوس لفظاً أو محلّاً فلا لبس ولا إجمال، ولو فرضنا وقوع الجوار ففیه اللبس 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الجوار ولیس اللبس المشروط هو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والتحدید یمکن فی المغسول والممسوح، کما نصّ علیه غیر واحد من أهل السنّة کما تقدّم سابقاً،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محلّ النصب یجوز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والنصب، قال ابن مالک فی باب إعمال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وجُرَّ ما یتبع ما جُرَّ، ومَنْ راعی فی الإتباع المَحَلَّ فَحَسَنْ</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واجررْ أو انصبْ تابعَ الذی انخفضْ کمبتغی جاهٍ ومالاً من نهضْ</w:t>
      </w:r>
      <w:r>
        <w:rPr>
          <w:rStyle w:val="FootnoteAnchor"/>
          <w:rtl w:val="true"/>
        </w:rPr>
        <w:footnoteReference w:id="583"/>
      </w:r>
      <w:bookmarkStart w:id="366" w:name="pg6193_71057"/>
    </w:p>
    <w:p>
      <w:pPr>
        <w:pStyle w:val="Heading3"/>
        <w:numPr>
          <w:ilvl w:val="2"/>
          <w:numId w:val="1"/>
        </w:numPr>
        <w:rPr/>
      </w:pPr>
      <w:bookmarkStart w:id="367" w:name="__RefHeading___Toc972312_237004111"/>
      <w:bookmarkStart w:id="368" w:name="_Toc130"/>
      <w:bookmarkEnd w:id="366"/>
      <w:bookmarkEnd w:id="367"/>
      <w:r>
        <w:rPr/>
        <w:t>108</w:t>
      </w:r>
      <w:r>
        <w:rPr>
          <w:rtl w:val="true"/>
        </w:rPr>
        <w:t xml:space="preserve"> - </w:t>
      </w:r>
      <w:r>
        <w:rPr>
          <w:rtl w:val="true"/>
        </w:rPr>
        <w:t xml:space="preserve">الشیخ محمد الطاهر ابن عاشور </w:t>
      </w:r>
      <w:r>
        <w:rPr>
          <w:rtl w:val="true"/>
        </w:rPr>
        <w:t>(</w:t>
      </w:r>
      <w:r>
        <w:rPr>
          <w:rtl w:val="true"/>
        </w:rPr>
        <w:t xml:space="preserve">ت </w:t>
      </w:r>
      <w:r>
        <w:rPr/>
        <w:t>1393</w:t>
      </w:r>
      <w:r>
        <w:rPr>
          <w:rtl w:val="true"/>
        </w:rPr>
        <w:t xml:space="preserve"> </w:t>
      </w:r>
      <w:r>
        <w:rPr>
          <w:rtl w:val="true"/>
        </w:rPr>
        <w:t xml:space="preserve">ه </w:t>
      </w:r>
      <w:r>
        <w:rPr>
          <w:rtl w:val="true"/>
        </w:rPr>
        <w:t>)</w:t>
      </w:r>
      <w:bookmarkEnd w:id="368"/>
    </w:p>
    <w:p>
      <w:pPr>
        <w:pStyle w:val="BookText"/>
        <w:rPr/>
      </w:pPr>
      <w:r>
        <w:rPr>
          <w:rFonts w:ascii="IRNazanin" w:hAnsi="IRNazanin" w:eastAsia="IRNazanin"/>
          <w:color w:val="111111"/>
          <w:sz w:val="28"/>
          <w:sz w:val="28"/>
          <w:szCs w:val="28"/>
          <w:rtl w:val="true"/>
          <w:lang w:bidi="fa-IR"/>
        </w:rPr>
        <w:t>قال 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کثیر، وأبو عمرو، وحمزة، وأبو بکر عن عاصم وخلف 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وللعلماء فی هذه القراءة تأویلات، منهم من أخذ بظاهرها فجعل الحکم المسح دون الغسل، وروی هذا عن ابن عباس وأنس بن مالک وعکرمة، والشعبی، وقتادة ثم ذکر قول الحجّاج فی الأهوار فسمع ذلک أنس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ورویت عن أنس روایة 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بالمسح والسنة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أحسن تأویل بهذه القراءة فیکون مسح الرجلین منسوخاً بالسنة،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أجمع الفقهاء بعد عصر التّابعین علی وجوب الغسل فی الوضوء، ولم یشذّ عن ذلک إلّاالإمامیة من الشیعة،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الرجلین إلّاالمسح، وإلّا ابن جریر الطبری ورأیه التّخییر بجعل القراءتین بمنزلة روایتان إذا لم یمکن ترجیح إحدیهما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قرأوا بالخفض من تأول المسح فی الرجلین بالغسل وزعموا أنّ العرب تسمّی الغسل الخفیف مسحا، وهذا الاطلاق إن صح لا یصحّ هنا لأنّ القرآن فرّق فی التّعبیر بین الغسل والمسح</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قراءة الجرّ ثابتة بنقل ابن کثیر وغیره، وخمسة من اعلام السنّة الذین ذکرهم ابن عاشور قالوا بالمسح وخصوصاً قول أنس بن مالک فی الجواب عن الحجّاج فإنّه قد ألقی نفسه فی الخطر، وقال بالمسح وهذا ینبئ عن صحّة قوله </w:t>
      </w:r>
      <w:bookmarkStart w:id="369" w:name="pg6193_71059"/>
    </w:p>
    <w:p>
      <w:pPr>
        <w:pStyle w:val="BookText"/>
        <w:rPr/>
      </w:pPr>
      <w:bookmarkEnd w:id="369"/>
      <w:r>
        <w:rPr>
          <w:rFonts w:ascii="IRNazanin" w:hAnsi="IRNazanin" w:eastAsia="IRNazanin"/>
          <w:color w:val="111111"/>
          <w:sz w:val="28"/>
          <w:sz w:val="28"/>
          <w:szCs w:val="28"/>
          <w:rtl w:val="true"/>
          <w:lang w:bidi="fa-IR"/>
        </w:rPr>
        <w:t>بالمسح وکذب ما روی عنه بأنّ السنّة بالغسل فإنّه لو کان هذا صحیحاً لم یکن یردّ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عاشور اعترف نفسه ضمنیاً بصحّة المسح حیث أجاب عن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العرب تسمّی الغسل الخفیف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صحّ لا یصحّ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ویل للأعقاب، والتّخییر الّذی قال به الطبری فقد اجبنا عنهما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لم یحصل أبداً لوجود المخالف منهم ومنّا</w:t>
      </w:r>
      <w:r>
        <w:rPr>
          <w:rFonts w:eastAsia="IRNazanin" w:cs="IRNazanin"/>
          <w:color w:val="111111"/>
          <w:sz w:val="28"/>
          <w:szCs w:val="28"/>
          <w:rtl w:val="true"/>
          <w:lang w:bidi="fa-IR"/>
        </w:rPr>
        <w:t>.</w:t>
      </w:r>
    </w:p>
    <w:p>
      <w:pPr>
        <w:pStyle w:val="Heading3"/>
        <w:numPr>
          <w:ilvl w:val="2"/>
          <w:numId w:val="1"/>
        </w:numPr>
        <w:rPr/>
      </w:pPr>
      <w:bookmarkStart w:id="370" w:name="__RefHeading___Toc972314_237004111"/>
      <w:bookmarkStart w:id="371" w:name="_Toc131"/>
      <w:bookmarkEnd w:id="370"/>
      <w:r>
        <w:rPr/>
        <w:t>109</w:t>
      </w:r>
      <w:r>
        <w:rPr>
          <w:rtl w:val="true"/>
        </w:rPr>
        <w:t xml:space="preserve"> - </w:t>
      </w:r>
      <w:r>
        <w:rPr>
          <w:rtl w:val="true"/>
        </w:rPr>
        <w:t xml:space="preserve">محمد أبو زهرة </w:t>
      </w:r>
      <w:r>
        <w:rPr>
          <w:rtl w:val="true"/>
        </w:rPr>
        <w:t>(</w:t>
      </w:r>
      <w:r>
        <w:rPr>
          <w:rtl w:val="true"/>
        </w:rPr>
        <w:t xml:space="preserve">ت </w:t>
      </w:r>
      <w:r>
        <w:rPr/>
        <w:t>1394</w:t>
      </w:r>
      <w:r>
        <w:rPr>
          <w:rtl w:val="true"/>
        </w:rPr>
        <w:t xml:space="preserve"> </w:t>
      </w:r>
      <w:r>
        <w:rPr>
          <w:rtl w:val="true"/>
        </w:rPr>
        <w:t xml:space="preserve">ه </w:t>
      </w:r>
      <w:r>
        <w:rPr>
          <w:rtl w:val="true"/>
        </w:rPr>
        <w:t>)</w:t>
      </w:r>
      <w:bookmarkEnd w:id="371"/>
    </w:p>
    <w:p>
      <w:pPr>
        <w:pStyle w:val="BookText"/>
        <w:rPr/>
      </w:pPr>
      <w:r>
        <w:rPr>
          <w:rFonts w:ascii="IRNazanin" w:hAnsi="IRNazanin" w:eastAsia="IRNazanin"/>
          <w:color w:val="111111"/>
          <w:sz w:val="28"/>
          <w:sz w:val="28"/>
          <w:szCs w:val="28"/>
          <w:rtl w:val="true"/>
          <w:lang w:bidi="fa-IR"/>
        </w:rPr>
        <w:t>قال أبو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قراءتها بکسر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هو الغسل لا المسح بحمل القراءة الثانیة علی القراءة الأولی، ویکون السّبب فی عطفها علی الرؤوس للإشارة إلی وجوب عدم الإسراف، لأنّ الرّجلین مظنّة الإسراف فی الماء، فعطف وجوب الغسل فیها علی وجوب المسح لمنع الإسراف بحیث یکون الغسل لیس بعیداً بُعداً تامّا عن المسح</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حمل القراءة الثّانیة علی القراءة الأولی؟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معطوفة علی الرؤوس فیجب أن یکون معناه معنی الرؤوس وهو المسح فلماذا تأولّتم بالغسل؟ والقول بأن الغسل واجب فی الأرجل وعطفها </w:t>
      </w:r>
      <w:bookmarkStart w:id="372" w:name="pg6193_71061"/>
    </w:p>
    <w:p>
      <w:pPr>
        <w:pStyle w:val="BookText"/>
        <w:rPr/>
      </w:pPr>
      <w:bookmarkEnd w:id="372"/>
      <w:r>
        <w:rPr>
          <w:rFonts w:ascii="IRNazanin" w:hAnsi="IRNazanin" w:eastAsia="IRNazanin"/>
          <w:color w:val="111111"/>
          <w:sz w:val="28"/>
          <w:sz w:val="28"/>
          <w:szCs w:val="28"/>
          <w:rtl w:val="true"/>
          <w:lang w:bidi="fa-IR"/>
        </w:rPr>
        <w:t>علی الرؤوس الممسوحة لرفع مظنّة الإسراف مع أنّ هذه المظنّة موجودة فی غسل الوجوه والأیدی إذا لم یکن المکلف غیر مبال، وخصوصاً فی هذه الأزمنة مع وجود شبکات الماء وان جداً، بالأخص مع الشرط الذی اشترطة هذا المؤلف بأن لا یکون الغسل بعیداً عن المسح بعداً تاماً، وغیر متعسر، أو متعذّر ولو استدل بالروایات أو الإجماع کما استدل بهما غیره للغسل کان له وجه مع أنّه اجبنا فیما مضیز عنهما أیضاً هنا وهناک فراجع</w:t>
      </w:r>
      <w:r>
        <w:rPr>
          <w:rFonts w:eastAsia="IRNazanin" w:cs="IRNazanin"/>
          <w:color w:val="111111"/>
          <w:sz w:val="28"/>
          <w:szCs w:val="28"/>
          <w:rtl w:val="true"/>
          <w:lang w:bidi="fa-IR"/>
        </w:rPr>
        <w:t>.</w:t>
      </w:r>
    </w:p>
    <w:p>
      <w:pPr>
        <w:pStyle w:val="Heading3"/>
        <w:numPr>
          <w:ilvl w:val="2"/>
          <w:numId w:val="1"/>
        </w:numPr>
        <w:rPr/>
      </w:pPr>
      <w:bookmarkStart w:id="373" w:name="__RefHeading___Toc972316_237004111"/>
      <w:bookmarkStart w:id="374" w:name="_Toc132"/>
      <w:bookmarkEnd w:id="373"/>
      <w:r>
        <w:rPr/>
        <w:t>110</w:t>
      </w:r>
      <w:r>
        <w:rPr>
          <w:rtl w:val="true"/>
        </w:rPr>
        <w:t xml:space="preserve"> - </w:t>
      </w:r>
      <w:r>
        <w:rPr>
          <w:rtl w:val="true"/>
        </w:rPr>
        <w:t>الدکتور یاسین جاسم</w:t>
      </w:r>
      <w:bookmarkEnd w:id="374"/>
    </w:p>
    <w:p>
      <w:pPr>
        <w:pStyle w:val="BookText"/>
        <w:rPr/>
      </w:pP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أوجب الغسل تأوّل أنّ الجرّ هو خفض علی الجوار وهو تأویل ضعیف جداً ولم یرد إلّافی النعت حیث لا یلبس علی خلاف فیه قد قرّر فی علم العربیّة، أو تأوّل علی أنّ الأرجل مجرورة بفعل محذوف یتعدی بالباء، أی وافعلوا بارجلکم الغسل، وحذف الفعل وحرف الجرّ وهذا تأویل فی غایة الضّعف</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غیر ذلک من الأجوبة</w:t>
      </w:r>
      <w:r>
        <w:rPr>
          <w:rFonts w:eastAsia="IRNazanin" w:cs="IRNazanin"/>
          <w:color w:val="111111"/>
          <w:sz w:val="28"/>
          <w:szCs w:val="28"/>
          <w:rtl w:val="true"/>
          <w:lang w:bidi="fa-IR"/>
        </w:rPr>
        <w:t>.</w:t>
      </w:r>
    </w:p>
    <w:p>
      <w:pPr>
        <w:pStyle w:val="Heading3"/>
        <w:numPr>
          <w:ilvl w:val="2"/>
          <w:numId w:val="1"/>
        </w:numPr>
        <w:rPr/>
      </w:pPr>
      <w:bookmarkStart w:id="375" w:name="__RefHeading___Toc972318_237004111"/>
      <w:bookmarkStart w:id="376" w:name="_Toc133"/>
      <w:bookmarkEnd w:id="375"/>
      <w:r>
        <w:rPr/>
        <w:t>111</w:t>
      </w:r>
      <w:r>
        <w:rPr>
          <w:rtl w:val="true"/>
        </w:rPr>
        <w:t xml:space="preserve"> - </w:t>
      </w:r>
      <w:r>
        <w:rPr>
          <w:rtl w:val="true"/>
        </w:rPr>
        <w:t>الدکتور محمد سالم محیسن</w:t>
      </w:r>
      <w:bookmarkEnd w:id="37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وذلک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ومعنی، ثمّ نسخ المسح بوجوب الغسل وفقاً لما جاءت به السنّة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العملیّة </w:t>
      </w:r>
      <w:bookmarkStart w:id="377" w:name="pg6193_71063"/>
    </w:p>
    <w:p>
      <w:pPr>
        <w:pStyle w:val="BookText"/>
        <w:rPr/>
      </w:pPr>
      <w:bookmarkEnd w:id="377"/>
      <w:r>
        <w:rPr>
          <w:rFonts w:ascii="IRNazanin" w:hAnsi="IRNazanin" w:eastAsia="IRNazanin"/>
          <w:color w:val="111111"/>
          <w:sz w:val="28"/>
          <w:sz w:val="28"/>
          <w:szCs w:val="28"/>
          <w:rtl w:val="true"/>
          <w:lang w:bidi="fa-IR"/>
        </w:rPr>
        <w:t>والقولیّة، کما أجمع المسلمون علی 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بجمل المسح علی بعض الأحوال وهو لبس الخفّ</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إقراره بالعطف علی الرؤوس مقبول ولکنّ السنّة المطهرة لم تثبت حتمیاً حتّی ینسخ المسح، وأمّا الإجماع فغیر معول علیه لخروج الشیعة عنه، وکذا بعض علماء السنّة، وأما الحمل علی بعض الأحوال یعنی لبس الخفّ فیوجب خلّو الآیة عن حکم أصل الرجلین مع أنّ الآیة فی مقام بیان حکم الوضوء موضّحاً</w:t>
      </w:r>
      <w:r>
        <w:rPr>
          <w:rFonts w:eastAsia="IRNazanin" w:cs="IRNazanin"/>
          <w:color w:val="111111"/>
          <w:sz w:val="28"/>
          <w:szCs w:val="28"/>
          <w:rtl w:val="true"/>
          <w:lang w:bidi="fa-IR"/>
        </w:rPr>
        <w:t>.</w:t>
      </w:r>
    </w:p>
    <w:p>
      <w:pPr>
        <w:pStyle w:val="Heading3"/>
        <w:numPr>
          <w:ilvl w:val="2"/>
          <w:numId w:val="1"/>
        </w:numPr>
        <w:rPr/>
      </w:pPr>
      <w:bookmarkStart w:id="378" w:name="__RefHeading___Toc972320_237004111"/>
      <w:bookmarkStart w:id="379" w:name="_Toc134"/>
      <w:bookmarkEnd w:id="378"/>
      <w:r>
        <w:rPr/>
        <w:t>112</w:t>
      </w:r>
      <w:r>
        <w:rPr>
          <w:rtl w:val="true"/>
        </w:rPr>
        <w:t xml:space="preserve"> - </w:t>
      </w:r>
      <w:r>
        <w:rPr>
          <w:rtl w:val="true"/>
        </w:rPr>
        <w:t>الدکتور عبداللّطیف الخطیب المعاصر</w:t>
      </w:r>
      <w:bookmarkEnd w:id="379"/>
    </w:p>
    <w:p>
      <w:pPr>
        <w:pStyle w:val="BookText"/>
        <w:rPr/>
      </w:pPr>
      <w:r>
        <w:rPr>
          <w:rFonts w:ascii="IRNazanin" w:hAnsi="IRNazanin" w:eastAsia="IRNazanin"/>
          <w:color w:val="111111"/>
          <w:sz w:val="28"/>
          <w:sz w:val="28"/>
          <w:szCs w:val="28"/>
          <w:rtl w:val="true"/>
          <w:lang w:bidi="fa-IR"/>
        </w:rPr>
        <w:t>قال الدکتور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فالظاهر اندراج الارجل فی المسح مع الرأس، ورجح الطبری هذه القراءة، وروی وجوب المسح عن ابن عباس، وأنس، وعکرمة، والشعبی، وأبی جعفر الباقر وهو مذهب الإمامیة من الشیعة، إلّاأنّ الأخفش وابا عبیدة حملا الخفض علی الجوار والمعنی الغسل، وهذا القول غلط عظیم لأن الجوار لا یجوز فی الکلام من أن یقاس علیه وإنما 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أحسن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والغسل واجبان جمیعاً، المسح فی قراءة الخفض والغسل فی قراءة النّصب وأنّهما بمنزلة آیتین، وقال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الجمع بین المسح والغسل، وهو قول النّاصر للحق من أئمّة الزیدیّة،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بالآیة والغسل بالسنّة، وخیّره الطبری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الرؤوس لفظاً أو </w:t>
      </w:r>
      <w:bookmarkStart w:id="380" w:name="pg6193_71065"/>
    </w:p>
    <w:p>
      <w:pPr>
        <w:pStyle w:val="BookText"/>
        <w:rPr/>
      </w:pPr>
      <w:bookmarkEnd w:id="380"/>
      <w:r>
        <w:rPr>
          <w:rFonts w:ascii="IRNazanin" w:hAnsi="IRNazanin" w:eastAsia="IRNazanin"/>
          <w:color w:val="111111"/>
          <w:sz w:val="28"/>
          <w:sz w:val="28"/>
          <w:szCs w:val="28"/>
          <w:rtl w:val="true"/>
          <w:lang w:bidi="fa-IR"/>
        </w:rPr>
        <w:t>محلاً وموضعاً فیجب المسح علی القراءتین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یکفینا ذهاب الباقر إلی المسح فاتّبعه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الجوار فأجاب هو نفسه عنه وکفانا مئونة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القراءتین بمنزلة آیتین فلا یمکن الذّهاب إلیه؛ فإن جواز القراءة بهما لا یجعلهما آیتین کما هو معلوم، والتّخییر المنقول من الطبری علی هذا المعنی فهو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المسح بالآیة ووجوب الغسل بالسنّة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مخدوشة سنداً أو دلالة وعدم فهم الغسل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إن کانت صحیحة فتنسخ حکم الآیة وإن کانت غیر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للّه‌وأنّا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قرون متمادیة سلکوا تلک الطریق</w:t>
      </w:r>
      <w:r>
        <w:rPr>
          <w:rFonts w:eastAsia="IRNazanin" w:cs="IRNazanin"/>
          <w:color w:val="111111"/>
          <w:sz w:val="28"/>
          <w:szCs w:val="28"/>
          <w:rtl w:val="true"/>
          <w:lang w:bidi="fa-IR"/>
        </w:rPr>
        <w:t>.</w:t>
      </w:r>
    </w:p>
    <w:p>
      <w:pPr>
        <w:pStyle w:val="Heading3"/>
        <w:numPr>
          <w:ilvl w:val="2"/>
          <w:numId w:val="1"/>
        </w:numPr>
        <w:rPr/>
      </w:pPr>
      <w:bookmarkStart w:id="381" w:name="__RefHeading___Toc972322_237004111"/>
      <w:bookmarkStart w:id="382" w:name="_Toc135"/>
      <w:bookmarkEnd w:id="381"/>
      <w:r>
        <w:rPr/>
        <w:t>113</w:t>
      </w:r>
      <w:r>
        <w:rPr>
          <w:rtl w:val="true"/>
        </w:rPr>
        <w:t xml:space="preserve"> - </w:t>
      </w:r>
      <w:r>
        <w:rPr>
          <w:rtl w:val="true"/>
        </w:rPr>
        <w:t>محیی الّدین الّدرویش من المعاصرین</w:t>
      </w:r>
      <w:bookmarkEnd w:id="382"/>
    </w:p>
    <w:p>
      <w:pPr>
        <w:pStyle w:val="BookText"/>
        <w:rPr/>
      </w:pPr>
      <w:r>
        <w:rPr>
          <w:rFonts w:ascii="IRNazanin" w:hAnsi="IRNazanin" w:eastAsia="IRNazanin"/>
          <w:color w:val="111111"/>
          <w:sz w:val="28"/>
          <w:sz w:val="28"/>
          <w:szCs w:val="28"/>
          <w:rtl w:val="true"/>
          <w:lang w:bidi="fa-IR"/>
        </w:rPr>
        <w:t>قال الدرویش بعد ذکر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وقرأها الباقون ابن کثیر، وحمزة، وأبو عمرو 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عطف علی الرؤوس،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بارجلکم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اختلف المسلمون فی غسل الرجلین ومسحهما، فجماهیر أهل السنة علی أن الواجب هو الغسل وحده، والشیعة، والإمامیة أنّه المسح</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کماتری، لم یذکر الدّلائل التی علی طبقها یقول أهل السنّة بالغسل فی الرّجلین مع اعترافه بأنّ الظاهر أن العطف علی الرؤوس والرؤوس ممسوحة قطعاً</w:t>
      </w:r>
      <w:r>
        <w:rPr>
          <w:rFonts w:eastAsia="IRNazanin" w:cs="IRNazanin"/>
          <w:color w:val="111111"/>
          <w:sz w:val="28"/>
          <w:szCs w:val="28"/>
          <w:rtl w:val="true"/>
          <w:lang w:bidi="fa-IR"/>
        </w:rPr>
        <w:t xml:space="preserve">. </w:t>
      </w:r>
      <w:bookmarkStart w:id="383" w:name="pg6193_71067"/>
    </w:p>
    <w:p>
      <w:pPr>
        <w:pStyle w:val="Heading3"/>
        <w:numPr>
          <w:ilvl w:val="2"/>
          <w:numId w:val="1"/>
        </w:numPr>
        <w:rPr/>
      </w:pPr>
      <w:bookmarkStart w:id="384" w:name="__RefHeading___Toc972324_237004111"/>
      <w:bookmarkStart w:id="385" w:name="_Toc136"/>
      <w:bookmarkEnd w:id="383"/>
      <w:bookmarkEnd w:id="384"/>
      <w:r>
        <w:rPr/>
        <w:t>114</w:t>
      </w:r>
      <w:r>
        <w:rPr>
          <w:rtl w:val="true"/>
        </w:rPr>
        <w:t xml:space="preserve"> - </w:t>
      </w:r>
      <w:r>
        <w:rPr>
          <w:rtl w:val="true"/>
        </w:rPr>
        <w:t>الدکتور سلیمان بن إبراهیم بن عبداللّه اللّاحم</w:t>
      </w:r>
      <w:bookmarkEnd w:id="385"/>
    </w:p>
    <w:p>
      <w:pPr>
        <w:pStyle w:val="BookText"/>
        <w:rPr/>
      </w:pP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اللّاحم فی 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بقیّة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عاصم، ونافع، وابن عامر، والکسائی، ویعقوب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بخفض اللّام</w:t>
      </w:r>
      <w:r>
        <w:rPr>
          <w:rStyle w:val="FootnoteAnchor"/>
          <w:rtl w:val="true"/>
        </w:rPr>
        <w:footnoteReference w:id="593"/>
      </w:r>
      <w:r>
        <w:rPr>
          <w:rFonts w:ascii="IRNazanin" w:hAnsi="IRNazanin" w:eastAsia="IRNazanin"/>
          <w:color w:val="111111"/>
          <w:sz w:val="28"/>
          <w:sz w:val="28"/>
          <w:szCs w:val="28"/>
          <w:rtl w:val="true"/>
          <w:lang w:bidi="fa-IR"/>
        </w:rPr>
        <w:t>، وهکذا قرأ بعض التابعین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عن بعض أهل العلم أنّ الأرجل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قراءة النصب فهی بمعناها وإنّما جرّت لمجاورتها فهی منصوبة بفتحة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سائغ ذائع، فی لغة العرب شائع، لکنّ بعض العلم ردّ هذا التوجیه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مکیّ بن أبی طالب لما ذکر حمل بعضهم الجرّ فی هذه القراءة علی المجاورة قال</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لا یحمل القرآن علیه، وکذا أبطل الحمل علی المجاورة، الرازی من وجوه ثلاثة</w:t>
      </w:r>
      <w:r>
        <w:rPr>
          <w:rStyle w:val="FootnoteAnchor"/>
          <w:rtl w:val="true"/>
        </w:rPr>
        <w:footnoteReference w:id="597"/>
      </w:r>
      <w:r>
        <w:rPr>
          <w:rFonts w:ascii="IRNazanin" w:hAnsi="IRNazanin" w:eastAsia="IRNazanin"/>
          <w:color w:val="111111"/>
          <w:sz w:val="28"/>
          <w:sz w:val="28"/>
          <w:szCs w:val="28"/>
          <w:rtl w:val="true"/>
          <w:lang w:bidi="fa-IR"/>
        </w:rPr>
        <w:t>، وقال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ضعیف جدّاً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بعض أهل العلم</w:t>
      </w:r>
      <w:r>
        <w:rPr>
          <w:rStyle w:val="FootnoteAnchor"/>
          <w:rtl w:val="true"/>
        </w:rPr>
        <w:footnoteReference w:id="599"/>
      </w:r>
      <w:r>
        <w:rPr>
          <w:rFonts w:ascii="IRNazanin" w:hAnsi="IRNazanin" w:eastAsia="IRNazanin"/>
          <w:color w:val="111111"/>
          <w:sz w:val="28"/>
          <w:sz w:val="28"/>
          <w:szCs w:val="28"/>
          <w:rtl w:val="true"/>
          <w:lang w:bidi="fa-IR"/>
        </w:rPr>
        <w:t>جرّ الأرجل فی هذه القراءة بأنّه عطف علی الرؤوس، وقد روی هذا عن جماعة من السّلف</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386" w:name="pg6193_71069"/>
    </w:p>
    <w:p>
      <w:pPr>
        <w:pStyle w:val="BookText"/>
        <w:rPr/>
      </w:pPr>
      <w:bookmarkEnd w:id="386"/>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مکیّ بن أبی طالب، والفخرالرازی وأبی حیان وغیرهم ردوا المجاورة هنا اعنی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ابن کثیر إنّ الجرّ بالمجاورة سائغ ذائغ یصحّ فی أصل المجاورة وذلک لا یدلّ علی جوازه هنا، وإلّا فأمثال الرّازی ومکی وأبی حیان کلّهم من الأدباء ومن الواقفین علی القواعد الأدبیّة والنحویة والصرفیّة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المانع من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حکمه حکمه کما یقوله البعض من أهل السنّة، والشیعة الإمامیة کلّهم، وروی هذا عن جماعة من السّلف؟ وکما قال اللّاحم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ذهب الرافضة إلی أن المراد بالمسح مسح الأرجل کما یمسح الرأس، ولهذا قالوا إنّ فرض الرجلین هو المسح</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باطل بدلالة الکتاب، والسنّة، وإجماع الأمّة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این الدلیل من الکتاب الکریم علی الغسل المدّعی للرّجلین؟</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السنّة الصریحة الّتی تدلّ علی هذا غیر الأحادیث المرویّة فی کتب أهل السنّة؟ وقد اجبنا عنها فی المجلدات الأربعة لکتابنا وضوء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الأمّة ومن هم الأمّة؛ أهل السنّة فقط، وهل الباقون من أهل الإسلام مخالفة للشیعة وموافقة لبعض الروایات الّتی لا تدل علی ما یقصدون</w:t>
      </w:r>
      <w:r>
        <w:rPr>
          <w:rFonts w:eastAsia="IRNazanin" w:cs="IRNazanin"/>
          <w:color w:val="111111"/>
          <w:sz w:val="28"/>
          <w:szCs w:val="28"/>
          <w:rtl w:val="true"/>
          <w:lang w:bidi="fa-IR"/>
        </w:rPr>
        <w:t>.</w:t>
      </w:r>
    </w:p>
    <w:p>
      <w:pPr>
        <w:pStyle w:val="Heading3"/>
        <w:numPr>
          <w:ilvl w:val="2"/>
          <w:numId w:val="1"/>
        </w:numPr>
        <w:rPr/>
      </w:pPr>
      <w:bookmarkStart w:id="387" w:name="__RefHeading___Toc972326_237004111"/>
      <w:bookmarkStart w:id="388" w:name="_Toc137"/>
      <w:bookmarkEnd w:id="387"/>
      <w:r>
        <w:rPr/>
        <w:t>115</w:t>
      </w:r>
      <w:r>
        <w:rPr>
          <w:rtl w:val="true"/>
        </w:rPr>
        <w:t xml:space="preserve"> - </w:t>
      </w:r>
      <w:r>
        <w:rPr>
          <w:rtl w:val="true"/>
        </w:rPr>
        <w:t>الشیخ عبداللّه بن حمید بن سلوم السّالمی من المعاصرین</w:t>
      </w:r>
      <w:bookmarkEnd w:id="38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السالمی شعرا</w:t>
      </w:r>
      <w:r>
        <w:rPr>
          <w:rFonts w:eastAsia="IRNazanin" w:cs="IRNazanin"/>
          <w:color w:val="111111"/>
          <w:sz w:val="28"/>
          <w:szCs w:val="28"/>
          <w:rtl w:val="true"/>
          <w:lang w:bidi="fa-IR"/>
        </w:rPr>
        <w:t xml:space="preserve">: </w:t>
      </w:r>
      <w:bookmarkStart w:id="389" w:name="pg6193_71072"/>
    </w:p>
    <w:p>
      <w:pPr>
        <w:pStyle w:val="BookText"/>
        <w:rPr/>
      </w:pPr>
      <w:bookmarkEnd w:id="389"/>
      <w:r>
        <w:rPr>
          <w:rFonts w:ascii="IRNazanin" w:hAnsi="IRNazanin" w:eastAsia="IRNazanin"/>
          <w:color w:val="111111"/>
          <w:sz w:val="28"/>
          <w:sz w:val="28"/>
          <w:szCs w:val="28"/>
          <w:rtl w:val="true"/>
          <w:lang w:bidi="fa-IR"/>
        </w:rPr>
        <w:t>فرائض الوضوء أربع لها هذا المقام کاشفاً مجملها</w:t>
      </w:r>
    </w:p>
    <w:p>
      <w:pPr>
        <w:pStyle w:val="BookText"/>
        <w:rPr/>
      </w:pPr>
      <w:r>
        <w:rPr>
          <w:rFonts w:ascii="IRNazanin" w:hAnsi="IRNazanin" w:eastAsia="IRNazanin"/>
          <w:color w:val="111111"/>
          <w:sz w:val="28"/>
          <w:sz w:val="28"/>
          <w:szCs w:val="28"/>
          <w:rtl w:val="true"/>
          <w:lang w:bidi="fa-IR"/>
        </w:rPr>
        <w:t>فالغسل للوجه وحده بدا من منبت الشّعر الذی قد عودا</w:t>
      </w:r>
    </w:p>
    <w:p>
      <w:pPr>
        <w:pStyle w:val="BookText"/>
        <w:rPr/>
      </w:pPr>
      <w:r>
        <w:rPr>
          <w:rFonts w:ascii="IRNazanin" w:hAnsi="IRNazanin" w:eastAsia="IRNazanin"/>
          <w:color w:val="111111"/>
          <w:sz w:val="28"/>
          <w:sz w:val="28"/>
          <w:szCs w:val="28"/>
          <w:rtl w:val="true"/>
          <w:lang w:bidi="fa-IR"/>
        </w:rPr>
        <w:t>للذقن طولا وإلی الأذنین فی العرض ثم الغسل للیدین</w:t>
      </w:r>
    </w:p>
    <w:p>
      <w:pPr>
        <w:pStyle w:val="BookText"/>
        <w:rPr/>
      </w:pPr>
      <w:r>
        <w:rPr>
          <w:rFonts w:ascii="Amiri" w:hAnsi="Amiri" w:eastAsia="Amiri" w:cs="Amiri"/>
          <w:color w:val="111111"/>
          <w:sz w:val="28"/>
          <w:sz w:val="28"/>
          <w:szCs w:val="28"/>
          <w:rtl w:val="true"/>
          <w:lang w:bidi="ar-SA"/>
        </w:rPr>
        <w:t>والمرفقین ثمّ للرّجلین تعمّها أیضاً مع الکعبین</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أنّه حکم بغسل الرّجلین إلی الکعبین أی مع الکعبین فجعل الغسل مفروغاً عنه ثابتاً عندهم بدلالة روایاتهم وتوجیهاتهم</w:t>
      </w:r>
      <w:r>
        <w:rPr>
          <w:rFonts w:eastAsia="IRNazanin" w:cs="IRNazanin"/>
          <w:color w:val="111111"/>
          <w:sz w:val="28"/>
          <w:szCs w:val="28"/>
          <w:rtl w:val="true"/>
          <w:lang w:bidi="fa-IR"/>
        </w:rPr>
        <w:t>.</w:t>
      </w:r>
    </w:p>
    <w:p>
      <w:pPr>
        <w:pStyle w:val="Heading3"/>
        <w:numPr>
          <w:ilvl w:val="2"/>
          <w:numId w:val="1"/>
        </w:numPr>
        <w:rPr/>
      </w:pPr>
      <w:bookmarkStart w:id="390" w:name="__RefHeading___Toc972328_237004111"/>
      <w:bookmarkStart w:id="391" w:name="_Toc138"/>
      <w:bookmarkEnd w:id="390"/>
      <w:r>
        <w:rPr/>
        <w:t>116</w:t>
      </w:r>
      <w:r>
        <w:rPr>
          <w:rtl w:val="true"/>
        </w:rPr>
        <w:t xml:space="preserve"> - </w:t>
      </w:r>
      <w:r>
        <w:rPr>
          <w:rtl w:val="true"/>
        </w:rPr>
        <w:t>محمد بن عبداللّه بن عبیدان</w:t>
      </w:r>
      <w:bookmarkEnd w:id="391"/>
    </w:p>
    <w:p>
      <w:pPr>
        <w:pStyle w:val="BookText"/>
        <w:rPr/>
      </w:pPr>
      <w:r>
        <w:rPr>
          <w:rFonts w:ascii="IRNazanin" w:hAnsi="IRNazanin" w:eastAsia="IRNazanin"/>
          <w:color w:val="111111"/>
          <w:sz w:val="28"/>
          <w:sz w:val="28"/>
          <w:szCs w:val="28"/>
          <w:rtl w:val="true"/>
          <w:lang w:bidi="fa-IR"/>
        </w:rPr>
        <w:t>قال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القدمان فالآیة قد دلّت علی مسحهما وعلی غسلهما هما قراءتان صحیحتان بالنصب والخفض فمن نصب غسلهما، ومن خفض مسحهما، ونحن نختار غسلهما لأنّ العمل علی ذلک من الناس حتی صار کالإجماع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جامع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فی وجوب غسل القدمین، فإن الغسل أولی من المسح علیهما وإن کانا فی التلاوة سواء، لأنّ بعض القراء قرأ بالنصب وبعضهم قرأ بالخفض، والمنقول إلینا من النبی صلی الله علیه و آله فعل الغسل وما نقل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لبطون الأقدام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واجمعوا جمیعاً أنّ من غسل قدمیه فقد أدّی الفرائض التی علیه، واختلفوا فیمن مسح علیهما فنحن فیما اتّفقوا علیه، والإجماع حجة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نصب غسل ومن خفض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العلماء من أهل السنّة و إلّافإنّ الشیعة الإمامیّة سواء علی قراءة النصب أو الخفض </w:t>
      </w:r>
      <w:bookmarkStart w:id="392" w:name="pg6193_71074"/>
    </w:p>
    <w:p>
      <w:pPr>
        <w:pStyle w:val="BookText"/>
        <w:rPr/>
      </w:pPr>
      <w:bookmarkEnd w:id="392"/>
      <w:r>
        <w:rPr>
          <w:rFonts w:ascii="IRNazanin" w:hAnsi="IRNazanin" w:eastAsia="IRNazanin"/>
          <w:color w:val="111111"/>
          <w:sz w:val="28"/>
          <w:sz w:val="28"/>
          <w:szCs w:val="28"/>
          <w:rtl w:val="true"/>
          <w:lang w:bidi="fa-IR"/>
        </w:rPr>
        <w:t>تقول بوجوب المسح فإنّ الأرجل فی اعتقادهم عطف علی الرؤوس لفظاً فتجرّ ومحلاً فتنصب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العمل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حتی صار کالإجماع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عمل النّاس لا یکون دلیلا، إذ عملهم مستند إلی ما حکوه عن عثمان عن النبیّ وما افتی به المذاهب الأربعة فی حین أثبتنا فی المجلدات الأربعة من دراستنا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رواه حمران بن أبان التمری عن عثمان عن رسول اللّه وکذا الروایات الاُخری عن رسول اللّه غیر صحیح، وبذلک یکون الإجماع اجماعهم لا إجماع جمیع المسلمین لأنّ الأمّة لا تنحصر فی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المنقول من فعل النبی صلی الله علیه و آله کان الغسل غیر ثابت، وما نقلوه من أخبار مثل ویل للعراقیب من النار أو ویل لبطون الأقدام غیر دال علی ما یریدونه فی لزوم غسل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الأولویّة هنا بالنسبة إلی الغسل لیس فی محلّه لأن هذا المحل محل دلالت النّص ولا العقل</w:t>
      </w:r>
      <w:r>
        <w:rPr>
          <w:rFonts w:eastAsia="IRNazanin" w:cs="IRNazanin"/>
          <w:color w:val="111111"/>
          <w:sz w:val="28"/>
          <w:szCs w:val="28"/>
          <w:rtl w:val="true"/>
          <w:lang w:bidi="fa-IR"/>
        </w:rPr>
        <w:t>.</w:t>
      </w:r>
    </w:p>
    <w:p>
      <w:pPr>
        <w:pStyle w:val="Heading3"/>
        <w:numPr>
          <w:ilvl w:val="2"/>
          <w:numId w:val="1"/>
        </w:numPr>
        <w:rPr/>
      </w:pPr>
      <w:bookmarkStart w:id="393" w:name="__RefHeading___Toc972330_237004111"/>
      <w:bookmarkStart w:id="394" w:name="_Toc139"/>
      <w:bookmarkEnd w:id="393"/>
      <w:r>
        <w:rPr/>
        <w:t>117</w:t>
      </w:r>
      <w:r>
        <w:rPr>
          <w:rtl w:val="true"/>
        </w:rPr>
        <w:t xml:space="preserve"> - </w:t>
      </w:r>
      <w:r>
        <w:rPr>
          <w:rtl w:val="true"/>
        </w:rPr>
        <w:t>محمد بن یوسف إطفیس</w:t>
      </w:r>
      <w:bookmarkEnd w:id="394"/>
    </w:p>
    <w:p>
      <w:pPr>
        <w:pStyle w:val="BookText"/>
        <w:rPr/>
      </w:pPr>
      <w:r>
        <w:rPr>
          <w:rFonts w:ascii="IRNazanin" w:hAnsi="IRNazanin" w:eastAsia="IRNazanin"/>
          <w:color w:val="111111"/>
          <w:sz w:val="28"/>
          <w:sz w:val="28"/>
          <w:szCs w:val="28"/>
          <w:rtl w:val="true"/>
          <w:lang w:bidi="fa-IR"/>
        </w:rPr>
        <w:t>قال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بین المسلمین من یغسل الرجلین ومنهم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یمسح الرجلین</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خلافیّة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هی مجموعة من الأقوال التی وقفنا علیها فی کتب اللّغة والنحو والتفسیر والحدیث، وکیفیة استدلالهم بقراءة الجر علی غسل الرجلین، وقد کنا قد أجبنا عما استدلوا به معتذرین للقارئ الکریم من التکرار والاحالة فی بعض الأحیان</w:t>
      </w:r>
      <w:r>
        <w:rPr>
          <w:rFonts w:eastAsia="IRNazanin" w:cs="IRNazanin"/>
          <w:color w:val="111111"/>
          <w:sz w:val="28"/>
          <w:szCs w:val="28"/>
          <w:rtl w:val="true"/>
          <w:lang w:bidi="fa-IR"/>
        </w:rPr>
        <w:t xml:space="preserve">. </w:t>
      </w:r>
      <w:bookmarkStart w:id="395" w:name="pg6193_71076"/>
    </w:p>
    <w:p>
      <w:pPr>
        <w:pStyle w:val="Heading2"/>
        <w:numPr>
          <w:ilvl w:val="1"/>
          <w:numId w:val="1"/>
        </w:numPr>
        <w:rPr/>
      </w:pPr>
      <w:bookmarkStart w:id="396" w:name="__RefHeading___Toc972332_237004111"/>
      <w:bookmarkStart w:id="397" w:name="_Toc140"/>
      <w:bookmarkEnd w:id="395"/>
      <w:bookmarkEnd w:id="396"/>
      <w:r>
        <w:rPr>
          <w:rtl w:val="true"/>
        </w:rPr>
        <w:t>الفَصْلُ الثانیُ</w:t>
      </w:r>
      <w:r>
        <w:rPr>
          <w:rtl w:val="true"/>
        </w:rPr>
        <w:t xml:space="preserve">: </w:t>
      </w:r>
      <w:r>
        <w:rPr>
          <w:rtl w:val="true"/>
        </w:rPr>
        <w:t>فِیْ قِراءَةِ النصبِّ</w:t>
      </w:r>
      <w:bookmarkEnd w:id="39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972334_237004111"/>
      <w:bookmarkStart w:id="399" w:name="_Toc141"/>
      <w:bookmarkEnd w:id="398"/>
      <w:r>
        <w:rPr>
          <w:rtl w:val="true"/>
        </w:rPr>
        <w:t>اشارة</w:t>
      </w:r>
      <w:bookmarkEnd w:id="39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6193_71080"/>
      <w:bookmarkStart w:id="401" w:name="pg6193_71080"/>
      <w:bookmarkEnd w:id="401"/>
    </w:p>
    <w:p>
      <w:pPr>
        <w:pStyle w:val="BookText"/>
        <w:rPr/>
      </w:pPr>
      <w:bookmarkStart w:id="402" w:name="pg6193_71080"/>
      <w:bookmarkEnd w:id="402"/>
      <w:r>
        <w:rPr>
          <w:rFonts w:ascii="IRNazanin" w:hAnsi="IRNazanin" w:eastAsia="IRNazanin"/>
          <w:color w:val="111111"/>
          <w:sz w:val="28"/>
          <w:sz w:val="28"/>
          <w:szCs w:val="28"/>
          <w:rtl w:val="true"/>
          <w:lang w:bidi="fa-IR"/>
        </w:rPr>
        <w:t>قراءة النصب هی قراءة معروفاً کقراءة الجرّ، قَرَأَ بها عددٌ من القرّاء وغیرهم لا یستهان بهم، وهم</w:t>
      </w:r>
      <w:r>
        <w:rPr>
          <w:rFonts w:eastAsia="IRNazanin" w:cs="IRNazanin"/>
          <w:color w:val="111111"/>
          <w:sz w:val="28"/>
          <w:szCs w:val="28"/>
          <w:rtl w:val="true"/>
          <w:lang w:bidi="fa-IR"/>
        </w:rPr>
        <w:t>:</w:t>
      </w:r>
    </w:p>
    <w:p>
      <w:pPr>
        <w:pStyle w:val="Heading3"/>
        <w:numPr>
          <w:ilvl w:val="2"/>
          <w:numId w:val="1"/>
        </w:numPr>
        <w:rPr/>
      </w:pPr>
      <w:bookmarkStart w:id="403" w:name="__RefHeading___Toc972336_237004111"/>
      <w:bookmarkStart w:id="404" w:name="_Toc142"/>
      <w:bookmarkEnd w:id="403"/>
      <w:r>
        <w:rPr/>
        <w:t>1</w:t>
      </w:r>
      <w:r>
        <w:rPr>
          <w:rtl w:val="true"/>
        </w:rPr>
        <w:t xml:space="preserve"> - </w:t>
      </w:r>
      <w:r>
        <w:rPr>
          <w:rtl w:val="true"/>
        </w:rPr>
        <w:t xml:space="preserve">الضحاک </w:t>
      </w:r>
      <w:r>
        <w:rPr>
          <w:rtl w:val="true"/>
        </w:rPr>
        <w:t>(</w:t>
      </w:r>
      <w:r>
        <w:rPr>
          <w:rtl w:val="true"/>
        </w:rPr>
        <w:t xml:space="preserve">ت </w:t>
      </w:r>
      <w:r>
        <w:rPr/>
        <w:t>105</w:t>
      </w:r>
      <w:r>
        <w:rPr>
          <w:rtl w:val="true"/>
        </w:rPr>
        <w:t xml:space="preserve"> </w:t>
      </w:r>
      <w:r>
        <w:rPr>
          <w:rtl w:val="true"/>
        </w:rPr>
        <w:t xml:space="preserve">ه </w:t>
      </w:r>
      <w:r>
        <w:rPr>
          <w:rtl w:val="true"/>
        </w:rPr>
        <w:t>)</w:t>
      </w:r>
      <w:bookmarkEnd w:id="404"/>
    </w:p>
    <w:p>
      <w:pPr>
        <w:pStyle w:val="BookText"/>
        <w:rPr/>
      </w:pPr>
      <w:r>
        <w:rPr>
          <w:rFonts w:ascii="IRNazanin" w:hAnsi="IRNazanin" w:eastAsia="IRNazanin"/>
          <w:color w:val="111111"/>
          <w:sz w:val="28"/>
          <w:sz w:val="28"/>
          <w:szCs w:val="28"/>
          <w:rtl w:val="true"/>
          <w:lang w:bidi="fa-IR"/>
        </w:rPr>
        <w:t xml:space="preserve">قرأ الضحّاک بالنّصب کما قرأ بالجرّ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کلامه فی قراءة الجرّ بالرّقم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النّصب علی الغسل ونقل عنه الطبری وابن کثیر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یبیّن أنّ ثبوت الغسل عنده بالسّنّة؟ أو بالعطف علی الوجوه والأیدی؟ وعلی کلّ فالجواب عنه یأتی عند کلامنا مع الأخفش</w:t>
      </w:r>
      <w:r>
        <w:rPr>
          <w:rFonts w:eastAsia="IRNazanin" w:cs="IRNazanin"/>
          <w:color w:val="111111"/>
          <w:sz w:val="28"/>
          <w:szCs w:val="28"/>
          <w:rtl w:val="true"/>
          <w:lang w:bidi="fa-IR"/>
        </w:rPr>
        <w:t xml:space="preserve">. </w:t>
      </w:r>
      <w:bookmarkStart w:id="405" w:name="pg6193_71082"/>
    </w:p>
    <w:p>
      <w:pPr>
        <w:pStyle w:val="Heading3"/>
        <w:numPr>
          <w:ilvl w:val="2"/>
          <w:numId w:val="1"/>
        </w:numPr>
        <w:rPr/>
      </w:pPr>
      <w:bookmarkStart w:id="406" w:name="__RefHeading___Toc972338_237004111"/>
      <w:bookmarkStart w:id="407" w:name="_Toc143"/>
      <w:bookmarkEnd w:id="405"/>
      <w:bookmarkEnd w:id="406"/>
      <w:r>
        <w:rPr/>
        <w:t>2</w:t>
      </w:r>
      <w:r>
        <w:rPr>
          <w:rtl w:val="true"/>
        </w:rPr>
        <w:t xml:space="preserve"> - </w:t>
      </w:r>
      <w:r>
        <w:rPr>
          <w:rtl w:val="true"/>
        </w:rPr>
        <w:t xml:space="preserve">الحسن البصری </w:t>
      </w:r>
      <w:r>
        <w:rPr>
          <w:rtl w:val="true"/>
        </w:rPr>
        <w:t>(</w:t>
      </w:r>
      <w:r>
        <w:rPr>
          <w:rtl w:val="true"/>
        </w:rPr>
        <w:t xml:space="preserve">ت </w:t>
      </w:r>
      <w:r>
        <w:rPr/>
        <w:t>110</w:t>
      </w:r>
      <w:r>
        <w:rPr>
          <w:rtl w:val="true"/>
        </w:rPr>
        <w:t xml:space="preserve"> </w:t>
      </w:r>
      <w:r>
        <w:rPr>
          <w:rtl w:val="true"/>
        </w:rPr>
        <w:t xml:space="preserve">ه </w:t>
      </w:r>
      <w:r>
        <w:rPr>
          <w:rtl w:val="true"/>
        </w:rPr>
        <w:t>)</w:t>
      </w:r>
      <w:bookmarkEnd w:id="407"/>
    </w:p>
    <w:p>
      <w:pPr>
        <w:pStyle w:val="BookText"/>
        <w:rPr/>
      </w:pPr>
      <w:r>
        <w:rPr>
          <w:rFonts w:ascii="IRNazanin" w:hAnsi="IRNazanin" w:eastAsia="IRNazanin"/>
          <w:color w:val="111111"/>
          <w:sz w:val="28"/>
          <w:sz w:val="28"/>
          <w:szCs w:val="28"/>
          <w:rtl w:val="true"/>
          <w:lang w:bidi="fa-IR"/>
        </w:rPr>
        <w:t>یظهر من کلام الحسن البصری أنّه قرأ بالنّصب کما نقل ابن فی تفسیره عنه وعن غیره، وأفتی الحسن بالغسل،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توضّا فی السفینة یغمس رجلیه غمساً،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یخضخض قدمیه فی الماء</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تکلمنا فی البحث التاریخی من هذه الدراسة</w:t>
      </w:r>
      <w:r>
        <w:rPr>
          <w:rStyle w:val="FootnoteAnchor"/>
          <w:rtl w:val="true"/>
        </w:rPr>
        <w:footnoteReference w:id="608"/>
      </w:r>
      <w:r>
        <w:rPr>
          <w:rFonts w:ascii="IRNazanin" w:hAnsi="IRNazanin" w:eastAsia="IRNazanin"/>
          <w:color w:val="111111"/>
          <w:sz w:val="28"/>
          <w:sz w:val="28"/>
          <w:szCs w:val="28"/>
          <w:rtl w:val="true"/>
          <w:lang w:bidi="fa-IR"/>
        </w:rPr>
        <w:t>بعض الشیء عن وضوء الحسن البصری فراجع</w:t>
      </w:r>
      <w:r>
        <w:rPr>
          <w:rFonts w:eastAsia="IRNazanin" w:cs="IRNazanin"/>
          <w:color w:val="111111"/>
          <w:sz w:val="28"/>
          <w:szCs w:val="28"/>
          <w:rtl w:val="true"/>
          <w:lang w:bidi="fa-IR"/>
        </w:rPr>
        <w:t>.</w:t>
      </w:r>
    </w:p>
    <w:p>
      <w:pPr>
        <w:pStyle w:val="Heading3"/>
        <w:numPr>
          <w:ilvl w:val="2"/>
          <w:numId w:val="1"/>
        </w:numPr>
        <w:rPr/>
      </w:pPr>
      <w:bookmarkStart w:id="408" w:name="__RefHeading___Toc972340_237004111"/>
      <w:bookmarkStart w:id="409" w:name="_Toc144"/>
      <w:bookmarkEnd w:id="408"/>
      <w:r>
        <w:rPr/>
        <w:t>3</w:t>
      </w:r>
      <w:r>
        <w:rPr>
          <w:rtl w:val="true"/>
        </w:rPr>
        <w:t xml:space="preserve"> - </w:t>
      </w:r>
      <w:r>
        <w:rPr>
          <w:rtl w:val="true"/>
        </w:rPr>
        <w:t xml:space="preserve">الشافعیّ </w:t>
      </w:r>
      <w:r>
        <w:rPr>
          <w:rtl w:val="true"/>
        </w:rPr>
        <w:t>(</w:t>
      </w:r>
      <w:r>
        <w:rPr>
          <w:rtl w:val="true"/>
        </w:rPr>
        <w:t xml:space="preserve">ت </w:t>
      </w:r>
      <w:r>
        <w:rPr/>
        <w:t>204</w:t>
      </w:r>
      <w:r>
        <w:rPr>
          <w:rtl w:val="true"/>
        </w:rPr>
        <w:t xml:space="preserve"> </w:t>
      </w:r>
      <w:r>
        <w:rPr>
          <w:rtl w:val="true"/>
        </w:rPr>
        <w:t xml:space="preserve">ه </w:t>
      </w:r>
      <w:r>
        <w:rPr>
          <w:rtl w:val="true"/>
        </w:rPr>
        <w:t>)</w:t>
      </w:r>
      <w:bookmarkEnd w:id="409"/>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نقرأ آیة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ذلک عندنا دلالة السنّة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لمّا رأی أنّ قراءة النصب لا تعینه علی مقصوده استعان بما سمّاه دلالة السنّة، فی حین أنّا قد أثبتنا عدم دلالة السنّة علی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تأملت فی کلام الشافعیّ لرأیته یحاول تطبیق الکتاب علی وَفْقِ قناعاته، بدلاً عن أخذ مذهبه من ظاهر الکتاب</w:t>
      </w:r>
      <w:r>
        <w:rPr>
          <w:rFonts w:eastAsia="IRNazanin" w:cs="IRNazanin"/>
          <w:color w:val="111111"/>
          <w:sz w:val="28"/>
          <w:szCs w:val="28"/>
          <w:rtl w:val="true"/>
          <w:lang w:bidi="fa-IR"/>
        </w:rPr>
        <w:t xml:space="preserve">. </w:t>
      </w:r>
      <w:bookmarkStart w:id="410" w:name="pg6193_71084"/>
    </w:p>
    <w:p>
      <w:pPr>
        <w:pStyle w:val="BookText"/>
        <w:rPr/>
      </w:pPr>
      <w:bookmarkEnd w:id="410"/>
      <w:r>
        <w:rPr>
          <w:rFonts w:ascii="IRNazanin" w:hAnsi="IRNazanin" w:eastAsia="IRNazanin"/>
          <w:color w:val="111111"/>
          <w:sz w:val="28"/>
          <w:sz w:val="28"/>
          <w:szCs w:val="28"/>
          <w:rtl w:val="true"/>
          <w:lang w:bidi="fa-IR"/>
        </w:rPr>
        <w:t>وأمّا الروایات التی أوردها الشافعیّ وجعلها أدلّةً للغسل فی قراءة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 یوم القیامة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للعراقیب من النار</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الروایات لا دلالة لها علی وجوب غسل القدمین علی فرض أنّها سنة رسول اللّه، بل أن غسل الأرجل أَکَّدَهُ الشارع آلْمقدّسُ، لأنّها معرضة للنجاسة والبول، والویل جاء لهذا السبب لا لترک السنة أو الفرض الالهی</w:t>
      </w:r>
      <w:r>
        <w:rPr>
          <w:rFonts w:eastAsia="IRNazanin" w:cs="IRNazanin"/>
          <w:color w:val="111111"/>
          <w:sz w:val="28"/>
          <w:szCs w:val="28"/>
          <w:rtl w:val="true"/>
          <w:lang w:bidi="fa-IR"/>
        </w:rPr>
        <w:t>.</w:t>
      </w:r>
    </w:p>
    <w:p>
      <w:pPr>
        <w:pStyle w:val="Heading3"/>
        <w:numPr>
          <w:ilvl w:val="2"/>
          <w:numId w:val="1"/>
        </w:numPr>
        <w:rPr/>
      </w:pPr>
      <w:bookmarkStart w:id="411" w:name="__RefHeading___Toc972342_237004111"/>
      <w:bookmarkStart w:id="412" w:name="_Toc145"/>
      <w:bookmarkEnd w:id="411"/>
      <w:r>
        <w:rPr/>
        <w:t>4</w:t>
      </w:r>
      <w:r>
        <w:rPr>
          <w:rtl w:val="true"/>
        </w:rPr>
        <w:t xml:space="preserve"> - </w:t>
      </w:r>
      <w:r>
        <w:rPr>
          <w:rtl w:val="true"/>
        </w:rPr>
        <w:t xml:space="preserve">أبو عبیدة معمّر بن المثنّی </w:t>
      </w:r>
      <w:r>
        <w:rPr>
          <w:rtl w:val="true"/>
        </w:rPr>
        <w:t>(</w:t>
      </w:r>
      <w:r>
        <w:rPr>
          <w:rtl w:val="true"/>
        </w:rPr>
        <w:t xml:space="preserve">ت </w:t>
      </w:r>
      <w:r>
        <w:rPr/>
        <w:t>210</w:t>
      </w:r>
      <w:r>
        <w:rPr>
          <w:rtl w:val="true"/>
        </w:rPr>
        <w:t xml:space="preserve"> </w:t>
      </w:r>
      <w:r>
        <w:rPr>
          <w:rtl w:val="true"/>
        </w:rPr>
        <w:t xml:space="preserve">ه </w:t>
      </w:r>
      <w:r>
        <w:rPr>
          <w:rtl w:val="true"/>
        </w:rPr>
        <w:t>)</w:t>
      </w:r>
      <w:bookmarkEnd w:id="412"/>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نصبها من نصب</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مراده أنّه منصوب عطفاً علی الوجوه والأیدی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قد مرّ مراراً ویأتی الإن عند کلامنا مع الأخفش</w:t>
      </w:r>
      <w:r>
        <w:rPr>
          <w:rFonts w:eastAsia="IRNazanin" w:cs="IRNazanin"/>
          <w:color w:val="111111"/>
          <w:sz w:val="28"/>
          <w:szCs w:val="28"/>
          <w:rtl w:val="true"/>
          <w:lang w:bidi="fa-IR"/>
        </w:rPr>
        <w:t>.</w:t>
      </w:r>
    </w:p>
    <w:p>
      <w:pPr>
        <w:pStyle w:val="Heading3"/>
        <w:numPr>
          <w:ilvl w:val="2"/>
          <w:numId w:val="1"/>
        </w:numPr>
        <w:rPr/>
      </w:pPr>
      <w:bookmarkStart w:id="413" w:name="__RefHeading___Toc972344_237004111"/>
      <w:bookmarkStart w:id="414" w:name="_Toc146"/>
      <w:bookmarkEnd w:id="413"/>
      <w:r>
        <w:rPr/>
        <w:t>5</w:t>
      </w:r>
      <w:r>
        <w:rPr>
          <w:rtl w:val="true"/>
        </w:rPr>
        <w:t xml:space="preserve"> - </w:t>
      </w:r>
      <w:r>
        <w:rPr>
          <w:rtl w:val="true"/>
        </w:rPr>
        <w:t xml:space="preserve">الأخفش </w:t>
      </w:r>
      <w:r>
        <w:rPr>
          <w:rtl w:val="true"/>
        </w:rPr>
        <w:t>(</w:t>
      </w:r>
      <w:r>
        <w:rPr>
          <w:rtl w:val="true"/>
        </w:rPr>
        <w:t xml:space="preserve">ت </w:t>
      </w:r>
      <w:r>
        <w:rPr/>
        <w:t>215</w:t>
      </w:r>
      <w:r>
        <w:rPr>
          <w:rtl w:val="true"/>
        </w:rPr>
        <w:t xml:space="preserve"> </w:t>
      </w:r>
      <w:r>
        <w:rPr>
          <w:rtl w:val="true"/>
        </w:rPr>
        <w:t xml:space="preserve">ه </w:t>
      </w:r>
      <w:r>
        <w:rPr>
          <w:rtl w:val="true"/>
        </w:rPr>
        <w:t>)</w:t>
      </w:r>
      <w:bookmarkEnd w:id="41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یعرفه الناس</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یعرفه اللّه ورسوله وأهل البیت علیهم السلام وابن عبّاس،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المسح علی الرجلین یجزئ، وهو ما نزل به القرآن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الأوّل للنصب عند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ولبناً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واللبن لا یؤکل؛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الأخفش بهذا علی حذف الفعل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وامسحوا برؤوسکم واغسلوا أرجلکم؛ کما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ولبناً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شربت لبناً، فحذفوا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حذفوا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فیقدّر هنا کما یقدّر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باطل؛ لأنّ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إعماله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اللبن لا یؤکل بل یشرب، ولذا لا یعطف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یقدّر له عامل یُناسبه بقرینة عرفیّة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وَتُعْطَفُ الجملة علی الجملة، والآیة بعکس ذلک تماماً؛ لأنّ الفعل فیها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إعماله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تُعْطَفُ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القراءتین الجرّ والنصب؛ 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والنصب عطفاً علی محلّه، إذ کلّ مجرور لفظاً إذا کان بعد ما یطلب المفعول واکتمل الفاعل فهو منصوب محلّاً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فتقدیر العامل فی 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ولبنا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صلاحیّة العامل </w:t>
      </w:r>
    </w:p>
    <w:p>
      <w:pPr>
        <w:pStyle w:val="BookText"/>
        <w:rPr/>
      </w:pPr>
      <w:r>
        <w:rPr>
          <w:rFonts w:ascii="IRNazanin" w:hAnsi="IRNazanin" w:eastAsia="IRNazanin"/>
          <w:color w:val="111111"/>
          <w:sz w:val="28"/>
          <w:sz w:val="28"/>
          <w:szCs w:val="28"/>
          <w:rtl w:val="true"/>
          <w:lang w:bidi="fa-IR"/>
        </w:rPr>
        <w:t xml:space="preserve">الموجود، أی أکلتُ للعمل فی ما بعد العاطف، ولأنّه یفسد المعنی عند أهل العرف والعقل، ولذا یحتاج إلی عطف الجملة علی الجملة بتقدیر عامل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العامل صالح للعمل فی ما قبل العاطف وما بعده من دون فساد المعنی، ولا مخالفة القانون النحویّ المشتهر فیما بین أصحابه والمجمع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والجرّ بالجوار ضعیف لا یحمل علیه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الفصل بین المعطوف والمعطوف علیه بجملة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أجمع علی بطلانه أهل العربیّة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الثانی للنصب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برائحة أطیب من هذه، ولا رأیت رائحةً أطیب من هذه، وما رأیت کلاماً أصوب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الدلیل من ناحیة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الآیة بما زعمه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قراءة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الرؤوس مجرورة بالباء،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مجرورة بها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برائحة أطیب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رأیت رائحةً أطیب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رأیت کلاماً أصوب من هذا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هذا القیاس، لعدم الجامع بین المقیس والمقیس </w:t>
      </w:r>
    </w:p>
    <w:p>
      <w:pPr>
        <w:pStyle w:val="BookText"/>
        <w:rPr/>
      </w:pPr>
      <w:r>
        <w:rPr>
          <w:rFonts w:ascii="IRNazanin" w:hAnsi="IRNazanin" w:eastAsia="IRNazanin"/>
          <w:color w:val="111111"/>
          <w:sz w:val="28"/>
          <w:sz w:val="28"/>
          <w:szCs w:val="28"/>
          <w:rtl w:val="true"/>
          <w:lang w:bidi="fa-IR"/>
        </w:rPr>
        <w:t>علیه، لأنّ المثال من باب عطف الجملة علی الجملة، وهذا العطف کثیر وَمُطَّرِدٌ فی کلام العرب، بغضّ النظر عن أنّ المعمول مجرور فی إحداها ومنصوب فی الأُخری، فکیفیّة إعراب المعمول لا دخل لها فی صحّة العطف، ولا نزاع فی المثال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المعطوف والمعطوف علیه فی المثال مذکوران معینان، ولیس کذلک فی الآیة علی رای المستدلّ؛ لأنّه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جملة فصلت المعطوف عن المعطوف علیه ولا فاصل فی المثال، فالعطف فیه مسلّم ومجمع علی صحّته، وفی الآیة مختلف فیه؛ لأنّ الفاصل جملة ولا یجوز الفصل بین المتعاطفین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المنصوبة تابعة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المجرورة، لوجود العامل الصالح للعمل فیها قبلها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یمنع عن إعمال حرف الجرّ فیما بعده أو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یمکن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ولا نصبه عطفاً علی محلّه بحجّة أنّ الباء زائدة، وهو منصوب محلّاً أو تقدیراً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ولکثرة الفصل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کذلک فی الآیة، إذ لم یذکر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حتّی یمنع من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وهو أقرب وأصلح 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فیجوز جرّها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ونصبها عطفاً علی محلّها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أمکن عمل الفعل الموجود بالقرب والصلاحیّة للعمل، فتقدیر العامل البعید والتکلّف له تعسّف لا یخفی علی الخبیر لکلام العرب، بل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الفصل بین المعطوف والمعطوف علیه واستقامة المعنی بلا حاجة إلی ذلک العطف، والتقدیر محاولة لصرف الآیة عن المعنی الظاهر وتطبیق له علی الرأی وعطف له علی الهوی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تقریب الاستدلال من ناحیة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العرب وضعوا بعض العبارات عن أفعال هذه الحواسّ مکان بعض لاجتماعهنّ فی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وضع المسح مکان الغسل لاجتماعه فی وقوع التطهیر بهما فی الأعضاء، والمراد بالمسح الغسل کما کان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برائحة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شممت 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کلاماً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کلاماً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 کلّ واحد منهما فی الاتساع مکان الآخر، لاجتماعهما فی العلم علی الوجه الذی علم به ذلک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 هذا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الکلام الذی طوّل بإیراده من تسمیة الشیء بما یقارنه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وسلم من کلّ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 من القوم وتجوّز وتعدٍّ للحقیقة بغیر شبهة، ولیس لنا أن نحمل ظاهر کتاب اللّه علی المجاز والاتساع من 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رضی القائلون بالمسح أن یکون حکم من أوجب بالآیة غسل الرجلین حکم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رائحة أطیب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وحکم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توجب المسح حکم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شممت رائحة أطیب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یزیدون زیادة علی ذلک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خبر رائحة أطیب من کذا، وحذف اختصاراً، فهذا أحسن وألیق من أن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أطیب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العلم، لأنّ حمل لفظ الرؤیة علی معنی مشترک أولی من حمله علی ما سمعت، لأنّ الحمل علی ما ذکرناه یفسد حقائق هذه </w:t>
      </w:r>
    </w:p>
    <w:p>
      <w:pPr>
        <w:pStyle w:val="BookText"/>
        <w:rPr/>
      </w:pPr>
      <w:r>
        <w:rPr>
          <w:rFonts w:ascii="IRNazanin" w:hAnsi="IRNazanin" w:eastAsia="IRNazanin"/>
          <w:color w:val="111111"/>
          <w:sz w:val="28"/>
          <w:sz w:val="28"/>
          <w:szCs w:val="28"/>
          <w:rtl w:val="true"/>
          <w:lang w:bidi="fa-IR"/>
        </w:rPr>
        <w:t>الألفاظ، ویقتضی خلط بعضها ببعض</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الثالث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البحر الکامل علی العروض الثالثة المجزوءة مع الضرب الأوّل المرفّل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زوجکِ قد غدا متقلّداً سیفاً ورمحاً</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الرمح معطوف علی السیف والعامل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إنّما یمکن حمله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المتقلّد بمعنی الحامل، لأنّ الرمح إنّما یحمل ولا یتقلّد، فالمستفاد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فکذا الآیة الشریفة لو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إنّما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الغسل، والعامل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علی هذا التقدیر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المعنی علی الغسل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التحدید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والبیت من قبیل عطف شبه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شبه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والقرینة عدم صلاحیّة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الرمح لا یتقلّد وإنّما یحمل، وقد تقدم القول فیه سابقاً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سیفاً،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متقلّداً لا یصلح للعمل فیهما والآیة لیست کذلک؛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للعمل فی المعطوف علیه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والمعطوف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والمسح بمعناه لا 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الحقیقیّ، وبالنسبة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المجازیّ وهو الغسل الخفیف، فإنّ ذلک تَکَلُّفٌ لا یُصارُ إلیه فی کلام اللّه الذی هو فی الطرف الأعلی من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المعنیین من جهة توجیه عمله فی المعمولین أیضاً تکلّف لا یجوز حمل البیت علیه، والشاعر اعتمد فی کلامه علی عرف التخاطب ومن لهم أدنی معرفة بأسالیب الکلام، فتفسیر البیت بما قصده الأخفش تفسیر بما لا یرضی صاحبه، وإخراج له عن السلاسة عند من له ذوق سلیم وطبع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آمِّینَ الْبَیْتَ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الفصل بین المعطوف والمعطوف علیه بسائر المعطوفات،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فکذا فی آیة الوضوء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الفاصل بینهما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لا یضرّ بالعطف کما لا یضرّ فی الآیة السابقة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بهذا الدلیل وأمثاله إنّما هو التأویل لتقویة آرائهم؛ لأنّ المعطوفات المتعدّدة علی المعطوف علیه الواحد سائغ غیر ضائر بالعطف، ولا یعدّ ذلک فصلاً، لأنّ المعطوفات غیر أجنبیّة عن المعطوف علیه، بل لکلّ واحدة علاقة بالمعطوف علیه، کما لا یخفی علی أُولی البصر من البشر</w:t>
      </w:r>
      <w:r>
        <w:rPr>
          <w:rFonts w:eastAsia="IRNazanin" w:cs="IRNazanin"/>
          <w:color w:val="111111"/>
          <w:sz w:val="28"/>
          <w:szCs w:val="28"/>
          <w:rtl w:val="true"/>
          <w:lang w:bidi="fa-IR"/>
        </w:rPr>
        <w:t xml:space="preserve">. </w:t>
      </w:r>
      <w:bookmarkStart w:id="415" w:name="pg6193_71098"/>
    </w:p>
    <w:p>
      <w:pPr>
        <w:pStyle w:val="BookText"/>
        <w:rPr/>
      </w:pPr>
      <w:bookmarkEnd w:id="415"/>
      <w:r>
        <w:rPr>
          <w:rFonts w:ascii="Amiri" w:hAnsi="Amiri" w:eastAsia="Amiri" w:cs="Amiri"/>
          <w:color w:val="111111"/>
          <w:sz w:val="28"/>
          <w:sz w:val="28"/>
          <w:szCs w:val="28"/>
          <w:rtl w:val="true"/>
          <w:lang w:bidi="ar-SA"/>
        </w:rPr>
        <w:t xml:space="preserve">وأمّا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وارجلَکم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فیه محذور، لاتحاد فعلهما واشتراکهما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لکن الاشکال فی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وُجُوهَکُمْ وَ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وارادة تعلق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إشکال الفصل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أمسحوا 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الاجنبیة عن المتعاطفات حینئذ</w:t>
      </w:r>
      <w:r>
        <w:rPr>
          <w:rStyle w:val="FootnoteAnchor"/>
          <w:rtl w:val="true"/>
        </w:rPr>
        <w:footnoteReference w:id="621"/>
      </w:r>
      <w:r>
        <w:rPr>
          <w:rFonts w:ascii="Amiri" w:hAnsi="Amiri" w:eastAsia="Amiri" w:cs="Amiri"/>
          <w:color w:val="111111"/>
          <w:sz w:val="28"/>
          <w:sz w:val="28"/>
          <w:szCs w:val="28"/>
          <w:rtl w:val="true"/>
          <w:lang w:bidi="ar-SA"/>
        </w:rPr>
        <w:t xml:space="preserve">، فاین هذا مما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416" w:name="__RefHeading___Toc972346_237004111"/>
      <w:bookmarkStart w:id="417" w:name="_Toc147"/>
      <w:bookmarkEnd w:id="416"/>
      <w:r>
        <w:rPr/>
        <w:t>6</w:t>
      </w:r>
      <w:r>
        <w:rPr>
          <w:rtl w:val="true"/>
        </w:rPr>
        <w:t xml:space="preserve"> - </w:t>
      </w:r>
      <w:r>
        <w:rPr>
          <w:rtl w:val="true"/>
        </w:rPr>
        <w:t xml:space="preserve">عبداللّه بن محمد بن وهب الدّینوری </w:t>
      </w:r>
      <w:r>
        <w:rPr>
          <w:rtl w:val="true"/>
        </w:rPr>
        <w:t>(</w:t>
      </w:r>
      <w:r>
        <w:rPr>
          <w:rtl w:val="true"/>
        </w:rPr>
        <w:t xml:space="preserve">ت </w:t>
      </w:r>
      <w:r>
        <w:rPr/>
        <w:t>308</w:t>
      </w:r>
      <w:r>
        <w:rPr>
          <w:rtl w:val="true"/>
        </w:rPr>
        <w:t xml:space="preserve"> </w:t>
      </w:r>
      <w:r>
        <w:rPr>
          <w:rtl w:val="true"/>
        </w:rPr>
        <w:t xml:space="preserve">ه </w:t>
      </w:r>
      <w:r>
        <w:rPr>
          <w:rtl w:val="true"/>
        </w:rPr>
        <w:t>)</w:t>
      </w:r>
      <w:bookmarkEnd w:id="417"/>
    </w:p>
    <w:p>
      <w:pPr>
        <w:pStyle w:val="BookText"/>
        <w:rPr/>
      </w:pPr>
      <w:r>
        <w:rPr>
          <w:rFonts w:ascii="IRNazanin" w:hAnsi="IRNazanin" w:eastAsia="IRNazanin"/>
          <w:color w:val="111111"/>
          <w:sz w:val="28"/>
          <w:sz w:val="28"/>
          <w:szCs w:val="28"/>
          <w:rtl w:val="true"/>
          <w:lang w:bidi="fa-IR"/>
        </w:rPr>
        <w:t>قال عبداللّه بن محمد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اللّام یرجع إلی الغسل</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لا یلازم الغسل لجواز ومکان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 وعدم الفصل</w:t>
      </w:r>
      <w:r>
        <w:rPr>
          <w:rFonts w:eastAsia="IRNazanin" w:cs="IRNazanin"/>
          <w:color w:val="111111"/>
          <w:sz w:val="28"/>
          <w:szCs w:val="28"/>
          <w:rtl w:val="true"/>
          <w:lang w:bidi="fa-IR"/>
        </w:rPr>
        <w:t>.</w:t>
      </w:r>
    </w:p>
    <w:p>
      <w:pPr>
        <w:pStyle w:val="Heading3"/>
        <w:numPr>
          <w:ilvl w:val="2"/>
          <w:numId w:val="1"/>
        </w:numPr>
        <w:rPr/>
      </w:pPr>
      <w:bookmarkStart w:id="418" w:name="__RefHeading___Toc972348_237004111"/>
      <w:bookmarkStart w:id="419" w:name="_Toc148"/>
      <w:bookmarkEnd w:id="418"/>
      <w:r>
        <w:rPr/>
        <w:t>7</w:t>
      </w:r>
      <w:r>
        <w:rPr>
          <w:rtl w:val="true"/>
        </w:rPr>
        <w:t xml:space="preserve"> - </w:t>
      </w:r>
      <w:r>
        <w:rPr>
          <w:rtl w:val="true"/>
        </w:rPr>
        <w:t xml:space="preserve">الطبریّ </w:t>
      </w:r>
      <w:r>
        <w:rPr>
          <w:rtl w:val="true"/>
        </w:rPr>
        <w:t>(</w:t>
      </w:r>
      <w:r>
        <w:rPr>
          <w:rtl w:val="true"/>
        </w:rPr>
        <w:t xml:space="preserve">ت </w:t>
      </w:r>
      <w:r>
        <w:rPr/>
        <w:t>310</w:t>
      </w:r>
      <w:r>
        <w:rPr>
          <w:rtl w:val="true"/>
        </w:rPr>
        <w:t xml:space="preserve"> </w:t>
      </w:r>
      <w:r>
        <w:rPr>
          <w:rtl w:val="true"/>
        </w:rPr>
        <w:t xml:space="preserve">ه </w:t>
      </w:r>
      <w:r>
        <w:rPr>
          <w:rtl w:val="true"/>
        </w:rPr>
        <w:t>)</w:t>
      </w:r>
      <w:bookmarkEnd w:id="41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الطبری إلی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قرأه جماعة مِنْ قرّاء الحجاز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ذلک یفید الغسل، مستدلاً علی ذلک </w:t>
      </w:r>
    </w:p>
    <w:p>
      <w:pPr>
        <w:pStyle w:val="BookText"/>
        <w:rPr/>
      </w:pPr>
      <w:r>
        <w:rPr>
          <w:rFonts w:ascii="IRNazanin" w:hAnsi="IRNazanin" w:eastAsia="IRNazanin"/>
          <w:color w:val="111111"/>
          <w:sz w:val="28"/>
          <w:sz w:val="28"/>
          <w:szCs w:val="28"/>
          <w:rtl w:val="true"/>
          <w:lang w:bidi="fa-IR"/>
        </w:rPr>
        <w:t>بروایات</w:t>
      </w:r>
      <w:r>
        <w:rPr>
          <w:rStyle w:val="FootnoteAnchor"/>
          <w:rtl w:val="true"/>
        </w:rPr>
        <w:footnoteReference w:id="623"/>
      </w:r>
      <w:r>
        <w:rPr>
          <w:rFonts w:ascii="Amiri" w:hAnsi="Amiri" w:eastAsia="Amiri" w:cs="Amiri"/>
          <w:color w:val="111111"/>
          <w:sz w:val="28"/>
          <w:sz w:val="28"/>
          <w:szCs w:val="28"/>
          <w:rtl w:val="true"/>
          <w:lang w:bidi="ar-SA"/>
        </w:rPr>
        <w:t>کلّها قاصرة عن إِفادة المُدَّعی، وقد تقدَّمَت المناقشة فیها متناً وسنداً ودلالةً، فلا حاجة إلی الإعادة لأنّها خالیة عن الإفادة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وادّعی الطبریّ أنّ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المؤخّر الذی معناه التقدیم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باطل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بتقدیم المؤخّر وتأخیر المقدّم إنّما هو فی الضرورة الشعریّة ولا یحمل علیه کتاب اللّه؛ لأنّها رخصة للشاعر عند العجز أو الجهل، ولا یمکن توجیهه فی القرآن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کثر وقوعهما فیه؟ لأنّ الشاعر یحتاج إلیهما فرخّصوا له فی ارتکاب التقدیم والتأخیر کما قالوا فی قول الفرزدق</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مثله فی الناس إلّامملّکاً أبو أُمّه حیّ أبوه یقاربه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فصل بین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أُمّه أبوه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بالأجنبیّ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الموصوف والصفة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یقاربه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بالأجنبیّ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وتقدیم </w:t>
      </w:r>
    </w:p>
    <w:p>
      <w:pPr>
        <w:pStyle w:val="BookText"/>
        <w:rPr/>
      </w:pPr>
      <w:r>
        <w:rPr>
          <w:rFonts w:ascii="IRNazanin" w:hAnsi="IRNazanin" w:eastAsia="IRNazanin"/>
          <w:color w:val="111111"/>
          <w:sz w:val="28"/>
          <w:sz w:val="28"/>
          <w:szCs w:val="28"/>
          <w:rtl w:val="true"/>
          <w:lang w:bidi="fa-IR"/>
        </w:rPr>
        <w:t xml:space="preserve">المستثنی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المستثنی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ولهذا نصبه فی الکلام المنفی وإلّا فالمختار البدل، لأنّ تقدیم التابع علی المتبوع مع إبقائه علی التابعیّة ممنوع فجعلوه منصوباً علی الاستثناء، فهذا التقدیم والتأخیر شائع الاستعمال لکنّه أوجب التعقید وأخرج الکلام عن الفصاحة وهو وإن کان جائزاً فی کلام الناس لم یجز فی کلام اللّه لأنّه بلغ حدّ الإعجاز ولا یشتمل علی غیر الصحیح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والتأخیر هنا لِنُکتةٍ وهی إفادة الترتیب؟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باطل بالإجماع، لأنّ الواو لا تدلّ علی الترتیب بل لمطلق الجمع، والمفید لذلک هو الفاء وثُمَّ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بالتقدیم والتأخیر فی کتاب اللّه بما یوجب التعقید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یحتفظ بکرامة مذهب مفروض علی القرآن إلّاأنّه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ینتقصُ کلام اللّه العزیز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التقدیم والتأخیر یوجبان التعقید اللفظیّ،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الکلام ظاهر الدلالة علی المعنی المراد لخلل واقع فی نظم الکلام، بأن لا یکون ترتیب الألفاظ علی وفق ترتیب المعانی بسبب تقدیم أو تأخیر أو حذف أو إضمار ممّا یوجب صعوبة فهم المراد، وإن کان ثابتاً فی الکلام جاریاً علی القوانین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والتعقید لا یکون فی الکلام الفصیح من البشر فکیف یتصوّر فی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دلیل علی عجز المتکلّم عن التعبیر عن المعنی المراد بغیره، فإثبات التعقید فی کتاب اللّه یوجب نسبة العجز أو الجهل إلیه سبحانه، تعالی عمّا یقول الظالمون علوّاً کبیراً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بذلک یوجب ضعف التألیف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فصل الجملة الأجنبیّة بین المعطوف والمعطوف علیه خلاف القانون النحویّ المشتهر فیما بین أصحابه وهو الذی یعبّرون عنه بضعف التألیف</w:t>
      </w:r>
      <w:r>
        <w:rPr>
          <w:rStyle w:val="FootnoteAnchor"/>
          <w:rtl w:val="true"/>
        </w:rPr>
        <w:footnoteReference w:id="627"/>
      </w:r>
      <w:r>
        <w:rPr>
          <w:rFonts w:ascii="IRNazanin" w:hAnsi="IRNazanin" w:eastAsia="IRNazanin"/>
          <w:color w:val="111111"/>
          <w:sz w:val="28"/>
          <w:sz w:val="28"/>
          <w:szCs w:val="28"/>
          <w:rtl w:val="true"/>
          <w:lang w:bidi="fa-IR"/>
        </w:rPr>
        <w:t>، وهو لا یلیق بکتاب اللّه الذی هو فی الطرف الأعلی من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النُّحاة بعدم جواز الفصل بین المعطوف والمعطوف علیه بجملة أجنبیّه، وهم مجمعون علی ذلک، فکیف یمکن أن یکون فی أفصح الکلام ما لا یجوز حتّی فی غیره، وهم مجمعون علی بطلانه؟</w:t>
      </w:r>
    </w:p>
    <w:p>
      <w:pPr>
        <w:pStyle w:val="BookText"/>
        <w:rPr/>
      </w:pPr>
      <w:r>
        <w:rPr>
          <w:rFonts w:ascii="IRNazanin" w:hAnsi="IRNazanin" w:eastAsia="IRNazanin"/>
          <w:color w:val="111111"/>
          <w:sz w:val="28"/>
          <w:sz w:val="28"/>
          <w:szCs w:val="28"/>
          <w:rtl w:val="true"/>
          <w:lang w:bidi="fa-IR"/>
        </w:rPr>
        <w:t>حاصل الأجوبة عن حیلة التقدیم والتأخیر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هذین خرق للإجماعات التی اتفق الکلّ علی صحّتها حتّی القائلین بالتقدیم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التقدیم والتأخیر یجوزان فی الضرورة الشعریّة والکلام غیر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فی الطرف الأعلی من البلاغة وهو فی حدّ الإعجاز وما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الفصاحة فی الکلام هی خلوصه من التعقید وضعف التألیف، فما اشتمل علیهما لا یکون فصیحاً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بالتقدیم والتأخیر من غیر ضرورة وفی غیر الشعر نقض للإجماع الأوّل، لأنّ منشأ الضرورة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والجهل، ولا ینسب هذا الأمر إلی القرآن لمن یعتقد کون القرآن کلام اللّه، کما أن القرآن أیضاً لیس بشعر حتی یقال فیه بالضرورة، وَآللّهُ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یَنْبَغِی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والقول </w:t>
      </w:r>
    </w:p>
    <w:p>
      <w:pPr>
        <w:pStyle w:val="BookText"/>
        <w:rPr/>
      </w:pPr>
      <w:r>
        <w:rPr>
          <w:rFonts w:ascii="IRNazanin" w:hAnsi="IRNazanin" w:eastAsia="IRNazanin"/>
          <w:color w:val="111111"/>
          <w:sz w:val="28"/>
          <w:sz w:val="28"/>
          <w:szCs w:val="28"/>
          <w:rtl w:val="true"/>
          <w:lang w:bidi="fa-IR"/>
        </w:rPr>
        <w:t>باشتمال القرآن علیهما یوجب إثبات التعقید اللفظیّ وضعف التألیف، وهذا خرق للإجماع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علیها بالغسل وأنّه من المقدّم والمؤخّر فی الکلام، یثبت فی وجود التعقید وضعف التألیف فی القرآن، وهما من أسباب الإخلال بالفصاحة ولا یقول به القائلون بالغسل</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بصحة قول الغاسِلِیْنَ وموافقتها للقواعد النحویّة؛ لکان ذلک منافیاً للبلاغة وقوانین الفصاحة؛ لأنّه ینتج عنه أنّ الآیة مشتملة علی سببین من أسباب الإخلال بالبلاغة،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التعقید اللفظیّ، وضعف التألیف، ووجودهما فی الکلام دلیل علی جهل المتکلّم أو عجزه، ویجل کلام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کون الکلام غیر ظاهر الدلالة علی المعنی المراد بسبب تقدیم أو تأخیر أو حذف أو إضمار ممّا یوجب صعوبة فهم المعنی المقصود؛ لأنّ تأخیر المعطوف عن مکانه وفصله عن المعطوف علیه بجملة أجنبیّة أوجب إبهام المعنی، وأخرج الآیة من المحکمات وأدرجها فی المتشابهات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أسباب الإخلال بالفصاحة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ضعف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کون الکلام علی خلاف القانون النحویّ المشتهر فیما بین معظم أصحابه، وهو هنا علی قول أصحاب الغسل الفصل بین المعطوف والمعطوف علیه بجملة أجنبیّة، ولم یجوّزه النحویّون وقد أثبته أصحاب الغسل</w:t>
      </w:r>
      <w:r>
        <w:rPr>
          <w:rFonts w:eastAsia="IRNazanin" w:cs="IRNazanin"/>
          <w:color w:val="111111"/>
          <w:sz w:val="28"/>
          <w:szCs w:val="28"/>
          <w:rtl w:val="true"/>
          <w:lang w:bidi="fa-IR"/>
        </w:rPr>
        <w:t xml:space="preserve">. </w:t>
      </w:r>
      <w:bookmarkStart w:id="420" w:name="pg6193_71107"/>
    </w:p>
    <w:p>
      <w:pPr>
        <w:pStyle w:val="BookText"/>
        <w:rPr/>
      </w:pPr>
      <w:bookmarkEnd w:id="420"/>
      <w:r>
        <w:rPr>
          <w:rFonts w:ascii="IRNazanin" w:hAnsi="IRNazanin" w:eastAsia="IRNazanin"/>
          <w:color w:val="111111"/>
          <w:sz w:val="28"/>
          <w:sz w:val="28"/>
          <w:szCs w:val="28"/>
          <w:rtl w:val="true"/>
          <w:lang w:bidi="fa-IR"/>
        </w:rPr>
        <w:t xml:space="preserve">وحیث إنّ القرآن فی الطرف الأعلی من البلاغة، واتفق المسلمون شیعة وسنّةً علی بلاغته، فقد قطع الغسلیون خطّ الرجعة علی أنفسهم، ولم یتفکّروا فی تبعات فتوی الغسل 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کیف ینجرّ إلی نسبة العجز أو الجهل إلی کلام اللّه تعالی باشتماله علی أسباب الإخلال بالبلاغة</w:t>
      </w:r>
      <w:r>
        <w:rPr>
          <w:rFonts w:eastAsia="IRNazanin" w:cs="IRNazanin"/>
          <w:color w:val="111111"/>
          <w:sz w:val="28"/>
          <w:szCs w:val="28"/>
          <w:rtl w:val="true"/>
          <w:lang w:bidi="fa-IR"/>
        </w:rPr>
        <w:t>.</w:t>
      </w:r>
    </w:p>
    <w:p>
      <w:pPr>
        <w:pStyle w:val="Heading3"/>
        <w:numPr>
          <w:ilvl w:val="2"/>
          <w:numId w:val="1"/>
        </w:numPr>
        <w:rPr/>
      </w:pPr>
      <w:bookmarkStart w:id="421" w:name="__RefHeading___Toc972350_237004111"/>
      <w:bookmarkStart w:id="422" w:name="_Toc149"/>
      <w:bookmarkEnd w:id="421"/>
      <w:r>
        <w:rPr/>
        <w:t>8</w:t>
      </w:r>
      <w:r>
        <w:rPr>
          <w:rtl w:val="true"/>
        </w:rPr>
        <w:t xml:space="preserve"> - </w:t>
      </w:r>
      <w:r>
        <w:rPr>
          <w:rtl w:val="true"/>
        </w:rPr>
        <w:t xml:space="preserve">الزجّاج </w:t>
      </w:r>
      <w:r>
        <w:rPr>
          <w:rtl w:val="true"/>
        </w:rPr>
        <w:t>(</w:t>
      </w:r>
      <w:r>
        <w:rPr>
          <w:rtl w:val="true"/>
        </w:rPr>
        <w:t xml:space="preserve">ت </w:t>
      </w:r>
      <w:r>
        <w:rPr/>
        <w:t>311</w:t>
      </w:r>
      <w:r>
        <w:rPr>
          <w:rtl w:val="true"/>
        </w:rPr>
        <w:t xml:space="preserve"> </w:t>
      </w:r>
      <w:r>
        <w:rPr>
          <w:rtl w:val="true"/>
        </w:rPr>
        <w:t xml:space="preserve">ه </w:t>
      </w:r>
      <w:r>
        <w:rPr>
          <w:rtl w:val="true"/>
        </w:rPr>
        <w:t>)</w:t>
      </w:r>
      <w:bookmarkEnd w:id="422"/>
    </w:p>
    <w:p>
      <w:pPr>
        <w:pStyle w:val="BookText"/>
        <w:rPr/>
      </w:pPr>
      <w:r>
        <w:rPr>
          <w:rFonts w:ascii="IRNazanin" w:hAnsi="IRNazanin" w:eastAsia="IRNazanin"/>
          <w:color w:val="111111"/>
          <w:sz w:val="28"/>
          <w:sz w:val="28"/>
          <w:szCs w:val="28"/>
          <w:rtl w:val="true"/>
          <w:lang w:bidi="fa-IR"/>
        </w:rPr>
        <w:t xml:space="preserve">جعل الزجّاج 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محملین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المجرورة لفظاً بالباء الزائدة التبعیضیّة</w:t>
      </w:r>
      <w:r>
        <w:rPr>
          <w:rStyle w:val="FootnoteAnchor"/>
          <w:rtl w:val="true"/>
        </w:rPr>
        <w:footnoteReference w:id="629"/>
      </w:r>
      <w:r>
        <w:rPr>
          <w:rFonts w:ascii="IRNazanin" w:hAnsi="IRNazanin" w:eastAsia="IRNazanin"/>
          <w:color w:val="111111"/>
          <w:sz w:val="28"/>
          <w:sz w:val="28"/>
          <w:szCs w:val="28"/>
          <w:rtl w:val="true"/>
          <w:lang w:bidi="fa-IR"/>
        </w:rPr>
        <w:t xml:space="preserve">والمنصوبة محلّاً مفعولاً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متعدّیة بنفسها ولا یحتاج فی تعلّقها بمفعول إلی باء التعدیة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الصحیح الذی لا محید عنه، ولکنّه لمّا کان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الشیء الذی </w:t>
      </w:r>
    </w:p>
    <w:p>
      <w:pPr>
        <w:pStyle w:val="BookText"/>
        <w:rPr/>
      </w:pPr>
      <w:r>
        <w:rPr>
          <w:rFonts w:ascii="IRNazanin" w:hAnsi="IRNazanin" w:eastAsia="IRNazanin"/>
          <w:color w:val="111111"/>
          <w:sz w:val="28"/>
          <w:sz w:val="28"/>
          <w:szCs w:val="28"/>
          <w:rtl w:val="true"/>
          <w:lang w:bidi="fa-IR"/>
        </w:rPr>
        <w:t xml:space="preserve">لا یریدونه ویفرّون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ومفیداً للمسح الذی نزل به جبریل، حوّلوا الکلمة عن معناها الحقیقیّ من غیر دلیل،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محمولٌ علی الجارّ والمجرور، ویراد بالمسح الغسل، لأنّ مسح الرجلین لمّا کان محدوداً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الغسل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الزجّاج مائلاً عن الحقّ إلی الباطل؛ لأنّه لمّا رأی الإعراب یؤیّد مذهب الشیعة فی المسح، وأنّه فشل عن نصرة مذهبه من طریق الإعراب عدل إلی المجاز،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الحقیقیّ 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وبالمعنی المجازیّ الذی هو الغسل 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 لذلک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حدّد المسح وهو غیر محدود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أنّ المراد من المسح الغسل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لم یذکروا ولم یسمعوا عن العرب أنّهم استعملوا المسح بمعنی الغسل، الذی نسبه بعضهم إلی أبی زید اللغویّ، وقلنا بأنّه غیر صحیح لو ثبت عنه وقد تقدّم بحثه فی الصفحات السابقة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دعواه عدم تحدید المسح فی الشریعة مصادرة، إذ هی مبنیّة علی نقل الخصم عدم التحدید، وهو غیر مسلّم عندهم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القائلین بالمسح لو کانوا متفقین علی أنّ المسح لم یحدّد فی الشریعة کما حدّد الغسل، وکان ذلک مفروغاً منه عندهم، ثمّ احتججتم علیهم بأنّ المسح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محدّد وذلک دلیل علی أنّ المراد به الغسل؛ لأنّه محدّد بالإجماع والمسح غیر محدّد، </w:t>
      </w:r>
    </w:p>
    <w:p>
      <w:pPr>
        <w:pStyle w:val="BookText"/>
        <w:rPr/>
      </w:pPr>
      <w:r>
        <w:rPr>
          <w:rFonts w:ascii="IRNazanin" w:hAnsi="IRNazanin" w:eastAsia="IRNazanin"/>
          <w:color w:val="111111"/>
          <w:sz w:val="28"/>
          <w:sz w:val="28"/>
          <w:szCs w:val="28"/>
          <w:rtl w:val="true"/>
          <w:lang w:bidi="fa-IR"/>
        </w:rPr>
        <w:t>بالإجماع، لکان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غیر مسلّم عند الماسحین، لأنّهم یقولون بأنّ لِلْمَسحِ غایةً فی الشریعة کما ان للغسل غایة، فإن احتجّ الغسلیّون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مفعول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علی الجارّ والمجرور، أی هدانی دیناً قیماً، وقیل فیه غیر ذلک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فی دین اللّه ملّة أبیکم إبراهیم، هو محمول علی موضع الجارّ والمجرور،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علی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والحمل علی موضع الجارّ والمجرور،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اللّه ومن عنده علم الکتاب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 بِرَبِّکَ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یجوز فی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والرفع، فالجرّ علی اللفظ والرفع علی موضع الجارّ والمجرور، أی ألم یکف </w:t>
      </w:r>
      <w:bookmarkStart w:id="423" w:name="pg6193_71113"/>
    </w:p>
    <w:p>
      <w:pPr>
        <w:pStyle w:val="BookText"/>
        <w:rPr/>
      </w:pPr>
      <w:bookmarkEnd w:id="423"/>
      <w:r>
        <w:rPr>
          <w:rFonts w:ascii="Amiri" w:hAnsi="Amiri" w:eastAsia="Amiri" w:cs="Amiri"/>
          <w:color w:val="111111"/>
          <w:sz w:val="28"/>
          <w:sz w:val="28"/>
          <w:szCs w:val="28"/>
          <w:rtl w:val="true"/>
          <w:lang w:bidi="ar-SA"/>
        </w:rPr>
        <w:t>ربّک شهادة علی کلّ شیء</w:t>
      </w:r>
      <w:r>
        <w:rPr>
          <w:rStyle w:val="FootnoteAnchor"/>
          <w:rtl w:val="true"/>
        </w:rPr>
        <w:footnoteReference w:id="6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الفصل بین المعطوف والمعطوف علیه أو بین السابق واللاحق، لیس فصلاً بجملة أجنبیة قابلة لتعلق اللاحق بها، فالعطف فیها ولحوق اللاحق بالسابق قابل لفظاً ومعنیً، وهذا یخالف ما فی آیة الوضوء، حیث إنّ الفصل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یراد عطفه علیه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وُجُوهَکُمْ وَ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تحقق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یمکن تعلقها بأرجلکم لفظاً ومحلاً، فظاهرها الحکم بهذا، مع أن هذه الجملة الصالحة للعمل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من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سبق بعیداً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972352_237004111"/>
      <w:bookmarkStart w:id="425" w:name="_Toc150"/>
      <w:bookmarkEnd w:id="424"/>
      <w:r>
        <w:rPr/>
        <w:t>9</w:t>
      </w:r>
      <w:r>
        <w:rPr>
          <w:rtl w:val="true"/>
        </w:rPr>
        <w:t xml:space="preserve"> - </w:t>
      </w:r>
      <w:r>
        <w:rPr>
          <w:rtl w:val="true"/>
        </w:rPr>
        <w:t xml:space="preserve">العیّاشیّ </w:t>
      </w:r>
      <w:r>
        <w:rPr>
          <w:rtl w:val="true"/>
        </w:rPr>
        <w:t>(</w:t>
      </w:r>
      <w:r>
        <w:rPr>
          <w:rtl w:val="true"/>
        </w:rPr>
        <w:t xml:space="preserve">ت </w:t>
      </w:r>
      <w:r>
        <w:rPr/>
        <w:t>320</w:t>
      </w:r>
      <w:r>
        <w:rPr>
          <w:rtl w:val="true"/>
        </w:rPr>
        <w:t xml:space="preserve"> </w:t>
      </w:r>
      <w:r>
        <w:rPr>
          <w:rtl w:val="true"/>
        </w:rPr>
        <w:t xml:space="preserve">ه </w:t>
      </w:r>
      <w:r>
        <w:rPr>
          <w:rtl w:val="true"/>
        </w:rPr>
        <w:t>)</w:t>
      </w:r>
      <w:bookmarkEnd w:id="425"/>
    </w:p>
    <w:p>
      <w:pPr>
        <w:pStyle w:val="BookText"/>
        <w:rPr/>
      </w:pPr>
      <w:r>
        <w:rPr>
          <w:rFonts w:ascii="IRNazanin" w:hAnsi="IRNazanin" w:eastAsia="IRNazanin"/>
          <w:color w:val="111111"/>
          <w:sz w:val="28"/>
          <w:sz w:val="28"/>
          <w:szCs w:val="28"/>
          <w:rtl w:val="true"/>
          <w:lang w:bidi="fa-IR"/>
        </w:rPr>
        <w:t xml:space="preserve">النصب یفید المسح عند العیّاشیّ کما جاء عن أبی جعفر علیه السلام 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والباء زائدة للتبعیض</w:t>
      </w:r>
      <w:r>
        <w:rPr>
          <w:rStyle w:val="FootnoteAnchor"/>
          <w:rtl w:val="true"/>
        </w:rPr>
        <w:footnoteReference w:id="634"/>
      </w:r>
      <w:r>
        <w:rPr>
          <w:rFonts w:ascii="IRNazanin" w:hAnsi="IRNazanin" w:eastAsia="IRNazanin"/>
          <w:color w:val="111111"/>
          <w:sz w:val="28"/>
          <w:sz w:val="28"/>
          <w:szCs w:val="28"/>
          <w:rtl w:val="true"/>
          <w:lang w:bidi="fa-IR"/>
        </w:rPr>
        <w:t>، وقد اعترف به الشافعیّ أیضاً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الآیة الکریمة، حیث وصل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بالرأس کما وصل الیدین بالوجه، فعرف حین وصلهما بالرأس أنّ المسح علی بعضهما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وتعالی أمر بالمسح فیما کان علیه الغسل، وأهمل ما کان علیه المسح</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426" w:name="pg6193_71115"/>
    </w:p>
    <w:p>
      <w:pPr>
        <w:pStyle w:val="BookText"/>
        <w:rPr/>
      </w:pPr>
      <w:bookmarkEnd w:id="426"/>
      <w:r>
        <w:rPr>
          <w:rFonts w:ascii="IRNazanin" w:hAnsi="IRNazanin" w:eastAsia="IRNazanin"/>
          <w:color w:val="111111"/>
          <w:sz w:val="28"/>
          <w:sz w:val="28"/>
          <w:szCs w:val="28"/>
          <w:rtl w:val="true"/>
          <w:lang w:bidi="fa-IR"/>
        </w:rPr>
        <w:t>وهذا الدلیل الثانی مجمع علیه بین المسلمین، وأورده الطبریّ أیضاً فی تفسیره کما نقلنا سابقاً طرفاً من الروایات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الشعبیّ مسنداً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هو المسح علی الرجلین، ألا تری أنّه ما کان علیه الغسل جعل علیه المسح، وما کان علیه المسح أهمل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التیممّ</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عامر الشعبیّ مسنداً ما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أن یمسح فی التیمّم ما أمر أن یغسل فی الوضوء، وأبطل ما أمر أن یمسح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والرجلان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972354_237004111"/>
      <w:bookmarkStart w:id="428" w:name="_Toc151"/>
      <w:bookmarkEnd w:id="427"/>
      <w:r>
        <w:rPr/>
        <w:t>10</w:t>
      </w:r>
      <w:r>
        <w:rPr>
          <w:rtl w:val="true"/>
        </w:rPr>
        <w:t xml:space="preserve"> - </w:t>
      </w:r>
      <w:r>
        <w:rPr>
          <w:rtl w:val="true"/>
        </w:rPr>
        <w:t xml:space="preserve">البغدادیّ </w:t>
      </w:r>
      <w:r>
        <w:rPr>
          <w:rtl w:val="true"/>
        </w:rPr>
        <w:t>(</w:t>
      </w:r>
      <w:r>
        <w:rPr>
          <w:rtl w:val="true"/>
        </w:rPr>
        <w:t xml:space="preserve">ت </w:t>
      </w:r>
      <w:r>
        <w:rPr/>
        <w:t>324</w:t>
      </w:r>
      <w:r>
        <w:rPr>
          <w:rtl w:val="true"/>
        </w:rPr>
        <w:t xml:space="preserve"> </w:t>
      </w:r>
      <w:r>
        <w:rPr>
          <w:rtl w:val="true"/>
        </w:rPr>
        <w:t xml:space="preserve">ه </w:t>
      </w:r>
      <w:r>
        <w:rPr>
          <w:rtl w:val="true"/>
        </w:rPr>
        <w:t>)</w:t>
      </w:r>
      <w:bookmarkEnd w:id="428"/>
    </w:p>
    <w:p>
      <w:pPr>
        <w:pStyle w:val="BookText"/>
        <w:rPr/>
      </w:pPr>
      <w:r>
        <w:rPr>
          <w:rFonts w:ascii="IRNazanin" w:hAnsi="IRNazanin" w:eastAsia="IRNazanin"/>
          <w:color w:val="111111"/>
          <w:sz w:val="28"/>
          <w:sz w:val="28"/>
          <w:szCs w:val="28"/>
          <w:rtl w:val="true"/>
          <w:lang w:bidi="fa-IR"/>
        </w:rPr>
        <w:t xml:space="preserve">روی البغدادیّ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وابن عامر والکسائیّ وعاصم بروایة حفص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وقراءة الجرّ عن ابن کثیر وحمزة وأبی عمرو وعاصم بروایة أبی بکر عنه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72356_237004111"/>
      <w:bookmarkStart w:id="430" w:name="_Toc152"/>
      <w:bookmarkEnd w:id="429"/>
      <w:r>
        <w:rPr/>
        <w:t>11</w:t>
      </w:r>
      <w:r>
        <w:rPr>
          <w:rtl w:val="true"/>
        </w:rPr>
        <w:t xml:space="preserve"> - </w:t>
      </w:r>
      <w:r>
        <w:rPr>
          <w:rtl w:val="true"/>
        </w:rPr>
        <w:t xml:space="preserve">النحّاس </w:t>
      </w:r>
      <w:r>
        <w:rPr>
          <w:rtl w:val="true"/>
        </w:rPr>
        <w:t>(</w:t>
      </w:r>
      <w:r>
        <w:rPr>
          <w:rtl w:val="true"/>
        </w:rPr>
        <w:t xml:space="preserve">ت </w:t>
      </w:r>
      <w:r>
        <w:rPr/>
        <w:t>338</w:t>
      </w:r>
      <w:r>
        <w:rPr>
          <w:rtl w:val="true"/>
        </w:rPr>
        <w:t xml:space="preserve"> </w:t>
      </w:r>
      <w:r>
        <w:rPr>
          <w:rtl w:val="true"/>
        </w:rPr>
        <w:t xml:space="preserve">ه </w:t>
      </w:r>
      <w:r>
        <w:rPr>
          <w:rtl w:val="true"/>
        </w:rPr>
        <w:t>)</w:t>
      </w:r>
      <w:bookmarkEnd w:id="4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إعراب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قرأ بالنصب جعله عطفاً علی الأوّل؛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واغسلوا أرجلکم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النحّاس وجواز المسح والغسل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أنصفا الشیعة من أنفسهما إنصافاً یسیراً، إذ رأیا أنّ الإعراب لم یساعدهما علی الغسل، وعلما بأنّ الإعراب یثبت المسح تماماً من غیر إشکال، ومن جانب آخر کانوا یعلمون بأن أهل مذهبهما أجمعهم أفتوا بالغسل وفرضوه علی القرآن، فطلبا مخلصاً من ذلک المأزق فجوّزا المسح والغسل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أحسن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والغسل واجبان جمیعاً؛ المسح واجب علی قرآءة من قرأ بالخفض، والغسل واجب علی قرآءة من قرأ بالنصب، والقراءتان بمنزلة آیتین، وفی الآیة تقدیم وتأخیر علی قول بعضهم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الوجوه، وحمله علی معنی الغسل کما هو مقتضی العطف لو ثبت، ولکنّه غیر ثابت مع الفاصل فهو غلط، لأنّه لا یقع فی کلام الفصحاء من البشر فکیف یقع فی کلام خالق القوی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إلی ابن مسعود وابن عبّاس القراءة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النحّاس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وأبی جعفر القارئ وعروة بن الزبیر ونافع والکسائیّ</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وقراءة الجرّ عن أنس بن مالک، وروی عن أبی جعفر وأبی عمرو وعاصم والأعمش وحمزة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431" w:name="pg6193_71119"/>
    </w:p>
    <w:p>
      <w:pPr>
        <w:pStyle w:val="Heading3"/>
        <w:numPr>
          <w:ilvl w:val="2"/>
          <w:numId w:val="1"/>
        </w:numPr>
        <w:rPr/>
      </w:pPr>
      <w:bookmarkStart w:id="432" w:name="__RefHeading___Toc972358_237004111"/>
      <w:bookmarkStart w:id="433" w:name="_Toc153"/>
      <w:bookmarkEnd w:id="431"/>
      <w:bookmarkEnd w:id="432"/>
      <w:r>
        <w:rPr/>
        <w:t>12</w:t>
      </w:r>
      <w:r>
        <w:rPr>
          <w:rtl w:val="true"/>
        </w:rPr>
        <w:t xml:space="preserve"> - </w:t>
      </w:r>
      <w:r>
        <w:rPr>
          <w:rtl w:val="true"/>
        </w:rPr>
        <w:t xml:space="preserve">الجصّاص </w:t>
      </w:r>
      <w:r>
        <w:rPr>
          <w:rtl w:val="true"/>
        </w:rPr>
        <w:t>(</w:t>
      </w:r>
      <w:r>
        <w:rPr>
          <w:rtl w:val="true"/>
        </w:rPr>
        <w:t xml:space="preserve">ت </w:t>
      </w:r>
      <w:r>
        <w:rPr/>
        <w:t>370</w:t>
      </w:r>
      <w:r>
        <w:rPr>
          <w:rtl w:val="true"/>
        </w:rPr>
        <w:t xml:space="preserve"> </w:t>
      </w:r>
      <w:r>
        <w:rPr>
          <w:rtl w:val="true"/>
        </w:rPr>
        <w:t xml:space="preserve">ه </w:t>
      </w:r>
      <w:r>
        <w:rPr>
          <w:rtl w:val="true"/>
        </w:rPr>
        <w:t>)</w:t>
      </w:r>
      <w:bookmarkEnd w:id="433"/>
    </w:p>
    <w:p>
      <w:pPr>
        <w:pStyle w:val="BookText"/>
        <w:rPr/>
      </w:pPr>
      <w:r>
        <w:rPr>
          <w:rFonts w:ascii="IRNazanin" w:hAnsi="IRNazanin" w:eastAsia="IRNazanin"/>
          <w:color w:val="111111"/>
          <w:sz w:val="28"/>
          <w:sz w:val="28"/>
          <w:szCs w:val="28"/>
          <w:rtl w:val="true"/>
          <w:lang w:bidi="fa-IR"/>
        </w:rPr>
        <w:t xml:space="preserve">روی الجصاص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وعبداللّه بن مسعود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النخعیّ والضحّاک ونافع وابن عامر والکسائیّ وحفص عن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أنّ هؤلاء یرون غسلها واجباً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القراءة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مغسولة بالاتفاق، فکذا ما یعطف علیه یفید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یجب أن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هی مجرورة لفظاً بالباء الزائدة والمعنی علی النصب علی المفعولیّة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والحاصل أنّ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إلّامن باب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فتفید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والعطف علی المحل قوی، وعطفهم علی الوجوه غیر صحیح باشتماله علی مخالفة القانون النحویّ المشهور فیما بین أصحابه، وهو الفصل بالجملة بین المتعاطفین، فإنّهم مجمعون 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والجصّاص یعترف بالاحتمالین فی قراءة النصب؛ لکنّه لم یرجّح أحد الاحتمالین علی الآخر؛ لأنّ الترجیح یقطع علیه خطّ الرجعة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العطف علی محل الرؤوس أن بعض المنسوب إلیهم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کأمیر المؤمنین علیه السلام وابن عباس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یفتون بالمسح، قولاً واحداً، ونسبة الغسل إلیهم باطلة حسب التحقیق الذی قدمناه، والمقایسة بین الأقوال </w:t>
      </w:r>
    </w:p>
    <w:p>
      <w:pPr>
        <w:pStyle w:val="BookText"/>
        <w:rPr/>
      </w:pPr>
      <w:r>
        <w:rPr>
          <w:rFonts w:ascii="IRNazanin" w:hAnsi="IRNazanin" w:eastAsia="IRNazanin"/>
          <w:color w:val="111111"/>
          <w:sz w:val="28"/>
          <w:sz w:val="28"/>
          <w:szCs w:val="28"/>
          <w:rtl w:val="true"/>
          <w:lang w:bidi="fa-IR"/>
        </w:rPr>
        <w:t>المنسوبة إلیهم والتی مرّت فی نسبة الخبر إلی کل واحد 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الجصّاص وقراءة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محملین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مطلوب أهل القول بالغسل، وهو لیس بصحیح، لأنّ الفصل بین المتعاطفین بجملة أجنبیّة لا یجوز علی وفق القاعدة النحویة، والکلام المشتمل علی مخالفة تلک القاعدة یُسمّی غیر فصیح لاشتماله علی ضعف التألیف، فلا یحمل علیه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محلّه لا لفظه، إذ لفظها مجرورة بالباء الزائدة للتأکید والتبعیض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 بنفسه،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المفعولیّة لها من غیر أن یحتاج إلی سبب التعدیة، فلابدّ من القول بنصبها محلّاً، والمراد بها المسح کما هو مقتضی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المحمل قول الشاعر</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p>
    <w:p>
      <w:pPr>
        <w:pStyle w:val="BookText"/>
        <w:rPr/>
      </w:pPr>
      <w:r>
        <w:rPr>
          <w:rFonts w:ascii="IRNazanin" w:hAnsi="IRNazanin" w:eastAsia="IRNazanin"/>
          <w:color w:val="111111"/>
          <w:sz w:val="28"/>
          <w:sz w:val="28"/>
          <w:szCs w:val="28"/>
          <w:rtl w:val="true"/>
          <w:lang w:bidi="fa-IR"/>
        </w:rPr>
        <w:t xml:space="preserve">حیث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عطفاً علی محله بالمعنی</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الجصّاص ینتصر لمذهبه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أَعْیَت الجصّاص نصرة مذهبه عن طریق النحو والبلاغة، اختلق من عنده </w:t>
      </w:r>
    </w:p>
    <w:p>
      <w:pPr>
        <w:pStyle w:val="BookText"/>
        <w:rPr/>
      </w:pPr>
      <w:r>
        <w:rPr>
          <w:rFonts w:ascii="IRNazanin" w:hAnsi="IRNazanin" w:eastAsia="IRNazanin"/>
          <w:color w:val="111111"/>
          <w:sz w:val="28"/>
          <w:sz w:val="28"/>
          <w:szCs w:val="28"/>
          <w:rtl w:val="true"/>
          <w:lang w:bidi="fa-IR"/>
        </w:rPr>
        <w:t>توجیهاً فی حمل الآیة علی المذهب الغسلیّ، وقال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القراءتین مشهورتان متواترتان، وهما تحتملان المسح والغسل، فالاحتمالات ثلاثة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المسح والغسل جمیعاً واجبین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المراد أحدهما علی وجه التخییر بفعل المتوضّئ أیّهما شاء ویکون ما یفعله هو المفروض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المراد أحدهما بعینه لا علی وجه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أبطل الأوّل بالإجماع واتفاق الکلّ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وأبطل الثانی إذ لا دلالة علیه فی الآیة، ولو جاز القول بالتخییر فی الآیة مع عدم لفظ التخییر لجاز إثبات الجمع مع عدم لفظ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انتَفی الاحتمالان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یبق إلّاأن یکون المراد أحدهما لا علی وجه التخییر وهو الاحتمال الثالث، والتعیین علی عهدة الدلیل، فهو الذی یعیّن الواجب علی المتوضّئ أهو الغسل أم المسح؟</w:t>
      </w:r>
    </w:p>
    <w:p>
      <w:pPr>
        <w:pStyle w:val="BookText"/>
        <w:rPr/>
      </w:pPr>
      <w:r>
        <w:rPr>
          <w:rFonts w:ascii="IRNazanin" w:hAnsi="IRNazanin" w:eastAsia="IRNazanin"/>
          <w:color w:val="111111"/>
          <w:sz w:val="28"/>
          <w:sz w:val="28"/>
          <w:szCs w:val="28"/>
          <w:rtl w:val="true"/>
          <w:lang w:bidi="fa-IR"/>
        </w:rPr>
        <w:t>ثمّ زعم الجصّاص أنّ الدلیل یوجب الغسل دون المسح بدعوی اتفاق الجمیع علی أنّ الغسل یؤدّی الفرض دون المسح</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الجصّاص والغسل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احتمال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توجبه القراءتان مع الاتفاق علی أنّ المراد أحدهما جعل الآیة فی حکم المجمل المفتقر إلی البیان وقد ورد البیان عن الرسول صلی الله علیه و آله بالغسل قولاً وفعلاً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الأدلّة الفعلیّة والقولیّة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غسل النبی صلی الله علیه و آله قدمیه بالنَّصِ المستفیض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الغسلیّین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لمّا حدّد الرجلین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علی استیعاب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لا یمکن إلّابالغسل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استیعابهما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القرآءتان کالآیتین فی إحداهما الغسل وفی الأُخری المسح، لاحتمالهما للمعنیین، فلو وردت آیتان إحداهما توجب الغسل والأُخری المسح لما جاز ترک المسح إلی الغسل؛ لأنّ فی الغسل زیادة فعل وقد اقتضاه الأمر بالغسل، فیجب استعمالها علی أعمّهما حکماً وأکثرهما فائدة وهو الغسل؛ لأنّه یأتی علی المسح والمسح لا یتنظم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لا إجمال فیها أصلاً، لأنّ الإجمال فرع علی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الوجوه، وارتکاب ضعف التألیف والتعقید</w:t>
      </w:r>
      <w:r>
        <w:rPr>
          <w:rStyle w:val="FootnoteAnchor"/>
          <w:rtl w:val="true"/>
        </w:rPr>
        <w:footnoteReference w:id="653"/>
      </w:r>
      <w:r>
        <w:rPr>
          <w:rFonts w:ascii="IRNazanin" w:hAnsi="IRNazanin" w:eastAsia="IRNazanin"/>
          <w:color w:val="111111"/>
          <w:sz w:val="28"/>
          <w:sz w:val="28"/>
          <w:szCs w:val="28"/>
          <w:rtl w:val="true"/>
          <w:lang w:bidi="fa-IR"/>
        </w:rPr>
        <w:t xml:space="preserve">، فهذه عیوب ثلاثة نشأت من </w:t>
      </w:r>
    </w:p>
    <w:p>
      <w:pPr>
        <w:pStyle w:val="BookText"/>
        <w:rPr/>
      </w:pPr>
      <w:r>
        <w:rPr>
          <w:rFonts w:ascii="IRNazanin" w:hAnsi="IRNazanin" w:eastAsia="IRNazanin"/>
          <w:color w:val="111111"/>
          <w:sz w:val="28"/>
          <w:sz w:val="28"/>
          <w:szCs w:val="28"/>
          <w:rtl w:val="true"/>
          <w:lang w:bidi="fa-IR"/>
        </w:rPr>
        <w:t>حمل القرآن علی القناعات المذهبیة، ولو أُخذ أحکام المذهب من القرآن لما کان فیه إجمال ولا ضعف ولا تعقید، وأنّ بلاغة القرآن المتفق علیها تؤیّد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أُحاکم الجصّاص إلی کلّ منصف عارف بأُسلوب بلاغة الکلام العربیّ ولاسیّما الکتاب العزیز، وذلک یحکم بالمسح ولا تشتمل الآیة علی العیوب الثلاثة أیضاً، بلی إنّها لا تشتمل علی الغسل، فأَمامَهُمْ خیاران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وإخراج الآیة عن البیان وأُسلوب الکلام العربیّ الفصیح، وارتکاب التأویل والإجمال، وذلک یوافق مذهبهم ویحتفظ بکرامته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المسح والاحتفاظ بکرامة الکتاب وحمل القرآن علی أفصح الکلام والقرآن اعلی واسمی من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والجصّاص اختار الاحتفاظ بکرامة مذهبه مرجحاً إیاه علی القرآن، ونحن نختار الاحتفاظ بکرامة القرآن منتزعین منه عقیدتنا ومذهبنا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قد قطعوا خطّ الرجعة علی أنفسهم، حیث اتفقوا علی بلاغة القرآن وخلوّه عن أسباب الإخلال بالفصاحة، والحمل علی الغسل بعطف الأرجل علی الوجوه یشتمل علی الضعف والتعقید، وهما من أسباب الإخلال بالفصاحة کما صرّح بذلک غیر واحد من أعلام السنّة، کالتفتازانیّ والجرجانیّ والخطیب القزوینیّ والرازیّ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بصحة ما ورد عن رسول اللّه صلی الله علیه و آله فی الغسل، وذلک لمخالفته للذکر الحکیم، وأنّه صلی الله علیه و آله کان قد أمر بعرض الروایات الواردة عنه علی کتاب اللّه؛ فما خالف کتاب اللّه یطرح، وهذه الروایات تناقض صریح الکتاب فیجب طرحها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إلی أنّ الاستدلال بالروایات الغسلیة قد تَقدَّمَت المناقشة فیها متناً وسنداً </w:t>
      </w:r>
    </w:p>
    <w:p>
      <w:pPr>
        <w:pStyle w:val="BookText"/>
        <w:rPr/>
      </w:pPr>
      <w:r>
        <w:rPr>
          <w:rFonts w:ascii="Amiri" w:hAnsi="Amiri" w:eastAsia="Amiri" w:cs="Amiri"/>
          <w:color w:val="111111"/>
          <w:sz w:val="28"/>
          <w:sz w:val="28"/>
          <w:szCs w:val="28"/>
          <w:rtl w:val="true"/>
          <w:lang w:bidi="ar-SA"/>
        </w:rPr>
        <w:t>ودلالة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وفعله صلی الله علیه و آله أیضاً لا یخالف قوله، وقد أثبتنا بأن النبی لم یغسل رجلیه ولم یأمر المسلمین بغسلها، لأنّه لا یأمر بما لم یفعل،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 من التحدید فی المسح کما هو فی الغسل؟ وما الدلیل علی أنّ الغسل یقبل التحدید والمسح لا یقبله؟ فی حین ان التحدید یأتی فی الجانبین، لأنّ الأرجل تطلق علی ما یشتمل من القدم إلی نهایة الفخذ، فینبغی أن یبیّن للمسح حدّ کما هو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وتشمل من رؤوس الأنامل إلی أصل موصل العضد، ویحتاج إلی التحدید أیضاً، فحدّده اللّه تعالی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الغایة قیاس وهو باطل، لأنّ الغسل والمسح متغایران لفظاً ومعنیً، فکما لا یجزی المسح عن الغسل، فکذا الغسل لا یجزی عن المسح</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الجصّاص یواجه الأخبار المؤیّدة لکتاب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استشعر اعتراضاً علی نفسه بأخبار المسح المرویّة عن أمیرالمؤمنین علیّ بن أبی طالب علیه السلام وحبر الأُمّة ابن عبّاس عن النبیّ صلی الله علیه و آله، وأنّه توضّأ ومسح علی قدمیه ونعلیه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بوجهین مرجعهما إلی وجه واحدٍ، وهو أنّه لا یجوز قبول أخبار </w:t>
      </w:r>
    </w:p>
    <w:p>
      <w:pPr>
        <w:pStyle w:val="BookText"/>
        <w:rPr/>
      </w:pPr>
      <w:r>
        <w:rPr>
          <w:rFonts w:ascii="IRNazanin" w:hAnsi="IRNazanin" w:eastAsia="IRNazanin"/>
          <w:color w:val="111111"/>
          <w:sz w:val="28"/>
          <w:sz w:val="28"/>
          <w:szCs w:val="28"/>
          <w:rtl w:val="true"/>
          <w:lang w:bidi="fa-IR"/>
        </w:rPr>
        <w:t>الآحاد لمنافاتها أخبار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مصادرة علی المطلوب، إذ أن أخبار الغسل هی محلّ الکلام، وذلک لانفراد آلْغَسْلِیّیْنَ بروایتها بعکس أخبار المسح المتفق علیها بین المسلمین من الشیعة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المسح التی ادعوا أنّها اخبار آحاد هی مؤیّدة بکتاب اللّه وغیر معارضة له، بخلاف أخبار الغسل المعارضة لکتاب اللّه العزیز والمخرجة له عن أُسلوب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أخبار الغسل هی اخبارُ آحادٍ حقیقةً لانفراد الخصم بروایتها وأخبار المسح هی المتواترة بحکم الکتاب ونقل الفریقین من الشیعة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الجصّاص للحدیث الوارد عن أمیرالمؤمنین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روی عن شعبة، عن عبدالملک بن میسرة، عن نزال بن سبرة أنّ علیّاً علیه السلام صلّی الظهر ثمّ قعد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حضرت العصر دعا بکوز من ماء فغسل یدیه ووجهه وذراعیه، ومسح برأسه ورجلیه،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فعل</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أَمیر المؤمنین عَلیٌّ طِبْقَ هذا النَّصِ قد حصر هذا الوضوء فی وضوء من لم یُحْدِثْ، وأفتی بعدم الخلاف فی جواز مسح الرجلین فی وضوء من لم یحدث</w:t>
      </w:r>
      <w:r>
        <w:rPr>
          <w:rStyle w:val="FootnoteAnchor"/>
          <w:rtl w:val="true"/>
        </w:rPr>
        <w:footnoteReference w:id="658"/>
      </w:r>
      <w:r>
        <w:rPr>
          <w:rFonts w:ascii="IRNazanin" w:hAnsi="IRNazanin" w:eastAsia="IRNazanin"/>
          <w:color w:val="111111"/>
          <w:sz w:val="28"/>
          <w:sz w:val="28"/>
          <w:szCs w:val="28"/>
          <w:rtl w:val="true"/>
          <w:lang w:bidi="fa-IR"/>
        </w:rPr>
        <w:t>، أما فی غیره فلا</w:t>
      </w:r>
      <w:r>
        <w:rPr>
          <w:rFonts w:eastAsia="IRNazanin" w:cs="IRNazanin"/>
          <w:color w:val="111111"/>
          <w:sz w:val="28"/>
          <w:szCs w:val="28"/>
          <w:rtl w:val="true"/>
          <w:lang w:bidi="fa-IR"/>
        </w:rPr>
        <w:t xml:space="preserve">. </w:t>
      </w:r>
      <w:bookmarkStart w:id="434" w:name="pg6193_71133"/>
    </w:p>
    <w:p>
      <w:pPr>
        <w:pStyle w:val="BookText"/>
        <w:rPr/>
      </w:pPr>
      <w:bookmarkEnd w:id="434"/>
      <w:r>
        <w:rPr>
          <w:rFonts w:ascii="IRNazanin" w:hAnsi="IRNazanin" w:eastAsia="IRNazanin"/>
          <w:color w:val="111111"/>
          <w:sz w:val="28"/>
          <w:sz w:val="28"/>
          <w:szCs w:val="28"/>
          <w:rtl w:val="true"/>
          <w:lang w:bidi="fa-IR"/>
        </w:rPr>
        <w:t>وهذا تقوّل منه علی أمیرالمؤمنین علیّ بن أبی طالب صلوات اللّه علیه، ونحن قد ناقشنا هذه الروایة سنداً ودلالة فی البحث الروائی، ومن أراد فلیراجع مرویات الإمام أمیر المؤمنین علی المسحیة</w:t>
      </w:r>
      <w:r>
        <w:rPr>
          <w:rFonts w:eastAsia="IRNazanin" w:cs="IRNazanin"/>
          <w:color w:val="111111"/>
          <w:sz w:val="28"/>
          <w:szCs w:val="28"/>
          <w:rtl w:val="true"/>
          <w:lang w:bidi="fa-IR"/>
        </w:rPr>
        <w:t>.</w:t>
      </w:r>
    </w:p>
    <w:p>
      <w:pPr>
        <w:pStyle w:val="Heading3"/>
        <w:numPr>
          <w:ilvl w:val="2"/>
          <w:numId w:val="1"/>
        </w:numPr>
        <w:rPr/>
      </w:pPr>
      <w:bookmarkStart w:id="435" w:name="__RefHeading___Toc972360_237004111"/>
      <w:bookmarkStart w:id="436" w:name="_Toc154"/>
      <w:bookmarkEnd w:id="435"/>
      <w:r>
        <w:rPr/>
        <w:t>13</w:t>
      </w:r>
      <w:r>
        <w:rPr>
          <w:rtl w:val="true"/>
        </w:rPr>
        <w:t xml:space="preserve"> - </w:t>
      </w:r>
      <w:r>
        <w:rPr>
          <w:rtl w:val="true"/>
        </w:rPr>
        <w:t xml:space="preserve">ابن خالویه </w:t>
      </w:r>
      <w:r>
        <w:rPr>
          <w:rtl w:val="true"/>
        </w:rPr>
        <w:t>(</w:t>
      </w:r>
      <w:r>
        <w:rPr>
          <w:rtl w:val="true"/>
        </w:rPr>
        <w:t xml:space="preserve">ت </w:t>
      </w:r>
      <w:r>
        <w:rPr/>
        <w:t>370</w:t>
      </w:r>
      <w:r>
        <w:rPr>
          <w:rtl w:val="true"/>
        </w:rPr>
        <w:t xml:space="preserve"> </w:t>
      </w:r>
      <w:r>
        <w:rPr>
          <w:rtl w:val="true"/>
        </w:rPr>
        <w:t xml:space="preserve">ه </w:t>
      </w:r>
      <w:r>
        <w:rPr>
          <w:rtl w:val="true"/>
        </w:rPr>
        <w:t>)</w:t>
      </w:r>
      <w:bookmarkEnd w:id="436"/>
    </w:p>
    <w:p>
      <w:pPr>
        <w:pStyle w:val="BookText"/>
        <w:rPr/>
      </w:pP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النصب الردّ بالواو علی أوّل الکلام؛ لأنّه عطف محدوداً علی محدود، لأنّ ما أوجب اللّه غسله فقد حصره بحدّ، وما أوجب مسحه أهمله بغیر حدّ</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نکتة النصب عطف المحدود علی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أیضاً محدود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والرأس غیر محدود من ناحیة المسح،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محدود فی ناحیة الغسل؛ لأنّ الرأس والوجوه محدودان معیّنان بنفسیهما بخلاف الرجل والأیدی؛ فدعوی أنّ الذی وجب غسله محدود، والذی وجب مسحه غیر محدود دعوی بلا بیّنة ولا تقوم علی دلیل راجح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المغسول محدود والممسوح غیر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 ابن خالویه تبعاً للأکثر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نکتة فصل المعطوف عن المعطوف علیه بجملة أجنبیّة عنهما؟ قد تحدثنا عن الفصل فیما تقدم</w:t>
      </w:r>
      <w:r>
        <w:rPr>
          <w:rStyle w:val="FootnoteAnchor"/>
          <w:rtl w:val="true"/>
        </w:rPr>
        <w:footnoteReference w:id="660"/>
      </w:r>
      <w:r>
        <w:rPr>
          <w:rFonts w:ascii="IRNazanin" w:hAnsi="IRNazanin" w:eastAsia="IRNazanin"/>
          <w:color w:val="111111"/>
          <w:sz w:val="28"/>
          <w:sz w:val="28"/>
          <w:szCs w:val="28"/>
          <w:rtl w:val="true"/>
          <w:lang w:bidi="fa-IR"/>
        </w:rPr>
        <w:t xml:space="preserve">، وإذا کان دلیل العطف عطف المحدود علی المحدود، فما هو دلیل الفصل؟ </w:t>
      </w:r>
      <w:bookmarkStart w:id="437" w:name="pg6193_71135"/>
    </w:p>
    <w:p>
      <w:pPr>
        <w:pStyle w:val="Heading3"/>
        <w:numPr>
          <w:ilvl w:val="2"/>
          <w:numId w:val="1"/>
        </w:numPr>
        <w:rPr/>
      </w:pPr>
      <w:bookmarkStart w:id="438" w:name="__RefHeading___Toc972362_237004111"/>
      <w:bookmarkStart w:id="439" w:name="_Toc155"/>
      <w:bookmarkEnd w:id="437"/>
      <w:bookmarkEnd w:id="438"/>
      <w:r>
        <w:rPr/>
        <w:t>14</w:t>
      </w:r>
      <w:r>
        <w:rPr>
          <w:rtl w:val="true"/>
        </w:rPr>
        <w:t xml:space="preserve"> - </w:t>
      </w:r>
      <w:r>
        <w:rPr>
          <w:rtl w:val="true"/>
        </w:rPr>
        <w:t xml:space="preserve">الأزهری أبو منصور </w:t>
      </w:r>
      <w:r>
        <w:rPr>
          <w:rtl w:val="true"/>
        </w:rPr>
        <w:t>(</w:t>
      </w:r>
      <w:r>
        <w:rPr>
          <w:rtl w:val="true"/>
        </w:rPr>
        <w:t xml:space="preserve">ت </w:t>
      </w:r>
      <w:r>
        <w:rPr/>
        <w:t>370</w:t>
      </w:r>
      <w:r>
        <w:rPr>
          <w:rtl w:val="true"/>
        </w:rPr>
        <w:t xml:space="preserve"> </w:t>
      </w:r>
      <w:r>
        <w:rPr>
          <w:rtl w:val="true"/>
        </w:rPr>
        <w:t xml:space="preserve">ه </w:t>
      </w:r>
      <w:r>
        <w:rPr>
          <w:rtl w:val="true"/>
        </w:rPr>
        <w:t>)</w:t>
      </w:r>
      <w:bookmarkEnd w:id="439"/>
    </w:p>
    <w:p>
      <w:pPr>
        <w:pStyle w:val="BookText"/>
        <w:rPr/>
      </w:pPr>
      <w:r>
        <w:rPr>
          <w:rFonts w:ascii="IRNazanin" w:hAnsi="IRNazanin" w:eastAsia="IRNazanin"/>
          <w:color w:val="111111"/>
          <w:sz w:val="28"/>
          <w:sz w:val="28"/>
          <w:szCs w:val="28"/>
          <w:rtl w:val="true"/>
          <w:lang w:bidi="fa-IR"/>
        </w:rPr>
        <w:t>قال الأزهری فی معانی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نصباً عطفه سعلی الوجوه والأیدی وفیه التقدیم والتّأخیر وقد رویت هذه القراءة عن ابن عباس، وبها قرأ الشّافعی ورویت عن ابن مسعود وهی أجود القراءات لموافقتها الأخبار الصحیحة عن النبیّ صلی الله علیه و آله فی غسل الرّجلین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قراءة النّصب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تقدیماً وتأخیراً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 وأرجلکم إلی الکعبین وامسحوا برؤوسکم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قول آخر وهو الغسل قد 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بالتّحدید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بالتقدیم والتّأخیر لیس إلّاللفرار عن الحقیقة والتّشبث بکلّ حشیش أو الأکل من الوراء ویأتی جوابه فی کلامنا مع ابن زنجلة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الأخبار الصحیحة التی یدّعیه أهل السنّة ومنهم الأزهری؟</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التحدید أجاب عنه الطبرسی فی مجمع البیان وغیره وقد مرّ فی قراءة الجرّ</w:t>
      </w:r>
      <w:r>
        <w:rPr>
          <w:rFonts w:eastAsia="IRNazanin" w:cs="IRNazanin"/>
          <w:color w:val="111111"/>
          <w:sz w:val="28"/>
          <w:szCs w:val="28"/>
          <w:rtl w:val="true"/>
          <w:lang w:bidi="fa-IR"/>
        </w:rPr>
        <w:t>.</w:t>
      </w:r>
    </w:p>
    <w:p>
      <w:pPr>
        <w:pStyle w:val="Heading3"/>
        <w:numPr>
          <w:ilvl w:val="2"/>
          <w:numId w:val="1"/>
        </w:numPr>
        <w:rPr/>
      </w:pPr>
      <w:bookmarkStart w:id="440" w:name="__RefHeading___Toc972364_237004111"/>
      <w:bookmarkStart w:id="441" w:name="_Toc156"/>
      <w:bookmarkEnd w:id="440"/>
      <w:r>
        <w:rPr/>
        <w:t>15</w:t>
      </w:r>
      <w:r>
        <w:rPr>
          <w:rtl w:val="true"/>
        </w:rPr>
        <w:t xml:space="preserve"> - </w:t>
      </w:r>
      <w:r>
        <w:rPr>
          <w:rtl w:val="true"/>
        </w:rPr>
        <w:t xml:space="preserve">السمرقندیّ </w:t>
      </w:r>
      <w:r>
        <w:rPr>
          <w:rtl w:val="true"/>
        </w:rPr>
        <w:t>(</w:t>
      </w:r>
      <w:r>
        <w:rPr>
          <w:rtl w:val="true"/>
        </w:rPr>
        <w:t xml:space="preserve">ت </w:t>
      </w:r>
      <w:r>
        <w:rPr/>
        <w:t>373</w:t>
      </w:r>
      <w:r>
        <w:rPr>
          <w:rtl w:val="true"/>
        </w:rPr>
        <w:t xml:space="preserve"> </w:t>
      </w:r>
      <w:r>
        <w:rPr>
          <w:rtl w:val="true"/>
        </w:rPr>
        <w:t xml:space="preserve">ه </w:t>
      </w:r>
      <w:r>
        <w:rPr>
          <w:rtl w:val="true"/>
        </w:rPr>
        <w:t>)</w:t>
      </w:r>
      <w:bookmarkEnd w:id="44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السمرقندی نقل النصب عن الباقین،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بالنصب مفعول للفعل وهو </w:t>
      </w:r>
      <w:bookmarkStart w:id="442" w:name="pg6193_71137"/>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 لذلک أیضاً بالسنّة وقد أُجیب عنه</w:t>
      </w:r>
      <w:r>
        <w:rPr>
          <w:rFonts w:eastAsia="IRNazanin" w:cs="IRNazanin"/>
          <w:color w:val="111111"/>
          <w:sz w:val="28"/>
          <w:szCs w:val="28"/>
          <w:rtl w:val="true"/>
          <w:lang w:bidi="fa-IR"/>
        </w:rPr>
        <w:t>.</w:t>
      </w:r>
    </w:p>
    <w:p>
      <w:pPr>
        <w:pStyle w:val="Heading3"/>
        <w:numPr>
          <w:ilvl w:val="2"/>
          <w:numId w:val="1"/>
        </w:numPr>
        <w:rPr/>
      </w:pPr>
      <w:bookmarkStart w:id="443" w:name="__RefHeading___Toc972366_237004111"/>
      <w:bookmarkStart w:id="444" w:name="_Toc157"/>
      <w:bookmarkEnd w:id="443"/>
      <w:r>
        <w:rPr/>
        <w:t>16</w:t>
      </w:r>
      <w:r>
        <w:rPr>
          <w:rtl w:val="true"/>
        </w:rPr>
        <w:t xml:space="preserve"> - </w:t>
      </w:r>
      <w:r>
        <w:rPr>
          <w:rtl w:val="true"/>
        </w:rPr>
        <w:t xml:space="preserve">أبو محمد عبداللّه بن عبدالرّحمن أبی زید القیروانی </w:t>
      </w:r>
      <w:r>
        <w:rPr>
          <w:rtl w:val="true"/>
        </w:rPr>
        <w:t>(</w:t>
      </w:r>
      <w:r>
        <w:rPr>
          <w:rtl w:val="true"/>
        </w:rPr>
        <w:t>ت</w:t>
      </w:r>
      <w:bookmarkEnd w:id="444"/>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اشهب عن مالک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أم بالخفض؟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الغسل لا یجزءه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ابن نافع فی المجموعة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الغسل، قال ابن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ویبالغ فی غسل عقبیه لقول النبی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فرض مالک الغسل مفروغاً عندهم حکم به نصباً وجرّا، ونحن نفرض المسح مفروغاً عنه نصباً وجرا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محلّه</w:t>
      </w:r>
      <w:r>
        <w:rPr>
          <w:rFonts w:eastAsia="IRNazanin" w:cs="IRNazanin"/>
          <w:color w:val="111111"/>
          <w:sz w:val="28"/>
          <w:szCs w:val="28"/>
          <w:rtl w:val="true"/>
          <w:lang w:bidi="fa-IR"/>
        </w:rPr>
        <w:t>.</w:t>
      </w:r>
    </w:p>
    <w:p>
      <w:pPr>
        <w:pStyle w:val="Heading3"/>
        <w:numPr>
          <w:ilvl w:val="2"/>
          <w:numId w:val="1"/>
        </w:numPr>
        <w:rPr/>
      </w:pPr>
      <w:bookmarkStart w:id="445" w:name="__RefHeading___Toc972368_237004111"/>
      <w:bookmarkStart w:id="446" w:name="_Toc158"/>
      <w:bookmarkEnd w:id="445"/>
      <w:r>
        <w:rPr/>
        <w:t>17</w:t>
      </w:r>
      <w:r>
        <w:rPr>
          <w:rtl w:val="true"/>
        </w:rPr>
        <w:t xml:space="preserve"> - </w:t>
      </w:r>
      <w:r>
        <w:rPr>
          <w:rtl w:val="true"/>
        </w:rPr>
        <w:t xml:space="preserve">مکّیّ بن أبی طالب القیسیّ </w:t>
      </w:r>
      <w:r>
        <w:rPr>
          <w:rtl w:val="true"/>
        </w:rPr>
        <w:t>(</w:t>
      </w:r>
      <w:r>
        <w:rPr>
          <w:rtl w:val="true"/>
        </w:rPr>
        <w:t xml:space="preserve">ت </w:t>
      </w:r>
      <w:r>
        <w:rPr/>
        <w:t>386</w:t>
      </w:r>
      <w:r>
        <w:rPr>
          <w:rtl w:val="true"/>
        </w:rPr>
        <w:t xml:space="preserve"> </w:t>
      </w:r>
      <w:r>
        <w:rPr>
          <w:rtl w:val="true"/>
        </w:rPr>
        <w:t xml:space="preserve">ه </w:t>
      </w:r>
      <w:r>
        <w:rPr>
          <w:rtl w:val="true"/>
        </w:rPr>
        <w:t>)</w:t>
      </w:r>
      <w:bookmarkEnd w:id="446"/>
    </w:p>
    <w:p>
      <w:pPr>
        <w:pStyle w:val="BookText"/>
        <w:rPr/>
      </w:pPr>
      <w:r>
        <w:rPr>
          <w:rFonts w:ascii="Amiri" w:hAnsi="Amiri" w:eastAsia="Amiri" w:cs="Amiri"/>
          <w:color w:val="111111"/>
          <w:sz w:val="28"/>
          <w:sz w:val="28"/>
          <w:szCs w:val="28"/>
          <w:rtl w:val="true"/>
          <w:lang w:bidi="ar-SA"/>
        </w:rPr>
        <w:t xml:space="preserve">ادعی القیسی أَنّ الآیة لو قُرِئَتْ بالنصب فهی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 مستدلّ لدعواه بدلیل أصلاً، کأنّه اعتبر هذا الأمر مَفْرُوْغاً مِنْهُ</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972370_237004111"/>
      <w:bookmarkStart w:id="448" w:name="_Toc159"/>
      <w:bookmarkEnd w:id="447"/>
      <w:r>
        <w:rPr/>
        <w:t>18</w:t>
      </w:r>
      <w:r>
        <w:rPr>
          <w:rtl w:val="true"/>
        </w:rPr>
        <w:t xml:space="preserve"> - </w:t>
      </w:r>
      <w:r>
        <w:rPr>
          <w:rtl w:val="true"/>
        </w:rPr>
        <w:t xml:space="preserve">ابن زنجلة </w:t>
      </w:r>
      <w:r>
        <w:rPr>
          <w:rtl w:val="true"/>
        </w:rPr>
        <w:t>(</w:t>
      </w:r>
      <w:r>
        <w:rPr>
          <w:rtl w:val="true"/>
        </w:rPr>
        <w:t xml:space="preserve">ت </w:t>
      </w:r>
      <w:r>
        <w:rPr/>
        <w:t>403</w:t>
      </w:r>
      <w:r>
        <w:rPr>
          <w:rtl w:val="true"/>
        </w:rPr>
        <w:t xml:space="preserve"> </w:t>
      </w:r>
      <w:r>
        <w:rPr>
          <w:rtl w:val="true"/>
        </w:rPr>
        <w:t xml:space="preserve">ه </w:t>
      </w:r>
      <w:r>
        <w:rPr>
          <w:rtl w:val="true"/>
        </w:rPr>
        <w:t>)</w:t>
      </w:r>
      <w:bookmarkEnd w:id="44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ابن زنجلة عن نافع وابن عامر والکسائیّ وحفص أنّهم قرؤوا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موجبین بذلک الغسل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لِمَ لا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المجرورة لفظاً؟ وما المانع من ذلک؟ وهذا أولی وأقرب من العطف مع الفصل المشتمل علی ضعف التألیف المخلّ بالفصاحة، والقرآن منزَّه عن أسباب الإخلال بالفصاحة کما هو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استدلّ ابن زنجلة علی قراءة النصب والغسل بوجوه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رووه عن عبداللّه بن عمر أنّه سمع النصب عن أمیرالمؤمنین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بصحة هذه الروایة فالنصب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التقدیم والتأخیر فی الکلام، وهذا هو الذی یسمّیه أهل اللغة بالقلب فی الکلام أو القلب المکانی، وهو أن یجعل أحد أجزاء الکلام مکان الآخر، والآخر مکانه، ولأهل البلاغة فی قبوله وردّه ثلاثة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السکاکیّ، فإنّه قبله مطلقاً أینما وقع،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یورث الکلام حُسْناً وملاحةً، ولا یشجّع علیها إلّاکمال البلاغة وأمن الالتباس، ویأتی فی المحاورات وفی الأشعار وفی التنزیل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وهو أنّه مردود مطلقاً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بالتفصیل، وهو مذهب الخطیب القزوینیّ فی التلخیص</w:t>
      </w:r>
      <w:r>
        <w:rPr>
          <w:rStyle w:val="FootnoteAnchor"/>
          <w:rtl w:val="true"/>
        </w:rPr>
        <w:footnoteReference w:id="6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إن تضمّن اعتباراً لطیفاً قُبِلَ،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 مغبرّة أرْجاؤهُ کَأنّ لونَ أرضِهِ سماؤُهُ</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وإلّا ردّ، کقوله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طیّنت بالفدن السِّیاعا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اتفقوا علی أنّه لابدّ للقلب من داع ونکتة، وهو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الداعی إلی آعتباره من جهة اللفظ، بأن یتوقّف صحّة اللفظ علیه ویکون المعنی تابعاً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وقع ما هو فی موضع المبتدأ نکرةً وما هو فی موضع الخبر معرفة،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قِفی قبلَ التفرُّق یا ضِباعَا ولا یَکُ موقِفٌ مِنْکِ الوَداعا</w:t>
      </w:r>
      <w:r>
        <w:rPr>
          <w:rStyle w:val="FootnoteAnchor"/>
          <w:rtl w:val="true"/>
        </w:rPr>
        <w:footnoteReference w:id="66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الداعی إلیه من جهة المعنی لتوقّف صحّته علیه، ویکون اللفظ تابعاً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الحوض علی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المعروض علیه هاهنا ما یکون له إدراک یمیل به إلی المعروض </w:t>
      </w:r>
    </w:p>
    <w:p>
      <w:pPr>
        <w:pStyle w:val="BookText"/>
        <w:rPr/>
      </w:pPr>
      <w:r>
        <w:rPr>
          <w:rFonts w:ascii="IRNazanin" w:hAnsi="IRNazanin" w:eastAsia="IRNazanin"/>
          <w:color w:val="111111"/>
          <w:sz w:val="28"/>
          <w:sz w:val="28"/>
          <w:szCs w:val="28"/>
          <w:rtl w:val="true"/>
          <w:lang w:bidi="fa-IR"/>
        </w:rPr>
        <w:t>أو یرغب عنه، ومنه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أدخلت القلنسوة فی الرأس والخاتم فی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لأنّ القلنسوة والخاتم ظرف، والرأس والإصبع مظروف، لکنّه لمّا کان المناسب هو أن یؤتی بالمعروض عند المعروض علیه، ویتحرّک بالمظروف نحو الظرف، وهاهنا الأمر بالعکس، قلبوا الکلام رعایة لهذا الاعتبار؛ کذا نصّ المحقّق 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فنحن نسأل ابن زنجلة وأمثاله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الآیة من باب القلب فما الداعی إلی القلب وما النکتة فیه؟</w:t>
      </w:r>
    </w:p>
    <w:p>
      <w:pPr>
        <w:pStyle w:val="BookText"/>
        <w:rPr/>
      </w:pPr>
      <w:r>
        <w:rPr>
          <w:rFonts w:ascii="IRNazanin" w:hAnsi="IRNazanin" w:eastAsia="IRNazanin"/>
          <w:color w:val="111111"/>
          <w:sz w:val="28"/>
          <w:sz w:val="28"/>
          <w:szCs w:val="28"/>
          <w:rtl w:val="true"/>
          <w:lang w:bidi="fa-IR"/>
        </w:rPr>
        <w:t>والقول بالقلب هاهنا لا یوجد له داعٍ لفظیّ، لأنّه یوجب العطف مع الفصل بالجملة بین المعطوف والمعطوف علیه، وهذا مانع لا داعٍ، ولا داعٍ معنویّ، لأنّه یخرج الآیة عن المسلّمات ویدرجه فی المتشابهات مع أنّهم قائلون بأنّ الآیة مُحْکَمَةٌ، کما تقدّم عن مکّیّ بن أبی طالب القیسیّ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السَّکّاکِیَّ اعتبره مطلقاً سواء اشتمل علی نکتة أو لا، وهذا علی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السکاکیّ قبله مطلقاً ولو کان القلب موجباً للالتباس، إذ هو شَرَطَ قبوله بعدم الالتباس والأمن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القلب مقبول عنده مطلقاً فکلامه خطأ عند أرباب الفنّ، إذ القلب الخالی عن النکتة یوجب الالتبالس وتعقید الکلام لفظاً ومعناً، والتعقید من </w:t>
      </w:r>
    </w:p>
    <w:p>
      <w:pPr>
        <w:pStyle w:val="BookText"/>
        <w:rPr/>
      </w:pPr>
      <w:r>
        <w:rPr>
          <w:rFonts w:ascii="IRNazanin" w:hAnsi="IRNazanin" w:eastAsia="IRNazanin"/>
          <w:color w:val="111111"/>
          <w:sz w:val="28"/>
          <w:sz w:val="28"/>
          <w:szCs w:val="28"/>
          <w:rtl w:val="true"/>
          <w:lang w:bidi="fa-IR"/>
        </w:rPr>
        <w:t>أسباب الإخلال بالبلاغة، فکیف یمکن وروده فی کتاب اللّه الذی هو فی الطرف الأعلی من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ورود القلب الخالی عن النکتة فی کلام البشر فلا یمکن تصوّره فی کلام الخالق القوی والقدیر، فلو أرسل السکاکیّ صحّة القلب الخالی عن النکتة إرسال المسلّمات، فهو کلام زور وبهتان علی البلغاء بأسرهم، ولا یجوز القول به فی الکتاب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 ورود الآیات الکثیرة فی القرآن من باب القلب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 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لَکانَ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وبینهما کلام، فکذا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الواو استینافیّة</w:t>
      </w:r>
      <w:r>
        <w:rPr>
          <w:rStyle w:val="FootnoteAnchor"/>
          <w:rtl w:val="true"/>
        </w:rPr>
        <w:footnoteReference w:id="6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دلّ علیه ما قبله،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449" w:name="pg6193_71147"/>
    </w:p>
    <w:p>
      <w:pPr>
        <w:pStyle w:val="BookText"/>
        <w:rPr/>
      </w:pPr>
      <w:bookmarkEnd w:id="449"/>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الواو فیه عاطفة فهو من عطف الجملة علی الجملة، وکلتاهما مستقلّ من حیث المعنی والعطف بما لا یوجب الالتباس وخفاء المعنی، وفی آیة الوضوء عطف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المفرد مع الفصل بالجملة، والعطف أوجب التباس المعنی وخفاءَه، حتّی أنّ بعضهم جوّز المسح وبعضهم قال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الآیة الثانیة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تتمّة الجملة الأُولی، ولم تَفْصِلْ بین المتعاطفین جملة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التشبّث بالروایات الموضوعة علی لسان رسول اللّه صلی الله علیه و آله أو الْمُساءِ فهمها، وقد مرّ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الجواب عن ذلک بما حاصله أنّ التحدید لم یرد فی جانب الغسل مطلقاً، کما لم یمنع فی جانب المسح مطلقاً، بل الأعضاء المغسولة محدّدة وغیر محدّدة، فإنّ الوجه غیر محدّد والیدان محدّدتان، والأعضاء الممسوحة کذلک، فإنّ الرأس غیر محدّد، والرجلان محدّدتان إلی الکعبین، وهذا یدلّ علی براعة القرآن وبلاغته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 الشاعر لصحّة العطف،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 زوجکِ قد غدا متقلّداً سیفاً ورمحاً</w:t>
      </w:r>
    </w:p>
    <w:p>
      <w:pPr>
        <w:pStyle w:val="BookText"/>
        <w:rPr/>
      </w:pPr>
      <w:r>
        <w:rPr>
          <w:rFonts w:ascii="Amiri" w:hAnsi="Amiri" w:eastAsia="Amiri" w:cs="Amiri"/>
          <w:color w:val="111111"/>
          <w:sz w:val="28"/>
          <w:sz w:val="28"/>
          <w:szCs w:val="28"/>
          <w:rtl w:val="true"/>
          <w:lang w:bidi="ar-SA"/>
        </w:rPr>
        <w:t>والمعنی متقلّداً سیفاً وحاملاً رمحاً</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الجواب عنه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972372_237004111"/>
      <w:bookmarkStart w:id="451" w:name="_Toc160"/>
      <w:bookmarkEnd w:id="450"/>
      <w:r>
        <w:rPr/>
        <w:t>19</w:t>
      </w:r>
      <w:r>
        <w:rPr>
          <w:rtl w:val="true"/>
        </w:rPr>
        <w:t xml:space="preserve"> - </w:t>
      </w:r>
      <w:r>
        <w:rPr>
          <w:rtl w:val="true"/>
        </w:rPr>
        <w:t xml:space="preserve">الثعلبیّ </w:t>
      </w:r>
      <w:r>
        <w:rPr>
          <w:rtl w:val="true"/>
        </w:rPr>
        <w:t>(</w:t>
      </w:r>
      <w:r>
        <w:rPr>
          <w:rtl w:val="true"/>
        </w:rPr>
        <w:t xml:space="preserve">ت </w:t>
      </w:r>
      <w:r>
        <w:rPr/>
        <w:t>427</w:t>
      </w:r>
      <w:r>
        <w:rPr>
          <w:rtl w:val="true"/>
        </w:rPr>
        <w:t xml:space="preserve"> </w:t>
      </w:r>
      <w:r>
        <w:rPr>
          <w:rtl w:val="true"/>
        </w:rPr>
        <w:t xml:space="preserve">ه </w:t>
      </w:r>
      <w:r>
        <w:rPr>
          <w:rtl w:val="true"/>
        </w:rPr>
        <w:t>)</w:t>
      </w:r>
      <w:bookmarkEnd w:id="45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الثعلبی قراءة النصب عن عروة بن الزبیر وابنه هشام ومجاهد وإبراهیم </w:t>
      </w:r>
      <w:bookmarkStart w:id="452" w:name="pg6193_71149"/>
    </w:p>
    <w:p>
      <w:pPr>
        <w:pStyle w:val="BookText"/>
        <w:rPr/>
      </w:pPr>
      <w:bookmarkEnd w:id="452"/>
      <w:r>
        <w:rPr>
          <w:rFonts w:ascii="IRNazanin" w:hAnsi="IRNazanin" w:eastAsia="IRNazanin"/>
          <w:color w:val="111111"/>
          <w:sz w:val="28"/>
          <w:sz w:val="28"/>
          <w:szCs w:val="28"/>
          <w:rtl w:val="true"/>
          <w:lang w:bidi="fa-IR"/>
        </w:rPr>
        <w:t xml:space="preserve">التمیمیّ وأبی وائل والأعمش والضحّاک وعبداللّه بن عامر ونافع والکسائیّ وحفص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حاکین نسبة هؤلاء هذه القراءة إلی 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الثعلبیّ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لإفادة النصب للغسل بأدلّة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المقدّم والمؤخّر من الکلام الذی یُسمّی بمصطلح أهل البلاغة بالقلب المکانیّ، وقد رد هذا الدلیل مفصّلاً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إلی الکعبین زاعمین أنّه یدلّ علی الغسل، وقد مرّ الجواب أیضاً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الموضوعة علی لسان رسول اللّه صلی الله علیه و آله أو الْمُساءُ فهمها والتی رُدّت مفصّلاً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الأصحاب علی الغسل</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اجمع الأصحاب؛ ألیس عبداللّه بن عباس وأنس بن مالک وعلی بن أبی 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الأصحاب وهم مجمعون علی المسح؟</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453" w:name="__RefHeading___Toc972374_237004111"/>
      <w:bookmarkStart w:id="454" w:name="_Toc161"/>
      <w:bookmarkEnd w:id="453"/>
      <w:r>
        <w:rPr/>
        <w:t>20</w:t>
      </w:r>
      <w:r>
        <w:rPr>
          <w:rtl w:val="true"/>
        </w:rPr>
        <w:t xml:space="preserve"> - </w:t>
      </w:r>
      <w:r>
        <w:rPr>
          <w:rtl w:val="true"/>
        </w:rPr>
        <w:t xml:space="preserve">علی بن محمد بن حبیب الماوردی صاحب التّفسیر </w:t>
      </w:r>
      <w:r>
        <w:rPr>
          <w:rtl w:val="true"/>
        </w:rPr>
        <w:t>(</w:t>
      </w:r>
      <w:r>
        <w:rPr>
          <w:rtl w:val="true"/>
        </w:rPr>
        <w:t xml:space="preserve">ت </w:t>
      </w:r>
      <w:r>
        <w:rPr/>
        <w:t>450</w:t>
      </w:r>
      <w:r>
        <w:rPr>
          <w:rtl w:val="true"/>
        </w:rPr>
        <w:t xml:space="preserve"> </w:t>
      </w:r>
      <w:r>
        <w:rPr>
          <w:rtl w:val="true"/>
        </w:rPr>
        <w:t xml:space="preserve">ه </w:t>
      </w:r>
      <w:r>
        <w:rPr>
          <w:rtl w:val="true"/>
        </w:rPr>
        <w:t>)</w:t>
      </w:r>
      <w:bookmarkEnd w:id="45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الماوردی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عطفاً علی الوجه، والیدین </w:t>
      </w:r>
      <w:bookmarkStart w:id="455" w:name="pg6193_71151"/>
    </w:p>
    <w:p>
      <w:pPr>
        <w:pStyle w:val="BookText"/>
        <w:rPr/>
      </w:pPr>
      <w:bookmarkEnd w:id="455"/>
      <w:r>
        <w:rPr>
          <w:rFonts w:ascii="IRNazanin" w:hAnsi="IRNazanin" w:eastAsia="IRNazanin"/>
          <w:color w:val="111111"/>
          <w:sz w:val="28"/>
          <w:sz w:val="28"/>
          <w:szCs w:val="28"/>
          <w:rtl w:val="true"/>
          <w:lang w:bidi="fa-IR"/>
        </w:rPr>
        <w:t>قرأ بذلک من الصّحابة علیّ وابن مسعود، ومن القراء ابن عامر، ونافع، والکسانی وأحدی الروایتین عن عاصم، فاقتضی أن یکون فرض الرّجلین الغسل، وأنّ الناقلین لوضوء رسول اللّه صلی الله علیه و آله هم عثمان، وعلی، وعبداللّه بن زید، والمقدام بن معدیکرب، والربیّع بنت معوذ، فنقلوا جمیعاً حین وصفوا وضوء رسول اللّه صلی الله علیه و آله أنّه غسل رجلیه، وکان ما نقلوه من فعله بیاناً لما اشتمل علیه فی الوضوء من فرضه، وقوله صلی الله علیه و آله فی رجل یتوضّأ ویغسل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امرتُ،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صلی الله علیه و آله فی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یوم القیامة غرّا محجلین 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 هذا الحدیث الأخیر علی استحقاق الغسل لأن آثار التحجیل یکون من الغسل لا من المسح، فأمّا المعنی فإنّه عضو مفروض فی أحد طرفی الطّهارة فوجب أن یکون مغسولاً کالوجه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الرّوایات فقد مرّ فی المجلدات السّابقة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القراءة بالنّصب فصحیح ولکنّه من أین علم أنّه عطف علی الوجه والیدین، بل یمکن أن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w:t>
      </w:r>
    </w:p>
    <w:p>
      <w:pPr>
        <w:pStyle w:val="BookText"/>
        <w:rPr/>
      </w:pPr>
      <w:r>
        <w:rPr>
          <w:rFonts w:ascii="IRNazanin" w:hAnsi="IRNazanin" w:eastAsia="IRNazanin"/>
          <w:color w:val="111111"/>
          <w:sz w:val="28"/>
          <w:sz w:val="28"/>
          <w:szCs w:val="28"/>
          <w:rtl w:val="true"/>
          <w:lang w:bidi="fa-IR"/>
        </w:rPr>
        <w:t>وأمّا إنّ التّجمیل من الغسل ولا من المسح فهو تخرّص علی الغیب، وما جوابه عن مسح الرأس؟</w:t>
      </w:r>
    </w:p>
    <w:p>
      <w:pPr>
        <w:pStyle w:val="BookText"/>
        <w:rPr/>
      </w:pPr>
      <w:r>
        <w:rPr>
          <w:rFonts w:ascii="IRNazanin" w:hAnsi="IRNazanin" w:eastAsia="IRNazanin"/>
          <w:color w:val="111111"/>
          <w:sz w:val="28"/>
          <w:sz w:val="28"/>
          <w:szCs w:val="28"/>
          <w:rtl w:val="true"/>
          <w:lang w:bidi="fa-IR"/>
        </w:rPr>
        <w:t>وأمّا المعنی الّذی أشار إلیه فهو استحسان لیس علیه دلیل</w:t>
      </w:r>
      <w:r>
        <w:rPr>
          <w:rFonts w:eastAsia="IRNazanin" w:cs="IRNazanin"/>
          <w:color w:val="111111"/>
          <w:sz w:val="28"/>
          <w:szCs w:val="28"/>
          <w:rtl w:val="true"/>
          <w:lang w:bidi="fa-IR"/>
        </w:rPr>
        <w:t>.</w:t>
      </w:r>
    </w:p>
    <w:p>
      <w:pPr>
        <w:pStyle w:val="Heading3"/>
        <w:numPr>
          <w:ilvl w:val="2"/>
          <w:numId w:val="1"/>
        </w:numPr>
        <w:rPr/>
      </w:pPr>
      <w:bookmarkStart w:id="456" w:name="__RefHeading___Toc972376_237004111"/>
      <w:bookmarkStart w:id="457" w:name="_Toc162"/>
      <w:bookmarkEnd w:id="456"/>
      <w:r>
        <w:rPr/>
        <w:t>21</w:t>
      </w:r>
      <w:r>
        <w:rPr>
          <w:rtl w:val="true"/>
        </w:rPr>
        <w:t xml:space="preserve"> - </w:t>
      </w:r>
      <w:r>
        <w:rPr>
          <w:rtl w:val="true"/>
        </w:rPr>
        <w:t xml:space="preserve">ابن سیده </w:t>
      </w:r>
      <w:r>
        <w:rPr>
          <w:rtl w:val="true"/>
        </w:rPr>
        <w:t>(</w:t>
      </w:r>
      <w:r>
        <w:rPr>
          <w:rtl w:val="true"/>
        </w:rPr>
        <w:t xml:space="preserve">ت </w:t>
      </w:r>
      <w:r>
        <w:rPr/>
        <w:t>458</w:t>
      </w:r>
      <w:r>
        <w:rPr>
          <w:rtl w:val="true"/>
        </w:rPr>
        <w:t>)</w:t>
      </w:r>
      <w:bookmarkEnd w:id="45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نقل ابن سیده لکلام أبی إسحاق الشیرازیّ وإعجابه به أنّه یختار </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القراءة علی الغسل، کما هو رأی کلّ من عطف القرآن علی الهوی، غیر مستدلٍّ علی کلامه بشیء، کما لم یتعرّض لردّ دلیل أیضاً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سیده والباء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أجاز ابن سیده أن تکون الباء أصلیّة للتبعیض؛ لأنّ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هزّه وهزّ به، وحزّ رأسه وبرأسه ومدّه ومدّ به، وخذ الخطام وبالخطام، نقل ذلک کلّه عن الفرّاء، ونُقل عن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خشنت صدره وبصدره، ومسحت رأسه وبرأسه فی معنی واحد، وهذا نصّ فی المسألة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عن نافع والکسائیّ وابن عامر 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وأنّهم اختلفوا فی تخریجه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 وأیدیکم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ابن سیده علی هذا التخریج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الفصل بین المتعاطفین بجملة لیست باعتراض، بل هی منشئة حکماً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الجواز عن أبی البقاء، ولکنّه لیس فی علم الإعراب بشیء</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نقل عن ابن عصفور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الفصل بین المعطوف والمعطوف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وأقبح ما یکون ذلک بالجمل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قوله هذا علی أنّه ینزّه کتاب اللّه عن هذا التخریج</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اعترف ابن سیده بأنّ هذا هو تخریج الغسلیین، وأمّا من یری أنّ فرض </w:t>
      </w:r>
      <w:bookmarkStart w:id="458" w:name="pg6193_71155"/>
    </w:p>
    <w:p>
      <w:pPr>
        <w:pStyle w:val="BookText"/>
        <w:rPr/>
      </w:pPr>
      <w:bookmarkEnd w:id="458"/>
      <w:r>
        <w:rPr>
          <w:rFonts w:ascii="IRNazanin" w:hAnsi="IRNazanin" w:eastAsia="IRNazanin"/>
          <w:color w:val="111111"/>
          <w:sz w:val="28"/>
          <w:sz w:val="28"/>
          <w:szCs w:val="28"/>
          <w:rtl w:val="true"/>
          <w:lang w:bidi="fa-IR"/>
        </w:rPr>
        <w:t xml:space="preserve">الرجلین المسح فیجعله معطوفاً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یجعل قراءة النصب کقراءة الجرّ دالّة علی المسح</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972378_237004111"/>
      <w:bookmarkStart w:id="460" w:name="_Toc163"/>
      <w:bookmarkEnd w:id="459"/>
      <w:r>
        <w:rPr/>
        <w:t>22</w:t>
      </w:r>
      <w:r>
        <w:rPr>
          <w:rtl w:val="true"/>
        </w:rPr>
        <w:t xml:space="preserve"> - </w:t>
      </w:r>
      <w:r>
        <w:rPr>
          <w:rtl w:val="true"/>
        </w:rPr>
        <w:t xml:space="preserve">الشیخ أبو جعفر محمّد بن الحسن الطوسیّ </w:t>
      </w:r>
      <w:r>
        <w:rPr>
          <w:rtl w:val="true"/>
        </w:rPr>
        <w:t>(</w:t>
      </w:r>
      <w:r>
        <w:rPr>
          <w:rtl w:val="true"/>
        </w:rPr>
        <w:t xml:space="preserve">ت </w:t>
      </w:r>
      <w:r>
        <w:rPr/>
        <w:t>460</w:t>
      </w:r>
      <w:r>
        <w:rPr>
          <w:rtl w:val="true"/>
        </w:rPr>
        <w:t xml:space="preserve"> </w:t>
      </w:r>
      <w:r>
        <w:rPr>
          <w:rtl w:val="true"/>
        </w:rPr>
        <w:t xml:space="preserve">ه </w:t>
      </w:r>
      <w:r>
        <w:rPr>
          <w:rtl w:val="true"/>
        </w:rPr>
        <w:t>)</w:t>
      </w:r>
      <w:bookmarkEnd w:id="460"/>
    </w:p>
    <w:p>
      <w:pPr>
        <w:pStyle w:val="BookText"/>
        <w:rPr/>
      </w:pPr>
      <w:r>
        <w:rPr>
          <w:rFonts w:ascii="IRNazanin" w:hAnsi="IRNazanin" w:eastAsia="IRNazanin"/>
          <w:color w:val="111111"/>
          <w:sz w:val="28"/>
          <w:sz w:val="28"/>
          <w:szCs w:val="28"/>
          <w:rtl w:val="true"/>
          <w:lang w:bidi="fa-IR"/>
        </w:rPr>
        <w:t>تطرق الشیخ الطوسی إلی قراءة النصب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قراءة نافع وابن عامر والکسائیّ وحفص ویعقوب بروایة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معطوفة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موضعها نصب لوقوع المسح علیها، وإنّما جرّ الرؤوس لدخول الباء التبعیضیّة علیها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للباء الزائدة فی هذه الآیة معنی التبعیض، إذ لا شکّ فی زیادة الباء،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للعمل فی المفعول بلا واسطة حرف الجرّ وبغیر سبب من أسباب التعدیة، وإذا حمل الباء الزائدة علی معنی التبعیض</w:t>
      </w:r>
      <w:r>
        <w:rPr>
          <w:rStyle w:val="FootnoteAnchor"/>
          <w:rtl w:val="true"/>
        </w:rPr>
        <w:footnoteReference w:id="687"/>
      </w:r>
      <w:r>
        <w:rPr>
          <w:rFonts w:ascii="IRNazanin" w:hAnsi="IRNazanin" w:eastAsia="IRNazanin"/>
          <w:color w:val="111111"/>
          <w:sz w:val="28"/>
          <w:sz w:val="28"/>
          <w:szCs w:val="28"/>
          <w:rtl w:val="true"/>
          <w:lang w:bidi="fa-IR"/>
        </w:rPr>
        <w:t>فلا بعد، وقد صرّح بوجود المعنی للحرف الزائد المحقّق الرضی الاسترابادیّ، فقال فی شرح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للحرف الزائد من معنی وإن لم یکن إلّاالتأکید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لابدّ له من مَعْنَیً مُعَیَّنٍ ولو لم یکن فیه معنی معیّن، فلابدّ من التأکید صوناً للکلام عن العبث، إذ لو لم یترتّب علی وجود الحرف غرض لفظیّ ولا غرض معنویّ لکان عبثاً وهذراً من القول، فالتأکید معنی عامّ للحرف الزائد، وقد یصحبه </w:t>
      </w:r>
    </w:p>
    <w:p>
      <w:pPr>
        <w:pStyle w:val="BookText"/>
        <w:rPr/>
      </w:pPr>
      <w:r>
        <w:rPr>
          <w:rFonts w:ascii="IRNazanin" w:hAnsi="IRNazanin" w:eastAsia="IRNazanin"/>
          <w:color w:val="111111"/>
          <w:sz w:val="28"/>
          <w:sz w:val="28"/>
          <w:szCs w:val="28"/>
          <w:rtl w:val="true"/>
          <w:lang w:bidi="fa-IR"/>
        </w:rPr>
        <w:t xml:space="preserve">معنی آخر کما فی الآیة،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محلّاً، ولهذا 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والعطف علی الموضع کثیر مُطَّرِدٌ،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بقائمٍ ولا قاعداً، وقال الأسدیّ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موضع الجبال، وهی فی موضع نصب خبر لیس، والباء زائدة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باعِثُ دینارٍ لحاجَتنا أوْ عَبْدَ ربّ أَخَا عَوْنِ بنِ مِخْراقِ</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للعطف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باعِثٌ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أُضیف، فهو مجرور لفظاً منصوب محلّاً، وقد سوّغوا العطف علی المعنی وإن کان اللفظ لا یقتضیه،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جِئْنِی بِمْثِل بَنی عمروٍ لقومِهِم أو مْثِلَ أُسْرةِ مَنْصورِ بنَ سَیَّارِ</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عطفاً علی المعنی، والمعنی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مثلهم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مردودة، للاتفاق علی أنّ الکلام متی حصل فیه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وبعید، لا یجوز إعمال </w:t>
      </w:r>
    </w:p>
    <w:p>
      <w:pPr>
        <w:pStyle w:val="BookText"/>
        <w:rPr/>
      </w:pPr>
      <w:r>
        <w:rPr>
          <w:rFonts w:ascii="Amiri" w:hAnsi="Amiri" w:eastAsia="Amiri" w:cs="Amiri"/>
          <w:color w:val="111111"/>
          <w:sz w:val="28"/>
          <w:sz w:val="28"/>
          <w:szCs w:val="28"/>
          <w:rtl w:val="true"/>
          <w:lang w:bidi="ar-SA"/>
        </w:rPr>
        <w:t xml:space="preserve">البعید دون القریب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حمله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أن یقول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زیداً وعمراً وأکرمت خالداً وبکراً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ویرید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المضروبین، لأنّ ذلک خروج عن فصاحة الکلام ودخول فی معنی اللغو، والشاهد علی ذلک القرآن الکریم وأشعار العرب الموثوق بعربیّتهم،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أَنَّهُمْ ظَنُّوا کَما ظَنَنْتُمْ أَنْ لَنْ یَبْعَثَ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أعمل الأوّل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ظننتموه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أعمل الأوّل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أعمل الأوّل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هاؤوم اقرؤوهُ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قَضَی کُلّ ذْی دَیْنٍ فَوَفّی غَرِیمَهُ وعَزَّةُ ممطولٌ مُعَنّیً غَرِیمُهَا</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ولو أعمل الأوّل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فوفّاه غریمه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امرئ القیس</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أنّما أسْعَی لأدْنَی معیشةٍ کفانی ولم أُطلُب قلیلٌ من المَالِ</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فإنّما أعمل الأوّل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التنازع لفساد المعنی</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المطلوب عنده المجد وجعل القلیل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استدلال الغسلیین بقول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متقلّداً سیفاً ورمحاً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علّفتها تبناً وماءً بارداً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مردود، لأنّ فی الأوّل عطف شبه الفعل وهو حاملاً المحذوف بالقرینة علی شبه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جائز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عطف الجملة الفعلیّة علی الجملة الفعلیّة، وما المانع من ذلک؟ فالتنظیر بهذین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الشیخ الطوسی رحمه الله بوجه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إنّما یجوز إذا استحال حمله علی اللفظ، وإذا جاز حمله علی ما فی اللفظ فلا یجوز هذا التقدیر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بالتحدید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غسل الرجلین لأنّهما محدودتان کالیدین، فقوله لیس بصحیح، لان لانسلّم أنّ العلّة فی کون الیدین مغسولتین کونهما محدودتین بل وجب غسلهما، لأنّهما عُطِفا علی عضو مغسول وهو الوجه، فکذلک إذا عطف الرِّجْلان علی ممسوح وهو الرأس وجب </w:t>
      </w:r>
      <w:bookmarkStart w:id="461" w:name="pg6193_71165"/>
    </w:p>
    <w:p>
      <w:pPr>
        <w:pStyle w:val="BookText"/>
        <w:rPr/>
      </w:pPr>
      <w:bookmarkEnd w:id="461"/>
      <w:r>
        <w:rPr>
          <w:rFonts w:ascii="IRNazanin" w:hAnsi="IRNazanin" w:eastAsia="IRNazanin"/>
          <w:color w:val="111111"/>
          <w:sz w:val="28"/>
          <w:sz w:val="28"/>
          <w:szCs w:val="28"/>
          <w:rtl w:val="true"/>
          <w:lang w:bidi="fa-IR"/>
        </w:rPr>
        <w:t>أن یکونا ممسوحین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972380_237004111"/>
      <w:bookmarkStart w:id="463" w:name="_Toc164"/>
      <w:bookmarkEnd w:id="462"/>
      <w:r>
        <w:rPr/>
        <w:t>23</w:t>
      </w:r>
      <w:r>
        <w:rPr>
          <w:rtl w:val="true"/>
        </w:rPr>
        <w:t xml:space="preserve"> - </w:t>
      </w:r>
      <w:r>
        <w:rPr>
          <w:rtl w:val="true"/>
        </w:rPr>
        <w:t xml:space="preserve">أبو الحسن علی بن أحمد الواحدی النیسابوری </w:t>
      </w:r>
      <w:r>
        <w:rPr>
          <w:rtl w:val="true"/>
        </w:rPr>
        <w:t>(</w:t>
      </w:r>
      <w:r>
        <w:rPr>
          <w:rtl w:val="true"/>
        </w:rPr>
        <w:t xml:space="preserve">ت </w:t>
      </w:r>
      <w:r>
        <w:rPr/>
        <w:t>468</w:t>
      </w:r>
      <w:r>
        <w:rPr>
          <w:rtl w:val="true"/>
        </w:rPr>
        <w:t xml:space="preserve"> </w:t>
      </w:r>
      <w:r>
        <w:rPr>
          <w:rtl w:val="true"/>
        </w:rPr>
        <w:t xml:space="preserve">ه </w:t>
      </w:r>
      <w:r>
        <w:rPr>
          <w:rtl w:val="true"/>
        </w:rPr>
        <w:t>)</w:t>
      </w:r>
      <w:bookmarkEnd w:id="463"/>
    </w:p>
    <w:p>
      <w:pPr>
        <w:pStyle w:val="BookText"/>
        <w:rPr/>
      </w:pP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النّصب فهو ظاهر إلّاأنّه عطف علی المغسول، لوجوب غسل الرجلین بإجماع لا یقدح فیه قول من خالف</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بالإجماع ادعاء صرف فلیس الإجماع لا من الصّحابة ولا من التّابعین ولا من علماء السنّة فضلاً عن الشّیعة الإمامیّة وغیرهم فإنّ الأختلاف موجود بین هؤلاء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العملّی الّذی یری بین أهل السنة بالغسل یتکی علی الروایات عندهم وهی أمّا ضعیف وإمّا لا یدل علی مرادهم وإمّا المساء فهمها علی علمائهم</w:t>
      </w:r>
      <w:r>
        <w:rPr>
          <w:rFonts w:eastAsia="IRNazanin" w:cs="IRNazanin"/>
          <w:color w:val="111111"/>
          <w:sz w:val="28"/>
          <w:szCs w:val="28"/>
          <w:rtl w:val="true"/>
          <w:lang w:bidi="fa-IR"/>
        </w:rPr>
        <w:t>.</w:t>
      </w:r>
    </w:p>
    <w:p>
      <w:pPr>
        <w:pStyle w:val="Heading3"/>
        <w:numPr>
          <w:ilvl w:val="2"/>
          <w:numId w:val="1"/>
        </w:numPr>
        <w:rPr/>
      </w:pPr>
      <w:bookmarkStart w:id="464" w:name="__RefHeading___Toc972382_237004111"/>
      <w:bookmarkStart w:id="465" w:name="_Toc165"/>
      <w:bookmarkEnd w:id="464"/>
      <w:r>
        <w:rPr/>
        <w:t>24</w:t>
      </w:r>
      <w:r>
        <w:rPr>
          <w:rtl w:val="true"/>
        </w:rPr>
        <w:t xml:space="preserve"> - </w:t>
      </w:r>
      <w:r>
        <w:rPr>
          <w:rtl w:val="true"/>
        </w:rPr>
        <w:t xml:space="preserve">أبو المعالی الجوینیّ </w:t>
      </w:r>
      <w:r>
        <w:rPr>
          <w:rtl w:val="true"/>
        </w:rPr>
        <w:t>(</w:t>
      </w:r>
      <w:r>
        <w:rPr>
          <w:rtl w:val="true"/>
        </w:rPr>
        <w:t xml:space="preserve">ت </w:t>
      </w:r>
      <w:r>
        <w:rPr/>
        <w:t>478</w:t>
      </w:r>
      <w:r>
        <w:rPr>
          <w:rtl w:val="true"/>
        </w:rPr>
        <w:t xml:space="preserve"> </w:t>
      </w:r>
      <w:r>
        <w:rPr>
          <w:rtl w:val="true"/>
        </w:rPr>
        <w:t xml:space="preserve">ه </w:t>
      </w:r>
      <w:r>
        <w:rPr>
          <w:rtl w:val="true"/>
        </w:rPr>
        <w:t>)</w:t>
      </w:r>
      <w:bookmarkEnd w:id="46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الجوینی فی 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أحاط بعلم هذا الباب حمل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المسح فی الرجل، والمصیر إلی أنّه محمول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 وأقرب إلی قیاس الأُصول من حمل قراءة الکسر علی الجوار، فإنّ کلّ مجرور اتصل الفعل به بواسطة الجارّ فمحلّه النصب، وإنّما الکسر فیه فی </w:t>
      </w:r>
    </w:p>
    <w:p>
      <w:pPr>
        <w:pStyle w:val="BookText"/>
        <w:rPr/>
      </w:pPr>
      <w:r>
        <w:rPr>
          <w:rFonts w:ascii="IRNazanin" w:hAnsi="IRNazanin" w:eastAsia="IRNazanin"/>
          <w:color w:val="111111"/>
          <w:sz w:val="28"/>
          <w:sz w:val="28"/>
          <w:szCs w:val="28"/>
          <w:rtl w:val="true"/>
          <w:lang w:bidi="fa-IR"/>
        </w:rPr>
        <w:t>حکم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فاتّباع المعنی والعطف علی المحلّ من فصیح الکلام، ومن کلامهم قول جریر یمدح عمر بن عبدالعزیز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الفضل منک علی قریش وتفرجَ عنهم الکربَ الشدادا</w:t>
      </w:r>
    </w:p>
    <w:p>
      <w:pPr>
        <w:pStyle w:val="BookText"/>
        <w:rPr/>
      </w:pPr>
      <w:r>
        <w:rPr>
          <w:rFonts w:ascii="Amiri" w:hAnsi="Amiri" w:eastAsia="Amiri" w:cs="Amiri"/>
          <w:color w:val="111111"/>
          <w:sz w:val="28"/>
          <w:sz w:val="28"/>
          <w:szCs w:val="28"/>
          <w:rtl w:val="true"/>
          <w:lang w:bidi="ar-SA"/>
        </w:rPr>
        <w:t>فَما کَعْبُ بنَ مامةَ وابنُ سُعْدَی بأجودَ منک یا عُمَرُ الجوَادا</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فإنّ المنادی المفرد العلم وإن کان مبنیّاً علی الرفع فأصله النصب، فردّ الصفة إلی محلّه وأصله حسن بالغ</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اعترض الجوینیّ علی نفسه بغیر المنصرف الذی استعمل منصرفاً فی القرآن، وهو سائغ فی الضرورة لا فی سَعَةِ الکلام،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ینصرف فی معرفة ولا نکرة، وصرفه معدود من ضرورات الشعر، وفی القرآن قراءات جماعة من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وجه صرف ذلک ولیس صرفه مسوّغاً فی سعة الکلام؟</w:t>
      </w:r>
    </w:p>
    <w:p>
      <w:pPr>
        <w:pStyle w:val="BookText"/>
        <w:rPr/>
      </w:pPr>
      <w:r>
        <w:rPr>
          <w:rFonts w:ascii="IRNazanin" w:hAnsi="IRNazanin" w:eastAsia="IRNazanin"/>
          <w:color w:val="111111"/>
          <w:sz w:val="28"/>
          <w:sz w:val="28"/>
          <w:szCs w:val="28"/>
          <w:rtl w:val="true"/>
          <w:lang w:bidi="fa-IR"/>
        </w:rPr>
        <w:t>فأجاب بأنّ أصحاب المعانی اختلفوا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تضاهی إطلاق القوافی، ثمّ قد تبدّل العرب الألف نوناً فتستروح إلی عینها استرواحها إلی استرسال الألف، وفی الغایات ومقاطع الآیات بعض أحکام القوافی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الأصل صرف کلّ اسم متمکّن، ولیس فی صرف ما لا ینصرف </w:t>
      </w:r>
    </w:p>
    <w:p>
      <w:pPr>
        <w:pStyle w:val="BookText"/>
        <w:rPr/>
      </w:pPr>
      <w:r>
        <w:rPr>
          <w:rFonts w:ascii="IRNazanin" w:hAnsi="IRNazanin" w:eastAsia="IRNazanin"/>
          <w:color w:val="111111"/>
          <w:sz w:val="28"/>
          <w:sz w:val="28"/>
          <w:szCs w:val="28"/>
          <w:rtl w:val="true"/>
          <w:lang w:bidi="fa-IR"/>
        </w:rPr>
        <w:t>خروج عن وضع الکلام، وإنّما منع الصرف فی حکم تضییق طارئ علی الکلام، وأمّا کسر الجوار فخارج عن القانون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من أبی المعالی الجوینی أنّه مع تشنیعه علی من ازال الظّاهر عن ظاهره من الفاظ اللّه تعالی والفاظ رسول اللّه صلی الله علیه و آله وحمله علی مذهب اعتقده وأنّ هذا لا یقبل</w:t>
      </w:r>
      <w:r>
        <w:rPr>
          <w:rStyle w:val="FootnoteAnchor"/>
          <w:rtl w:val="true"/>
        </w:rPr>
        <w:footnoteReference w:id="700"/>
      </w:r>
      <w:r>
        <w:rPr>
          <w:rFonts w:ascii="IRNazanin" w:hAnsi="IRNazanin" w:eastAsia="IRNazanin"/>
          <w:color w:val="111111"/>
          <w:sz w:val="28"/>
          <w:sz w:val="28"/>
          <w:szCs w:val="28"/>
          <w:rtl w:val="true"/>
          <w:lang w:bidi="fa-IR"/>
        </w:rPr>
        <w:t xml:space="preserve">، مع هذا حمله اعتقاده بالغسل أن یحمل الأرجل المفتوحة علی الغسل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فالمختار إذا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متبوع الجماعة وسیّد الصّناعة سیبویه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العرب المسح قریباً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یبعد اتّباع اللفظ اللّفظ بأن یکون فرض الرجلین فرض الیدین</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ثم أیدّ کلامه بتحدید الرجلین بالکعبین، والیدین بالمرفقین</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رسول اللّه صلی الله علیه و آله أن یبیّن الوضوء غسل رجلیه فاجتماع هذه الاُمور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السّلف أظهر من الجریان علی ما یقتضیه ظاهر العطف</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أجبنا مراراً عن التّحدید، وعن روایات الغسل، وعن فعل السّلف فإنّ فعل السّلف لا یدلّ علی شیء لأنّ سلف السنّة کان یفعل الغسل، وسلف الشیّعة کان یفعل المسح، وقال الجوینی نفسه إنّ نسبة المصیر إلی المسح إلی الشیعة مستفیض</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466" w:name="pg6193_71171"/>
    </w:p>
    <w:p>
      <w:pPr>
        <w:pStyle w:val="Heading3"/>
        <w:numPr>
          <w:ilvl w:val="2"/>
          <w:numId w:val="1"/>
        </w:numPr>
        <w:rPr/>
      </w:pPr>
      <w:bookmarkStart w:id="467" w:name="__RefHeading___Toc972384_237004111"/>
      <w:bookmarkStart w:id="468" w:name="_Toc166"/>
      <w:bookmarkEnd w:id="466"/>
      <w:bookmarkEnd w:id="467"/>
      <w:r>
        <w:rPr/>
        <w:t>25</w:t>
      </w:r>
      <w:r>
        <w:rPr>
          <w:rtl w:val="true"/>
        </w:rPr>
        <w:t xml:space="preserve"> - </w:t>
      </w:r>
      <w:r>
        <w:rPr>
          <w:rtl w:val="true"/>
        </w:rPr>
        <w:t xml:space="preserve">السرخسیّ </w:t>
      </w:r>
      <w:r>
        <w:rPr>
          <w:rtl w:val="true"/>
        </w:rPr>
        <w:t>(</w:t>
      </w:r>
      <w:r>
        <w:rPr>
          <w:rtl w:val="true"/>
        </w:rPr>
        <w:t xml:space="preserve">ت </w:t>
      </w:r>
      <w:r>
        <w:rPr/>
        <w:t>483</w:t>
      </w:r>
      <w:r>
        <w:rPr>
          <w:rtl w:val="true"/>
        </w:rPr>
        <w:t xml:space="preserve"> </w:t>
      </w:r>
      <w:r>
        <w:rPr>
          <w:rtl w:val="true"/>
        </w:rPr>
        <w:t xml:space="preserve">أو </w:t>
      </w:r>
      <w:r>
        <w:rPr/>
        <w:t>486</w:t>
      </w:r>
      <w:r>
        <w:rPr>
          <w:rtl w:val="true"/>
        </w:rPr>
        <w:t xml:space="preserve"> </w:t>
      </w:r>
      <w:r>
        <w:rPr>
          <w:rtl w:val="true"/>
        </w:rPr>
        <w:t xml:space="preserve">ه </w:t>
      </w:r>
      <w:r>
        <w:rPr>
          <w:rtl w:val="true"/>
        </w:rPr>
        <w:t>)</w:t>
      </w:r>
      <w:bookmarkEnd w:id="468"/>
    </w:p>
    <w:p>
      <w:pPr>
        <w:pStyle w:val="BookText"/>
        <w:rPr/>
      </w:pPr>
      <w:r>
        <w:rPr>
          <w:rFonts w:ascii="IRNazanin" w:hAnsi="IRNazanin" w:eastAsia="IRNazanin"/>
          <w:color w:val="111111"/>
          <w:sz w:val="28"/>
          <w:sz w:val="28"/>
          <w:szCs w:val="28"/>
          <w:rtl w:val="true"/>
          <w:lang w:bidi="fa-IR"/>
        </w:rPr>
        <w:t xml:space="preserve">اعترف السرخسی بأنّ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الرجل عطفاً علی المغسول، کما أنّ الجرّ فیها یجعل الرجل عطفاً علی 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قراءة الجرّ علی ما إذا کان لابساً للخفّ، وقراءة النصب علی ما إذا کان ظاهر القدم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972386_237004111"/>
      <w:bookmarkStart w:id="470" w:name="_Toc167"/>
      <w:bookmarkEnd w:id="469"/>
      <w:r>
        <w:rPr/>
        <w:t>26</w:t>
      </w:r>
      <w:r>
        <w:rPr>
          <w:rtl w:val="true"/>
        </w:rPr>
        <w:t xml:space="preserve"> - </w:t>
      </w:r>
      <w:r>
        <w:rPr>
          <w:rtl w:val="true"/>
        </w:rPr>
        <w:t xml:space="preserve">أبو المظفّر السمعانیّ </w:t>
      </w:r>
      <w:r>
        <w:rPr>
          <w:rtl w:val="true"/>
        </w:rPr>
        <w:t>(</w:t>
      </w:r>
      <w:r>
        <w:rPr>
          <w:rtl w:val="true"/>
        </w:rPr>
        <w:t xml:space="preserve">ت </w:t>
      </w:r>
      <w:r>
        <w:rPr/>
        <w:t>489</w:t>
      </w:r>
      <w:r>
        <w:rPr>
          <w:rtl w:val="true"/>
        </w:rPr>
        <w:t xml:space="preserve"> </w:t>
      </w:r>
      <w:r>
        <w:rPr>
          <w:rtl w:val="true"/>
        </w:rPr>
        <w:t xml:space="preserve">ه </w:t>
      </w:r>
      <w:r>
        <w:rPr>
          <w:rtl w:val="true"/>
        </w:rPr>
        <w:t>)</w:t>
      </w:r>
      <w:bookmarkEnd w:id="470"/>
    </w:p>
    <w:p>
      <w:pPr>
        <w:pStyle w:val="BookText"/>
        <w:rPr/>
      </w:pPr>
      <w:r>
        <w:rPr>
          <w:rFonts w:ascii="IRNazanin" w:hAnsi="IRNazanin" w:eastAsia="IRNazanin"/>
          <w:color w:val="111111"/>
          <w:sz w:val="28"/>
          <w:sz w:val="28"/>
          <w:szCs w:val="28"/>
          <w:rtl w:val="true"/>
          <w:lang w:bidi="fa-IR"/>
        </w:rPr>
        <w:t xml:space="preserve">أوجب السمعانی فی قرآءة النصب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الغسل، إذ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واجب، فلذا یجب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تفد الغسل</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 الذی ذکره غیره، وأنّ الغسل له حدّ والمسح لم یضرب له 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کسابقه مصادرة علی المطلوب، إذ هو أوّل الدعوی، ولم یثبت لحدّ الآن واحد من الغسل والمسح، حتّی أنّهم یحکمون بالنصب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الغسل الذی ثبت عندهم صحّته ولم یثبت عند الخصم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یثبت التحدید فی جانب الغسل فقط کما بیّنّا، فکلّ هذه الدعاوی فی غیر محلّها</w:t>
      </w:r>
      <w:r>
        <w:rPr>
          <w:rFonts w:eastAsia="IRNazanin" w:cs="IRNazanin"/>
          <w:color w:val="111111"/>
          <w:sz w:val="28"/>
          <w:szCs w:val="28"/>
          <w:rtl w:val="true"/>
          <w:lang w:bidi="fa-IR"/>
        </w:rPr>
        <w:t xml:space="preserve">. </w:t>
      </w:r>
      <w:bookmarkStart w:id="471" w:name="pg6193_71173"/>
    </w:p>
    <w:p>
      <w:pPr>
        <w:pStyle w:val="Heading3"/>
        <w:numPr>
          <w:ilvl w:val="2"/>
          <w:numId w:val="1"/>
        </w:numPr>
        <w:rPr/>
      </w:pPr>
      <w:bookmarkStart w:id="472" w:name="__RefHeading___Toc972388_237004111"/>
      <w:bookmarkStart w:id="473" w:name="_Toc168"/>
      <w:bookmarkEnd w:id="471"/>
      <w:bookmarkEnd w:id="472"/>
      <w:r>
        <w:rPr/>
        <w:t>27</w:t>
      </w:r>
      <w:r>
        <w:rPr>
          <w:rtl w:val="true"/>
        </w:rPr>
        <w:t xml:space="preserve"> - </w:t>
      </w:r>
      <w:r>
        <w:rPr>
          <w:rtl w:val="true"/>
        </w:rPr>
        <w:t xml:space="preserve">البزدویّ </w:t>
      </w:r>
      <w:r>
        <w:rPr>
          <w:rtl w:val="true"/>
        </w:rPr>
        <w:t>(</w:t>
      </w:r>
      <w:r>
        <w:rPr>
          <w:rtl w:val="true"/>
        </w:rPr>
        <w:t xml:space="preserve">ت </w:t>
      </w:r>
      <w:r>
        <w:rPr/>
        <w:t>493</w:t>
      </w:r>
      <w:r>
        <w:rPr>
          <w:rtl w:val="true"/>
        </w:rPr>
        <w:t xml:space="preserve"> </w:t>
      </w:r>
      <w:r>
        <w:rPr>
          <w:rtl w:val="true"/>
        </w:rPr>
        <w:t xml:space="preserve">ه </w:t>
      </w:r>
      <w:r>
        <w:rPr>
          <w:rtl w:val="true"/>
        </w:rPr>
        <w:t>)</w:t>
      </w:r>
      <w:bookmarkEnd w:id="473"/>
    </w:p>
    <w:p>
      <w:pPr>
        <w:pStyle w:val="BookText"/>
        <w:rPr/>
      </w:pPr>
      <w:r>
        <w:rPr>
          <w:rFonts w:ascii="IRNazanin" w:hAnsi="IRNazanin" w:eastAsia="IRNazanin"/>
          <w:color w:val="111111"/>
          <w:sz w:val="28"/>
          <w:sz w:val="28"/>
          <w:szCs w:val="28"/>
          <w:rtl w:val="true"/>
          <w:lang w:bidi="fa-IR"/>
        </w:rPr>
        <w:t xml:space="preserve">أثبت البزدویّ بین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من حیث اقتضاء النصب الغسل، والجرّ المسح</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ارتضی قراءة النصب،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منصوب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لقربه منه، ونقل ذلک عن سیبویه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العرب تعطف الشیء علی الشیء إذا قرب منه من وجه، وإن بعد من وجوه کقول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والرمح لا یتقلّد لکن لکونه من الأسلحة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إمساس الماء بطریق الغسل قریب من إمساس الماء بطریق المسح، فعطف علیه لا لکونه ممسوحاً بدلیل الغایة 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زاعماً أنّ الشیعة قائلة بأنّ المسح لا یتقدّر بالغایة، وقوله هذا فریة علی الشیعة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استحال المسح نقلاً عن السنّة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الرأس دخل بسبب الباء، فإنّه مفعول وموضعه النصب، ویستحیل أن یستنبط من الکسر الواقع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المسح بسبب کسرة غیر متأصّلة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بأنّ هذا فاسد، 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مشارکاً له فی المسح لنصب </w:t>
      </w:r>
      <w:bookmarkStart w:id="474" w:name="pg6193_71175"/>
    </w:p>
    <w:p>
      <w:pPr>
        <w:pStyle w:val="BookText"/>
        <w:rPr/>
      </w:pPr>
      <w:bookmarkEnd w:id="474"/>
      <w:r>
        <w:rPr>
          <w:rFonts w:ascii="IRNazanin" w:hAnsi="IRNazanin" w:eastAsia="IRNazanin"/>
          <w:color w:val="111111"/>
          <w:sz w:val="28"/>
          <w:sz w:val="28"/>
          <w:szCs w:val="28"/>
          <w:rtl w:val="true"/>
          <w:lang w:bidi="fa-IR"/>
        </w:rPr>
        <w:t>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r>
        <w:rPr>
          <w:rStyle w:val="FootnoteAnchor"/>
          <w:rtl w:val="true"/>
        </w:rPr>
        <w:footnoteReference w:id="709"/>
      </w:r>
    </w:p>
    <w:p>
      <w:pPr>
        <w:pStyle w:val="Heading3"/>
        <w:numPr>
          <w:ilvl w:val="2"/>
          <w:numId w:val="1"/>
        </w:numPr>
        <w:rPr/>
      </w:pPr>
      <w:bookmarkStart w:id="475" w:name="__RefHeading___Toc972390_237004111"/>
      <w:bookmarkStart w:id="476" w:name="_Toc169"/>
      <w:bookmarkEnd w:id="475"/>
      <w:r>
        <w:rPr/>
        <w:t>28</w:t>
      </w:r>
      <w:r>
        <w:rPr>
          <w:rtl w:val="true"/>
        </w:rPr>
        <w:t xml:space="preserve"> - </w:t>
      </w:r>
      <w:r>
        <w:rPr>
          <w:rtl w:val="true"/>
        </w:rPr>
        <w:t xml:space="preserve">البغویّ </w:t>
      </w:r>
      <w:r>
        <w:rPr>
          <w:rtl w:val="true"/>
        </w:rPr>
        <w:t>(</w:t>
      </w:r>
      <w:r>
        <w:rPr>
          <w:rtl w:val="true"/>
        </w:rPr>
        <w:t xml:space="preserve">ت </w:t>
      </w:r>
      <w:r>
        <w:rPr/>
        <w:t>510</w:t>
      </w:r>
      <w:r>
        <w:rPr>
          <w:rtl w:val="true"/>
        </w:rPr>
        <w:t xml:space="preserve"> </w:t>
      </w:r>
      <w:r>
        <w:rPr>
          <w:rtl w:val="true"/>
        </w:rPr>
        <w:t xml:space="preserve">أو </w:t>
      </w:r>
      <w:r>
        <w:rPr/>
        <w:t>516</w:t>
      </w:r>
      <w:r>
        <w:rPr>
          <w:rtl w:val="true"/>
        </w:rPr>
        <w:t xml:space="preserve"> </w:t>
      </w:r>
      <w:r>
        <w:rPr>
          <w:rtl w:val="true"/>
        </w:rPr>
        <w:t xml:space="preserve">ه </w:t>
      </w:r>
      <w:r>
        <w:rPr>
          <w:rtl w:val="true"/>
        </w:rPr>
        <w:t>)</w:t>
      </w:r>
      <w:bookmarkEnd w:id="476"/>
    </w:p>
    <w:p>
      <w:pPr>
        <w:pStyle w:val="BookText"/>
        <w:rPr/>
      </w:pPr>
      <w:r>
        <w:rPr>
          <w:rFonts w:ascii="IRNazanin" w:hAnsi="IRNazanin" w:eastAsia="IRNazanin"/>
          <w:color w:val="111111"/>
          <w:sz w:val="28"/>
          <w:sz w:val="28"/>
          <w:szCs w:val="28"/>
          <w:rtl w:val="true"/>
          <w:lang w:bidi="fa-IR"/>
        </w:rPr>
        <w:t xml:space="preserve">حکی البغوی قرآءة النصب عن نافع وابن عامر والکسائیّ ویعقوب وحفص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والحکم فیه الغسل کما هو المعروف عندهم، ولم یستدلّ إلّابهذه القراءة لهؤلاء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أستدل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والمجاورة وروایة وضوء عثمان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یکون النصب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 شیء دل علی أنّ النصب لابدّ أن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الفصل بین المتعاطفین بالجملة الأجنبیّة،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فَلِمَ لا یجوّزونه مع أنّه أقرب؟</w:t>
      </w:r>
    </w:p>
    <w:p>
      <w:pPr>
        <w:pStyle w:val="Heading3"/>
        <w:numPr>
          <w:ilvl w:val="2"/>
          <w:numId w:val="1"/>
        </w:numPr>
        <w:rPr/>
      </w:pPr>
      <w:bookmarkStart w:id="477" w:name="__RefHeading___Toc972392_237004111"/>
      <w:bookmarkStart w:id="478" w:name="_Toc170"/>
      <w:bookmarkEnd w:id="477"/>
      <w:r>
        <w:rPr/>
        <w:t>29</w:t>
      </w:r>
      <w:r>
        <w:rPr>
          <w:rtl w:val="true"/>
        </w:rPr>
        <w:t xml:space="preserve"> - </w:t>
      </w:r>
      <w:r>
        <w:rPr>
          <w:rtl w:val="true"/>
        </w:rPr>
        <w:t xml:space="preserve">أبو الفضل رشید الدین المیبدی </w:t>
      </w:r>
      <w:r>
        <w:rPr>
          <w:rtl w:val="true"/>
        </w:rPr>
        <w:t>(</w:t>
      </w:r>
      <w:r>
        <w:rPr>
          <w:rtl w:val="true"/>
        </w:rPr>
        <w:t xml:space="preserve">ت </w:t>
      </w:r>
      <w:r>
        <w:rPr/>
        <w:t>520</w:t>
      </w:r>
      <w:r>
        <w:rPr>
          <w:rtl w:val="true"/>
        </w:rPr>
        <w:t xml:space="preserve"> </w:t>
      </w:r>
      <w:r>
        <w:rPr>
          <w:rtl w:val="true"/>
        </w:rPr>
        <w:t xml:space="preserve">ه </w:t>
      </w:r>
      <w:r>
        <w:rPr>
          <w:rtl w:val="true"/>
        </w:rPr>
        <w:t>)</w:t>
      </w:r>
      <w:bookmarkEnd w:id="478"/>
    </w:p>
    <w:p>
      <w:pPr>
        <w:pStyle w:val="BookText"/>
        <w:rPr/>
      </w:pPr>
      <w:r>
        <w:rPr>
          <w:rFonts w:ascii="IRNazanin" w:hAnsi="IRNazanin" w:eastAsia="IRNazanin"/>
          <w:color w:val="111111"/>
          <w:sz w:val="28"/>
          <w:sz w:val="28"/>
          <w:szCs w:val="28"/>
          <w:rtl w:val="true"/>
          <w:lang w:bidi="fa-IR"/>
        </w:rPr>
        <w:t>قال المیبدی فی 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معطوف علی الوجوه والأیدی وفیه التقدیم والتأخیر وحکمه الغسل، واستدل علی ذلک بوجوه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الروایات مثل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صلاة امرء حتی یصنع الطهور مواضعه، </w:t>
      </w:r>
    </w:p>
    <w:p>
      <w:pPr>
        <w:pStyle w:val="BookText"/>
        <w:rPr/>
      </w:pPr>
      <w:r>
        <w:rPr>
          <w:rFonts w:ascii="IRNazanin" w:hAnsi="IRNazanin" w:eastAsia="IRNazanin"/>
          <w:color w:val="111111"/>
          <w:sz w:val="28"/>
          <w:sz w:val="28"/>
          <w:szCs w:val="28"/>
          <w:rtl w:val="true"/>
          <w:lang w:bidi="fa-IR"/>
        </w:rPr>
        <w:t>فیغسل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أن نغسل أرجلنا إذا توضّأنا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عثمان أنّه توضّأ ثلاثاً،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رأی قوماً، وأعقابهم تلوح لم یمسّها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 اسبغوا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أنس أن رجلاً أتی النبیّ صلی الله علیه و آله وقد توضّأ وترک علی قدمیه مثل موضع الظّفر،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فأحسن وضوءک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النبی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یحشرون یوم القیامة غرّاً محجّلین من آثار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 بیاض الوجه والمحجّل بیاض الأیدی والأرجل مجمع رسول اللّه بین الأیدی والأرجل فی هذا الوصف</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الرّوایات فقد تکلّمنا علیها فی المجلدات السّابقة من کتابنا وضوء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التّحدید فقد بحثنا عنه عند ذکر کلام الطبرسی فی قراءة الجرّ، وفی مواضع اخری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تدلّ علی الغسل، وإنّما تدلّ علی غرار الوجوه وتحجیل الأیدی والأرجل فقط، والمساواة فی الوصف لا تدلّ علی مساواة الموصوفین</w:t>
      </w:r>
      <w:r>
        <w:rPr>
          <w:rFonts w:eastAsia="IRNazanin" w:cs="IRNazanin"/>
          <w:color w:val="111111"/>
          <w:sz w:val="28"/>
          <w:szCs w:val="28"/>
          <w:rtl w:val="true"/>
          <w:lang w:bidi="fa-IR"/>
        </w:rPr>
        <w:t xml:space="preserve">. </w:t>
      </w:r>
      <w:bookmarkStart w:id="479" w:name="pg6193_71179"/>
    </w:p>
    <w:p>
      <w:pPr>
        <w:pStyle w:val="Heading3"/>
        <w:numPr>
          <w:ilvl w:val="2"/>
          <w:numId w:val="1"/>
        </w:numPr>
        <w:rPr/>
      </w:pPr>
      <w:bookmarkStart w:id="480" w:name="__RefHeading___Toc972394_237004111"/>
      <w:bookmarkStart w:id="481" w:name="_Toc171"/>
      <w:bookmarkEnd w:id="479"/>
      <w:bookmarkEnd w:id="480"/>
      <w:r>
        <w:rPr/>
        <w:t>30</w:t>
      </w:r>
      <w:r>
        <w:rPr>
          <w:rtl w:val="true"/>
        </w:rPr>
        <w:t xml:space="preserve"> - </w:t>
      </w:r>
      <w:r>
        <w:rPr>
          <w:rtl w:val="true"/>
        </w:rPr>
        <w:t xml:space="preserve">أبو الفتوح الرازی </w:t>
      </w:r>
      <w:r>
        <w:rPr>
          <w:rtl w:val="true"/>
        </w:rPr>
        <w:t>(</w:t>
      </w:r>
      <w:r>
        <w:rPr>
          <w:rtl w:val="true"/>
        </w:rPr>
        <w:t>من علماء القرن السّادس</w:t>
      </w:r>
      <w:r>
        <w:rPr>
          <w:rtl w:val="true"/>
        </w:rPr>
        <w:t>)</w:t>
      </w:r>
      <w:bookmarkEnd w:id="481"/>
    </w:p>
    <w:p>
      <w:pPr>
        <w:pStyle w:val="BookText"/>
        <w:rPr/>
      </w:pPr>
      <w:r>
        <w:rPr>
          <w:rFonts w:ascii="IRNazanin" w:hAnsi="IRNazanin" w:eastAsia="IRNazanin"/>
          <w:color w:val="111111"/>
          <w:sz w:val="28"/>
          <w:sz w:val="28"/>
          <w:szCs w:val="28"/>
          <w:rtl w:val="true"/>
          <w:lang w:bidi="fa-IR"/>
        </w:rPr>
        <w:t>قال أبو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الجر معطوفة علی لفظ الرؤوس، وفی النّصب معطوفة علی محل الرؤوس، وهذا فی کلام العرب کثیر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شرع فی الجواب عمن یقول من أهل السنّة فی قراءة النّصب بالغسل،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یقولوا إنّ قراءة تقتضی الغسل لأنّها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معطوفة علی الوجوه والأیدی مع التقدیم والتأخیر،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إلی الکعبین وأمسحوا برؤوسکم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الفصل بین المعطوف والمعطوف علیه وهو غیرب جائز لتشویش المعنی وتحیّر السّامع لعدم وجود القرینة علی مراد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هنا، فإنّ السنیّ یدّعی عطفه علی ما قبل الفصل والشیعی یدّعی عطفه علی ما فی جنبه اعنی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یناسب کلام العقلاء والحکماء</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الحکیم علی الإطلاق الذی نظم کلامه علی غایة الفصاحة والبلاغة والانتظام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نظم الآیة یدل علی المسح، فإنّها بینت لنا طهارة أربعة عضو، عضوین للغسل وعضوین للمسح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الأول من المغسولین بالغسل ثم عطف الثّانی علیه، وصرّح فی الأوّل من الممسوحین بالمسح ثم عطف الثّانی علیه وهذا نظم بالغ حکیم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للتّحدید الذی جاء فی الأرجل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القرآن </w:t>
      </w:r>
      <w:bookmarkStart w:id="482" w:name="pg6193_71181"/>
    </w:p>
    <w:p>
      <w:pPr>
        <w:pStyle w:val="BookText"/>
        <w:rPr/>
      </w:pPr>
      <w:bookmarkEnd w:id="482"/>
      <w:r>
        <w:rPr>
          <w:rFonts w:ascii="IRNazanin" w:hAnsi="IRNazanin" w:eastAsia="IRNazanin"/>
          <w:color w:val="111111"/>
          <w:sz w:val="28"/>
          <w:sz w:val="28"/>
          <w:szCs w:val="28"/>
          <w:rtl w:val="true"/>
          <w:lang w:bidi="fa-IR"/>
        </w:rPr>
        <w:t>یقتضی العطف للمحدود علی المحدود أعنی الأرجل علی الأیدی وکلاهما محدودان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قلنا أنسب بنظم القرآن ففی الغسل عطف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الوجوه إلّامحدود ثمّ فی المسح أیضاً عطف المحدود أعنی الأرجل علی غیر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الآیة أیضاً یؤیّد هذا، والقیاس الذی یقول به أهله نتکلّم معهم یؤید ذلک أیضاً ففی التیمّم نترک الممسوح ونمسح المغسول</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972396_237004111"/>
      <w:bookmarkStart w:id="484" w:name="_Toc172"/>
      <w:bookmarkEnd w:id="483"/>
      <w:r>
        <w:rPr/>
        <w:t>31</w:t>
      </w:r>
      <w:r>
        <w:rPr>
          <w:rtl w:val="true"/>
        </w:rPr>
        <w:t xml:space="preserve"> - </w:t>
      </w:r>
      <w:r>
        <w:rPr>
          <w:rtl w:val="true"/>
        </w:rPr>
        <w:t xml:space="preserve">الزمخشریّ </w:t>
      </w:r>
      <w:r>
        <w:rPr>
          <w:rtl w:val="true"/>
        </w:rPr>
        <w:t>(</w:t>
      </w:r>
      <w:r>
        <w:rPr>
          <w:rtl w:val="true"/>
        </w:rPr>
        <w:t xml:space="preserve">ت </w:t>
      </w:r>
      <w:r>
        <w:rPr/>
        <w:t>528</w:t>
      </w:r>
      <w:r>
        <w:rPr>
          <w:rtl w:val="true"/>
        </w:rPr>
        <w:t xml:space="preserve"> </w:t>
      </w:r>
      <w:r>
        <w:rPr>
          <w:rtl w:val="true"/>
        </w:rPr>
        <w:t xml:space="preserve">ه </w:t>
      </w:r>
      <w:r>
        <w:rPr>
          <w:rtl w:val="true"/>
        </w:rPr>
        <w:t>)</w:t>
      </w:r>
      <w:bookmarkEnd w:id="484"/>
    </w:p>
    <w:p>
      <w:pPr>
        <w:pStyle w:val="BookText"/>
        <w:rPr/>
      </w:pPr>
      <w:r>
        <w:rPr>
          <w:rFonts w:ascii="IRNazanin" w:hAnsi="IRNazanin" w:eastAsia="IRNazanin"/>
          <w:color w:val="111111"/>
          <w:sz w:val="28"/>
          <w:sz w:val="28"/>
          <w:szCs w:val="28"/>
          <w:rtl w:val="true"/>
          <w:lang w:bidi="fa-IR"/>
        </w:rPr>
        <w:t xml:space="preserve">استدلّ الزمخشریّ بهذه القِراءة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مغسولة</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 قراءة الجرّ الدالّة علی المسح بأنّها لا تدلّ علی المسح، بل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لتمسح، ولکن لینبّه علی وجوب الاقتصاد فی صبّ الماء علیها، لأنّها کانت تغسل بصبّ الماء علیها، فکانت مظنّة للإسراف المذموم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وأقوی دلیل یدلّ علی الغسل عند الزمخشری هو الغایة المعبّر عنه بالتحدید فی کلام سائر المفسّرین من السنّة، فقال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جیء بالغایة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إماطةً لظنّ ظانّ یحسبها ممسوحة، لأنّ المسح لم تضرب له غایة فی الشریعة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485" w:name="pg6193_71183"/>
    </w:p>
    <w:p>
      <w:pPr>
        <w:pStyle w:val="BookText"/>
        <w:rPr/>
      </w:pPr>
      <w:bookmarkEnd w:id="485"/>
      <w:r>
        <w:rPr>
          <w:rFonts w:ascii="IRNazanin" w:hAnsi="IRNazanin" w:eastAsia="IRNazanin"/>
          <w:color w:val="111111"/>
          <w:sz w:val="28"/>
          <w:sz w:val="28"/>
          <w:szCs w:val="28"/>
          <w:rtl w:val="true"/>
          <w:lang w:bidi="fa-IR"/>
        </w:rPr>
        <w:t>وقد تقدّم الجواب عن هذا</w:t>
      </w:r>
      <w:r>
        <w:rPr>
          <w:rStyle w:val="FootnoteAnchor"/>
          <w:rtl w:val="true"/>
        </w:rPr>
        <w:footnoteReference w:id="718"/>
      </w:r>
      <w:r>
        <w:rPr>
          <w:rFonts w:ascii="IRNazanin" w:hAnsi="IRNazanin" w:eastAsia="IRNazanin"/>
          <w:color w:val="111111"/>
          <w:sz w:val="28"/>
          <w:sz w:val="28"/>
          <w:szCs w:val="28"/>
          <w:rtl w:val="true"/>
          <w:lang w:bidi="fa-IR"/>
        </w:rPr>
        <w:t xml:space="preserve">فإنّ الوجه مغسول، ولم یضرب له غایة فی الشریعة، والرأس ممسوح لم یضرب له غایة،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محدودتان، والأُولی مغسولة، والثانیة ممسوحة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اعترف الزمخشریّ بالمسح أخیراً،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بعض الناس إلی ظاهر العطف فأوجب المسح، وعن الحسن أنّة جمع بین الأمرین، وعن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بالمسح والغسل سنّة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الغسل لیس بسنّةٍ</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972398_237004111"/>
      <w:bookmarkStart w:id="487" w:name="_Toc173"/>
      <w:bookmarkEnd w:id="486"/>
      <w:r>
        <w:rPr/>
        <w:t>32</w:t>
      </w:r>
      <w:r>
        <w:rPr>
          <w:rtl w:val="true"/>
        </w:rPr>
        <w:t xml:space="preserve"> - </w:t>
      </w:r>
      <w:r>
        <w:rPr>
          <w:rtl w:val="true"/>
        </w:rPr>
        <w:t xml:space="preserve">ابن العربیّ </w:t>
      </w:r>
      <w:r>
        <w:rPr>
          <w:rtl w:val="true"/>
        </w:rPr>
        <w:t>(</w:t>
      </w:r>
      <w:r>
        <w:rPr>
          <w:rtl w:val="true"/>
        </w:rPr>
        <w:t xml:space="preserve">ت </w:t>
      </w:r>
      <w:r>
        <w:rPr/>
        <w:t>541</w:t>
      </w:r>
      <w:r>
        <w:rPr>
          <w:rtl w:val="true"/>
        </w:rPr>
        <w:t xml:space="preserve"> </w:t>
      </w:r>
      <w:r>
        <w:rPr>
          <w:rtl w:val="true"/>
        </w:rPr>
        <w:t xml:space="preserve">ه </w:t>
      </w:r>
      <w:r>
        <w:rPr>
          <w:rtl w:val="true"/>
        </w:rPr>
        <w:t>)</w:t>
      </w:r>
      <w:bookmarkEnd w:id="487"/>
    </w:p>
    <w:p>
      <w:pPr>
        <w:pStyle w:val="BookText"/>
        <w:rPr/>
      </w:pPr>
      <w:r>
        <w:rPr>
          <w:rFonts w:ascii="IRNazanin" w:hAnsi="IRNazanin" w:eastAsia="IRNazanin"/>
          <w:color w:val="111111"/>
          <w:sz w:val="28"/>
          <w:sz w:val="28"/>
          <w:szCs w:val="28"/>
          <w:rtl w:val="true"/>
          <w:lang w:bidi="fa-IR"/>
        </w:rPr>
        <w:t>ثبتت القراءة فی الوضوء بثلاث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به نافع، رواه عنه الولید بن مسلم، وهی قراءة الأعمش والحسن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عبدالرحمن السلمیّ عن أمیرالمؤمنین علیه السلام وابن عبّاس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قرأ أنس وعلقمة وأبو جعفر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موسی بن أنس أنّه قال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خطبنا بالأهواز، فذکر الطهور وأمر بغسل الرجلین،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وکذب الحجّاج، ثم قرأ آیة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روی المسح أیضاً عن ابن عبّاس وقتادة وعکرمة والشعبیّ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والتخییر عن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العربیّ فقد حکم بمقتضی القواعد العربیّة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نصباً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ولفظاً، وبه یکون مفاد الآیة المسح علی الرجلین، لکن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السنّة کما ذکر، إذ تقدّم الکلام عنها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ابن العربی اعتراضاً علی قومه، وأجاب عن الاعتراض،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النصب یمکن أن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موضعاً التی هی مجرورة لفظاً، إذ کلّ مجرورٍ لفظاً فهو منصوب محلّاً، إذا وقع بعد الفعل المتعدّی الذی استوفی فاعله، کما أنّ قراءة الجرّ عطف للأرجل علی لفظ الرؤوس، فالقراءتان تفیدان المسح سواء قُرِئَت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أو بالجرّ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یعارضه أنّا وإن قرأناها خفضاً وعطفاً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یعطف الشیء علی الشیء بفعل ینفرد به أحدهما، کقولهم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سیداً ورمحاً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فروع الأیهقان وأطفلت بالجلهتین ظباؤها ونعامها</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ألبان وتمر وأقط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6193_71187"/>
    </w:p>
    <w:p>
      <w:pPr>
        <w:pStyle w:val="BookText"/>
        <w:rPr/>
      </w:pPr>
      <w:bookmarkEnd w:id="488"/>
      <w:r>
        <w:rPr>
          <w:rFonts w:ascii="Amiri" w:hAnsi="Amiri" w:eastAsia="Amiri" w:cs="Amiri"/>
          <w:color w:val="111111"/>
          <w:sz w:val="28"/>
          <w:sz w:val="28"/>
          <w:szCs w:val="28"/>
          <w:rtl w:val="true"/>
          <w:lang w:bidi="ar-SA"/>
        </w:rPr>
        <w:t>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علّفتها تبناً وسقیتها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سیفاً وحاملاً رمحاً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أطفلت بالجلهتین ظباؤها وفرخت نعامها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وشرب ألبان وأکل تمر وأقط</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هذا الجواب بما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قد یعطف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هذه الکلمات غیر کثیرة ولا مطّردة، وقلّما تصدر عن الفصحاء، فهی لغة لحَیِّ غیر الفصحاء، والقرآن لا یحمل علی غیر الفصیح، فالاعتراض وارد، والجواب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السلمیّ أنّ الحسن أو الحسین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علیّ ذلک وکان یقضی بین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وارجلکم بالنّصب فقراءة النّصب اولی، وقرأ ابن عباس مثله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972400_237004111"/>
      <w:bookmarkStart w:id="490" w:name="_Toc174"/>
      <w:bookmarkEnd w:id="489"/>
      <w:r>
        <w:rPr/>
        <w:t>33</w:t>
      </w:r>
      <w:r>
        <w:rPr>
          <w:rtl w:val="true"/>
        </w:rPr>
        <w:t xml:space="preserve"> - </w:t>
      </w:r>
      <w:r>
        <w:rPr>
          <w:rtl w:val="true"/>
        </w:rPr>
        <w:t xml:space="preserve">ابن عطیّة الأندلسیّ </w:t>
      </w:r>
      <w:r>
        <w:rPr>
          <w:rtl w:val="true"/>
        </w:rPr>
        <w:t>(</w:t>
      </w:r>
      <w:r>
        <w:rPr>
          <w:rtl w:val="true"/>
        </w:rPr>
        <w:t xml:space="preserve">ت </w:t>
      </w:r>
      <w:r>
        <w:rPr/>
        <w:t>546</w:t>
      </w:r>
      <w:r>
        <w:rPr>
          <w:rtl w:val="true"/>
        </w:rPr>
        <w:t xml:space="preserve"> </w:t>
      </w:r>
      <w:r>
        <w:rPr>
          <w:rtl w:val="true"/>
        </w:rPr>
        <w:t xml:space="preserve">ه </w:t>
      </w:r>
      <w:r>
        <w:rPr>
          <w:rtl w:val="true"/>
        </w:rPr>
        <w:t>)</w:t>
      </w:r>
      <w:bookmarkEnd w:id="490"/>
    </w:p>
    <w:p>
      <w:pPr>
        <w:pStyle w:val="BookText"/>
        <w:rPr/>
      </w:pPr>
      <w:r>
        <w:rPr>
          <w:rFonts w:ascii="IRNazanin" w:hAnsi="IRNazanin" w:eastAsia="IRNazanin"/>
          <w:color w:val="111111"/>
          <w:sz w:val="28"/>
          <w:sz w:val="28"/>
          <w:szCs w:val="28"/>
          <w:rtl w:val="true"/>
          <w:lang w:bidi="fa-IR"/>
        </w:rPr>
        <w:t>نقل ابن عطیة الأندلسی القراءات الثلاث فی آیة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ابن عطیّة عن ابن کثیر وأبی عمرو وحمزة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وابن عامر والکسائیّ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أبوبکر عن عاصم الخفض، وحفص عنه النصب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الحسن والأعمش ونافع، وحملها علی الغسل </w:t>
      </w:r>
      <w:bookmarkStart w:id="491" w:name="pg6193_71189"/>
    </w:p>
    <w:p>
      <w:pPr>
        <w:pStyle w:val="BookText"/>
        <w:rPr/>
      </w:pPr>
      <w:bookmarkEnd w:id="491"/>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فامسحوها، ولهذا مرجّح دون الغسل</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حمل قراءة النصب علی الغسل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فی کلامه إلی ما وضعوه علی رسول اللّه صلی الله علیه و آله من أنّه کان یغسل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والنصب عطفاً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المسح لا الغسل، وهذا یوافق ظاهر الآیة؛ لأنّهامن المحکمات، وقد تقدّم الجواب عن الروایات التی استدلّوا بها</w:t>
      </w:r>
      <w:r>
        <w:rPr>
          <w:rFonts w:eastAsia="IRNazanin" w:cs="IRNazanin"/>
          <w:color w:val="111111"/>
          <w:sz w:val="28"/>
          <w:szCs w:val="28"/>
          <w:rtl w:val="true"/>
          <w:lang w:bidi="fa-IR"/>
        </w:rPr>
        <w:t>.</w:t>
      </w:r>
    </w:p>
    <w:p>
      <w:pPr>
        <w:pStyle w:val="Heading3"/>
        <w:numPr>
          <w:ilvl w:val="2"/>
          <w:numId w:val="1"/>
        </w:numPr>
        <w:rPr/>
      </w:pPr>
      <w:bookmarkStart w:id="492" w:name="__RefHeading___Toc972402_237004111"/>
      <w:bookmarkStart w:id="493" w:name="_Toc175"/>
      <w:bookmarkEnd w:id="492"/>
      <w:r>
        <w:rPr/>
        <w:t>34</w:t>
      </w:r>
      <w:r>
        <w:rPr>
          <w:rtl w:val="true"/>
        </w:rPr>
        <w:t xml:space="preserve"> - </w:t>
      </w:r>
      <w:r>
        <w:rPr>
          <w:rtl w:val="true"/>
        </w:rPr>
        <w:t xml:space="preserve">الشیخ الطبرسیّ </w:t>
      </w:r>
      <w:r>
        <w:rPr>
          <w:rtl w:val="true"/>
        </w:rPr>
        <w:t>(</w:t>
      </w:r>
      <w:r>
        <w:rPr>
          <w:rtl w:val="true"/>
        </w:rPr>
        <w:t xml:space="preserve">ت </w:t>
      </w:r>
      <w:r>
        <w:rPr/>
        <w:t>548</w:t>
      </w:r>
      <w:r>
        <w:rPr>
          <w:rtl w:val="true"/>
        </w:rPr>
        <w:t xml:space="preserve"> </w:t>
      </w:r>
      <w:r>
        <w:rPr>
          <w:rtl w:val="true"/>
        </w:rPr>
        <w:t xml:space="preserve">ه </w:t>
      </w:r>
      <w:r>
        <w:rPr>
          <w:rtl w:val="true"/>
        </w:rPr>
        <w:t>)</w:t>
      </w:r>
      <w:bookmarkEnd w:id="493"/>
    </w:p>
    <w:p>
      <w:pPr>
        <w:pStyle w:val="BookText"/>
        <w:rPr/>
      </w:pPr>
      <w:r>
        <w:rPr>
          <w:rFonts w:ascii="IRNazanin" w:hAnsi="IRNazanin" w:eastAsia="IRNazanin"/>
          <w:color w:val="111111"/>
          <w:sz w:val="28"/>
          <w:sz w:val="28"/>
          <w:szCs w:val="28"/>
          <w:rtl w:val="true"/>
          <w:lang w:bidi="fa-IR"/>
        </w:rPr>
        <w:t>إِن قراءتی النصب والجرّ تفیدان المسح دون الغسل عند الشیخ الطبرسی؛ فالجرّ للعطف علی اللفظ، والنصب للعطف علی محلّ الجارّ والمجرور</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کلام الزمخشری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للإسراف المذموم فی صبّ الماء علیها فعطفت علی الممسوح لا لتمسح، لکن لِیُنبّهَ علی وجوب الاقتصاد فی صبّ الماء علیها،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فجیء بالغایة إماطةً لظنّ ظانٍّ یحسبها ممسوحة، لأنّ المسح لم یضرب له غایة فی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ردّه وقال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فاسد، لأنّ حقیقة العطف تقتضی أن یکون المعطوف فی حکم المعطوف علیه، وکیف یکون المسح فی معنی الغسل </w:t>
      </w:r>
    </w:p>
    <w:p>
      <w:pPr>
        <w:pStyle w:val="BookText"/>
        <w:rPr/>
      </w:pPr>
      <w:r>
        <w:rPr>
          <w:rFonts w:ascii="IRNazanin" w:hAnsi="IRNazanin" w:eastAsia="IRNazanin"/>
          <w:color w:val="111111"/>
          <w:sz w:val="28"/>
          <w:sz w:val="28"/>
          <w:szCs w:val="28"/>
          <w:rtl w:val="true"/>
          <w:lang w:bidi="fa-IR"/>
        </w:rPr>
        <w:t>وفائدة اللفظین مختلفة، ولفظ التنزیل قد فرّق بین الأعضاء المغسولة والأعضاء الممسوحة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یضرب للمسح غایة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یخفی فساده، لأنّ ضرب الغایة لا یدلّ علی الغسل، فلو صرّح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وامسحوا بأرجلکم إلی الکعبین لم یکن منکراً، ولم یشکّ أحد فی أنّه کان یجب المسح إلی الکعبین، فکذلک إذا جعل فی حکم الممسوح بالعطف علیه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مجمع البیان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الفقهاء اختلفوا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الجمهور بالغسل، والإمامیّة بالمسح، وروی المسح عن عکرمة وجماعة من الصحابة والتابعین کابن عبّاس وأنس بن مالک وأبی العالیة والشعبیّ، وقال الحسن البصریّ والطبریّ والجبّائیّ بالتخییر بین المسح والغسل، والأخیران أوجبا مسح جمیع القدمین إن اختار المکلّف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الناصر للحقّ من أئمّة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الجمع بینهما، وکذا داود بن علیّ الأصبهانیّ</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الغسل دون المسح بدلیل أنّ الفقهاء من الجمهور عملوا علی الغسل دون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روی أنّ النبیّ رأی قوماً توضّؤوا وأعقابهم تلوح،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الإمامیّة وأهل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الجرّ للعطف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والنصب للعطف علی موضع الجارّ والمجرور، وأمثال </w:t>
      </w:r>
      <w:bookmarkStart w:id="494" w:name="pg6193_71193"/>
    </w:p>
    <w:p>
      <w:pPr>
        <w:pStyle w:val="BookText"/>
        <w:rPr/>
      </w:pPr>
      <w:bookmarkEnd w:id="494"/>
      <w:r>
        <w:rPr>
          <w:rFonts w:ascii="IRNazanin" w:hAnsi="IRNazanin" w:eastAsia="IRNazanin"/>
          <w:color w:val="111111"/>
          <w:sz w:val="28"/>
          <w:sz w:val="28"/>
          <w:szCs w:val="28"/>
          <w:rtl w:val="true"/>
          <w:lang w:bidi="fa-IR"/>
        </w:rPr>
        <w:t>ذلک فی کلام العرب أکثر من أن تحصی، قال الشاعر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p>
    <w:p>
      <w:pPr>
        <w:pStyle w:val="BookText"/>
        <w:rPr/>
      </w:pPr>
      <w:r>
        <w:rPr>
          <w:rFonts w:ascii="Amiri" w:hAnsi="Amiri" w:eastAsia="Amiri" w:cs="Amiri"/>
          <w:color w:val="111111"/>
          <w:sz w:val="28"/>
          <w:sz w:val="28"/>
          <w:szCs w:val="28"/>
          <w:rtl w:val="true"/>
          <w:lang w:bidi="ar-SA"/>
        </w:rPr>
        <w:t>وقال تأبّط شرّاً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هل أنت باعث دینار لحاجتنا أو عبد ربّ أخا عون بن مخراق</w:t>
      </w:r>
    </w:p>
    <w:p>
      <w:pPr>
        <w:pStyle w:val="BookText"/>
        <w:rPr/>
      </w:pPr>
      <w:r>
        <w:rPr>
          <w:rFonts w:ascii="IRNazanin" w:hAnsi="IRNazanin" w:eastAsia="IRNazanin"/>
          <w:color w:val="111111"/>
          <w:sz w:val="28"/>
          <w:sz w:val="28"/>
          <w:szCs w:val="28"/>
          <w:rtl w:val="true"/>
          <w:lang w:bidi="fa-IR"/>
        </w:rPr>
        <w:t xml:space="preserve">فعطف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منصوب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وأبعد من ذلک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جئنی بمثل بنی بدر لقومهم أو مثل إخوة منصور بن سیّار</w:t>
      </w:r>
    </w:p>
    <w:p>
      <w:pPr>
        <w:pStyle w:val="BookText"/>
        <w:rPr/>
      </w:pPr>
      <w:r>
        <w:rPr>
          <w:rFonts w:ascii="IRNazanin" w:hAnsi="IRNazanin" w:eastAsia="IRNazanin"/>
          <w:color w:val="111111"/>
          <w:sz w:val="28"/>
          <w:sz w:val="28"/>
          <w:szCs w:val="28"/>
          <w:rtl w:val="true"/>
          <w:lang w:bidi="fa-IR"/>
        </w:rPr>
        <w:t xml:space="preserve">فإنّه لمّا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 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بالنصب علی المعنی</w:t>
      </w:r>
      <w:r>
        <w:rPr>
          <w:rFonts w:eastAsia="IRNazanin" w:cs="IRNazanin"/>
          <w:color w:val="111111"/>
          <w:sz w:val="28"/>
          <w:szCs w:val="28"/>
          <w:rtl w:val="true"/>
          <w:lang w:bidi="fa-IR"/>
        </w:rPr>
        <w:t>.</w:t>
      </w:r>
    </w:p>
    <w:p>
      <w:pPr>
        <w:pStyle w:val="Heading3"/>
        <w:numPr>
          <w:ilvl w:val="2"/>
          <w:numId w:val="1"/>
        </w:numPr>
        <w:rPr/>
      </w:pPr>
      <w:bookmarkStart w:id="495" w:name="__RefHeading___Toc972404_237004111"/>
      <w:bookmarkStart w:id="496" w:name="_Toc176"/>
      <w:bookmarkEnd w:id="495"/>
      <w:r>
        <w:rPr/>
        <w:t>35</w:t>
      </w:r>
      <w:r>
        <w:rPr>
          <w:rtl w:val="true"/>
        </w:rPr>
        <w:t xml:space="preserve"> - </w:t>
      </w:r>
      <w:r>
        <w:rPr>
          <w:rtl w:val="true"/>
        </w:rPr>
        <w:t xml:space="preserve">بیان الحق النیسابوری </w:t>
      </w:r>
      <w:r>
        <w:rPr>
          <w:rtl w:val="true"/>
        </w:rPr>
        <w:t>(</w:t>
      </w:r>
      <w:r>
        <w:rPr>
          <w:rtl w:val="true"/>
        </w:rPr>
        <w:t xml:space="preserve">ت </w:t>
      </w:r>
      <w:r>
        <w:rPr/>
        <w:t>555</w:t>
      </w:r>
      <w:r>
        <w:rPr>
          <w:rtl w:val="true"/>
        </w:rPr>
        <w:t xml:space="preserve"> </w:t>
      </w:r>
      <w:r>
        <w:rPr>
          <w:rtl w:val="true"/>
        </w:rPr>
        <w:t xml:space="preserve">ه </w:t>
      </w:r>
      <w:r>
        <w:rPr>
          <w:rtl w:val="true"/>
        </w:rPr>
        <w:t>)</w:t>
      </w:r>
      <w:bookmarkEnd w:id="496"/>
    </w:p>
    <w:p>
      <w:pPr>
        <w:pStyle w:val="BookText"/>
        <w:rPr/>
      </w:pPr>
      <w:r>
        <w:rPr>
          <w:rFonts w:ascii="IRNazanin" w:hAnsi="IRNazanin" w:eastAsia="IRNazanin"/>
          <w:color w:val="111111"/>
          <w:sz w:val="28"/>
          <w:sz w:val="28"/>
          <w:szCs w:val="28"/>
          <w:rtl w:val="true"/>
          <w:lang w:bidi="fa-IR"/>
        </w:rPr>
        <w:t xml:space="preserve">أنکر بیان الحقّ قراءة النّصب عطفاً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یجوز هذا فی الکلام الهجین المعقد، والتهریج المختلط دون العربیّ المبین، وهل فی جمیع القرآن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ومررت بعمرو وخالدا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قدّر الکسائی فیه تکرار الفعل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وقرأ الحسن بالرّفع</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قالوه من قبل ومثلوا له بقول الشّاعر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علّفتها تبناً وماء باردا </w:t>
      </w:r>
      <w:bookmarkStart w:id="497" w:name="pg6193_71195"/>
    </w:p>
    <w:p>
      <w:pPr>
        <w:pStyle w:val="BookText"/>
        <w:rPr/>
      </w:pPr>
      <w:bookmarkEnd w:id="497"/>
      <w:r>
        <w:rPr>
          <w:rFonts w:ascii="IRNazanin" w:hAnsi="IRNazanin" w:eastAsia="IRNazanin"/>
          <w:color w:val="111111"/>
          <w:sz w:val="28"/>
          <w:sz w:val="28"/>
          <w:szCs w:val="28"/>
          <w:rtl w:val="true"/>
          <w:lang w:bidi="fa-IR"/>
        </w:rPr>
        <w:t>وقوله جنا عنه مرارا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متقلدا سیفا ورمحا</w:t>
      </w:r>
    </w:p>
    <w:p>
      <w:pPr>
        <w:pStyle w:val="BookText"/>
        <w:rPr/>
      </w:pPr>
      <w:r>
        <w:rPr>
          <w:rFonts w:ascii="IRNazanin" w:hAnsi="IRNazanin" w:eastAsia="IRNazanin"/>
          <w:color w:val="111111"/>
          <w:sz w:val="28"/>
          <w:sz w:val="28"/>
          <w:szCs w:val="28"/>
          <w:rtl w:val="true"/>
          <w:lang w:bidi="fa-IR"/>
        </w:rPr>
        <w:t>وقد أجبنا عنه مرارا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972406_237004111"/>
      <w:bookmarkStart w:id="499" w:name="_Toc177"/>
      <w:bookmarkEnd w:id="498"/>
      <w:r>
        <w:rPr/>
        <w:t>36</w:t>
      </w:r>
      <w:r>
        <w:rPr>
          <w:rtl w:val="true"/>
        </w:rPr>
        <w:t xml:space="preserve"> - </w:t>
      </w:r>
      <w:r>
        <w:rPr>
          <w:rtl w:val="true"/>
        </w:rPr>
        <w:t xml:space="preserve">الفسوی المعروف بأبن أبی مریم </w:t>
      </w:r>
      <w:r>
        <w:rPr>
          <w:rtl w:val="true"/>
        </w:rPr>
        <w:t>(</w:t>
      </w:r>
      <w:r>
        <w:rPr>
          <w:rtl w:val="true"/>
        </w:rPr>
        <w:t xml:space="preserve">ت </w:t>
      </w:r>
      <w:r>
        <w:rPr/>
        <w:t>565</w:t>
      </w:r>
      <w:r>
        <w:rPr>
          <w:rtl w:val="true"/>
        </w:rPr>
        <w:t xml:space="preserve"> </w:t>
      </w:r>
      <w:r>
        <w:rPr>
          <w:rtl w:val="true"/>
        </w:rPr>
        <w:t xml:space="preserve">ه </w:t>
      </w:r>
      <w:r>
        <w:rPr>
          <w:rtl w:val="true"/>
        </w:rPr>
        <w:t>)</w:t>
      </w:r>
      <w:bookmarkEnd w:id="499"/>
    </w:p>
    <w:p>
      <w:pPr>
        <w:pStyle w:val="BookText"/>
        <w:rPr/>
      </w:pPr>
      <w:r>
        <w:rPr>
          <w:rFonts w:ascii="IRNazanin" w:hAnsi="IRNazanin" w:eastAsia="IRNazanin"/>
          <w:color w:val="111111"/>
          <w:sz w:val="28"/>
          <w:sz w:val="28"/>
          <w:szCs w:val="28"/>
          <w:rtl w:val="true"/>
          <w:lang w:bidi="fa-IR"/>
        </w:rPr>
        <w:t>قال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وقرء الباقون عن عاصم نصباً علی أنّه محمول علی الغسل دون المسح لأنّه هو الظاهر فی الغسل الّذی أجمع علیه فقهاء الأمصار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972408_237004111"/>
      <w:bookmarkStart w:id="501" w:name="_Toc178"/>
      <w:bookmarkEnd w:id="500"/>
      <w:r>
        <w:rPr/>
        <w:t>37</w:t>
      </w:r>
      <w:r>
        <w:rPr>
          <w:rtl w:val="true"/>
        </w:rPr>
        <w:t xml:space="preserve"> - </w:t>
      </w:r>
      <w:r>
        <w:rPr>
          <w:rtl w:val="true"/>
        </w:rPr>
        <w:t xml:space="preserve">أبو الحسن الماوردی البصری صاحب التفسیر </w:t>
      </w:r>
      <w:r>
        <w:rPr>
          <w:rtl w:val="true"/>
        </w:rPr>
        <w:t>(</w:t>
      </w:r>
      <w:r>
        <w:rPr>
          <w:rtl w:val="true"/>
        </w:rPr>
        <w:t xml:space="preserve">ت </w:t>
      </w:r>
      <w:r>
        <w:rPr/>
        <w:t>450</w:t>
      </w:r>
      <w:r>
        <w:rPr>
          <w:rtl w:val="true"/>
        </w:rPr>
        <w:t xml:space="preserve"> </w:t>
      </w:r>
      <w:r>
        <w:rPr>
          <w:rtl w:val="true"/>
        </w:rPr>
        <w:t xml:space="preserve">ه </w:t>
      </w:r>
      <w:r>
        <w:rPr>
          <w:rtl w:val="true"/>
        </w:rPr>
        <w:t>)</w:t>
      </w:r>
      <w:bookmarkEnd w:id="50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من قال بوجوب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الشیعة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الأرجل وکسر اللّام عطفا علی الرأس قراء بذلک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العلاء أحد القراء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کثیر، وحمزة، وأحد الروایتین عن عاصم فوجب أن یکون فرض الرجلین المسح، ویؤید ذلک ما قاله أنس حین سمع کلام الحجاج بغسلهما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إنّما أمر اللّه بمسح الرجلین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وروی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المسح ویأبی الناس إلّاالغسل،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ومسحتان، </w:t>
      </w:r>
    </w:p>
    <w:p>
      <w:pPr>
        <w:pStyle w:val="BookText"/>
        <w:rPr/>
      </w:pPr>
      <w:r>
        <w:rPr>
          <w:rFonts w:ascii="IRNazanin" w:hAnsi="IRNazanin" w:eastAsia="IRNazanin"/>
          <w:color w:val="111111"/>
          <w:sz w:val="28"/>
          <w:sz w:val="28"/>
          <w:szCs w:val="28"/>
          <w:rtl w:val="true"/>
          <w:lang w:bidi="fa-IR"/>
        </w:rPr>
        <w:t>فدل ما ذکرنا أن الآیة توجب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الماوردی بعض السنّة الدالة بنظره علی المسح</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أجاب عن القائلین بوجوب المسح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استدلالهم بالآیة علی قراءة الجرّ فإنّ القراء الآخرین قرأوا علی النصب عطفا علی الوجه المغسول ففرض الرجلین علی النصب الغسل لیس إلّا، وأمّا قراءة الجر فیحتمل أن یراد به مسح الخفیّن ویمکن أن یکون علی المجاورة وهذا لسان العرب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کرماد اشتدّت به الریح فی یوم عاصف</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قال العاصف صفة الریح ولکنه اتّبع الیوم فی الإعراب علی المجاورة، وکقول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فی حول ثواء تویته تقضّی لبانات ویسأم سالم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أنس، فقد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المسح وبیّن رسول اللّه صلی الله علیه و آله أنّه الغسل فکان انکاره علی الحجاج أنّ الکتاب لم یدّل علی الغسل وإنّما السنّة 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ابن عباس فقد رویناه عنه بخلافة وأنّه قرأ بالنّصب، ویحتمل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یعنی الوجه والذّراعین یغسلان فی الوضوء ویمسحان فی التیمّم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علیّ فمحمول علی أنّه غسلهما فی نعلیه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السّلمی أنّ الحسن والحسین قراء بالخفض فنادی علیّ أنّه بالفتحة یعنی النصب فیدل علی 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 منّا عن جواباته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فرض دلالة قراءة النّصب علی الغسل مفروغا عنها ولیس کذلک فإنّ النّصب یمکن أن یکون بالعطف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المسح مثل قراءة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دلالة قراءة الجرّ علی المسح علی الخفیّن باطل، لأنّ الرجل غیر الخفّ لغة وعرفا وشرعا، وأنّه لو دلّت علیه فیبقی الرجلین بلا حکم فی الآیة مع أنّ الآیة فی مقام بیان کیفیّة الوضوء وعدّ اعضائه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المجاورة تحمل علی الضرورة الشّعریة ولا ضرورة فی الآیات القرآنیة کما قاله کثیر من علماء أهل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اشتدّت به الریح فی 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فالعاصف صفة الیوم ولا الریح فإنّ الریح مؤنث والعاصف مذکر والمجاورة لا تغیّر التّانیث والتذکیر إذ الصفتیّة المجاوریّة عارضة، علی أنّ المجاورة تقع فی العطف کثیرا لا فی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أنس الّذی رواه لو صحّ فیتخالف مع قوله الذی رواه الماسحین، علی أنّ قوله فی قبال قول الحجاج صریح فی المسح وأنّ الآیة تدلّ علیه، لا السنّة فتأویل کالمه وتفسیره بما قال الماوردی تفسیر وتأویل بما لا یرضی صاحبه ولا یریده ولذا قال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المسح، والناس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قراءة ابن عباس بالنّصب لا تدلّ علی الغسل کما مرّ،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فی الوضوء لا فی الوضوء والتیمم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حمل روایة ابن عباس عن علیّ علی غسل الرجلین، ونحن نحمله علی أنّه مسح رجلیه ثمّ ذلک رشّ علیهما الماء للنقاوة أو لتخفیف الحرارة، إلّاأنّ ابن عباس لم یر کلّ ذلک، وروی ما رآه</w:t>
      </w:r>
      <w:r>
        <w:rPr>
          <w:rFonts w:eastAsia="IRNazanin" w:cs="IRNazanin"/>
          <w:color w:val="111111"/>
          <w:sz w:val="28"/>
          <w:szCs w:val="28"/>
          <w:rtl w:val="true"/>
          <w:lang w:bidi="fa-IR"/>
        </w:rPr>
        <w:t xml:space="preserve">. </w:t>
      </w:r>
      <w:bookmarkStart w:id="502" w:name="pg6193_71201"/>
    </w:p>
    <w:p>
      <w:pPr>
        <w:pStyle w:val="Heading3"/>
        <w:numPr>
          <w:ilvl w:val="2"/>
          <w:numId w:val="1"/>
        </w:numPr>
        <w:rPr/>
      </w:pPr>
      <w:bookmarkStart w:id="503" w:name="__RefHeading___Toc972410_237004111"/>
      <w:bookmarkStart w:id="504" w:name="_Toc179"/>
      <w:bookmarkEnd w:id="502"/>
      <w:bookmarkEnd w:id="503"/>
      <w:r>
        <w:rPr/>
        <w:t>38</w:t>
      </w:r>
      <w:r>
        <w:rPr>
          <w:rtl w:val="true"/>
        </w:rPr>
        <w:t xml:space="preserve"> - </w:t>
      </w:r>
      <w:r>
        <w:rPr>
          <w:rtl w:val="true"/>
        </w:rPr>
        <w:t xml:space="preserve">القطب الراوندیّ </w:t>
      </w:r>
      <w:r>
        <w:rPr>
          <w:rtl w:val="true"/>
        </w:rPr>
        <w:t>(</w:t>
      </w:r>
      <w:r>
        <w:rPr>
          <w:rtl w:val="true"/>
        </w:rPr>
        <w:t xml:space="preserve">ت </w:t>
      </w:r>
      <w:r>
        <w:rPr/>
        <w:t>573</w:t>
      </w:r>
      <w:r>
        <w:rPr>
          <w:rtl w:val="true"/>
        </w:rPr>
        <w:t xml:space="preserve"> </w:t>
      </w:r>
      <w:r>
        <w:rPr>
          <w:rtl w:val="true"/>
        </w:rPr>
        <w:t xml:space="preserve">ه </w:t>
      </w:r>
      <w:r>
        <w:rPr>
          <w:rtl w:val="true"/>
        </w:rPr>
        <w:t>)</w:t>
      </w:r>
      <w:bookmarkEnd w:id="504"/>
    </w:p>
    <w:p>
      <w:pPr>
        <w:pStyle w:val="BookText"/>
        <w:rPr/>
      </w:pPr>
      <w:r>
        <w:rPr>
          <w:rFonts w:ascii="IRNazanin" w:hAnsi="IRNazanin" w:eastAsia="IRNazanin"/>
          <w:color w:val="111111"/>
          <w:sz w:val="28"/>
          <w:sz w:val="28"/>
          <w:szCs w:val="28"/>
          <w:rtl w:val="true"/>
          <w:lang w:bidi="fa-IR"/>
        </w:rPr>
        <w:t xml:space="preserve">جعل الراوندیّ جملة المسح الفعلیّة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برؤوسکم وأرجلکم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معطوفة علی جملة الغسل الفعلیّة، وجعل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الواو العاطفة سواء کان عطفاً علی اللفظ أو علی المحلّ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مفعولاً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بالباء، والقراءتان تفیدان المسح لا غیر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جعل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أصلیّة غیر زائدة،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التبعیض، وهو یدلّ علی المسح ببعض الرأس، 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من آل محمّد علیه وعلیهم السلام ودخول الباء التبعیضیّة، لأنّ دخولها فی الإثبات فی الموضع الذی یتعدّی الفعل فیه بنفسه لا وجه له غیر التبعیض وإلّا لکان لغواً، وحملها علی الزیادة لا یجوز مع إمکانها علی فائدة مجدّدة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الراوندیّ الناتئان فی وسط القدم، ونقله عن محمّد بن الحسن الشیبانیّ صاحب أبی حنیفة، وقال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عظما الساقین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أراد ما قالوا،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الکعاب، لأنّ فی الرجلین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مذهبکم لیس فی کلّ رجل إلّاکعب </w:t>
      </w:r>
    </w:p>
    <w:p>
      <w:pPr>
        <w:pStyle w:val="BookText"/>
        <w:rPr/>
      </w:pPr>
      <w:r>
        <w:rPr>
          <w:rFonts w:ascii="IRNazanin" w:hAnsi="IRNazanin" w:eastAsia="IRNazanin"/>
          <w:color w:val="111111"/>
          <w:sz w:val="28"/>
          <w:sz w:val="28"/>
          <w:szCs w:val="28"/>
          <w:rtl w:val="true"/>
          <w:lang w:bidi="fa-IR"/>
        </w:rPr>
        <w:t>واحد؟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رجلَی کلّ متطهّر، وفی الرجلین کعبان، ولو بنی الکلام علی ظاهره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الکعاب، والعدول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المراد بها رجلا کلّ متطهّر أولی من حملها علی کلّ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نظیر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 وعَمْراً وأکرم بکراً وخالداً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یرید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المضروبین، لأنّ ذلک خروج عن فصاحة الکلام ودخول فی معنی اللغز، فإنْ أکرمَ المأمورُ خالداً، فقد امتثل أمره وکان معذوراً عند العقلاء، وإن ضربه کان ملوماً عندهم، وهذا ممّا لا محیص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متی حصل فیه عاملان قریب وبعید، لا یجوز إعمال البعید دون القریب مع صحّة حمله علیه، وبمثله ورد القرآن وفصیح الشعر،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ظَنُّوا کَما ظَنَنْتُمْ أَنْ لَنْ یَبْعَثَ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أعمل الأوّل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ظننتموه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أعمل الأوّل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أعمل الأوّل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هاؤوم اقرؤوه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وإلیه ذهب البصریّون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الکوفیّین بإعمال الأوّل لا یجری فیما نحن بصدده، ولا یکون من </w:t>
      </w:r>
    </w:p>
    <w:p>
      <w:pPr>
        <w:pStyle w:val="BookText"/>
        <w:rPr/>
      </w:pPr>
      <w:r>
        <w:rPr>
          <w:rFonts w:ascii="IRNazanin" w:hAnsi="IRNazanin" w:eastAsia="IRNazanin"/>
          <w:color w:val="111111"/>
          <w:sz w:val="28"/>
          <w:sz w:val="28"/>
          <w:szCs w:val="28"/>
          <w:rtl w:val="true"/>
          <w:lang w:bidi="fa-IR"/>
        </w:rPr>
        <w:t>هذا القبیل قول امرئ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أنّما أسعی لأدنی معیشة کفانی ولم أطلب قلیل من المال</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إذ لم یوجّه فیه الفعل الثانی إلی ما وجّه إلیه الأوّل، وإنّما أعمل الأوّل لأنّه لم یجعل القلیل مطلوباً، وإنّما کان المطلوب عنده الملک، وجعل القلیل کافیاً، ولو لم یرد هذا ونصب لفسد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یعمل الأقرب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سیبویه قول طفیل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جری فَوْقَها فاستشْعرَت لَوْنَ مُذْهَبِ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قضی کلّ ذی دینٍ فوفّی غریمه وعزّة ممطول مُعَنّیً غَریمها</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ولو أعمل الأوّل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فوفّاه غریمه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ممطول مُعَنّی غریمها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وکلّ واحد منهما فعل للغریم، فلا یجوز رفعه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جری خبراً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لغیرها، فیجب إبراز ضمیره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الراوندیّ وقراءة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القرآءة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الفعل من غیر العطف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 سیفاً ورمحاً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إنّما یصار إلیه إذا استحال حمله علی ما فی اللفظ، وإذا جاز حمله علی ما فی اللفظ فلا یجوز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وکلامهم فی توجیه هذه الأقوال النادرة الصادرة عن غیر الفصیح، والأشعار السائرة الخارجة عن حالة الاختیار لا یجری فی کتاب اللّه أبداً، لأنّ المذکورات لو قلنا بصحّتها لم نستطع علی أن نحملها علی فصیح الکلام، وإنّما هذه التأویلات لإخراجها من حیّز الخطأ إلی حیّز الصواب، فهی تأویلات لتوجیه الضرورة، والقرآن بعید عنها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قراءة النصب عطفاً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القرآءة بهذا التخریج ممّا أجمع أهل العربیّة عن بکرة أبیهم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بقائم ولا قاعداً ولا قاعدٍ، وإنّ زیداً فی الدار 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الموضع کما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معطوف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علی غسل الرجلین بالتحدید أیضاً باطل؛ لأنّ التحدید لا یکون علّة للغسل فی الیدین، بل العلّة العطف علی المغسول وهو الوجه غیر المحدّد</w:t>
      </w:r>
      <w:r>
        <w:rPr>
          <w:rFonts w:eastAsia="IRNazanin" w:cs="IRNazanin"/>
          <w:color w:val="111111"/>
          <w:sz w:val="28"/>
          <w:szCs w:val="28"/>
          <w:rtl w:val="true"/>
          <w:lang w:bidi="fa-IR"/>
        </w:rPr>
        <w:t xml:space="preserve">. </w:t>
      </w:r>
      <w:bookmarkStart w:id="505" w:name="pg6193_71209"/>
    </w:p>
    <w:p>
      <w:pPr>
        <w:pStyle w:val="BookText"/>
        <w:rPr/>
      </w:pPr>
      <w:bookmarkEnd w:id="505"/>
      <w:r>
        <w:rPr>
          <w:rFonts w:ascii="IRNazanin" w:hAnsi="IRNazanin" w:eastAsia="IRNazanin"/>
          <w:color w:val="111111"/>
          <w:sz w:val="28"/>
          <w:sz w:val="28"/>
          <w:szCs w:val="28"/>
          <w:rtl w:val="true"/>
          <w:lang w:bidi="fa-IR"/>
        </w:rPr>
        <w:t>وکذلک إذا عطف الرجلان علی ممسوح وهو الرأس، وجب أن یکونا ممسوحتین، والفصاحة فیما قال اللّه تعالی فی الجملتین ذکر معطوفاً ومعطوفاً علیه، أحدهما محدود والآخر غیر محدود فیهما</w:t>
      </w:r>
      <w:r>
        <w:rPr>
          <w:rFonts w:eastAsia="IRNazanin" w:cs="IRNazanin"/>
          <w:color w:val="111111"/>
          <w:sz w:val="28"/>
          <w:szCs w:val="28"/>
          <w:rtl w:val="true"/>
          <w:lang w:bidi="fa-IR"/>
        </w:rPr>
        <w:t>.</w:t>
      </w:r>
    </w:p>
    <w:p>
      <w:pPr>
        <w:pStyle w:val="Heading3"/>
        <w:numPr>
          <w:ilvl w:val="2"/>
          <w:numId w:val="1"/>
        </w:numPr>
        <w:rPr/>
      </w:pPr>
      <w:bookmarkStart w:id="506" w:name="__RefHeading___Toc972412_237004111"/>
      <w:bookmarkStart w:id="507" w:name="_Toc180"/>
      <w:bookmarkEnd w:id="506"/>
      <w:r>
        <w:rPr/>
        <w:t>39</w:t>
      </w:r>
      <w:r>
        <w:rPr>
          <w:rtl w:val="true"/>
        </w:rPr>
        <w:t xml:space="preserve"> - </w:t>
      </w:r>
      <w:r>
        <w:rPr>
          <w:rtl w:val="true"/>
        </w:rPr>
        <w:t xml:space="preserve">ابن زهرة الحلبیّ </w:t>
      </w:r>
      <w:r>
        <w:rPr>
          <w:rtl w:val="true"/>
        </w:rPr>
        <w:t>(</w:t>
      </w:r>
      <w:r>
        <w:rPr>
          <w:rtl w:val="true"/>
        </w:rPr>
        <w:t xml:space="preserve">ت </w:t>
      </w:r>
      <w:r>
        <w:rPr/>
        <w:t>585</w:t>
      </w:r>
      <w:r>
        <w:rPr>
          <w:rtl w:val="true"/>
        </w:rPr>
        <w:t xml:space="preserve"> </w:t>
      </w:r>
      <w:r>
        <w:rPr>
          <w:rtl w:val="true"/>
        </w:rPr>
        <w:t xml:space="preserve">ه </w:t>
      </w:r>
      <w:r>
        <w:rPr>
          <w:rtl w:val="true"/>
        </w:rPr>
        <w:t>)</w:t>
      </w:r>
      <w:bookmarkEnd w:id="507"/>
    </w:p>
    <w:p>
      <w:pPr>
        <w:pStyle w:val="BookText"/>
        <w:rPr/>
      </w:pPr>
      <w:r>
        <w:rPr>
          <w:rFonts w:ascii="IRNazanin" w:hAnsi="IRNazanin" w:eastAsia="IRNazanin"/>
          <w:color w:val="111111"/>
          <w:sz w:val="28"/>
          <w:sz w:val="28"/>
          <w:szCs w:val="28"/>
          <w:rtl w:val="true"/>
          <w:lang w:bidi="fa-IR"/>
        </w:rPr>
        <w:t xml:space="preserve">حکم ابن زهرة الحلبی بمقتضی العطف المسح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وحکم بمقتضی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یفرّق بین القراءتین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قُرئت مجرورة أو منصوبة تفید المسح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الغسل، لأنّ العطف علی اللفظ یقتضی الجرّ، والعطف علی المحلّ یقتضی النصب، والحکم فی کلا النوعین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والنصب فی الأرجل بالعطف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قول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فلسنا بالجبال ولا الحدیدا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عطفها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فرض صحّة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لاتفاق أهل العربیّة علی أنّ إعمال أقرب العاملین أولی من إعمال الأبعد، ولهذا شواهد کثیرة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508" w:name="pg6193_71211"/>
    </w:p>
    <w:p>
      <w:pPr>
        <w:pStyle w:val="BookText"/>
        <w:rPr/>
      </w:pPr>
      <w:bookmarkEnd w:id="50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أَنَّهُمْ ظَنُّوا کَما ظَنَنْتُمْ أَنْ لَنْ یَبْعَثَ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العوامل فی المنصوب فی ذلک کلّه أقرب الفعلین إلیه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72414_237004111"/>
      <w:bookmarkStart w:id="510" w:name="_Toc181"/>
      <w:bookmarkEnd w:id="509"/>
      <w:r>
        <w:rPr/>
        <w:t>40</w:t>
      </w:r>
      <w:r>
        <w:rPr>
          <w:rtl w:val="true"/>
        </w:rPr>
        <w:t xml:space="preserve"> - </w:t>
      </w:r>
      <w:r>
        <w:rPr>
          <w:rtl w:val="true"/>
        </w:rPr>
        <w:t xml:space="preserve">ابن الجوزی صاحب زاد المسیر </w:t>
      </w:r>
      <w:r>
        <w:rPr>
          <w:rtl w:val="true"/>
        </w:rPr>
        <w:t>(</w:t>
      </w:r>
      <w:r>
        <w:rPr>
          <w:rtl w:val="true"/>
        </w:rPr>
        <w:t xml:space="preserve">ت </w:t>
      </w:r>
      <w:r>
        <w:rPr/>
        <w:t>597</w:t>
      </w:r>
      <w:r>
        <w:rPr>
          <w:rtl w:val="true"/>
        </w:rPr>
        <w:t xml:space="preserve"> </w:t>
      </w:r>
      <w:r>
        <w:rPr>
          <w:rtl w:val="true"/>
        </w:rPr>
        <w:t xml:space="preserve">ه </w:t>
      </w:r>
      <w:r>
        <w:rPr>
          <w:rtl w:val="true"/>
        </w:rPr>
        <w:t>)</w:t>
      </w:r>
      <w:bookmarkEnd w:id="510"/>
    </w:p>
    <w:p>
      <w:pPr>
        <w:pStyle w:val="BookText"/>
        <w:rPr/>
      </w:pPr>
      <w:r>
        <w:rPr>
          <w:rFonts w:ascii="IRNazanin" w:hAnsi="IRNazanin" w:eastAsia="IRNazanin"/>
          <w:color w:val="111111"/>
          <w:sz w:val="28"/>
          <w:sz w:val="28"/>
          <w:szCs w:val="28"/>
          <w:rtl w:val="true"/>
          <w:lang w:bidi="fa-IR"/>
        </w:rPr>
        <w:t xml:space="preserve">ذهب ابن الجوزی إلی أن قراءة النصب هو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الآیة الغسل، ورویت هذه القراءة عن نافع وابن عامر والکسائیّ وحفص عن عاصم ویعقوب</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الآیة علی القلب فی الکلام، وسمّاه المقدّم والمؤخّر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نقدنا القول بالقلب فیما سبق مفصّلاً، لأنّه یحتاج إلی داعٍ لفظیّ أو معنویّ</w:t>
      </w:r>
      <w:r>
        <w:rPr>
          <w:rStyle w:val="FootnoteAnchor"/>
          <w:rtl w:val="true"/>
        </w:rPr>
        <w:footnoteReference w:id="747"/>
      </w:r>
      <w:r>
        <w:rPr>
          <w:rFonts w:ascii="IRNazanin" w:hAnsi="IRNazanin" w:eastAsia="IRNazanin"/>
          <w:color w:val="111111"/>
          <w:sz w:val="28"/>
          <w:sz w:val="28"/>
          <w:szCs w:val="28"/>
          <w:rtl w:val="true"/>
          <w:lang w:bidi="fa-IR"/>
        </w:rPr>
        <w:t>، وهو النکتة فی القلب لکنّه مفقود، فلا یمکن القول به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وادّعی أنّ التحدید لم یرد فی الممسوح فهذه قرینة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بالقلب والغسل</w:t>
      </w:r>
      <w:r>
        <w:rPr>
          <w:rFonts w:eastAsia="IRNazanin" w:cs="IRNazanin"/>
          <w:color w:val="111111"/>
          <w:sz w:val="28"/>
          <w:szCs w:val="28"/>
          <w:rtl w:val="true"/>
          <w:lang w:bidi="fa-IR"/>
        </w:rPr>
        <w:t>.</w:t>
      </w:r>
    </w:p>
    <w:p>
      <w:pPr>
        <w:pStyle w:val="Heading3"/>
        <w:numPr>
          <w:ilvl w:val="2"/>
          <w:numId w:val="1"/>
        </w:numPr>
        <w:rPr/>
      </w:pPr>
      <w:bookmarkStart w:id="511" w:name="__RefHeading___Toc972416_237004111"/>
      <w:bookmarkStart w:id="512" w:name="_Toc182"/>
      <w:bookmarkEnd w:id="511"/>
      <w:r>
        <w:rPr/>
        <w:t>41</w:t>
      </w:r>
      <w:r>
        <w:rPr>
          <w:rtl w:val="true"/>
        </w:rPr>
        <w:t xml:space="preserve"> - </w:t>
      </w:r>
      <w:r>
        <w:rPr>
          <w:rtl w:val="true"/>
        </w:rPr>
        <w:t xml:space="preserve">الفخر الرازیّ </w:t>
      </w:r>
      <w:r>
        <w:rPr>
          <w:rtl w:val="true"/>
        </w:rPr>
        <w:t>(</w:t>
      </w:r>
      <w:r>
        <w:rPr>
          <w:rtl w:val="true"/>
        </w:rPr>
        <w:t xml:space="preserve">ت </w:t>
      </w:r>
      <w:r>
        <w:rPr/>
        <w:t>606</w:t>
      </w:r>
      <w:r>
        <w:rPr>
          <w:rtl w:val="true"/>
        </w:rPr>
        <w:t xml:space="preserve"> </w:t>
      </w:r>
      <w:r>
        <w:rPr>
          <w:rtl w:val="true"/>
        </w:rPr>
        <w:t xml:space="preserve">ه </w:t>
      </w:r>
      <w:r>
        <w:rPr>
          <w:rtl w:val="true"/>
        </w:rPr>
        <w:t>)</w:t>
      </w:r>
      <w:bookmarkEnd w:id="512"/>
    </w:p>
    <w:p>
      <w:pPr>
        <w:pStyle w:val="BookText"/>
        <w:rPr/>
      </w:pPr>
      <w:r>
        <w:rPr>
          <w:rFonts w:ascii="IRNazanin" w:hAnsi="IRNazanin" w:eastAsia="IRNazanin"/>
          <w:color w:val="111111"/>
          <w:sz w:val="28"/>
          <w:sz w:val="28"/>
          <w:szCs w:val="28"/>
          <w:rtl w:val="true"/>
          <w:lang w:bidi="fa-IR"/>
        </w:rPr>
        <w:t>استدلال الرازیّ بإیجاب الغسل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لا یمکن الجواب عن هذا إلّامن وجهین</w:t>
      </w:r>
      <w:r>
        <w:rPr>
          <w:rFonts w:eastAsia="IRNazanin" w:cs="IRNazanin"/>
          <w:color w:val="111111"/>
          <w:sz w:val="28"/>
          <w:szCs w:val="28"/>
          <w:rtl w:val="true"/>
          <w:lang w:bidi="fa-IR"/>
        </w:rPr>
        <w:t xml:space="preserve">: </w:t>
      </w:r>
      <w:bookmarkStart w:id="513" w:name="pg6193_71213"/>
    </w:p>
    <w:p>
      <w:pPr>
        <w:pStyle w:val="BookText"/>
        <w:rPr/>
      </w:pPr>
      <w:bookmarkEnd w:id="513"/>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الکثیرة وردت بإیجاب الغسل، والغسل مشتمل علی المسح ولا عکس، فکان الغسل أقرب إلی الاحتیاط، فوجب المصیر إلیه، وعلی هذا الوجه یجب القطع بأنّ غسل الرجل یقوم مقام 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الرجلین محدود إلی الکعبین، والتحدید إنّما جاء فی الغسل لا فی المسح</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أخبار الغسل فقد عرفت حالها فی الأجزاء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الغسل مشتمل علی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مغالطة واضحة، لأَنَّهُما حقیقتان مختلفتان لغةً وعرفاً وشرعاً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الغسل مأخوذ فی مفهومه سیلان الماء علی المغسول ولو کان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والمسح مأخوذ فی‌مفهومه عدم‌السیلان والاکتفاء بامرار الید علی الممسوح فالواجب إذن هو القطع بأنّ الغسل لا یقوم مقام المسح، لکنّ الرازی وقف بین محذورین،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الآیة المحکمة أو مخالفة الأخبار الصحیحة فی نظره، فغالط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مشتمل علی المسح، وأنّه أقرب إلی الاحتیاط، وأنّه یقوم مقام المسح، ظنّاً منه بأنّه قد جمع بهذا الکلام بین الآیة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والتحدید الذی ذکره واستدلّ به قد مرّ الکلام عنه سابقاً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972418_237004111"/>
      <w:bookmarkStart w:id="515" w:name="_Toc183"/>
      <w:bookmarkEnd w:id="514"/>
      <w:r>
        <w:rPr/>
        <w:t>42</w:t>
      </w:r>
      <w:r>
        <w:rPr>
          <w:rtl w:val="true"/>
        </w:rPr>
        <w:t xml:space="preserve"> - </w:t>
      </w:r>
      <w:r>
        <w:rPr>
          <w:rtl w:val="true"/>
        </w:rPr>
        <w:t xml:space="preserve">أبو البقاء البغدادیّ </w:t>
      </w:r>
      <w:r>
        <w:rPr>
          <w:rtl w:val="true"/>
        </w:rPr>
        <w:t>(</w:t>
      </w:r>
      <w:r>
        <w:rPr>
          <w:rtl w:val="true"/>
        </w:rPr>
        <w:t xml:space="preserve">ت </w:t>
      </w:r>
      <w:r>
        <w:rPr/>
        <w:t>616</w:t>
      </w:r>
      <w:r>
        <w:rPr>
          <w:rtl w:val="true"/>
        </w:rPr>
        <w:t xml:space="preserve"> </w:t>
      </w:r>
      <w:r>
        <w:rPr>
          <w:rtl w:val="true"/>
        </w:rPr>
        <w:t xml:space="preserve">ه </w:t>
      </w:r>
      <w:r>
        <w:rPr>
          <w:rtl w:val="true"/>
        </w:rPr>
        <w:t>)</w:t>
      </w:r>
      <w:bookmarkEnd w:id="515"/>
    </w:p>
    <w:p>
      <w:pPr>
        <w:pStyle w:val="BookText"/>
        <w:rPr/>
      </w:pPr>
      <w:r>
        <w:rPr>
          <w:rFonts w:ascii="IRNazanin" w:hAnsi="IRNazanin" w:eastAsia="IRNazanin"/>
          <w:color w:val="111111"/>
          <w:sz w:val="28"/>
          <w:sz w:val="28"/>
          <w:szCs w:val="28"/>
          <w:rtl w:val="true"/>
          <w:lang w:bidi="fa-IR"/>
        </w:rPr>
        <w:t>ذکر أبو البقاء البغدادی فی قراءة النصب وجهین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مدعیاً أنّ ذلک جائز فی العربیّة بلا </w:t>
      </w:r>
      <w:bookmarkStart w:id="516" w:name="pg6193_71215"/>
    </w:p>
    <w:p>
      <w:pPr>
        <w:pStyle w:val="BookText"/>
        <w:rPr/>
      </w:pPr>
      <w:bookmarkEnd w:id="516"/>
      <w:r>
        <w:rPr>
          <w:rFonts w:ascii="IRNazanin" w:hAnsi="IRNazanin" w:eastAsia="IRNazanin"/>
          <w:color w:val="111111"/>
          <w:sz w:val="28"/>
          <w:sz w:val="28"/>
          <w:szCs w:val="28"/>
          <w:rtl w:val="true"/>
          <w:lang w:bidi="fa-IR"/>
        </w:rPr>
        <w:t>الاف، ثم قوی کلامه بالسنّة الدالّة علی الغسل حسب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 أهل العربیّة لا یجیزون الفصل بین المتعاطفتین بمفرد، فضلاً عن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غیر واحد من النحویّین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علی موضع الرؤوس، ثمّ ضعّف هذا الکلامَ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أقوی، لأنّ العطف علی اللفظ أقوی من العطف علی الموضع</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کما یقوله فَقِراءةُ الجرّ أفضل من قراة النصب، وإذا قرئ بالنصب فالعطف علی الموضع لا غیر، إذ العطف علی الوجوه غلط ومشتمل علی مخالفة القاعدة النحویة، وهو عدم جواز الفصل بین المتعاطفین بمفرد فضلاً عن الجملة، إذ هو من أسباب الإخلال بالفصاحة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البقاء یسعی لتأیید مذهبه، وإن کان فیه ما یَمسُّ کرامَةَ الکتاب العزیز، وإن کان العطف علی اللفظ أقوی من العطف علی الموضع، فهو إنّما یصحّ إذا کان العطف علی اللفظ ممکناً وهو هنا محال، لأنّه یوجب اشتماله علی مخالفة القیاس الذی هو من أسباب الإخلال بالبلاغة، والقرآن أبلغ کلام وأفصحه، فنحن نخیّرهُ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مذهب والقول باشتمال القرآن علی غیر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مذهب والقول بخلوّ القرآن عن غیر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فإیهما یختار؟</w:t>
      </w:r>
      <w:r>
        <w:rPr>
          <w:rFonts w:eastAsia="IRNazanin" w:cs="IRNazanin"/>
          <w:color w:val="111111"/>
          <w:sz w:val="28"/>
          <w:szCs w:val="28"/>
          <w:rtl w:val="true"/>
          <w:lang w:bidi="fa-IR"/>
        </w:rPr>
        <w:t>!</w:t>
      </w:r>
    </w:p>
    <w:p>
      <w:pPr>
        <w:pStyle w:val="Heading3"/>
        <w:numPr>
          <w:ilvl w:val="2"/>
          <w:numId w:val="1"/>
        </w:numPr>
        <w:rPr/>
      </w:pPr>
      <w:bookmarkStart w:id="517" w:name="__RefHeading___Toc972420_237004111"/>
      <w:bookmarkStart w:id="518" w:name="_Toc184"/>
      <w:bookmarkEnd w:id="517"/>
      <w:r>
        <w:rPr/>
        <w:t>43</w:t>
      </w:r>
      <w:r>
        <w:rPr>
          <w:rtl w:val="true"/>
        </w:rPr>
        <w:t xml:space="preserve"> - </w:t>
      </w:r>
      <w:r>
        <w:rPr>
          <w:rtl w:val="true"/>
        </w:rPr>
        <w:t xml:space="preserve">السمعانیّ </w:t>
      </w:r>
      <w:r>
        <w:rPr>
          <w:rtl w:val="true"/>
        </w:rPr>
        <w:t>(</w:t>
      </w:r>
      <w:r>
        <w:rPr>
          <w:rtl w:val="true"/>
        </w:rPr>
        <w:t xml:space="preserve">ت </w:t>
      </w:r>
      <w:r>
        <w:rPr/>
        <w:t>617</w:t>
      </w:r>
      <w:r>
        <w:rPr>
          <w:rtl w:val="true"/>
        </w:rPr>
        <w:t xml:space="preserve"> </w:t>
      </w:r>
      <w:r>
        <w:rPr>
          <w:rtl w:val="true"/>
        </w:rPr>
        <w:t xml:space="preserve">ه </w:t>
      </w:r>
      <w:r>
        <w:rPr>
          <w:rtl w:val="true"/>
        </w:rPr>
        <w:t>)</w:t>
      </w:r>
      <w:bookmarkEnd w:id="51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السمعانی الآیة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وَاستفاده منها الغسل، </w:t>
      </w:r>
      <w:bookmarkStart w:id="519" w:name="pg6193_71217"/>
    </w:p>
    <w:p>
      <w:pPr>
        <w:pStyle w:val="BookText"/>
        <w:rPr/>
      </w:pPr>
      <w:bookmarkEnd w:id="519"/>
      <w:r>
        <w:rPr>
          <w:rFonts w:ascii="IRNazanin" w:hAnsi="IRNazanin" w:eastAsia="IRNazanin"/>
          <w:color w:val="111111"/>
          <w:sz w:val="28"/>
          <w:sz w:val="28"/>
          <w:szCs w:val="28"/>
          <w:rtl w:val="true"/>
          <w:lang w:bidi="fa-IR"/>
        </w:rPr>
        <w:t xml:space="preserve">واستدلّ علی الغسل بقول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صلاة أحدکم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رجلیه</w:t>
      </w:r>
      <w:r>
        <w:rPr>
          <w:rStyle w:val="FootnoteAnchor"/>
          <w:rtl w:val="true"/>
        </w:rPr>
        <w:footnoteReference w:id="752"/>
      </w:r>
      <w:r>
        <w:rPr>
          <w:rFonts w:ascii="Amiri" w:hAnsi="Amiri" w:eastAsia="Amiri" w:cs="Amiri"/>
          <w:color w:val="111111"/>
          <w:sz w:val="28"/>
          <w:sz w:val="28"/>
          <w:szCs w:val="28"/>
          <w:rtl w:val="true"/>
          <w:lang w:bidi="ar-SA"/>
        </w:rPr>
        <w:t>وقد تقدّم ردّ مزاعِمهم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972422_237004111"/>
      <w:bookmarkStart w:id="521" w:name="_Toc185"/>
      <w:bookmarkEnd w:id="520"/>
      <w:r>
        <w:rPr/>
        <w:t>44</w:t>
      </w:r>
      <w:r>
        <w:rPr>
          <w:rtl w:val="true"/>
        </w:rPr>
        <w:t xml:space="preserve"> - </w:t>
      </w:r>
      <w:r>
        <w:rPr>
          <w:rtl w:val="true"/>
        </w:rPr>
        <w:t xml:space="preserve">أبو شامة </w:t>
      </w:r>
      <w:r>
        <w:rPr>
          <w:rtl w:val="true"/>
        </w:rPr>
        <w:t>(</w:t>
      </w:r>
      <w:r>
        <w:rPr>
          <w:rtl w:val="true"/>
        </w:rPr>
        <w:t xml:space="preserve">ت </w:t>
      </w:r>
      <w:r>
        <w:rPr/>
        <w:t>665</w:t>
      </w:r>
      <w:r>
        <w:rPr>
          <w:rtl w:val="true"/>
        </w:rPr>
        <w:t xml:space="preserve"> </w:t>
      </w:r>
      <w:r>
        <w:rPr>
          <w:rtl w:val="true"/>
        </w:rPr>
        <w:t xml:space="preserve">ه </w:t>
      </w:r>
      <w:r>
        <w:rPr>
          <w:rtl w:val="true"/>
        </w:rPr>
        <w:t>)</w:t>
      </w:r>
      <w:bookmarkEnd w:id="521"/>
    </w:p>
    <w:p>
      <w:pPr>
        <w:pStyle w:val="BookText"/>
        <w:rPr/>
      </w:pPr>
      <w:r>
        <w:rPr>
          <w:rFonts w:ascii="IRNazanin" w:hAnsi="IRNazanin" w:eastAsia="IRNazanin"/>
          <w:color w:val="111111"/>
          <w:sz w:val="28"/>
          <w:sz w:val="28"/>
          <w:szCs w:val="28"/>
          <w:rtl w:val="true"/>
          <w:lang w:bidi="fa-IR"/>
        </w:rPr>
        <w:t xml:space="preserve">جعل أبو شامة النصب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کأنّه لا یجوز النصب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 له بما سمّوه دلالة السنّة،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دلّت علی الغسل فالآیة تُحْمَلُ علیه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تنبّه للمانع من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الفصل بین المتعاطفین بالجملة 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فصل بین المعطوف والمعطوف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الترتیب المشروع سواء قیل بوجوبه أو استحبابه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لا یجوز والواو لا تَدُلَّ علی الترتیب بل هی لمطلق الجمع، ولو أراد الترتیب لأتی مکان الواو بالفاء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تدلّان علی الترتیب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الفصل بین المتعاطفین لو کان جائزاً مع العلّة التی ذکرها أبو شامة لکان ذلک مخالفةً للقیاس النحویّ، والقول باشتمال القرآن علیها قول باشتماله علی أسباب الإخلال بالفصاحة، وهذا ما لا یقول به أبو شامة، ولکنّه وقع فیه من حیث لا یدری</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522" w:name="pg6193_71219"/>
    </w:p>
    <w:p>
      <w:pPr>
        <w:pStyle w:val="BookText"/>
        <w:rPr/>
      </w:pPr>
      <w:bookmarkEnd w:id="522"/>
      <w:r>
        <w:rPr>
          <w:rFonts w:ascii="IRNazanin" w:hAnsi="IRNazanin" w:eastAsia="IRNazanin"/>
          <w:color w:val="111111"/>
          <w:sz w:val="28"/>
          <w:sz w:val="28"/>
          <w:szCs w:val="28"/>
          <w:rtl w:val="true"/>
          <w:lang w:bidi="fa-IR"/>
        </w:rPr>
        <w:t>أبو شامة وموقفه من التحدید</w:t>
      </w:r>
    </w:p>
    <w:p>
      <w:pPr>
        <w:pStyle w:val="BookText"/>
        <w:rPr/>
      </w:pPr>
      <w:r>
        <w:rPr>
          <w:rFonts w:ascii="IRNazanin" w:hAnsi="IRNazanin" w:eastAsia="IRNazanin"/>
          <w:color w:val="111111"/>
          <w:sz w:val="28"/>
          <w:sz w:val="28"/>
          <w:szCs w:val="28"/>
          <w:rtl w:val="true"/>
          <w:lang w:bidi="fa-IR"/>
        </w:rPr>
        <w:t xml:space="preserve">لم یقنع الاستدلال أبا شامة فأنکر دلالة التحدید علی الغسل، والحقّ ینطق منصفاً وعنیداً، فقال عند الکلام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یفید المسح، إلّاأنّه یحمل علی المسح علی الخفّین ولم یستدلّ بالتحدید علی الغسل معلّلاً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التحدید لا دلالة فیه علی غسل ولا مسح وإنّما یذکر عند الحاجة إلیه، فلمّا کانت الید والرجل لو لم یذکر التحدید فیهما لاقتصر علی ما یجب قطعه فی السرقة، أو لوجب استیعابهما غسلاً ومسحاً إلی الإبط والفخذ، أنی بالتحدید فیهما، ولمّا لم یحتج إلی التحدید لم یذکره، لا مع الغسل ولا مع المسح کما فی الوجه والرأس</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972424_237004111"/>
      <w:bookmarkStart w:id="524" w:name="_Toc186"/>
      <w:bookmarkEnd w:id="523"/>
      <w:r>
        <w:rPr/>
        <w:t>45</w:t>
      </w:r>
      <w:r>
        <w:rPr>
          <w:rtl w:val="true"/>
        </w:rPr>
        <w:t xml:space="preserve"> - </w:t>
      </w:r>
      <w:r>
        <w:rPr>
          <w:rtl w:val="true"/>
        </w:rPr>
        <w:t xml:space="preserve">ابن عصفور الإشبیلّی </w:t>
      </w:r>
      <w:r>
        <w:rPr>
          <w:rtl w:val="true"/>
        </w:rPr>
        <w:t>(</w:t>
      </w:r>
      <w:r>
        <w:rPr>
          <w:rtl w:val="true"/>
        </w:rPr>
        <w:t xml:space="preserve">ت </w:t>
      </w:r>
      <w:r>
        <w:rPr/>
        <w:t>669</w:t>
      </w:r>
      <w:r>
        <w:rPr>
          <w:rtl w:val="true"/>
        </w:rPr>
        <w:t xml:space="preserve"> </w:t>
      </w:r>
      <w:r>
        <w:rPr>
          <w:rtl w:val="true"/>
        </w:rPr>
        <w:t xml:space="preserve">ه </w:t>
      </w:r>
      <w:r>
        <w:rPr>
          <w:rtl w:val="true"/>
        </w:rPr>
        <w:t>)</w:t>
      </w:r>
      <w:bookmarkEnd w:id="524"/>
    </w:p>
    <w:p>
      <w:pPr>
        <w:pStyle w:val="BookText"/>
        <w:rPr/>
      </w:pPr>
      <w:r>
        <w:rPr>
          <w:rFonts w:ascii="Amiri" w:hAnsi="Amiri" w:eastAsia="Amiri" w:cs="Amiri"/>
          <w:color w:val="111111"/>
          <w:sz w:val="28"/>
          <w:sz w:val="28"/>
          <w:szCs w:val="28"/>
          <w:rtl w:val="true"/>
          <w:lang w:bidi="ar-SA"/>
        </w:rPr>
        <w:t>قال الإشبیلّی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الفصل بین المعطوف والمعطوف علیه بما لیس بأجنبی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ما یکون ذلک بالجمل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 وَ امْسَحُوا بِرُؤُسِکُمْ وَ أَرْجُلَکُمْ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الأرجل عطفاً علی الوجوه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ملتبس بالکلام لأن المقصود بالجمع تعلیم الوضوء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ولأجل واو العطف أیضاً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امسحوا، ألا تری أنّها تربط ما بعدها بما قبلها؟ </w:t>
      </w:r>
      <w:bookmarkStart w:id="525" w:name="pg6193_71221"/>
    </w:p>
    <w:p>
      <w:pPr>
        <w:pStyle w:val="BookText"/>
        <w:rPr/>
      </w:pPr>
      <w:bookmarkEnd w:id="525"/>
      <w:r>
        <w:rPr>
          <w:rFonts w:ascii="IRNazanin" w:hAnsi="IRNazanin" w:eastAsia="IRNazanin"/>
          <w:color w:val="111111"/>
          <w:sz w:val="28"/>
          <w:sz w:val="28"/>
          <w:szCs w:val="28"/>
          <w:rtl w:val="true"/>
          <w:lang w:bidi="fa-IR"/>
        </w:rPr>
        <w:t xml:space="preserve">فتری أنّ الإشبیلی لا یجوز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علی الوجوه ولا علی الأیدی لاستلزامه الفصل بین المعطوف والمعطوف بالجملة ویحکم علی اقبحیّته</w:t>
      </w:r>
      <w:r>
        <w:rPr>
          <w:rFonts w:eastAsia="IRNazanin" w:cs="IRNazanin"/>
          <w:color w:val="111111"/>
          <w:sz w:val="28"/>
          <w:szCs w:val="28"/>
          <w:rtl w:val="true"/>
          <w:lang w:bidi="fa-IR"/>
        </w:rPr>
        <w:t>.</w:t>
      </w:r>
    </w:p>
    <w:p>
      <w:pPr>
        <w:pStyle w:val="Heading3"/>
        <w:numPr>
          <w:ilvl w:val="2"/>
          <w:numId w:val="1"/>
        </w:numPr>
        <w:rPr/>
      </w:pPr>
      <w:bookmarkStart w:id="526" w:name="__RefHeading___Toc972426_237004111"/>
      <w:bookmarkStart w:id="527" w:name="_Toc187"/>
      <w:bookmarkEnd w:id="526"/>
      <w:r>
        <w:rPr/>
        <w:t>46</w:t>
      </w:r>
      <w:r>
        <w:rPr>
          <w:rtl w:val="true"/>
        </w:rPr>
        <w:t xml:space="preserve"> - </w:t>
      </w:r>
      <w:r>
        <w:rPr>
          <w:rtl w:val="true"/>
        </w:rPr>
        <w:t xml:space="preserve">القرطبیّ </w:t>
      </w:r>
      <w:r>
        <w:rPr>
          <w:rtl w:val="true"/>
        </w:rPr>
        <w:t>(</w:t>
      </w:r>
      <w:r>
        <w:rPr>
          <w:rtl w:val="true"/>
        </w:rPr>
        <w:t xml:space="preserve">ت </w:t>
      </w:r>
      <w:r>
        <w:rPr/>
        <w:t>671</w:t>
      </w:r>
      <w:r>
        <w:rPr>
          <w:rtl w:val="true"/>
        </w:rPr>
        <w:t xml:space="preserve"> </w:t>
      </w:r>
      <w:r>
        <w:rPr>
          <w:rtl w:val="true"/>
        </w:rPr>
        <w:t xml:space="preserve">ه </w:t>
      </w:r>
      <w:r>
        <w:rPr>
          <w:rtl w:val="true"/>
        </w:rPr>
        <w:t>)</w:t>
      </w:r>
      <w:bookmarkEnd w:id="527"/>
    </w:p>
    <w:p>
      <w:pPr>
        <w:pStyle w:val="BookText"/>
        <w:rPr/>
      </w:pP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 نافع وابن عامر والکسائیّ،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القراءَةَ تجعل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وتفید أنّ فرض الرجلین الغسل دون المسح</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الحکم بفعل النبیّ، وأنّة کان یغسل رجلیه،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هدم البناءان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وبالتحدید الذی مرّ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الفصل بین المتعاطفین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صحّ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المسح فی الرأس إنّما دخل بین ما یغسل لبیان الترتیب علی أنّه مفعول قبل الرجلین</w:t>
      </w:r>
      <w:r>
        <w:rPr>
          <w:rStyle w:val="FootnoteAnchor"/>
          <w:rtl w:val="true"/>
        </w:rPr>
        <w:footnoteReference w:id="759"/>
      </w:r>
      <w:r>
        <w:rPr>
          <w:rFonts w:ascii="IRNazanin" w:hAnsi="IRNazanin" w:eastAsia="IRNazanin"/>
          <w:color w:val="111111"/>
          <w:sz w:val="28"/>
          <w:sz w:val="28"/>
          <w:szCs w:val="28"/>
          <w:rtl w:val="true"/>
          <w:lang w:bidi="fa-IR"/>
        </w:rPr>
        <w:t>، فالآیة من القلب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هذا التعلیل علیل غیر مقنع، لأنّ الکلام لیس ممتنعا أن یأتی بالفاء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الواو، ویفهم الترتیب بدلاً عن مخالفة القانون المستقرّ فی کلام العرب من عدم جواز الفصل بین المتعاطفین سواء کان الفاصل جملةً أو مفرداً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والقلب فی الکلام الذی قاله مردود؛ لأنّه لا یمکن له إحراز داعٍ لفظیّ أو معنویّ، فالقول بوقوعه فی الکلام من غیر نکتة یدلّ علی اللغو أو القصور</w:t>
      </w:r>
      <w:r>
        <w:rPr>
          <w:rFonts w:eastAsia="IRNazanin" w:cs="IRNazanin"/>
          <w:color w:val="111111"/>
          <w:sz w:val="28"/>
          <w:szCs w:val="28"/>
          <w:rtl w:val="true"/>
          <w:lang w:bidi="fa-IR"/>
        </w:rPr>
        <w:t xml:space="preserve">. </w:t>
      </w:r>
      <w:bookmarkStart w:id="528" w:name="pg6193_71222"/>
    </w:p>
    <w:p>
      <w:pPr>
        <w:pStyle w:val="Heading3"/>
        <w:numPr>
          <w:ilvl w:val="2"/>
          <w:numId w:val="1"/>
        </w:numPr>
        <w:rPr/>
      </w:pPr>
      <w:bookmarkStart w:id="529" w:name="__RefHeading___Toc972428_237004111"/>
      <w:bookmarkStart w:id="530" w:name="_Toc188"/>
      <w:bookmarkEnd w:id="528"/>
      <w:bookmarkEnd w:id="529"/>
      <w:r>
        <w:rPr/>
        <w:t>47</w:t>
      </w:r>
      <w:r>
        <w:rPr>
          <w:rtl w:val="true"/>
        </w:rPr>
        <w:t xml:space="preserve"> - </w:t>
      </w:r>
      <w:r>
        <w:rPr>
          <w:rtl w:val="true"/>
        </w:rPr>
        <w:t xml:space="preserve">المحقّق الحلّیّ </w:t>
      </w:r>
      <w:r>
        <w:rPr>
          <w:rtl w:val="true"/>
        </w:rPr>
        <w:t>(</w:t>
      </w:r>
      <w:r>
        <w:rPr>
          <w:rtl w:val="true"/>
        </w:rPr>
        <w:t xml:space="preserve">ت </w:t>
      </w:r>
      <w:r>
        <w:rPr/>
        <w:t>676</w:t>
      </w:r>
      <w:r>
        <w:rPr>
          <w:rtl w:val="true"/>
        </w:rPr>
        <w:t xml:space="preserve"> </w:t>
      </w:r>
      <w:r>
        <w:rPr>
          <w:rtl w:val="true"/>
        </w:rPr>
        <w:t xml:space="preserve">ه </w:t>
      </w:r>
      <w:r>
        <w:rPr>
          <w:rtl w:val="true"/>
        </w:rPr>
        <w:t>)</w:t>
      </w:r>
      <w:bookmarkEnd w:id="530"/>
    </w:p>
    <w:p>
      <w:pPr>
        <w:pStyle w:val="BookText"/>
        <w:rPr/>
      </w:pPr>
      <w:r>
        <w:rPr>
          <w:rFonts w:ascii="Amiri" w:hAnsi="Amiri" w:eastAsia="Amiri" w:cs="Amiri"/>
          <w:color w:val="111111"/>
          <w:sz w:val="28"/>
          <w:sz w:val="28"/>
          <w:szCs w:val="28"/>
          <w:rtl w:val="true"/>
          <w:lang w:bidi="ar-SA"/>
        </w:rPr>
        <w:t>قراءة النصب، وقراءة الجرُّ مفادُهُما واحد وهو المسح</w:t>
      </w:r>
      <w:r>
        <w:rPr>
          <w:rStyle w:val="FootnoteAnchor"/>
          <w:rtl w:val="true"/>
        </w:rPr>
        <w:footnoteReference w:id="760"/>
      </w:r>
      <w:r>
        <w:rPr>
          <w:rFonts w:ascii="IRNazanin" w:hAnsi="IRNazanin" w:eastAsia="IRNazanin"/>
          <w:color w:val="111111"/>
          <w:sz w:val="28"/>
          <w:sz w:val="28"/>
          <w:szCs w:val="28"/>
          <w:rtl w:val="true"/>
          <w:lang w:bidi="fa-IR"/>
        </w:rPr>
        <w:t>عند المحقق الحلّی مستدلاً بثلاثة 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عطف الیدین علی الوجه موجب لاشتراکهما فی الغسل فکذا عطف الرجلین علی الرأس یفید المسح عملاً بمقتضی العطف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بإفادة الآیة للمسح،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المراد الغسل لزم إمّا الإضمار أو الإبهام، وهما علی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فلأنّ العامل فی نصب الرجلین إمّا ظاهر وإمّا مقدّر، والثانی إضمار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لم یکن الإعمال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احتمال إعمال العاملین، إذ لیس الأبعد أولی من الأقرب وهو إبهام، فثبت أنّه یلزم من إرادة الغسل أحد الأمرین، وکلاهما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المعقول، وهو أنّ الوضوء فریضة عامّة، فلو تعیّن فیها الغسل لما خفی عن أعیان الصحابة، والمخالفة ثابتة کخلاف علیّ أمیرالمؤمنین وعبداللّه بن عبّاس وأنس بن مالک؛ فالتعیین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مقلوبة، إذ لو تعیّن فیه المسح لما خالف بعض الصحابة؟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 زعم أنّ الغسل أسبغ ویدخل فیه المسح، فاستعمله ندباً واستمرّ فاشتبه المقصود، ولهذا ذهب جماعة إلی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الحسن البصریّ وابن جریر الطبریّ والجبّائیّ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أهل السنّة، أو یکون النبیّ صلی الله علیه و آله غسل رجلیه تطهیراً من نجاسة عینیّة عقیب الوضوء فظنّ بعض الصحابة ذلک لرفع الحدث، وقوی ذلک فی ظنّه فاجتزأ به عن السؤال واستمرّت حاله فیه، ولیس کذلک المسح؛ لأنّه لا یحصل فیه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نسلّم تساوی الاحتمالین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علی الصحابة ما فعله النبیّ صلی الله علیه و آله حتّی اختلفوا فیه طائفتین، فلئن یستمرّ علی غیرهم أولی، فتکون دلالة الآیة حینئذٍ سلیمة عن معارضة فعل النبیّ صلی الله علیه و آله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واعترض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النصب یقتضی‌المسح عطفاً علی الموضع، وهو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لا یصار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حمله علی‌الموضع یحتمل حمله علی اللفظ، فلیس أحدهما أولی من الآخر فیعود فی حیّز المجمل، فلا یکون دالّاً علی موضع النزاع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علی الموضع أولی، لأنّ فیه إعمالاً للأقرب وهو أقیس،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أَنَّهُمْ ظَنُّوا کَما ظَنَنْتُمْ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کثیّر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قضی کلّ ذی دینٍ فوفّی غریمه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أعمل الثانی أعمل الأوّل کما فی قول امرئ القیس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کفانی ولم أطلب قلیل من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نسلّم أنّ إعمال الأخیر أولی، وإن اتفق علیه البصریّون، لبطلان اتفاق هؤلاء بشعر امرئ القیس، وهو من فحول الشعراء والمقبول عند الفصحاء، والمعدود منهم ومن الطراز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الإجمال والاحتمال، لأنّ قراءة الخفض لا تحتمل إلّا المسح، وقراءة النصب تحتمل الأمرین، فیکون المصیر إلی ما دلّ علیه الخفض أولی تحصیلاً لفائدتی القراءتین، ولأنّ فیه إعمالاً لأقرب المذکورین، وهو أولی باتفاق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وشعر امرئ القیس لا یکون من باب التنازع وإلّا لفسد المعنی، وقد صرّح بذلک ابن الحاجب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عطف الرجلین علی الیدین أرجح، لأنّ الیدین لهما حدّ فی الغسل، فإذا عطف علیهما الرجلان کان عطفاً لمحدود علی محدود نظراً إلی 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المحدودة کعطف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المحدودة علی الوجوه غیر المحدودة أنسب ببلاغة الکلام، بل کانت المناسبة أتمّ، إذ تحصل فیه مناسبتان عطف المغسول علی المغسول أحدهما محدّد والآخر غیر محدّد، وعطف الممسوح علی الممسوح وهو کذلک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الاحتمالان الغسل والمسح متساویان؛ فالحمل علی الغسل أولی، لأنّ المسح داخل فیه</w:t>
      </w:r>
      <w:r>
        <w:rPr>
          <w:rFonts w:eastAsia="IRNazanin" w:cs="IRNazanin"/>
          <w:color w:val="111111"/>
          <w:sz w:val="28"/>
          <w:szCs w:val="28"/>
          <w:rtl w:val="true"/>
          <w:lang w:bidi="fa-IR"/>
        </w:rPr>
        <w:t xml:space="preserve">. </w:t>
      </w:r>
      <w:bookmarkStart w:id="531" w:name="pg6193_71229"/>
    </w:p>
    <w:p>
      <w:pPr>
        <w:pStyle w:val="BookText"/>
        <w:rPr/>
      </w:pPr>
      <w:bookmarkEnd w:id="531"/>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المسح والغسل غیر متساویین، وَاحتمال الغسل باطل بما قدّمنا، وأیضاً المسح والغسل حقیقتان منفردتان لا یدخل أحدهما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الغسل المرویّة من قبل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مردودة، إذ هی معارضة وروایات الدالّة علی المسح من قبلهم أیضاً، فروایات المسح متفق علیها بین المسلمین، وروایات الغسل انفرد بها أهل الخلاف ولا تکون حجّة علی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إجماع الفقهاء الأربعة علی‌الغسل خالٍ من‌الدلیل وهو باطل إذا کان کذلک</w:t>
      </w:r>
      <w:r>
        <w:rPr>
          <w:rFonts w:eastAsia="IRNazanin" w:cs="IRNazanin"/>
          <w:color w:val="111111"/>
          <w:sz w:val="28"/>
          <w:szCs w:val="28"/>
          <w:rtl w:val="true"/>
          <w:lang w:bidi="fa-IR"/>
        </w:rPr>
        <w:t>.</w:t>
      </w:r>
    </w:p>
    <w:p>
      <w:pPr>
        <w:pStyle w:val="Heading3"/>
        <w:numPr>
          <w:ilvl w:val="2"/>
          <w:numId w:val="1"/>
        </w:numPr>
        <w:rPr/>
      </w:pPr>
      <w:bookmarkStart w:id="532" w:name="__RefHeading___Toc972430_237004111"/>
      <w:bookmarkStart w:id="533" w:name="_Toc189"/>
      <w:bookmarkEnd w:id="532"/>
      <w:r>
        <w:rPr/>
        <w:t>48</w:t>
      </w:r>
      <w:r>
        <w:rPr>
          <w:rtl w:val="true"/>
        </w:rPr>
        <w:t xml:space="preserve"> - </w:t>
      </w:r>
      <w:r>
        <w:rPr>
          <w:rtl w:val="true"/>
        </w:rPr>
        <w:t xml:space="preserve">البیضاویّ </w:t>
      </w:r>
      <w:r>
        <w:rPr>
          <w:rtl w:val="true"/>
        </w:rPr>
        <w:t>(</w:t>
      </w:r>
      <w:r>
        <w:rPr>
          <w:rtl w:val="true"/>
        </w:rPr>
        <w:t xml:space="preserve">ت </w:t>
      </w:r>
      <w:r>
        <w:rPr/>
        <w:t>682</w:t>
      </w:r>
      <w:r>
        <w:rPr>
          <w:rtl w:val="true"/>
        </w:rPr>
        <w:t xml:space="preserve"> </w:t>
      </w:r>
      <w:r>
        <w:rPr>
          <w:rtl w:val="true"/>
        </w:rPr>
        <w:t xml:space="preserve">ه </w:t>
      </w:r>
      <w:r>
        <w:rPr>
          <w:rtl w:val="true"/>
        </w:rPr>
        <w:t>)</w:t>
      </w:r>
      <w:bookmarkEnd w:id="533"/>
    </w:p>
    <w:p>
      <w:pPr>
        <w:pStyle w:val="BookText"/>
        <w:rPr/>
      </w:pPr>
      <w:r>
        <w:rPr>
          <w:rFonts w:ascii="IRNazanin" w:hAnsi="IRNazanin" w:eastAsia="IRNazanin"/>
          <w:color w:val="111111"/>
          <w:sz w:val="28"/>
          <w:sz w:val="28"/>
          <w:szCs w:val="28"/>
          <w:rtl w:val="true"/>
          <w:lang w:bidi="fa-IR"/>
        </w:rPr>
        <w:t xml:space="preserve">ذهب البیضاوی إلی أن قراءة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الحکم بغسل الرجلین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الشائعة علی حدِّ زعمه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الصحابة وقول أکثر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والمسح غیر محدود علی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کلّ ذلک قد تقدّم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بعمل الصحابة مردود، لأنّ أجلّة الصحابة کأمیرالمؤمنین علیه السلام وابن عبّاس وأمثالهما کانوا یمسحون ولا یغسلون، ولم یفعلوا ذلک إلّااقتداءً بالنبیّ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أنّ علیّاً علیه السلام وابن عبّاس خالفا رسول اللّه صلی الله علیه و آله فی قول أو عمل، وأهل السنّة معترفون بذلک، فلو ثبت أیضاً أنّ الصحابة سوی علیّ علیه السلام کانوا یغسلون لم یعتد بعملهم، لأنّهم کانوا یخالفون رسول اللّه صلی الله علیه و آله فی حیاته </w:t>
      </w:r>
      <w:r>
        <w:rPr>
          <w:rFonts w:eastAsia="IRNazanin" w:cs="IRNazanin"/>
          <w:color w:val="111111"/>
          <w:sz w:val="28"/>
          <w:szCs w:val="28"/>
          <w:rtl w:val="true"/>
          <w:lang w:bidi="fa-IR"/>
        </w:rPr>
        <w:t xml:space="preserve">- </w:t>
      </w:r>
      <w:bookmarkStart w:id="534" w:name="pg6193_71231"/>
    </w:p>
    <w:p>
      <w:pPr>
        <w:pStyle w:val="BookText"/>
        <w:rPr/>
      </w:pPr>
      <w:bookmarkEnd w:id="534"/>
      <w:r>
        <w:rPr>
          <w:rFonts w:ascii="IRNazanin" w:hAnsi="IRNazanin" w:eastAsia="IRNazanin"/>
          <w:color w:val="111111"/>
          <w:sz w:val="28"/>
          <w:sz w:val="28"/>
          <w:szCs w:val="28"/>
          <w:rtl w:val="true"/>
          <w:lang w:bidi="fa-IR"/>
        </w:rPr>
        <w:t xml:space="preserve">کما فی جیش أُسامة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یخالفونه 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فغسل الصحابة یحمل علی مخالفة رسول اللّه صلی الله علیه و آله کما هو المعتاد من فعلهم، أو قل أنّهم عمموا ما فعله الرسول حسب روایاتهم علی جمیع الصحابة، فی حین أن رسول اللّه کان قد أکد بأنّ وضوئه ووضوء الأنبیاء من قبله، أی أنّه خاص به لا یجوز تعمیمه علی المسلمین علی أنّه سنة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ومسح علیّ علیه السلام لا یحمل علی مخالفة رسول اللّه صلی الله علیه و آله؛ لأنّع موافق لصریح القرآن حسب تعبیر أمثال الفخرالرازی، وعلی بن أبی طالب لم یخالف رسول اللّه فی شی فالاستدلال بعملهم مصادرة بالمطلوب، ولا سیّما فی الأخبار التی آنفردَ بها أهل الخلاف</w:t>
      </w:r>
      <w:r>
        <w:rPr>
          <w:rFonts w:eastAsia="IRNazanin" w:cs="IRNazanin"/>
          <w:color w:val="111111"/>
          <w:sz w:val="28"/>
          <w:szCs w:val="28"/>
          <w:rtl w:val="true"/>
          <w:lang w:bidi="fa-IR"/>
        </w:rPr>
        <w:t>.</w:t>
      </w:r>
    </w:p>
    <w:p>
      <w:pPr>
        <w:pStyle w:val="Heading3"/>
        <w:numPr>
          <w:ilvl w:val="2"/>
          <w:numId w:val="1"/>
        </w:numPr>
        <w:rPr/>
      </w:pPr>
      <w:bookmarkStart w:id="535" w:name="__RefHeading___Toc972432_237004111"/>
      <w:bookmarkStart w:id="536" w:name="_Toc190"/>
      <w:bookmarkEnd w:id="535"/>
      <w:r>
        <w:rPr/>
        <w:t>49</w:t>
      </w:r>
      <w:r>
        <w:rPr>
          <w:rtl w:val="true"/>
        </w:rPr>
        <w:t xml:space="preserve"> - </w:t>
      </w:r>
      <w:r>
        <w:rPr>
          <w:rtl w:val="true"/>
        </w:rPr>
        <w:t xml:space="preserve">علیّ بن محمّد القمّیّ </w:t>
      </w:r>
      <w:r>
        <w:rPr>
          <w:rtl w:val="true"/>
        </w:rPr>
        <w:t>(</w:t>
      </w:r>
      <w:r>
        <w:rPr>
          <w:rtl w:val="true"/>
        </w:rPr>
        <w:t>من أعلام القرن السابع</w:t>
      </w:r>
      <w:r>
        <w:rPr>
          <w:rtl w:val="true"/>
        </w:rPr>
        <w:t>)</w:t>
      </w:r>
      <w:bookmarkEnd w:id="536"/>
    </w:p>
    <w:p>
      <w:pPr>
        <w:pStyle w:val="BookText"/>
        <w:rPr/>
      </w:pPr>
      <w:r>
        <w:rPr>
          <w:rFonts w:ascii="IRNazanin" w:hAnsi="IRNazanin" w:eastAsia="IRNazanin"/>
          <w:color w:val="111111"/>
          <w:sz w:val="28"/>
          <w:sz w:val="28"/>
          <w:szCs w:val="28"/>
          <w:rtl w:val="true"/>
          <w:lang w:bidi="fa-IR"/>
        </w:rPr>
        <w:t xml:space="preserve">قراءة النصب تفید المسح 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علی بن محمد القمی والباء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تبعیضیّة، فهی مجرورة لفظاً، منصوبةً محلّاً، لأنّ الفعل مُتَعَدٍّ بنفسه، فکذا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العطف</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وقراءة الجرّ أیضاً لا تخالف قراءة النصب فی الحکم بالمسح، ولا وجه للجرّ إلّا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کما لا وجه للنصب عند المتعبّدین إلّاالعطف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p>
    <w:p>
      <w:pPr>
        <w:pStyle w:val="Heading3"/>
        <w:numPr>
          <w:ilvl w:val="2"/>
          <w:numId w:val="1"/>
        </w:numPr>
        <w:rPr/>
      </w:pPr>
      <w:bookmarkStart w:id="537" w:name="__RefHeading___Toc972434_237004111"/>
      <w:bookmarkStart w:id="538" w:name="_Toc191"/>
      <w:bookmarkEnd w:id="537"/>
      <w:r>
        <w:rPr/>
        <w:t>50</w:t>
      </w:r>
      <w:r>
        <w:rPr>
          <w:rtl w:val="true"/>
        </w:rPr>
        <w:t xml:space="preserve"> - </w:t>
      </w:r>
      <w:r>
        <w:rPr>
          <w:rtl w:val="true"/>
        </w:rPr>
        <w:t xml:space="preserve">أبو البرکات النَّسفیّ </w:t>
      </w:r>
      <w:r>
        <w:rPr>
          <w:rtl w:val="true"/>
        </w:rPr>
        <w:t>(</w:t>
      </w:r>
      <w:r>
        <w:rPr>
          <w:rtl w:val="true"/>
        </w:rPr>
        <w:t xml:space="preserve">ت </w:t>
      </w:r>
      <w:r>
        <w:rPr/>
        <w:t>710</w:t>
      </w:r>
      <w:r>
        <w:rPr>
          <w:rtl w:val="true"/>
        </w:rPr>
        <w:t xml:space="preserve"> </w:t>
      </w:r>
      <w:r>
        <w:rPr>
          <w:rtl w:val="true"/>
        </w:rPr>
        <w:t xml:space="preserve">ه </w:t>
      </w:r>
      <w:r>
        <w:rPr>
          <w:rtl w:val="true"/>
        </w:rPr>
        <w:t>)</w:t>
      </w:r>
      <w:bookmarkEnd w:id="53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وأیدیکم إلی </w:t>
      </w:r>
    </w:p>
    <w:p>
      <w:pPr>
        <w:pStyle w:val="BookText"/>
        <w:rPr/>
      </w:pPr>
      <w:r>
        <w:rPr>
          <w:rFonts w:ascii="IRNazanin" w:hAnsi="IRNazanin" w:eastAsia="IRNazanin"/>
          <w:color w:val="111111"/>
          <w:sz w:val="28"/>
          <w:sz w:val="28"/>
          <w:szCs w:val="28"/>
          <w:rtl w:val="true"/>
          <w:lang w:bidi="fa-IR"/>
        </w:rPr>
        <w:t xml:space="preserve">المرافق وأرجلکم إلی الکعبین وأمسحوا برؤوسکم، حمل النّصب عطفاً علی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لاستفادة الغسل وجعل الآیة من القلب فی الکلام أی التقدیم والتأخیر</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اعتمادا علی روایاتهم جعلوا الغسل مفروغاً عنه ثابتاً متفقاً علیه بنهم، ثم حملوا الآیة الکریمة علیه، وهی محاولة تطبیق القرآن علی المذهب، وذلک خطأ فاحش وغلط مبیر، وقد تقدم 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الحکم بالتّقدیم والتّأخیر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لا یجوز الخروج عنه إلّابدیل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فی کلام اللّه تعالی من دون مبرّر ودلیل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الأصل؛ فإنّ الأصل صحّة سوق الکلام، لا یجوز العدول عنه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حکم أمیر المؤمنین علیه السلام بالتّقدیم والتأخیر فی الآیة نقل غیر ثابت لأنّه منفرد عندهم، وغیر موجود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الأرجل علی الرؤوس ممکن لفظاً ومحلا جرّا ونصباً من دون تصرّف فی الکلام الإلهیّ المقدّس، فلا محمل لعطفها علی الوجوه أو الأیدی مع الفصل بینهما بکلامه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بالقلب فی الکلام هنا فرع ثبوت حکم الغسل هنا وهو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شبه دور باطل، فإنّه یرید اثبات الغسل بالقلب، وإثبات القلب بالغسل</w:t>
      </w:r>
      <w:r>
        <w:rPr>
          <w:rFonts w:eastAsia="IRNazanin" w:cs="IRNazanin"/>
          <w:color w:val="111111"/>
          <w:sz w:val="28"/>
          <w:szCs w:val="28"/>
          <w:rtl w:val="true"/>
          <w:lang w:bidi="fa-IR"/>
        </w:rPr>
        <w:t xml:space="preserve">. </w:t>
      </w:r>
      <w:bookmarkStart w:id="539" w:name="pg6193_71234"/>
    </w:p>
    <w:p>
      <w:pPr>
        <w:pStyle w:val="Heading3"/>
        <w:numPr>
          <w:ilvl w:val="2"/>
          <w:numId w:val="1"/>
        </w:numPr>
        <w:rPr/>
      </w:pPr>
      <w:bookmarkStart w:id="540" w:name="__RefHeading___Toc972436_237004111"/>
      <w:bookmarkStart w:id="541" w:name="_Toc192"/>
      <w:bookmarkEnd w:id="539"/>
      <w:bookmarkEnd w:id="540"/>
      <w:r>
        <w:rPr/>
        <w:t>51</w:t>
      </w:r>
      <w:r>
        <w:rPr>
          <w:rtl w:val="true"/>
        </w:rPr>
        <w:t xml:space="preserve"> - </w:t>
      </w:r>
      <w:r>
        <w:rPr>
          <w:rtl w:val="true"/>
        </w:rPr>
        <w:t xml:space="preserve">العلّامة الحلّیّ </w:t>
      </w:r>
      <w:r>
        <w:rPr>
          <w:rtl w:val="true"/>
        </w:rPr>
        <w:t>(</w:t>
      </w:r>
      <w:r>
        <w:rPr>
          <w:rtl w:val="true"/>
        </w:rPr>
        <w:t xml:space="preserve">ت </w:t>
      </w:r>
      <w:r>
        <w:rPr/>
        <w:t>726</w:t>
      </w:r>
      <w:r>
        <w:rPr>
          <w:rtl w:val="true"/>
        </w:rPr>
        <w:t xml:space="preserve"> </w:t>
      </w:r>
      <w:r>
        <w:rPr>
          <w:rtl w:val="true"/>
        </w:rPr>
        <w:t xml:space="preserve">ه </w:t>
      </w:r>
      <w:r>
        <w:rPr>
          <w:rtl w:val="true"/>
        </w:rPr>
        <w:t>)</w:t>
      </w:r>
      <w:bookmarkEnd w:id="541"/>
    </w:p>
    <w:p>
      <w:pPr>
        <w:pStyle w:val="BookText"/>
        <w:rPr/>
      </w:pPr>
      <w:r>
        <w:rPr>
          <w:rFonts w:ascii="IRNazanin" w:hAnsi="IRNazanin" w:eastAsia="IRNazanin"/>
          <w:color w:val="111111"/>
          <w:sz w:val="28"/>
          <w:sz w:val="28"/>
          <w:szCs w:val="28"/>
          <w:rtl w:val="true"/>
          <w:lang w:bidi="fa-IR"/>
        </w:rPr>
        <w:t xml:space="preserve">النصب یفید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ولا یمکن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المجرور یمکن العطف علی لفظه وعلی محلّه علی السواء والعطف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إلّابالنصب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علی المسح فی التذکرة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لا ینافیه، لأنّه علی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العطف علی الأیدی لئلّا تتناقض القراءتان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للفصل بناء علی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الاشتمال علی مخالفة الفصاحة بالانتقال عن جملة قبل استیفاء الغرض منها إلی ما لا تعلّق لها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رداءة الجرّ بالجوار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وروده فی العطف علی فرض وقوعه فی النعت والتأکید من جملة التوابع</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والنصب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المسح، لأنّه 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والعطف علی الموضع مشهور عند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علی اللفظ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 ممنوعة، وعلی فرض الأولویّة یعارضها أولویّتان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وهو معتبر فی اللغة، ولذلک جعلوا أقرب الفعلین إلی المعمول عاملاً بخلاف الأبعد</w:t>
      </w:r>
      <w:r>
        <w:rPr>
          <w:rStyle w:val="FootnoteAnchor"/>
          <w:rtl w:val="true"/>
        </w:rPr>
        <w:footnoteReference w:id="767"/>
      </w:r>
      <w:r>
        <w:rPr>
          <w:rFonts w:ascii="IRNazanin" w:hAnsi="IRNazanin" w:eastAsia="IRNazanin"/>
          <w:color w:val="111111"/>
          <w:sz w:val="28"/>
          <w:sz w:val="28"/>
          <w:szCs w:val="28"/>
          <w:rtl w:val="true"/>
          <w:lang w:bidi="fa-IR"/>
        </w:rPr>
        <w:t xml:space="preserve">، ومع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تفوت هذه </w:t>
      </w:r>
      <w:bookmarkStart w:id="542" w:name="pg6193_71236"/>
    </w:p>
    <w:p>
      <w:pPr>
        <w:pStyle w:val="BookText"/>
        <w:rPr/>
      </w:pPr>
      <w:bookmarkEnd w:id="542"/>
      <w:r>
        <w:rPr>
          <w:rFonts w:ascii="Amiri" w:hAnsi="Amiri" w:eastAsia="Amiri" w:cs="Amiri"/>
          <w:color w:val="111111"/>
          <w:sz w:val="28"/>
          <w:sz w:val="28"/>
          <w:szCs w:val="28"/>
          <w:rtl w:val="true"/>
          <w:lang w:bidi="ar-SA"/>
        </w:rPr>
        <w:t>الأولویّة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الانتقال من حکم قبل تمامه إلی حکم آخر غیر مشارک له ولا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لأنّ معه تبطل قراءة الجرّ للتنافی بینهما ومع العطف علی الموضع یحصل الجمع، فیجب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العجائب ترجیح الغسل لقراءة النصب مع عدم دلالتها، وإمکان حملها علی أمر سائغ علی المسح المستفاد من قراءة الجرّ، وحمل الجرّ علی أمر ممتنع</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972438_237004111"/>
      <w:bookmarkStart w:id="544" w:name="_Toc193"/>
      <w:bookmarkEnd w:id="543"/>
      <w:r>
        <w:rPr/>
        <w:t>52</w:t>
      </w:r>
      <w:r>
        <w:rPr>
          <w:rtl w:val="true"/>
        </w:rPr>
        <w:t xml:space="preserve"> - </w:t>
      </w:r>
      <w:r>
        <w:rPr>
          <w:rtl w:val="true"/>
        </w:rPr>
        <w:t xml:space="preserve">ابن تیمیّة الحرّانیّ </w:t>
      </w:r>
      <w:r>
        <w:rPr>
          <w:rtl w:val="true"/>
        </w:rPr>
        <w:t>(</w:t>
      </w:r>
      <w:r>
        <w:rPr>
          <w:rtl w:val="true"/>
        </w:rPr>
        <w:t xml:space="preserve">ت </w:t>
      </w:r>
      <w:r>
        <w:rPr/>
        <w:t>728</w:t>
      </w:r>
      <w:r>
        <w:rPr>
          <w:rtl w:val="true"/>
        </w:rPr>
        <w:t xml:space="preserve"> </w:t>
      </w:r>
      <w:r>
        <w:rPr>
          <w:rtl w:val="true"/>
        </w:rPr>
        <w:t xml:space="preserve">ه </w:t>
      </w:r>
      <w:r>
        <w:rPr>
          <w:rtl w:val="true"/>
        </w:rPr>
        <w:t>)</w:t>
      </w:r>
      <w:bookmarkEnd w:id="544"/>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قراءتان مشهورتان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والخفض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زعم أنّ قراءة النصب تفید الغسل عطفاً للأرجل علی الوجه والیدین، ولم یظنّ له مخالفاً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قراءة الجرّ أیضاً تفید الغسل،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وادّعی أنّ الآیة لا تفید المسح أصلاً، واستدلّ بأدلّة سبعة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الأمر إلی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وکانوا هم الذین قرؤوا بالخفض ومع ذلک اعترفوا بالغسل، وهذا دلیل علی أنّ الجرّ أیضاً یفید الغسل لا المسح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الأمر ما عاد إلی الغسل، وإذا ثبتت قراءة الجرّ، وأنّه لا یمکن توجیهه مع الاحتفاظ بکرامة القرآن وبلاغته إلّابالمسح، فقول السلف معارض للقرآن ویضرب به عرض الجدار؛ لأنّ الاجتهاد فی مقابل النصّ باطل بالاتفاق، وهذا لو ثبت من السلف اجتهاد أمام النصّ، وهو باطل باعتراف المسلمین؛ شیعةً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الباء حرف جرّ أصلیّ ومعناه الإلصاق لا زائد کما توهّمه بعض الناس علی زعمه، وَمُفادُ هذا أنّ اللّه أمر بالمسح بالعضو لا مسح العضو، فلو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المأمور به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المسح بها، وهذا ینافی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الفرق بین مسح العضو والمسح بالعضو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بالعضو یقتضی إلصاق الممسوح، لأنّ الباء للإلصاق، وهذا یقتضی إیصال الماء إلی العضو، ومسح 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ذلک، أی لا یقتضی إیصال الماء إلی العضو، وکذا الباء فی آیة التیمّم للإلصاق 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لیست من قبیل قول عقیبة ابْنِ هُبَیْرَةَ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فلسنا بالجبال ولا الحدیدا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الباء هنا زائدة مؤکَّدة، فلو حذفت لم یخلّ بالمعنی، والباء فی الآیة إذا حذفت أخلّ بالمعنی، فلم یجز أن یکون العطف علی محلّ المجرور بها، بل علی لفظ المجرور بها أو علی ما قبله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ذکره ابن تیمیّة أبدعه من عنده، أمّا عند أهل اللغة فلا فرق </w:t>
      </w:r>
    </w:p>
    <w:p>
      <w:pPr>
        <w:pStyle w:val="BookText"/>
        <w:rPr/>
      </w:pPr>
      <w:r>
        <w:rPr>
          <w:rFonts w:ascii="IRNazanin" w:hAnsi="IRNazanin" w:eastAsia="IRNazanin"/>
          <w:color w:val="111111"/>
          <w:sz w:val="28"/>
          <w:sz w:val="28"/>
          <w:szCs w:val="28"/>
          <w:rtl w:val="true"/>
          <w:lang w:bidi="fa-IR"/>
        </w:rPr>
        <w:t>بینهما، والباء زائدة للتبعیض</w:t>
      </w:r>
      <w:r>
        <w:rPr>
          <w:rStyle w:val="FootnoteAnchor"/>
          <w:rtl w:val="true"/>
        </w:rPr>
        <w:footnoteReference w:id="771"/>
      </w:r>
      <w:r>
        <w:rPr>
          <w:rFonts w:ascii="IRNazanin" w:hAnsi="IRNazanin" w:eastAsia="IRNazanin"/>
          <w:color w:val="111111"/>
          <w:sz w:val="28"/>
          <w:sz w:val="28"/>
          <w:szCs w:val="28"/>
          <w:rtl w:val="true"/>
          <w:lang w:bidi="fa-IR"/>
        </w:rPr>
        <w:t xml:space="preserve">، فحذفها لا یخلّ بالمعنی بدلیل استعمال أهل اللغة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بالوجهین</w:t>
      </w:r>
      <w:r>
        <w:rPr>
          <w:rStyle w:val="FootnoteAnchor"/>
          <w:rtl w:val="true"/>
        </w:rPr>
        <w:footnoteReference w:id="772"/>
      </w:r>
      <w:r>
        <w:rPr>
          <w:rFonts w:ascii="IRNazanin" w:hAnsi="IRNazanin" w:eastAsia="IRNazanin"/>
          <w:color w:val="111111"/>
          <w:sz w:val="28"/>
          <w:sz w:val="28"/>
          <w:szCs w:val="28"/>
          <w:rtl w:val="true"/>
          <w:lang w:bidi="fa-IR"/>
        </w:rPr>
        <w:t xml:space="preserve">، کما استعملوا الفعل سمّی یسمّی بالوجهین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تنافی بین الزیادة، وإفادة معنی التبیعض زائدة علی التأکید، فإنّ التأکید أضعف المعانی فی باب الزیادة وإلّا لزم اللغو</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فرضنا أنّ معنی الباء فی الآیة للإلصاق أیضاً لکانت الباء زائدة؛ فالباء فی الآیة مثلها فی قول الشاعر بشهادة حذّاق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تیمیّة لیس من فرسان هذا المضمار فلا یعتدّ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لقرئ فی آیة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وأیدیکم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بالنصب، فلمّا اتفقوا علی الجرّ فی آیة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العطف علی المحلّ لو کان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العطف علی اللفظ، ولم یکن فی آیة التیمّم منصوب معطوف علی اللفظ کما فی آیة الوضوء</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الملازمة بین القراءتین، وأنّی لابن تیمیّة إثبات ذلک، وآیة التیمّم لو کان لها علاقة بآیة الوضوء من حیث الإعراب، وقرئ فیها بالجرّ فقط لکان مفاد ذلک صحّة القراءة بالجرّ فقط فی آیة الوضوء، ولا سبیل إلی تخریجه حینئذٍ إلّاالمسح الذی یفرّ منه ابن تیمیّة ونظراؤه، فأین ذهب الدلیل؟ </w:t>
      </w:r>
    </w:p>
    <w:p>
      <w:pPr>
        <w:pStyle w:val="BookText"/>
        <w:rPr/>
      </w:pPr>
      <w:r>
        <w:rPr>
          <w:rFonts w:ascii="IRNazanin" w:hAnsi="IRNazanin" w:eastAsia="IRNazanin"/>
          <w:color w:val="111111"/>
          <w:sz w:val="28"/>
          <w:sz w:val="28"/>
          <w:szCs w:val="28"/>
          <w:rtl w:val="true"/>
          <w:lang w:bidi="fa-IR"/>
        </w:rPr>
        <w:t xml:space="preserve">علی أنّ آیة التیمّم شاهدة علی المسح، إذ لم یقرأ فیها إلّاالجرّ،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وآیة الوضوء مثلها من هذه الحیثیّة، فینبغی أن تُقْرَأَ بالجرّ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القراءة التی لا مردّ لها ولا محید عنها، والذین أحدثوا فیها قراءة النصب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فِراراً من المسح ولُجُوءً إلی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ورطة مخالفة القیاس النحویّ التی هی من أسباب الإخلال بالبلاغة، کما بیّنّا ذلک فی السابق لأکثر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w:t>
      </w:r>
      <w:r>
        <w:rPr>
          <w:rStyle w:val="FootnoteAnchor"/>
          <w:rtl w:val="true"/>
        </w:rPr>
        <w:footnoteReference w:id="775"/>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دلیل الغسل لا المسح، علی زعمه، حیث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قدّر أنّ العطف علی المحلّ کالقول الآخر، وأنّ التقدیر أنّ فی کلّ رجلین کعبین وفی کلّ رجل کعب واحد، 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الکعاب،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المرافق، لما کان فی کلّ ید 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بین الشرط والجزاء شرعاً وعرفاً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رِجلا کلّ متطهّر وفیهما عندنا کعبان، وهذا أولی من قول مخالفینا إنّه أراد رجلاً واحدة عن کلّ متطهّر، لأنّ الفرض یتناول الرجلین معاً، فصرف الخطاب إلیهما أولی</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بالتثنیة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التفنّن فی التعبیر، وهو من محاسن الکلام وأسباب التطریة والنشاط بالنسبة إلی السامع، فلا بأس باشتمال القرآن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الممسوح بین مغسولین وقطع الجملة الأُولی قبل تمامها بجملة المسح الأجنبیّة، للدلالة علی الترتیب المشروع فی الوضوء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الترتیب إنّما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 غالٍ، وخلاصته أن الکلام لمّا لم یکن وافیاً بالجمع بین البلاغة والترتیب، فآثر الترتیب </w:t>
      </w:r>
    </w:p>
    <w:p>
      <w:pPr>
        <w:pStyle w:val="BookText"/>
        <w:rPr/>
      </w:pPr>
      <w:r>
        <w:rPr>
          <w:rFonts w:ascii="IRNazanin" w:hAnsi="IRNazanin" w:eastAsia="IRNazanin"/>
          <w:color w:val="111111"/>
          <w:sz w:val="28"/>
          <w:sz w:val="28"/>
          <w:szCs w:val="28"/>
          <w:rtl w:val="true"/>
          <w:lang w:bidi="fa-IR"/>
        </w:rPr>
        <w:t>علی البلاغة، وهذا ممّا یقود نسبة القصور إلی کلام اللّه تعالی، تعالی اللّه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تفسّر القرآن وتدلّ علیه وتعبّر عنه، وهی قد جاءت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السنّة تفسّر القرآن، وأهل البیت المجمعون علی المسح أدری بالذی فیه، وهم أعرف بسنّة جدّهم رسول اللّه صلی الله علیه و آله مع اعتراف الجمیع بفضلهم وعدالتهم وصدقهم وأمانتهم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الأئمّة المفسّرون عن أهل البیت علیهم السلام المسح علی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السنّه التی یدّعیها ابن تیمیّة مفسّرةً للقرآن ودالّة علیه ومعبّرة عنه، فمتی جاءت بالغسل ومتی دلّت؟ والخلیفة الأوّل أحرق تلک السنن بروایة عائشة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الذهبیّ فی تذکرة الحفّاظ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الثانی قبله کان ینادی أمام الصحابة والنبیّ صلی الله علیه و آله 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 حسبنا کتاب اللّه؟</w:t>
      </w:r>
    </w:p>
    <w:p>
      <w:pPr>
        <w:pStyle w:val="BookText"/>
        <w:rPr/>
      </w:pPr>
      <w:r>
        <w:rPr>
          <w:rFonts w:ascii="IRNazanin" w:hAnsi="IRNazanin" w:eastAsia="IRNazanin"/>
          <w:color w:val="111111"/>
          <w:sz w:val="28"/>
          <w:sz w:val="28"/>
          <w:szCs w:val="28"/>
          <w:rtl w:val="true"/>
          <w:lang w:bidi="fa-IR"/>
        </w:rPr>
        <w:t>وتدوین الأحادیث عند السنّة إنّما کان فی عهد عمر بن عبدالعزیز ولم یکن حینئذٍ أحد من الصحابة الرواة، فمن أین أخذ هؤلاء السنّة وقد کانت مندرسةً عند الجمهور؟</w:t>
      </w:r>
    </w:p>
    <w:p>
      <w:pPr>
        <w:pStyle w:val="BookText"/>
        <w:rPr/>
      </w:pPr>
      <w:r>
        <w:rPr>
          <w:rFonts w:ascii="IRNazanin" w:hAnsi="IRNazanin" w:eastAsia="IRNazanin"/>
          <w:color w:val="111111"/>
          <w:sz w:val="28"/>
          <w:sz w:val="28"/>
          <w:szCs w:val="28"/>
          <w:rtl w:val="true"/>
          <w:lang w:bidi="fa-IR"/>
        </w:rPr>
        <w:t>لکن أهل البیت علیهم السلام لم تنقطع سلسلتهم من عهد جدّهم رسول اللّه صلی الله علیه و آله إلی العصر الذی خرج أهل السنّة عن سیرة الشیخین، وخالفوهما فی تدوین السنّة والأحادیث الشریفة وهم أمروا بالمسح؛ فالسنّة التی یدّعیها ابن تیمیّة سنّة سیاسیّة أسّسها الأمویّون، ویضرب بها عرض الجدار لمخالفة کتاب اللّه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السنّة معلومٌ کَذِبُها، لأنّهم یروون عن رسول اللّه صلی الله علیه و آله أنّ کلّ حدیث </w:t>
      </w:r>
      <w:bookmarkStart w:id="545" w:name="pg6193_71245"/>
    </w:p>
    <w:p>
      <w:pPr>
        <w:pStyle w:val="BookText"/>
        <w:rPr/>
      </w:pPr>
      <w:bookmarkEnd w:id="545"/>
      <w:r>
        <w:rPr>
          <w:rFonts w:ascii="IRNazanin" w:hAnsi="IRNazanin" w:eastAsia="IRNazanin"/>
          <w:color w:val="111111"/>
          <w:sz w:val="28"/>
          <w:sz w:val="28"/>
          <w:szCs w:val="28"/>
          <w:rtl w:val="true"/>
          <w:lang w:bidi="fa-IR"/>
        </w:rPr>
        <w:t>روی عنه مخالفاً لکتاب اللّه فهو کذب</w:t>
      </w:r>
      <w:r>
        <w:rPr>
          <w:rStyle w:val="FootnoteAnchor"/>
          <w:rtl w:val="true"/>
        </w:rPr>
        <w:footnoteReference w:id="778"/>
      </w:r>
      <w:r>
        <w:rPr>
          <w:rFonts w:ascii="IRNazanin" w:hAnsi="IRNazanin" w:eastAsia="IRNazanin"/>
          <w:color w:val="111111"/>
          <w:sz w:val="28"/>
          <w:sz w:val="28"/>
          <w:szCs w:val="28"/>
          <w:rtl w:val="true"/>
          <w:lang w:bidi="fa-IR"/>
        </w:rPr>
        <w:t>، وهذه السنّة مخالفة لکتاب اللّه فهی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کلامه وجوابنا عنها فی قراءة الجرّ فراجع</w:t>
      </w:r>
      <w:r>
        <w:rPr>
          <w:rFonts w:eastAsia="IRNazanin" w:cs="IRNazanin"/>
          <w:color w:val="111111"/>
          <w:sz w:val="28"/>
          <w:szCs w:val="28"/>
          <w:rtl w:val="true"/>
          <w:lang w:bidi="fa-IR"/>
        </w:rPr>
        <w:t>.</w:t>
      </w:r>
    </w:p>
    <w:p>
      <w:pPr>
        <w:pStyle w:val="Heading3"/>
        <w:numPr>
          <w:ilvl w:val="2"/>
          <w:numId w:val="1"/>
        </w:numPr>
        <w:rPr/>
      </w:pPr>
      <w:bookmarkStart w:id="546" w:name="__RefHeading___Toc972440_237004111"/>
      <w:bookmarkStart w:id="547" w:name="_Toc194"/>
      <w:bookmarkEnd w:id="546"/>
      <w:r>
        <w:rPr/>
        <w:t>53</w:t>
      </w:r>
      <w:r>
        <w:rPr>
          <w:rtl w:val="true"/>
        </w:rPr>
        <w:t xml:space="preserve"> - </w:t>
      </w:r>
      <w:r>
        <w:rPr>
          <w:rtl w:val="true"/>
        </w:rPr>
        <w:t xml:space="preserve">ابن جزّی الکلبیّ </w:t>
      </w:r>
      <w:r>
        <w:rPr>
          <w:rtl w:val="true"/>
        </w:rPr>
        <w:t>(</w:t>
      </w:r>
      <w:r>
        <w:rPr>
          <w:rtl w:val="true"/>
        </w:rPr>
        <w:t xml:space="preserve">ت </w:t>
      </w:r>
      <w:r>
        <w:rPr/>
        <w:t>741</w:t>
      </w:r>
      <w:r>
        <w:rPr>
          <w:rtl w:val="true"/>
        </w:rPr>
        <w:t xml:space="preserve"> </w:t>
      </w:r>
      <w:r>
        <w:rPr>
          <w:rtl w:val="true"/>
        </w:rPr>
        <w:t xml:space="preserve">ه </w:t>
      </w:r>
      <w:r>
        <w:rPr>
          <w:rtl w:val="true"/>
        </w:rPr>
        <w:t>)</w:t>
      </w:r>
      <w:bookmarkEnd w:id="547"/>
    </w:p>
    <w:p>
      <w:pPr>
        <w:pStyle w:val="BookText"/>
        <w:rPr/>
      </w:pPr>
      <w:r>
        <w:rPr>
          <w:rFonts w:ascii="IRNazanin" w:hAnsi="IRNazanin" w:eastAsia="IRNazanin"/>
          <w:color w:val="111111"/>
          <w:sz w:val="28"/>
          <w:sz w:val="28"/>
          <w:szCs w:val="28"/>
          <w:rtl w:val="true"/>
          <w:lang w:bidi="fa-IR"/>
        </w:rPr>
        <w:t xml:space="preserve">قراءة النصب تقتضی الغسل عطفاً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عند ابن جزّی الکلبیّ، وهو لم یفکّر حتّی لحظة واحدة فی صحّة حکمه، وأنّه کیف یمکن أن یکون صحیحاً؟ بل قلّد غیره من أهل الخلاف تبعاً لمجتهدی مذهبه وتسلیماً للغسل الذی اخترعوه فی عهد الخلیفة الأمویّ عثمان بن عفّان</w:t>
      </w:r>
      <w:r>
        <w:rPr>
          <w:rFonts w:eastAsia="IRNazanin" w:cs="IRNazanin"/>
          <w:color w:val="111111"/>
          <w:sz w:val="28"/>
          <w:szCs w:val="28"/>
          <w:rtl w:val="true"/>
          <w:lang w:bidi="fa-IR"/>
        </w:rPr>
        <w:t>.</w:t>
      </w:r>
    </w:p>
    <w:p>
      <w:pPr>
        <w:pStyle w:val="Heading3"/>
        <w:numPr>
          <w:ilvl w:val="2"/>
          <w:numId w:val="1"/>
        </w:numPr>
        <w:rPr/>
      </w:pPr>
      <w:bookmarkStart w:id="548" w:name="__RefHeading___Toc972442_237004111"/>
      <w:bookmarkStart w:id="549" w:name="_Toc195"/>
      <w:bookmarkEnd w:id="548"/>
      <w:r>
        <w:rPr/>
        <w:t>54</w:t>
      </w:r>
      <w:r>
        <w:rPr>
          <w:rtl w:val="true"/>
        </w:rPr>
        <w:t xml:space="preserve"> - </w:t>
      </w:r>
      <w:r>
        <w:rPr>
          <w:rtl w:val="true"/>
        </w:rPr>
        <w:t xml:space="preserve">أبو حیّان الأندلسیّ </w:t>
      </w:r>
      <w:r>
        <w:rPr>
          <w:rtl w:val="true"/>
        </w:rPr>
        <w:t>(</w:t>
      </w:r>
      <w:r>
        <w:rPr>
          <w:rtl w:val="true"/>
        </w:rPr>
        <w:t xml:space="preserve">ت </w:t>
      </w:r>
      <w:r>
        <w:rPr/>
        <w:t>745</w:t>
      </w:r>
      <w:r>
        <w:rPr>
          <w:rtl w:val="true"/>
        </w:rPr>
        <w:t xml:space="preserve"> </w:t>
      </w:r>
      <w:r>
        <w:rPr>
          <w:rtl w:val="true"/>
        </w:rPr>
        <w:t xml:space="preserve">ه </w:t>
      </w:r>
      <w:r>
        <w:rPr>
          <w:rtl w:val="true"/>
        </w:rPr>
        <w:t>)</w:t>
      </w:r>
      <w:bookmarkEnd w:id="549"/>
    </w:p>
    <w:p>
      <w:pPr>
        <w:pStyle w:val="BookText"/>
        <w:rPr/>
      </w:pPr>
      <w:r>
        <w:rPr>
          <w:rFonts w:ascii="IRNazanin" w:hAnsi="IRNazanin" w:eastAsia="IRNazanin"/>
          <w:color w:val="111111"/>
          <w:sz w:val="28"/>
          <w:sz w:val="28"/>
          <w:szCs w:val="28"/>
          <w:rtl w:val="true"/>
          <w:lang w:bidi="fa-IR"/>
        </w:rPr>
        <w:t>حکی ابن حیان الأندلسی اختلاف العلماء فی تخریج قراءة النصب،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وجوهکم وأیدیکم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أورد علیه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المتعاطفین بجملة لیست باعتراض، بل هی منشئَة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جائز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الأُستاذ أبو الحسن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الفصل بین المعطوف والمعطوف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وأقبح ما یکون ذلک بالجمل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قوله هذا علی أنّه ینزّه کتاب اللّه عن هذا </w:t>
      </w:r>
      <w:bookmarkStart w:id="550" w:name="pg6193_71247"/>
    </w:p>
    <w:p>
      <w:pPr>
        <w:pStyle w:val="BookText"/>
        <w:rPr/>
      </w:pPr>
      <w:bookmarkEnd w:id="550"/>
      <w:r>
        <w:rPr>
          <w:rFonts w:ascii="IRNazanin" w:hAnsi="IRNazanin" w:eastAsia="IRNazanin"/>
          <w:color w:val="111111"/>
          <w:sz w:val="28"/>
          <w:sz w:val="28"/>
          <w:szCs w:val="28"/>
          <w:rtl w:val="true"/>
          <w:lang w:bidi="fa-IR"/>
        </w:rPr>
        <w:t>التخریج</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تخریج من یری أنّ فرض الرجلین هو الغسل، وأمّا من یری المسح فیجعله معطوفاً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ویجعل قراءة النصب کقراءة الجرّ دالّةً علی المسح</w:t>
      </w:r>
      <w:r>
        <w:rPr>
          <w:rFonts w:eastAsia="IRNazanin" w:cs="IRNazanin"/>
          <w:color w:val="111111"/>
          <w:sz w:val="28"/>
          <w:szCs w:val="28"/>
          <w:rtl w:val="true"/>
          <w:lang w:bidi="fa-IR"/>
        </w:rPr>
        <w:t>.</w:t>
      </w:r>
    </w:p>
    <w:p>
      <w:pPr>
        <w:pStyle w:val="Heading3"/>
        <w:numPr>
          <w:ilvl w:val="2"/>
          <w:numId w:val="1"/>
        </w:numPr>
        <w:rPr/>
      </w:pPr>
      <w:bookmarkStart w:id="551" w:name="__RefHeading___Toc972444_237004111"/>
      <w:bookmarkStart w:id="552" w:name="_Toc196"/>
      <w:bookmarkEnd w:id="551"/>
      <w:r>
        <w:rPr/>
        <w:t>55</w:t>
      </w:r>
      <w:r>
        <w:rPr>
          <w:rtl w:val="true"/>
        </w:rPr>
        <w:t xml:space="preserve"> - </w:t>
      </w:r>
      <w:r>
        <w:rPr>
          <w:rtl w:val="true"/>
        </w:rPr>
        <w:t xml:space="preserve">السّمین الحلبی </w:t>
      </w:r>
      <w:r>
        <w:rPr>
          <w:rtl w:val="true"/>
        </w:rPr>
        <w:t>(</w:t>
      </w:r>
      <w:r>
        <w:rPr>
          <w:rtl w:val="true"/>
        </w:rPr>
        <w:t xml:space="preserve">ت </w:t>
      </w:r>
      <w:r>
        <w:rPr/>
        <w:t>756</w:t>
      </w:r>
      <w:r>
        <w:rPr>
          <w:rtl w:val="true"/>
        </w:rPr>
        <w:t xml:space="preserve"> </w:t>
      </w:r>
      <w:r>
        <w:rPr>
          <w:rtl w:val="true"/>
        </w:rPr>
        <w:t xml:space="preserve">ه </w:t>
      </w:r>
      <w:r>
        <w:rPr>
          <w:rtl w:val="true"/>
        </w:rPr>
        <w:t>)</w:t>
      </w:r>
      <w:bookmarkEnd w:id="552"/>
    </w:p>
    <w:p>
      <w:pPr>
        <w:pStyle w:val="BookText"/>
        <w:rPr/>
      </w:pPr>
      <w:r>
        <w:rPr>
          <w:rFonts w:ascii="IRNazanin" w:hAnsi="IRNazanin" w:eastAsia="IRNazanin"/>
          <w:color w:val="111111"/>
          <w:sz w:val="28"/>
          <w:sz w:val="28"/>
          <w:szCs w:val="28"/>
          <w:rtl w:val="true"/>
          <w:lang w:bidi="fa-IR"/>
        </w:rPr>
        <w:t>قال السّمین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النّصب فیها تخریجان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بالعطف علی الأیدی والحکم الغسل، ولکنّه یلزم منه الفصل بین المتعاطفین بجملة غیر اعتراضیّة وافسده بعضهم وقال ابن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الفصل، وأقبح ما یکون ذلک بالجمل فدّل علی أنّه لا یجوز تخریج الآیة علی ذلک ولکن قال أبو البقاء عکس هذا، ولیس بشیء، فلقائل أن یقول أنّها معطوفة علی المجرور وحکمها المسح ولکنه نسخ، وهو قول مشهور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النصب علی محل المجرور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تقریره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 قد حصل بما قاله السمین وذلک البعض وأنّه لیس بشیء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محل المجرور صحیح والحکم المسح کما </w:t>
      </w:r>
      <w:bookmarkStart w:id="553" w:name="pg6193_71249"/>
    </w:p>
    <w:p>
      <w:pPr>
        <w:pStyle w:val="BookText"/>
        <w:rPr/>
      </w:pPr>
      <w:bookmarkEnd w:id="553"/>
      <w:r>
        <w:rPr>
          <w:rFonts w:ascii="IRNazanin" w:hAnsi="IRNazanin" w:eastAsia="IRNazanin"/>
          <w:color w:val="111111"/>
          <w:sz w:val="28"/>
          <w:sz w:val="28"/>
          <w:szCs w:val="28"/>
          <w:rtl w:val="true"/>
          <w:lang w:bidi="fa-IR"/>
        </w:rPr>
        <w:t>اعترف به السمین وغیره ولکنّ النّسخ غیر ثابت، وما تخیّل لهم أنّه النّاسخ من الأحادیث فلیس معناها ما یفید النّسخ</w:t>
      </w:r>
      <w:r>
        <w:rPr>
          <w:rFonts w:eastAsia="IRNazanin" w:cs="IRNazanin"/>
          <w:color w:val="111111"/>
          <w:sz w:val="28"/>
          <w:szCs w:val="28"/>
          <w:rtl w:val="true"/>
          <w:lang w:bidi="fa-IR"/>
        </w:rPr>
        <w:t>.</w:t>
      </w:r>
    </w:p>
    <w:p>
      <w:pPr>
        <w:pStyle w:val="Heading3"/>
        <w:numPr>
          <w:ilvl w:val="2"/>
          <w:numId w:val="1"/>
        </w:numPr>
        <w:rPr/>
      </w:pPr>
      <w:bookmarkStart w:id="554" w:name="__RefHeading___Toc972446_237004111"/>
      <w:bookmarkStart w:id="555" w:name="_Toc197"/>
      <w:bookmarkEnd w:id="554"/>
      <w:r>
        <w:rPr/>
        <w:t>56</w:t>
      </w:r>
      <w:r>
        <w:rPr>
          <w:rtl w:val="true"/>
        </w:rPr>
        <w:t xml:space="preserve"> - </w:t>
      </w:r>
      <w:r>
        <w:rPr>
          <w:rtl w:val="true"/>
        </w:rPr>
        <w:t xml:space="preserve">ابن کثیر </w:t>
      </w:r>
      <w:r>
        <w:rPr>
          <w:rtl w:val="true"/>
        </w:rPr>
        <w:t>(</w:t>
      </w:r>
      <w:r>
        <w:rPr>
          <w:rtl w:val="true"/>
        </w:rPr>
        <w:t xml:space="preserve">ت </w:t>
      </w:r>
      <w:r>
        <w:rPr/>
        <w:t>774</w:t>
      </w:r>
      <w:r>
        <w:rPr>
          <w:rtl w:val="true"/>
        </w:rPr>
        <w:t xml:space="preserve"> </w:t>
      </w:r>
      <w:r>
        <w:rPr>
          <w:rtl w:val="true"/>
        </w:rPr>
        <w:t xml:space="preserve">ه </w:t>
      </w:r>
      <w:r>
        <w:rPr>
          <w:rtl w:val="true"/>
        </w:rPr>
        <w:t>)</w:t>
      </w:r>
      <w:bookmarkEnd w:id="555"/>
    </w:p>
    <w:p>
      <w:pPr>
        <w:pStyle w:val="BookText"/>
        <w:rPr/>
      </w:pP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قراءة ظاهرة فی وجوب الغسل کما قاله السلف، والفصل بالممسوح بین الغسلین لبیان الترتیب</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عکرمة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إلی الغسل</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أنّ هذا القول هو قول ابن عبّاس، فرجوعه إلی الغسل بعد النبیّ صلی الله علیه و آله لا حجّة فیه، لأنّ الدین کَمُلَ فی زمنه صلی الله علیه و آله، فالتغیّرات الحادثة بعده صلی الله علیه و آله بدعة محرّمة بالأدلّة الأربعة، وهذا یدلّ علی أنّ النبیّ صلی الله علیه و آله کان یمسحه؛ لأنّه لا یخالف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ورجوع ابن عباس لو صح کان سیاسیاً وإلّا فالثابت عنه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تکلمنا فی البحث الروائی</w:t>
      </w:r>
      <w:r>
        <w:rPr>
          <w:rStyle w:val="FootnoteAnchor"/>
          <w:rtl w:val="true"/>
        </w:rPr>
        <w:footnoteReference w:id="784"/>
      </w:r>
      <w:r>
        <w:rPr>
          <w:rFonts w:ascii="IRNazanin" w:hAnsi="IRNazanin" w:eastAsia="IRNazanin"/>
          <w:color w:val="111111"/>
          <w:sz w:val="28"/>
          <w:sz w:val="28"/>
          <w:szCs w:val="28"/>
          <w:rtl w:val="true"/>
          <w:lang w:bidi="fa-IR"/>
        </w:rPr>
        <w:t>عما نسب إلی ابن عباس من روایات غسل الأرجل ورجوعه إلی الغسل فراجع</w:t>
      </w:r>
      <w:r>
        <w:rPr>
          <w:rFonts w:eastAsia="IRNazanin" w:cs="IRNazanin"/>
          <w:color w:val="111111"/>
          <w:sz w:val="28"/>
          <w:szCs w:val="28"/>
          <w:rtl w:val="true"/>
          <w:lang w:bidi="fa-IR"/>
        </w:rPr>
        <w:t>.</w:t>
      </w:r>
    </w:p>
    <w:p>
      <w:pPr>
        <w:pStyle w:val="Heading3"/>
        <w:numPr>
          <w:ilvl w:val="2"/>
          <w:numId w:val="1"/>
        </w:numPr>
        <w:rPr/>
      </w:pPr>
      <w:bookmarkStart w:id="556" w:name="__RefHeading___Toc972448_237004111"/>
      <w:bookmarkStart w:id="557" w:name="_Toc198"/>
      <w:bookmarkEnd w:id="556"/>
      <w:r>
        <w:rPr/>
        <w:t>57</w:t>
      </w:r>
      <w:r>
        <w:rPr>
          <w:rtl w:val="true"/>
        </w:rPr>
        <w:t xml:space="preserve"> - </w:t>
      </w:r>
      <w:r>
        <w:rPr>
          <w:rtl w:val="true"/>
        </w:rPr>
        <w:t xml:space="preserve">الشهید الأوّل </w:t>
      </w:r>
      <w:r>
        <w:rPr>
          <w:rtl w:val="true"/>
        </w:rPr>
        <w:t>(</w:t>
      </w:r>
      <w:r>
        <w:rPr>
          <w:rtl w:val="true"/>
        </w:rPr>
        <w:t xml:space="preserve">المستشهد </w:t>
      </w:r>
      <w:r>
        <w:rPr/>
        <w:t>786</w:t>
      </w:r>
      <w:r>
        <w:rPr>
          <w:rtl w:val="true"/>
        </w:rPr>
        <w:t xml:space="preserve"> </w:t>
      </w:r>
      <w:r>
        <w:rPr>
          <w:rtl w:val="true"/>
        </w:rPr>
        <w:t xml:space="preserve">ه </w:t>
      </w:r>
      <w:r>
        <w:rPr>
          <w:rtl w:val="true"/>
        </w:rPr>
        <w:t>)</w:t>
      </w:r>
      <w:bookmarkEnd w:id="55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قراءتی النصب والجر تفیدان المسح عند الشهید الأوّل، عطفاً للأرجل علی الرّؤُوْس الممسوحَةِ لفظاً أو محلّاً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وأفتی بأنّ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الرؤوس أولی</w:t>
      </w:r>
      <w:r>
        <w:rPr>
          <w:rStyle w:val="FootnoteAnchor"/>
          <w:rtl w:val="true"/>
        </w:rPr>
        <w:footnoteReference w:id="786"/>
      </w:r>
      <w:r>
        <w:rPr>
          <w:rFonts w:ascii="IRNazanin" w:hAnsi="IRNazanin" w:eastAsia="IRNazanin"/>
          <w:color w:val="111111"/>
          <w:sz w:val="28"/>
          <w:sz w:val="28"/>
          <w:szCs w:val="28"/>
          <w:rtl w:val="true"/>
          <w:lang w:bidi="fa-IR"/>
        </w:rPr>
        <w:t xml:space="preserve">من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وأیّد هذه الفتوی بأدلّة صحیحة صریحة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وقد صرّح النُّحاة بأنّ الأقرب یمنع الأبعد عقلاً وعرفاً وشرعاً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المتعاطفین بجملة أجنبیّة لو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لا یجوز بمفرد فضلاً عن الجملة، فتعیّن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لزوم الفصل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الإخلال بالفصاحة الناشئ من الانتقال عن جملة إلی أُخری أجنبیّة قبل تمام الغرض لو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یلزم هذا المحذور من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به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بالقراءتین، وهو إنّما یحصل بالعطف علی الموضع فی قراءة النصب واللفظ علی قراءة الجرّ، وکلاهما إذا کان المعطوف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عطفنا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وجوب الغسل، وعلی قراءة الجرّ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وجوب المسح، وحینئذٍ فإن جمع بینهما فهو خلاف الإجماع، ولم ینقل إلّامن الناصر للحقّ من الأئمّة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خیّر بینهما فلم یقل به إلّاالحسن البصریّ وابن جریر الطبریّ، وقد استقرّ الإجماع علی خلافهم، وتعیین أحدهما ترجیح من غیر مرجّح، فلا محیص إلّاالعطف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أو محلّاً، وبه تنحلّ المشکلة، والعطف هکذا ممّا أجمع علی صحّته أهل العربیّة قاطبة</w:t>
      </w:r>
      <w:r>
        <w:rPr>
          <w:rFonts w:eastAsia="IRNazanin" w:cs="IRNazanin"/>
          <w:color w:val="111111"/>
          <w:sz w:val="28"/>
          <w:szCs w:val="28"/>
          <w:rtl w:val="true"/>
          <w:lang w:bidi="fa-IR"/>
        </w:rPr>
        <w:t xml:space="preserve">. </w:t>
      </w:r>
      <w:bookmarkStart w:id="558" w:name="pg6193_71253"/>
    </w:p>
    <w:p>
      <w:pPr>
        <w:pStyle w:val="Heading3"/>
        <w:numPr>
          <w:ilvl w:val="2"/>
          <w:numId w:val="1"/>
        </w:numPr>
        <w:rPr/>
      </w:pPr>
      <w:bookmarkStart w:id="559" w:name="__RefHeading___Toc972450_237004111"/>
      <w:bookmarkStart w:id="560" w:name="_Toc199"/>
      <w:bookmarkEnd w:id="558"/>
      <w:bookmarkEnd w:id="559"/>
      <w:r>
        <w:rPr/>
        <w:t>58</w:t>
      </w:r>
      <w:r>
        <w:rPr>
          <w:rtl w:val="true"/>
        </w:rPr>
        <w:t xml:space="preserve"> - </w:t>
      </w:r>
      <w:r>
        <w:rPr>
          <w:rtl w:val="true"/>
        </w:rPr>
        <w:t xml:space="preserve">التفتازانیّ </w:t>
      </w:r>
      <w:r>
        <w:rPr>
          <w:rtl w:val="true"/>
        </w:rPr>
        <w:t>(</w:t>
      </w:r>
      <w:r>
        <w:rPr>
          <w:rtl w:val="true"/>
        </w:rPr>
        <w:t xml:space="preserve">ت </w:t>
      </w:r>
      <w:r>
        <w:rPr/>
        <w:t>793</w:t>
      </w:r>
      <w:r>
        <w:rPr>
          <w:rtl w:val="true"/>
        </w:rPr>
        <w:t xml:space="preserve"> </w:t>
      </w:r>
      <w:r>
        <w:rPr>
          <w:rtl w:val="true"/>
        </w:rPr>
        <w:t xml:space="preserve">ه </w:t>
      </w:r>
      <w:r>
        <w:rPr>
          <w:rtl w:val="true"/>
        </w:rPr>
        <w:t>)</w:t>
      </w:r>
      <w:bookmarkEnd w:id="560"/>
    </w:p>
    <w:p>
      <w:pPr>
        <w:pStyle w:val="BookText"/>
        <w:rPr/>
      </w:pPr>
      <w:r>
        <w:rPr>
          <w:rFonts w:ascii="IRNazanin" w:hAnsi="IRNazanin" w:eastAsia="IRNazanin"/>
          <w:color w:val="111111"/>
          <w:sz w:val="28"/>
          <w:sz w:val="28"/>
          <w:szCs w:val="28"/>
          <w:rtl w:val="true"/>
          <w:lang w:bidi="fa-IR"/>
        </w:rPr>
        <w:t>حکم التفتازانیّ بأنّ قراءة النصب تفید الغسل، واعترف بأنّ ذلک مقتضی المذهب</w:t>
      </w:r>
      <w:r>
        <w:rPr>
          <w:rStyle w:val="FootnoteAnchor"/>
          <w:rtl w:val="true"/>
        </w:rPr>
        <w:footnoteReference w:id="788"/>
      </w:r>
      <w:r>
        <w:rPr>
          <w:rFonts w:ascii="IRNazanin" w:hAnsi="IRNazanin" w:eastAsia="IRNazanin"/>
          <w:color w:val="111111"/>
          <w:sz w:val="28"/>
          <w:sz w:val="28"/>
          <w:szCs w:val="28"/>
          <w:rtl w:val="true"/>
          <w:lang w:bidi="fa-IR"/>
        </w:rPr>
        <w:t xml:space="preserve">، ولا یکون مقتضی الإعراب، لأنّ الإعراب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من جهة القانون النحویّ، وهذا تلویح بأنّهم فی الحکم بالغسل حملوا القرآن علی المذهب بدلاً عن أخذ المذهب من القرآن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972452_237004111"/>
      <w:bookmarkStart w:id="562" w:name="_Toc200"/>
      <w:bookmarkEnd w:id="561"/>
      <w:r>
        <w:rPr/>
        <w:t>59</w:t>
      </w:r>
      <w:r>
        <w:rPr>
          <w:rtl w:val="true"/>
        </w:rPr>
        <w:t xml:space="preserve"> - </w:t>
      </w:r>
      <w:r>
        <w:rPr>
          <w:rtl w:val="true"/>
        </w:rPr>
        <w:t xml:space="preserve">الزرکشیّ </w:t>
      </w:r>
      <w:r>
        <w:rPr>
          <w:rtl w:val="true"/>
        </w:rPr>
        <w:t>(</w:t>
      </w:r>
      <w:r>
        <w:rPr>
          <w:rtl w:val="true"/>
        </w:rPr>
        <w:t xml:space="preserve">ت </w:t>
      </w:r>
      <w:r>
        <w:rPr/>
        <w:t>794</w:t>
      </w:r>
      <w:r>
        <w:rPr>
          <w:rtl w:val="true"/>
        </w:rPr>
        <w:t xml:space="preserve"> </w:t>
      </w:r>
      <w:r>
        <w:rPr>
          <w:rtl w:val="true"/>
        </w:rPr>
        <w:t xml:space="preserve">ه </w:t>
      </w:r>
      <w:r>
        <w:rPr>
          <w:rtl w:val="true"/>
        </w:rPr>
        <w:t>)</w:t>
      </w:r>
      <w:bookmarkEnd w:id="562"/>
    </w:p>
    <w:p>
      <w:pPr>
        <w:pStyle w:val="BookText"/>
        <w:rPr/>
      </w:pPr>
      <w:r>
        <w:rPr>
          <w:rFonts w:ascii="IRNazanin" w:hAnsi="IRNazanin" w:eastAsia="IRNazanin"/>
          <w:color w:val="111111"/>
          <w:sz w:val="28"/>
          <w:sz w:val="28"/>
          <w:szCs w:val="28"/>
          <w:rtl w:val="true"/>
          <w:lang w:bidi="fa-IR"/>
        </w:rPr>
        <w:t xml:space="preserve">قال الزرکشی بأنّ قراءة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الغسل، وقراءة الجرّ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المسح، ثمّ خالف حکم الإعراب، وأفتی بالغسل فی قراءة الجرّ بخلاف مؤدّی الآیة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خولف ذلک لعارض یرجّح</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یذکر المرجّح للغسل علی المسح</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 الذی ذکره وهو الغسل مُبْتَنٍ علی أمر مفروغ منه عند أبناء مذهبه، وهم جعلوا الغسل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للقرآن علی مبانی المذهب، وتطبیقاً له </w:t>
      </w:r>
      <w:bookmarkStart w:id="563" w:name="pg6193_71255"/>
    </w:p>
    <w:p>
      <w:pPr>
        <w:pStyle w:val="BookText"/>
        <w:rPr/>
      </w:pPr>
      <w:bookmarkEnd w:id="563"/>
      <w:r>
        <w:rPr>
          <w:rFonts w:ascii="IRNazanin" w:hAnsi="IRNazanin" w:eastAsia="IRNazanin"/>
          <w:color w:val="111111"/>
          <w:sz w:val="28"/>
          <w:sz w:val="28"/>
          <w:szCs w:val="28"/>
          <w:rtl w:val="true"/>
          <w:lang w:bidi="fa-IR"/>
        </w:rPr>
        <w:t>علیه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972454_237004111"/>
      <w:bookmarkStart w:id="565" w:name="_Toc201"/>
      <w:bookmarkEnd w:id="564"/>
      <w:r>
        <w:rPr/>
        <w:t>60</w:t>
      </w:r>
      <w:r>
        <w:rPr>
          <w:rtl w:val="true"/>
        </w:rPr>
        <w:t xml:space="preserve"> - </w:t>
      </w:r>
      <w:r>
        <w:rPr>
          <w:rtl w:val="true"/>
        </w:rPr>
        <w:t xml:space="preserve">الفیروزابادیّ </w:t>
      </w:r>
      <w:r>
        <w:rPr>
          <w:rtl w:val="true"/>
        </w:rPr>
        <w:t>(</w:t>
      </w:r>
      <w:r>
        <w:rPr>
          <w:rtl w:val="true"/>
        </w:rPr>
        <w:t xml:space="preserve">ت </w:t>
      </w:r>
      <w:r>
        <w:rPr/>
        <w:t>817</w:t>
      </w:r>
      <w:r>
        <w:rPr>
          <w:rtl w:val="true"/>
        </w:rPr>
        <w:t xml:space="preserve"> </w:t>
      </w:r>
      <w:r>
        <w:rPr>
          <w:rtl w:val="true"/>
        </w:rPr>
        <w:t xml:space="preserve">ه </w:t>
      </w:r>
      <w:r>
        <w:rPr>
          <w:rtl w:val="true"/>
        </w:rPr>
        <w:t>)</w:t>
      </w:r>
      <w:bookmarkEnd w:id="565"/>
    </w:p>
    <w:p>
      <w:pPr>
        <w:pStyle w:val="BookText"/>
        <w:rPr/>
      </w:pPr>
      <w:r>
        <w:rPr>
          <w:rFonts w:ascii="IRNazanin" w:hAnsi="IRNazanin" w:eastAsia="IRNazanin"/>
          <w:color w:val="111111"/>
          <w:sz w:val="28"/>
          <w:sz w:val="28"/>
          <w:szCs w:val="28"/>
          <w:rtl w:val="true"/>
          <w:lang w:bidi="fa-IR"/>
        </w:rPr>
        <w:t>نقل الفیروزابادی عن ابن عبّاس الغسل حتّی فی قراءة النصب من غیر أن یستدلّ علیه بشیءٍ</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تعرف أنّه غیر مأمون فی نقله، لأنّ أکثر من واحدٍ من أهل الخلاف الموثوق بهم علماً وعملاً نقلوا عن ابن عباس المسح فی ضمن روایات عدیدةٍ، وقد أشرنا إلیها سابقاً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972456_237004111"/>
      <w:bookmarkStart w:id="567" w:name="_Toc202"/>
      <w:bookmarkEnd w:id="566"/>
      <w:r>
        <w:rPr/>
        <w:t>61</w:t>
      </w:r>
      <w:r>
        <w:rPr>
          <w:rtl w:val="true"/>
        </w:rPr>
        <w:t xml:space="preserve"> - </w:t>
      </w:r>
      <w:r>
        <w:rPr>
          <w:rtl w:val="true"/>
        </w:rPr>
        <w:t xml:space="preserve">جلال الدین المحلّیّ </w:t>
      </w:r>
      <w:r>
        <w:rPr>
          <w:rtl w:val="true"/>
        </w:rPr>
        <w:t>(</w:t>
      </w:r>
      <w:r>
        <w:rPr>
          <w:rtl w:val="true"/>
        </w:rPr>
        <w:t xml:space="preserve">ت </w:t>
      </w:r>
      <w:r>
        <w:rPr/>
        <w:t>864</w:t>
      </w:r>
      <w:r>
        <w:rPr>
          <w:rtl w:val="true"/>
        </w:rPr>
        <w:t xml:space="preserve"> </w:t>
      </w:r>
      <w:r>
        <w:rPr>
          <w:rtl w:val="true"/>
        </w:rPr>
        <w:t xml:space="preserve">ه </w:t>
      </w:r>
      <w:r>
        <w:rPr>
          <w:rtl w:val="true"/>
        </w:rPr>
        <w:t>)</w:t>
      </w:r>
      <w:bookmarkEnd w:id="567"/>
    </w:p>
    <w:p>
      <w:pPr>
        <w:pStyle w:val="BookText"/>
        <w:rPr/>
      </w:pPr>
      <w:r>
        <w:rPr>
          <w:rFonts w:ascii="IRNazanin" w:hAnsi="IRNazanin" w:eastAsia="IRNazanin"/>
          <w:color w:val="111111"/>
          <w:sz w:val="28"/>
          <w:sz w:val="28"/>
          <w:szCs w:val="28"/>
          <w:rtl w:val="true"/>
          <w:lang w:bidi="fa-IR"/>
        </w:rPr>
        <w:t xml:space="preserve">جعل جلال السیوطی قراءة النصب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والمؤدّی الغسل</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أُوحِیَ إلی هؤلاء الجماعة أن یخرجوا عن قواعد اللغة والنحو ویعطوا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حکم الغسل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وحُظِروا من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یساعده القانون النحوی وبلاغة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972458_237004111"/>
      <w:bookmarkStart w:id="569" w:name="_Toc203"/>
      <w:bookmarkEnd w:id="568"/>
      <w:r>
        <w:rPr/>
        <w:t>62</w:t>
      </w:r>
      <w:r>
        <w:rPr>
          <w:rtl w:val="true"/>
        </w:rPr>
        <w:t xml:space="preserve"> - </w:t>
      </w:r>
      <w:r>
        <w:rPr>
          <w:rtl w:val="true"/>
        </w:rPr>
        <w:t xml:space="preserve">یوسف بن أحمد بن عثمان الشّهیر بالفقیه یوسف </w:t>
      </w:r>
      <w:r>
        <w:rPr>
          <w:rtl w:val="true"/>
        </w:rPr>
        <w:t>(</w:t>
      </w:r>
      <w:r>
        <w:rPr>
          <w:rtl w:val="true"/>
        </w:rPr>
        <w:t xml:space="preserve">ت </w:t>
      </w:r>
      <w:r>
        <w:rPr/>
        <w:t>832</w:t>
      </w:r>
      <w:r>
        <w:rPr>
          <w:rtl w:val="true"/>
        </w:rPr>
        <w:t xml:space="preserve"> </w:t>
      </w:r>
      <w:r>
        <w:rPr>
          <w:rtl w:val="true"/>
        </w:rPr>
        <w:t xml:space="preserve">ه </w:t>
      </w:r>
      <w:r>
        <w:rPr>
          <w:rtl w:val="true"/>
        </w:rPr>
        <w:t>)</w:t>
      </w:r>
      <w:bookmarkStart w:id="570" w:name="pg6193_71258"/>
      <w:bookmarkEnd w:id="569"/>
    </w:p>
    <w:p>
      <w:pPr>
        <w:pStyle w:val="BookText"/>
        <w:rPr/>
      </w:pPr>
      <w:bookmarkEnd w:id="570"/>
      <w:r>
        <w:rPr>
          <w:rFonts w:ascii="IRNazanin" w:hAnsi="IRNazanin" w:eastAsia="IRNazanin"/>
          <w:color w:val="111111"/>
          <w:sz w:val="28"/>
          <w:sz w:val="28"/>
          <w:szCs w:val="28"/>
          <w:rtl w:val="true"/>
          <w:lang w:bidi="fa-IR"/>
        </w:rPr>
        <w:t>قال الفقیه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 قراءة النّصب ظاهراً یفید الغسل بالعطف علی الوجوه والأیدی، وقراءة الجر ظاهرها یفید المسح بالعطف علی الرؤوس ویرجّح الغسل فیلزم التأویل فی قراءة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الجواب منا فی قراءة الجر مفصلاً عند ذکر اسمه فراجع</w:t>
      </w:r>
      <w:r>
        <w:rPr>
          <w:rFonts w:eastAsia="IRNazanin" w:cs="IRNazanin"/>
          <w:color w:val="111111"/>
          <w:sz w:val="28"/>
          <w:szCs w:val="28"/>
          <w:rtl w:val="true"/>
          <w:lang w:bidi="fa-IR"/>
        </w:rPr>
        <w:t>.</w:t>
      </w:r>
    </w:p>
    <w:p>
      <w:pPr>
        <w:pStyle w:val="Heading3"/>
        <w:numPr>
          <w:ilvl w:val="2"/>
          <w:numId w:val="1"/>
        </w:numPr>
        <w:rPr/>
      </w:pPr>
      <w:bookmarkStart w:id="571" w:name="__RefHeading___Toc972460_237004111"/>
      <w:bookmarkStart w:id="572" w:name="_Toc204"/>
      <w:bookmarkEnd w:id="571"/>
      <w:r>
        <w:rPr/>
        <w:t>63</w:t>
      </w:r>
      <w:r>
        <w:rPr>
          <w:rtl w:val="true"/>
        </w:rPr>
        <w:t xml:space="preserve"> - </w:t>
      </w:r>
      <w:r>
        <w:rPr>
          <w:rtl w:val="true"/>
        </w:rPr>
        <w:t xml:space="preserve">الثعالبیّ </w:t>
      </w:r>
      <w:r>
        <w:rPr>
          <w:rtl w:val="true"/>
        </w:rPr>
        <w:t>(</w:t>
      </w:r>
      <w:r>
        <w:rPr>
          <w:rtl w:val="true"/>
        </w:rPr>
        <w:t xml:space="preserve">ت </w:t>
      </w:r>
      <w:r>
        <w:rPr/>
        <w:t>875</w:t>
      </w:r>
      <w:r>
        <w:rPr>
          <w:rtl w:val="true"/>
        </w:rPr>
        <w:t xml:space="preserve"> </w:t>
      </w:r>
      <w:r>
        <w:rPr>
          <w:rtl w:val="true"/>
        </w:rPr>
        <w:t xml:space="preserve">ه </w:t>
      </w:r>
      <w:r>
        <w:rPr>
          <w:rtl w:val="true"/>
        </w:rPr>
        <w:t>)</w:t>
      </w:r>
      <w:bookmarkEnd w:id="572"/>
    </w:p>
    <w:p>
      <w:pPr>
        <w:pStyle w:val="BookText"/>
        <w:rPr/>
      </w:pPr>
      <w:r>
        <w:rPr>
          <w:rFonts w:ascii="IRNazanin" w:hAnsi="IRNazanin" w:eastAsia="IRNazanin"/>
          <w:color w:val="111111"/>
          <w:sz w:val="28"/>
          <w:sz w:val="28"/>
          <w:szCs w:val="28"/>
          <w:rtl w:val="true"/>
          <w:lang w:bidi="fa-IR"/>
        </w:rPr>
        <w:t xml:space="preserve">جعل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 وذلک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المعروف من تعسّف القوم والإصرار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واستند فی هذا الحکم إلی قول الجمهور؛ کأنّ الجمهور لیسوا بتابعین للقرآن بل القرآن تابع لهم، وقد بیّنّا فی السابق بطلان قولهم علماً وعملاً</w:t>
      </w:r>
      <w:r>
        <w:rPr>
          <w:rFonts w:eastAsia="IRNazanin" w:cs="IRNazanin"/>
          <w:color w:val="111111"/>
          <w:sz w:val="28"/>
          <w:szCs w:val="28"/>
          <w:rtl w:val="true"/>
          <w:lang w:bidi="fa-IR"/>
        </w:rPr>
        <w:t>.</w:t>
      </w:r>
    </w:p>
    <w:p>
      <w:pPr>
        <w:pStyle w:val="Heading3"/>
        <w:numPr>
          <w:ilvl w:val="2"/>
          <w:numId w:val="1"/>
        </w:numPr>
        <w:rPr/>
      </w:pPr>
      <w:bookmarkStart w:id="573" w:name="__RefHeading___Toc972462_237004111"/>
      <w:bookmarkStart w:id="574" w:name="_Toc205"/>
      <w:bookmarkEnd w:id="573"/>
      <w:r>
        <w:rPr/>
        <w:t>64</w:t>
      </w:r>
      <w:r>
        <w:rPr>
          <w:rtl w:val="true"/>
        </w:rPr>
        <w:t xml:space="preserve"> - </w:t>
      </w:r>
      <w:r>
        <w:rPr>
          <w:rtl w:val="true"/>
        </w:rPr>
        <w:t xml:space="preserve">الدّمشقیّ الحنبلیّ </w:t>
      </w:r>
      <w:r>
        <w:rPr>
          <w:rtl w:val="true"/>
        </w:rPr>
        <w:t>(</w:t>
      </w:r>
      <w:r>
        <w:rPr>
          <w:rtl w:val="true"/>
        </w:rPr>
        <w:t xml:space="preserve">ت بعد </w:t>
      </w:r>
      <w:r>
        <w:rPr/>
        <w:t>880</w:t>
      </w:r>
      <w:r>
        <w:rPr>
          <w:rtl w:val="true"/>
        </w:rPr>
        <w:t xml:space="preserve"> </w:t>
      </w:r>
      <w:r>
        <w:rPr>
          <w:rtl w:val="true"/>
        </w:rPr>
        <w:t xml:space="preserve">ه </w:t>
      </w:r>
      <w:r>
        <w:rPr>
          <w:rtl w:val="true"/>
        </w:rPr>
        <w:t>)</w:t>
      </w:r>
      <w:bookmarkEnd w:id="574"/>
    </w:p>
    <w:p>
      <w:pPr>
        <w:pStyle w:val="BookText"/>
        <w:rPr/>
      </w:pPr>
      <w:r>
        <w:rPr>
          <w:rFonts w:ascii="IRNazanin" w:hAnsi="IRNazanin" w:eastAsia="IRNazanin"/>
          <w:color w:val="111111"/>
          <w:sz w:val="28"/>
          <w:sz w:val="28"/>
          <w:szCs w:val="28"/>
          <w:rtl w:val="true"/>
          <w:lang w:bidi="fa-IR"/>
        </w:rPr>
        <w:t>أورد الدمشقی الحنبلی فی قراءة النّصب ما أورده السّمین الحلبی حذو النعل بالنّعل</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الجواب عنه</w:t>
      </w:r>
      <w:r>
        <w:rPr>
          <w:rFonts w:eastAsia="IRNazanin" w:cs="IRNazanin"/>
          <w:color w:val="111111"/>
          <w:sz w:val="28"/>
          <w:szCs w:val="28"/>
          <w:rtl w:val="true"/>
          <w:lang w:bidi="fa-IR"/>
        </w:rPr>
        <w:t>.</w:t>
      </w:r>
    </w:p>
    <w:p>
      <w:pPr>
        <w:pStyle w:val="Heading3"/>
        <w:numPr>
          <w:ilvl w:val="2"/>
          <w:numId w:val="1"/>
        </w:numPr>
        <w:rPr/>
      </w:pPr>
      <w:bookmarkStart w:id="575" w:name="__RefHeading___Toc972464_237004111"/>
      <w:bookmarkStart w:id="576" w:name="_Toc206"/>
      <w:bookmarkEnd w:id="575"/>
      <w:r>
        <w:rPr/>
        <w:t>65</w:t>
      </w:r>
      <w:r>
        <w:rPr>
          <w:rtl w:val="true"/>
        </w:rPr>
        <w:t xml:space="preserve"> - </w:t>
      </w:r>
      <w:r>
        <w:rPr>
          <w:rtl w:val="true"/>
        </w:rPr>
        <w:t xml:space="preserve">جلال الدین السیوطیّ </w:t>
      </w:r>
      <w:r>
        <w:rPr>
          <w:rtl w:val="true"/>
        </w:rPr>
        <w:t>(</w:t>
      </w:r>
      <w:r>
        <w:rPr>
          <w:rtl w:val="true"/>
        </w:rPr>
        <w:t xml:space="preserve">ت </w:t>
      </w:r>
      <w:r>
        <w:rPr/>
        <w:t>911</w:t>
      </w:r>
      <w:r>
        <w:rPr>
          <w:rtl w:val="true"/>
        </w:rPr>
        <w:t xml:space="preserve"> </w:t>
      </w:r>
      <w:r>
        <w:rPr>
          <w:rtl w:val="true"/>
        </w:rPr>
        <w:t xml:space="preserve">ه </w:t>
      </w:r>
      <w:r>
        <w:rPr>
          <w:rtl w:val="true"/>
        </w:rPr>
        <w:t>)</w:t>
      </w:r>
      <w:bookmarkEnd w:id="57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السیوطی الآیة علی الغسل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577" w:name="pg6193_71260"/>
    </w:p>
    <w:p>
      <w:pPr>
        <w:pStyle w:val="BookText"/>
        <w:rPr/>
      </w:pPr>
      <w:bookmarkEnd w:id="577"/>
      <w:r>
        <w:rPr>
          <w:rFonts w:ascii="IRNazanin" w:hAnsi="IRNazanin" w:eastAsia="IRNazanin"/>
          <w:color w:val="111111"/>
          <w:sz w:val="28"/>
          <w:sz w:val="28"/>
          <w:szCs w:val="28"/>
          <w:rtl w:val="true"/>
          <w:lang w:bidi="fa-IR"/>
        </w:rPr>
        <w:t xml:space="preserve">ولم یذکر احتمالاً للعطف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لا یجوز، وذلک مبلغهم من العلم والأمانة</w:t>
      </w:r>
      <w:r>
        <w:rPr>
          <w:rFonts w:eastAsia="IRNazanin" w:cs="IRNazanin"/>
          <w:color w:val="111111"/>
          <w:sz w:val="28"/>
          <w:szCs w:val="28"/>
          <w:rtl w:val="true"/>
          <w:lang w:bidi="fa-IR"/>
        </w:rPr>
        <w:t>.</w:t>
      </w:r>
    </w:p>
    <w:p>
      <w:pPr>
        <w:pStyle w:val="Heading3"/>
        <w:numPr>
          <w:ilvl w:val="2"/>
          <w:numId w:val="1"/>
        </w:numPr>
        <w:rPr/>
      </w:pPr>
      <w:bookmarkStart w:id="578" w:name="__RefHeading___Toc972466_237004111"/>
      <w:bookmarkStart w:id="579" w:name="_Toc207"/>
      <w:bookmarkEnd w:id="578"/>
      <w:r>
        <w:rPr/>
        <w:t>66</w:t>
      </w:r>
      <w:r>
        <w:rPr>
          <w:rtl w:val="true"/>
        </w:rPr>
        <w:t xml:space="preserve"> - </w:t>
      </w:r>
      <w:r>
        <w:rPr>
          <w:rtl w:val="true"/>
        </w:rPr>
        <w:t xml:space="preserve">أبو السعود </w:t>
      </w:r>
      <w:r>
        <w:rPr>
          <w:rtl w:val="true"/>
        </w:rPr>
        <w:t>(</w:t>
      </w:r>
      <w:r>
        <w:rPr>
          <w:rtl w:val="true"/>
        </w:rPr>
        <w:t xml:space="preserve">ت </w:t>
      </w:r>
      <w:r>
        <w:rPr/>
        <w:t>951</w:t>
      </w:r>
      <w:r>
        <w:rPr>
          <w:rtl w:val="true"/>
        </w:rPr>
        <w:t xml:space="preserve"> </w:t>
      </w:r>
      <w:r>
        <w:rPr>
          <w:rtl w:val="true"/>
        </w:rPr>
        <w:t xml:space="preserve">ه </w:t>
      </w:r>
      <w:r>
        <w:rPr>
          <w:rtl w:val="true"/>
        </w:rPr>
        <w:t>)</w:t>
      </w:r>
      <w:bookmarkEnd w:id="579"/>
    </w:p>
    <w:p>
      <w:pPr>
        <w:pStyle w:val="BookText"/>
        <w:rPr/>
      </w:pPr>
      <w:r>
        <w:rPr>
          <w:rFonts w:ascii="IRNazanin" w:hAnsi="IRNazanin" w:eastAsia="IRNazanin"/>
          <w:color w:val="111111"/>
          <w:sz w:val="28"/>
          <w:sz w:val="28"/>
          <w:szCs w:val="28"/>
          <w:rtl w:val="true"/>
          <w:lang w:bidi="fa-IR"/>
        </w:rPr>
        <w:t xml:space="preserve">حکم أبو السعود بالغسل، عطفاً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واستند فی ذلک إلی أربعة أدلّة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الشائعة علی زعمه، وقد بیّنّا فیما سبق خلاف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الصحابة، وقد تقدّم أنّ بین الصحابة والتابعین من خالفوا الغسل، وقد صرّح بذلک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أنّ الصحابة کلّهم حکموا بالغسل، والقرآن یفتی بالمسح، فقولهم لیس بحجّة إذا کان مخالفاً لکتاب اللّه، لأنّهم لیسوا بأفضل من رسول اللّه صلی الله علیه و آله، لأن رسول اللّه جعل القرآن معیاراً لقبول أو رد أحادیثه،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قولی کتاب اللّه فلم أقله، فکیف بالصاوی وأمثاله لا یجیزون تقلید ما عدا المذاهب الأربعة ولو وافق قول الصحابة والحدیث الصحیح والآیة معتقدین بأن الخارج عن المذاهب الأربعة فی حکم الکفرة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قول أکثر الأئمّة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هؤلاء أئمّة الکتاب العزیز ولیس الکتاب إمامهم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أنّ المسح لم یعهد محدوداً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بطلان هذا الدلیل من طریق الفریقین، فمن العامّة القاضی أبو محمّد </w:t>
      </w:r>
      <w:bookmarkStart w:id="580" w:name="pg6193_71262"/>
    </w:p>
    <w:p>
      <w:pPr>
        <w:pStyle w:val="BookText"/>
        <w:rPr/>
      </w:pPr>
      <w:bookmarkEnd w:id="580"/>
      <w:r>
        <w:rPr>
          <w:rFonts w:ascii="IRNazanin" w:hAnsi="IRNazanin" w:eastAsia="IRNazanin"/>
          <w:color w:val="111111"/>
          <w:sz w:val="28"/>
          <w:sz w:val="28"/>
          <w:szCs w:val="28"/>
          <w:rtl w:val="true"/>
          <w:lang w:bidi="fa-IR"/>
        </w:rPr>
        <w:t>فقد أنکر عدم التحدید فی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نسبوا إلی الشیعة قبول عدم التحدید فی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کذّبه أعلام الشیعة کالمرتضی</w:t>
      </w:r>
      <w:r>
        <w:rPr>
          <w:rStyle w:val="FootnoteAnchor"/>
          <w:rtl w:val="true"/>
        </w:rPr>
        <w:footnoteReference w:id="800"/>
      </w:r>
      <w:r>
        <w:rPr>
          <w:rFonts w:ascii="IRNazanin" w:hAnsi="IRNazanin" w:eastAsia="IRNazanin"/>
          <w:color w:val="111111"/>
          <w:sz w:val="28"/>
          <w:sz w:val="28"/>
          <w:szCs w:val="28"/>
          <w:rtl w:val="true"/>
          <w:lang w:bidi="fa-IR"/>
        </w:rPr>
        <w:t>والشهیدین</w:t>
      </w:r>
      <w:r>
        <w:rPr>
          <w:rStyle w:val="FootnoteAnchor"/>
          <w:rtl w:val="true"/>
        </w:rPr>
        <w:footnoteReference w:id="801"/>
      </w:r>
      <w:r>
        <w:rPr>
          <w:rFonts w:ascii="IRNazanin" w:hAnsi="IRNazanin" w:eastAsia="IRNazanin"/>
          <w:color w:val="111111"/>
          <w:sz w:val="28"/>
          <w:sz w:val="28"/>
          <w:szCs w:val="28"/>
          <w:rtl w:val="true"/>
          <w:lang w:bidi="fa-IR"/>
        </w:rPr>
        <w:t>بأنّ التحدید کما یمکن فی الغسل کذلک یمکن فی المسح</w:t>
      </w:r>
      <w:r>
        <w:rPr>
          <w:rFonts w:eastAsia="IRNazanin" w:cs="IRNazanin"/>
          <w:color w:val="111111"/>
          <w:sz w:val="28"/>
          <w:szCs w:val="28"/>
          <w:rtl w:val="true"/>
          <w:lang w:bidi="fa-IR"/>
        </w:rPr>
        <w:t>.</w:t>
      </w:r>
    </w:p>
    <w:p>
      <w:pPr>
        <w:pStyle w:val="Heading3"/>
        <w:numPr>
          <w:ilvl w:val="2"/>
          <w:numId w:val="1"/>
        </w:numPr>
        <w:rPr/>
      </w:pPr>
      <w:bookmarkStart w:id="581" w:name="__RefHeading___Toc972468_237004111"/>
      <w:bookmarkStart w:id="582" w:name="_Toc208"/>
      <w:bookmarkEnd w:id="581"/>
      <w:r>
        <w:rPr/>
        <w:t>67</w:t>
      </w:r>
      <w:r>
        <w:rPr>
          <w:rtl w:val="true"/>
        </w:rPr>
        <w:t xml:space="preserve"> - </w:t>
      </w:r>
      <w:r>
        <w:rPr>
          <w:rtl w:val="true"/>
        </w:rPr>
        <w:t xml:space="preserve">الشهید الثانی </w:t>
      </w:r>
      <w:r>
        <w:rPr>
          <w:rtl w:val="true"/>
        </w:rPr>
        <w:t>(</w:t>
      </w:r>
      <w:r>
        <w:rPr>
          <w:rtl w:val="true"/>
        </w:rPr>
        <w:t xml:space="preserve">ت </w:t>
      </w:r>
      <w:r>
        <w:rPr/>
        <w:t>966</w:t>
      </w:r>
      <w:r>
        <w:rPr>
          <w:rtl w:val="true"/>
        </w:rPr>
        <w:t xml:space="preserve"> </w:t>
      </w:r>
      <w:r>
        <w:rPr>
          <w:rtl w:val="true"/>
        </w:rPr>
        <w:t xml:space="preserve">ه </w:t>
      </w:r>
      <w:r>
        <w:rPr>
          <w:rtl w:val="true"/>
        </w:rPr>
        <w:t>)</w:t>
      </w:r>
      <w:bookmarkEnd w:id="582"/>
    </w:p>
    <w:p>
      <w:pPr>
        <w:pStyle w:val="BookText"/>
        <w:rPr/>
      </w:pPr>
      <w:r>
        <w:rPr>
          <w:rFonts w:ascii="IRNazanin" w:hAnsi="IRNazanin" w:eastAsia="IRNazanin"/>
          <w:color w:val="111111"/>
          <w:sz w:val="28"/>
          <w:sz w:val="28"/>
          <w:szCs w:val="28"/>
          <w:rtl w:val="true"/>
          <w:lang w:bidi="fa-IR"/>
        </w:rPr>
        <w:t>قراءة النصب وقراءة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کلتاهما تفید المسح عطفاً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ومحلّاً عند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المتعیّن فی قراءَةِ النصب ولا یجوز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للقرب، أی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اتفقوا علی أنّ الأقرب یمنع الأبعد، وهذا قانون مطّرد 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الفصل بین المتعاطفین بالجملة الأجنبیّة، والنحویّون أجمعوا علی أنّه لا یجوز الفصل بین المتعاطفین بمفردٍ فضلاً عن الجملة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الإیهام المخلّ بالفصاحة الناشئ من الانتقال من جملة إلی أُخری قبل إکمالها، وهذا هو مخالفة القاعدة النحویّة التی هی من أسباب الإخلال بالفصاحة</w:t>
      </w:r>
      <w:r>
        <w:rPr>
          <w:rFonts w:eastAsia="IRNazanin" w:cs="IRNazanin"/>
          <w:color w:val="111111"/>
          <w:sz w:val="28"/>
          <w:szCs w:val="28"/>
          <w:rtl w:val="true"/>
          <w:lang w:bidi="fa-IR"/>
        </w:rPr>
        <w:t xml:space="preserve">. </w:t>
      </w:r>
      <w:bookmarkStart w:id="583" w:name="pg6193_71264"/>
    </w:p>
    <w:p>
      <w:pPr>
        <w:pStyle w:val="Heading3"/>
        <w:numPr>
          <w:ilvl w:val="2"/>
          <w:numId w:val="1"/>
        </w:numPr>
        <w:rPr/>
      </w:pPr>
      <w:bookmarkStart w:id="584" w:name="__RefHeading___Toc972470_237004111"/>
      <w:bookmarkStart w:id="585" w:name="_Toc209"/>
      <w:bookmarkEnd w:id="583"/>
      <w:bookmarkEnd w:id="584"/>
      <w:r>
        <w:rPr/>
        <w:t>68</w:t>
      </w:r>
      <w:r>
        <w:rPr>
          <w:rtl w:val="true"/>
        </w:rPr>
        <w:t xml:space="preserve"> - </w:t>
      </w:r>
      <w:r>
        <w:rPr>
          <w:rtl w:val="true"/>
        </w:rPr>
        <w:t xml:space="preserve">المولی الکاشانی </w:t>
      </w:r>
      <w:r>
        <w:rPr>
          <w:rtl w:val="true"/>
        </w:rPr>
        <w:t>(</w:t>
      </w:r>
      <w:r>
        <w:rPr>
          <w:rtl w:val="true"/>
        </w:rPr>
        <w:t xml:space="preserve">ت </w:t>
      </w:r>
      <w:r>
        <w:rPr/>
        <w:t>988</w:t>
      </w:r>
      <w:r>
        <w:rPr>
          <w:rtl w:val="true"/>
        </w:rPr>
        <w:t xml:space="preserve"> </w:t>
      </w:r>
      <w:r>
        <w:rPr>
          <w:rtl w:val="true"/>
        </w:rPr>
        <w:t xml:space="preserve">ه </w:t>
      </w:r>
      <w:r>
        <w:rPr>
          <w:rtl w:val="true"/>
        </w:rPr>
        <w:t>)</w:t>
      </w:r>
      <w:bookmarkEnd w:id="585"/>
    </w:p>
    <w:p>
      <w:pPr>
        <w:pStyle w:val="BookText"/>
        <w:rPr/>
      </w:pPr>
      <w:r>
        <w:rPr>
          <w:rFonts w:ascii="IRNazanin" w:hAnsi="IRNazanin" w:eastAsia="IRNazanin"/>
          <w:color w:val="111111"/>
          <w:sz w:val="28"/>
          <w:sz w:val="28"/>
          <w:szCs w:val="28"/>
          <w:rtl w:val="true"/>
          <w:lang w:bidi="fa-IR"/>
        </w:rPr>
        <w:t>إنّ المولی الکاشانی بعدما استنبط أنّ القراءتین تدلّان علی المسح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الفقهاء الأربعة بوجوب الغسل محتجیّن بقراءة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مرّ فی 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وبقراءة النّصب عطفاً علی وجوهکم، أو أنّه منصوب بفعل مقدرّ،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ارجلکم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مستهجن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وعمرا واکرمت خالداً وبکرا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بکرا علی زید وعمرو المضروبین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إذا وجد فیه عاملان عطف علی الأقرب منهما کما هو مذهب البصریین وشواهده مشهورة خصوصاً مع عدم المانع کما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فنضطرّ إلی تقدیره إذا لم یمکن حمله علی اللّفظ، وأمّا هاهنا فلا مانع من العطف علی المحلّ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972472_237004111"/>
      <w:bookmarkStart w:id="587" w:name="_Toc210"/>
      <w:bookmarkEnd w:id="586"/>
      <w:r>
        <w:rPr/>
        <w:t>69</w:t>
      </w:r>
      <w:r>
        <w:rPr>
          <w:rtl w:val="true"/>
        </w:rPr>
        <w:t xml:space="preserve"> - </w:t>
      </w:r>
      <w:r>
        <w:rPr>
          <w:rtl w:val="true"/>
        </w:rPr>
        <w:t xml:space="preserve">الشیخ البهائیّ </w:t>
      </w:r>
      <w:r>
        <w:rPr>
          <w:rtl w:val="true"/>
        </w:rPr>
        <w:t>(</w:t>
      </w:r>
      <w:r>
        <w:rPr>
          <w:rtl w:val="true"/>
        </w:rPr>
        <w:t xml:space="preserve">ت </w:t>
      </w:r>
      <w:r>
        <w:rPr/>
        <w:t>1031</w:t>
      </w:r>
      <w:r>
        <w:rPr>
          <w:rtl w:val="true"/>
        </w:rPr>
        <w:t xml:space="preserve"> </w:t>
      </w:r>
      <w:r>
        <w:rPr>
          <w:rtl w:val="true"/>
        </w:rPr>
        <w:t xml:space="preserve">ه </w:t>
      </w:r>
      <w:r>
        <w:rPr>
          <w:rtl w:val="true"/>
        </w:rPr>
        <w:t>)</w:t>
      </w:r>
      <w:bookmarkEnd w:id="58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البهائی بأنّ قراءة النصب هی قراءة الکسائیّ ونافع وابن عامر وحفص عن عاصم، والنصب إنّما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کقول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محلّ زید، لأنّه منصوب علی المفعولیّة حقیقةً، والعطف علی المحلّ مشهور عند النُّحاة وواقع فی کلام العرب </w:t>
      </w:r>
    </w:p>
    <w:p>
      <w:pPr>
        <w:pStyle w:val="BookText"/>
        <w:rPr/>
      </w:pPr>
      <w:r>
        <w:rPr>
          <w:rFonts w:ascii="IRNazanin" w:hAnsi="IRNazanin" w:eastAsia="IRNazanin"/>
          <w:color w:val="111111"/>
          <w:sz w:val="28"/>
          <w:sz w:val="28"/>
          <w:szCs w:val="28"/>
          <w:rtl w:val="true"/>
          <w:lang w:bidi="fa-IR"/>
        </w:rPr>
        <w:t>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الجمهور علی الغسل ومناقشة البهائیّ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الکریمة، وقد عرفت عدم دلالتها علی الغسل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الروایات التی قد تقدّم عرضها فی الأجزاء السابقة، وهی روایة البخاریّ عن عبداللّه بن عمر، وروایة صاحب المصابیح عن أبی حیّة وابن عبّاس وعائشة وعمر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والبهائیّ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لما تواتر عن أئمّة أهل البیت علیهم السلام من أنّ وضوء رسول اللّه صلی الله علیه و آله إنّما کان بالمسح، وکذا وضوء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 علماء السنّة</w:t>
      </w:r>
      <w:r>
        <w:rPr>
          <w:rStyle w:val="FootnoteAnchor"/>
          <w:rtl w:val="true"/>
        </w:rPr>
        <w:footnoteReference w:id="805"/>
      </w:r>
      <w:r>
        <w:rPr>
          <w:rFonts w:ascii="IRNazanin" w:hAnsi="IRNazanin" w:eastAsia="IRNazanin"/>
          <w:color w:val="111111"/>
          <w:sz w:val="28"/>
          <w:sz w:val="28"/>
          <w:szCs w:val="28"/>
          <w:rtl w:val="true"/>
          <w:lang w:bidi="fa-IR"/>
        </w:rPr>
        <w:t>أنّ أهل البیت علیهم السلام کانوا یمسحون أرجلهم فی الوضوء وینقلونه عن أبیهم، وهم أعلم من علماء السنّة ومن الفقهاء الأربعة بشریعة جدّهم وعمل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ابن عبّاس فی جانب المسح أکثر ممّا نقل عنه فی جانب الغسل، وحیث إنّ روایاته المسحیّة متفق علیها والغسلیّة تفرّد بها الجمهور، فقد ثبت أنّ الغسل موضوع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والمنقول عن عائشة وعمر بن الخطّاب ساقط عن درجة الاعتبار فی مقام الاحتجاج علی الخصم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بالغسل قول أکثر الأُمّة وفعلهم فی کلّ الأعصار والأمصار من عهد النبیّ إلی یومنا هذا، والقائلون بالمسح فی نهایة القلّة وغایة الندرة، والأکثر أقرب </w:t>
      </w:r>
    </w:p>
    <w:p>
      <w:pPr>
        <w:pStyle w:val="BookText"/>
        <w:rPr/>
      </w:pPr>
      <w:r>
        <w:rPr>
          <w:rFonts w:ascii="IRNazanin" w:hAnsi="IRNazanin" w:eastAsia="IRNazanin"/>
          <w:color w:val="111111"/>
          <w:sz w:val="28"/>
          <w:sz w:val="28"/>
          <w:szCs w:val="28"/>
          <w:rtl w:val="true"/>
          <w:lang w:bidi="fa-IR"/>
        </w:rPr>
        <w:t>إلی الحقیقة من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الکثرة لا تدلّ علی الحقیّة، لأنّ أهل الحقّ فی جمیع الأعصار والأمصار أقلّ من أهل الباطل، فإنّ المسلمین أقلّ من غیرهم، والفرقة الناجیة منهم واحدة والهالکة اثنتان وسبعون، کما نطق به الحدیث المشهور، فکیف تجعل الکثرة دلیلاً علی الحقیّة؟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یمکن أن یمسح النبیّ صلی الله علیه و آله رجلیه مدّة حیاته، ثمّ لمّا توفّاه ربّه إلیه اخترع السلف الغسل من عند أنفسهم وأدخلوا فی الدین ما لیس منه؟</w:t>
      </w:r>
    </w:p>
    <w:p>
      <w:pPr>
        <w:pStyle w:val="BookText"/>
        <w:rPr/>
      </w:pPr>
      <w:r>
        <w:rPr>
          <w:rFonts w:ascii="IRNazanin" w:hAnsi="IRNazanin" w:eastAsia="IRNazanin"/>
          <w:color w:val="111111"/>
          <w:sz w:val="28"/>
          <w:sz w:val="28"/>
          <w:szCs w:val="28"/>
          <w:rtl w:val="true"/>
          <w:lang w:bidi="fa-IR"/>
        </w:rPr>
        <w:t>وأجاب بما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ما لا یبعد، ولیس أول قارورة کسرت</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صلی الله علیه و آله کان یتوضّأُ فی الغزوات وغیرها بمحضر جمّ غفیر من الأُمّة؛ یشاهدون أفعاله وینقلون أقواله، فکیف نقل إلیکم المسح ولم ینقل إلینا؟ وکیف اختصصتم أنتم بالاطّلاع علی هذا الأمر الظاهر دوننا؟</w:t>
      </w:r>
    </w:p>
    <w:p>
      <w:pPr>
        <w:pStyle w:val="BookText"/>
        <w:rPr/>
      </w:pPr>
      <w:r>
        <w:rPr>
          <w:rFonts w:ascii="IRNazanin" w:hAnsi="IRNazanin" w:eastAsia="IRNazanin"/>
          <w:color w:val="111111"/>
          <w:sz w:val="28"/>
          <w:sz w:val="28"/>
          <w:szCs w:val="28"/>
          <w:rtl w:val="true"/>
          <w:lang w:bidi="fa-IR"/>
        </w:rPr>
        <w:t>وأجاب بأنّ هذا وارد علیکم أیضاً، والاختلاف فی الوضوء لا یکون بین الشیعة والسنّة فحسب، بل السنّة أیضاً مختلفون فی مسح الرأس اختلافاً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فالمالکیّة حکموا فی المسح بالاستیعاب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والحنفیّة یوجبون مسح ربعه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والشافعیّة یکتفون بالمسح علی کلّ جزءٍ منه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کان النبیّ صلی الله علیه و آله یفعل ما یقوله أحد من هؤلاء الفرق الثلاث مدّة حیاته، ثمّ اخترعت الفرقتان الأُخریان ما شاءت بعد وفاته، وأدخلت فی الدین ما لیس منه؟ </w:t>
      </w:r>
    </w:p>
    <w:p>
      <w:pPr>
        <w:pStyle w:val="BookText"/>
        <w:rPr/>
      </w:pPr>
      <w:r>
        <w:rPr>
          <w:rFonts w:ascii="IRNazanin" w:hAnsi="IRNazanin" w:eastAsia="IRNazanin"/>
          <w:color w:val="111111"/>
          <w:sz w:val="28"/>
          <w:sz w:val="28"/>
          <w:szCs w:val="28"/>
          <w:rtl w:val="true"/>
          <w:lang w:bidi="fa-IR"/>
        </w:rPr>
        <w:t>أو أنّه کان یأتی تارة بما تقول به إحدی الفرق وأُخری بما تقوله الأُخری، کما یدّعیه المخیّرون؟</w:t>
      </w:r>
    </w:p>
    <w:p>
      <w:pPr>
        <w:pStyle w:val="BookText"/>
        <w:rPr/>
      </w:pPr>
      <w:r>
        <w:rPr>
          <w:rFonts w:ascii="IRNazanin" w:hAnsi="IRNazanin" w:eastAsia="IRNazanin"/>
          <w:color w:val="111111"/>
          <w:sz w:val="28"/>
          <w:sz w:val="28"/>
          <w:szCs w:val="28"/>
          <w:rtl w:val="true"/>
          <w:lang w:bidi="fa-IR"/>
        </w:rPr>
        <w:t>أو کان یأتی بالأقسام الثلاثة کما یقوله الجامعون؟</w:t>
      </w:r>
    </w:p>
    <w:p>
      <w:pPr>
        <w:pStyle w:val="BookText"/>
        <w:rPr/>
      </w:pPr>
      <w:r>
        <w:rPr>
          <w:rFonts w:ascii="IRNazanin" w:hAnsi="IRNazanin" w:eastAsia="IRNazanin"/>
          <w:color w:val="111111"/>
          <w:sz w:val="28"/>
          <w:sz w:val="28"/>
          <w:szCs w:val="28"/>
          <w:rtl w:val="true"/>
          <w:lang w:bidi="fa-IR"/>
        </w:rPr>
        <w:t>وکیف خفی علیکم ما کان یفعله بمحضر جمع کثیر وجمّ غفیر حتّی اختلفوا هذا الاختلاف الشدید؟</w:t>
      </w:r>
    </w:p>
    <w:p>
      <w:pPr>
        <w:pStyle w:val="BookText"/>
        <w:rPr/>
      </w:pPr>
      <w:r>
        <w:rPr>
          <w:rFonts w:ascii="IRNazanin" w:hAnsi="IRNazanin" w:eastAsia="IRNazanin"/>
          <w:color w:val="111111"/>
          <w:sz w:val="28"/>
          <w:sz w:val="28"/>
          <w:szCs w:val="28"/>
          <w:rtl w:val="true"/>
          <w:lang w:bidi="fa-IR"/>
        </w:rPr>
        <w:t>فما هو جوابکم عن اختلاف أئمّتکم فی مسح الرأس، فهو جوابنا عن الواقع بیننا وبینکم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اعترف القائلون بالمسح بأنّ الکعب هو المِفْصل وهو فی کلّ رجل واحد، فلو کان المأمور به فی الآیة هو المسح لکان الأنسب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کما أنّه لمّا کان فی کلّ ید مرفق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الإتیان بصیغة التثنیة فی الکعبین لیس باعتبار کلّ رِجْلٍ، کما أنّ جمع المرافق باعتبار کلّ ید، بل تثنیتها باعتبار کلّ رَجُل کما هو المعتبر 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والقیاس علی الأقرب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القیاس علی الأبعد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عطف فی جانب الغسل محدوداً علی غیر محدود، فالاکثر مناسبة فی جانب المسح ذلک أیضاً، لِتَتَناسَبَ الجملتان المتعاطفتان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الغسل یوجب براءة الذمّة یقیناً لأنّه مسح وزیادة، فالغاسل آتٍ بالأمرین معاً بخلاف الماسح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لکلّ منهما حقیقة مباینة لحقیقة الآخر عند أهل اللسان، ولو کان ما ذکرتم صحیحاً لکان غسل الرأس أیضاً مبرئاً للذمّة ومخرجاً عن العهدة </w:t>
      </w:r>
    </w:p>
    <w:p>
      <w:pPr>
        <w:pStyle w:val="BookText"/>
        <w:rPr/>
      </w:pPr>
      <w:r>
        <w:rPr>
          <w:rFonts w:ascii="IRNazanin" w:hAnsi="IRNazanin" w:eastAsia="IRNazanin"/>
          <w:color w:val="111111"/>
          <w:sz w:val="28"/>
          <w:sz w:val="28"/>
          <w:szCs w:val="28"/>
          <w:rtl w:val="true"/>
          <w:lang w:bidi="fa-IR"/>
        </w:rPr>
        <w:t>کالمسح، ولم یقل به أحد</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القائلون بالمسح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الکعب عظم صغیر مستدیر موضوع تحت قصبة الساق فی المفصل، کالذی یکون فی أرجل البقر والغنم، وهذا شیء خفیّ مستور لا یعرفه العرب ولا یطّلع علیه إلّاأصحاب التشریح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والغاسلون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العظمان الناتیان عن جانبی القدم ظاهران مکشوفان، ومناط التکلیف ینبغی أن یکون شیئاً ظاهراً مکشوفاً لا خفیّاً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الأمر کما زعم المعترض، فإنّ الماسحین لا یجمعون علی تفسیر الکعب بما ذکر، بل اختلفوا علی 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الأکثر، أنّه قبّة القدم بین المفصل والمشط والکعب بهذا المعنی مکشوف مشاهد لا سُتْرَةَ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قول العلّامة وبعض القدماء وقلیل من المتأخّرین، وهو ما ذکره المعترض، ولکن خفاؤه لا یمنع معرفة العرب به واطّلاعهم علیه فی عظام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إنّما هو فی تعریف الکعب الذی ورد فی الآیة هل هو هذا أو غیره؟ لا فی تسمیة العرب له کعباً، ویبعد أن یسمّوا ما لا یعرفونه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الآیة مغسولة بالاتفاق محدودة بغایة، والرأس الذی هو ممسوح بالاتفاق غیر محدود فیها بغایة</w:t>
      </w:r>
      <w:r>
        <w:rPr>
          <w:rStyle w:val="FootnoteAnchor"/>
          <w:rtl w:val="true"/>
        </w:rPr>
        <w:footnoteReference w:id="8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فیها لو لم تکن محدودة بغایة لکان مثل الرأس الغیر المحدود، وحکمها حکمه فی المسح، </w:t>
      </w:r>
    </w:p>
    <w:p>
      <w:pPr>
        <w:pStyle w:val="BookText"/>
        <w:rPr/>
      </w:pPr>
      <w:r>
        <w:rPr>
          <w:rFonts w:ascii="IRNazanin" w:hAnsi="IRNazanin" w:eastAsia="IRNazanin"/>
          <w:color w:val="111111"/>
          <w:sz w:val="28"/>
          <w:sz w:val="28"/>
          <w:szCs w:val="28"/>
          <w:rtl w:val="true"/>
          <w:lang w:bidi="fa-IR"/>
        </w:rPr>
        <w:t>لکنّها محدودة فی الآیة بغایة، فینبغی أن یقاس علی المحدود ویغسل کما یغسل المقیس علیه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لا یکون عندنا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هذا القیاس قیاس فاسد، لأنّ الوصف المناسب لا یکون علّة للحکم فی الأصل، فکیف یجعل علّة فی‌الفرع؟</w:t>
      </w:r>
    </w:p>
    <w:p>
      <w:pPr>
        <w:pStyle w:val="BookText"/>
        <w:rPr/>
      </w:pPr>
      <w:r>
        <w:rPr>
          <w:rFonts w:ascii="IRNazanin" w:hAnsi="IRNazanin" w:eastAsia="IRNazanin"/>
          <w:color w:val="111111"/>
          <w:sz w:val="28"/>
          <w:sz w:val="28"/>
          <w:szCs w:val="28"/>
          <w:rtl w:val="true"/>
          <w:lang w:bidi="fa-IR"/>
        </w:rPr>
        <w:t xml:space="preserve">وأیضاً یمکن معارضة قیاسکم هذا بقیاس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الشعبیّ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هو مغسول فی الوضوء باتفاق الأُمّة فهو ممسوح فی التیمّم، والممسوح فی الوضوء ساقط فی التیمّم، فیحمل المختلف فیه فی الوضوء مَقِیْساً علی حاله فی التیمّم، فالوجوه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مَغْسُوْلَةً مسحت،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ممسوحة سقطت، فالأرجل لو کانت مغسولة فی الوضوء کانت ممسوحة فی التیمّم قیاساً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لکنّها ساقطة فیه، وهو بإعطائها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أیضاً ساقطة فیه قیاساً لها علیها، ویعطی حکمها من المسح</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الباء علی التبعیض، ونقل ذلک عن زرارة عن الباقر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ببعض الرأس لمکان الباء، وبعد ورود مثل هذه الروایة عنهم علیهم السلام لا یلتفت إلی إنکار سیبویه مجیء الباء فی کلام العرب للتبعیض فی سبعة عشر موضعاً من کتابه، وإنکاره معارض بإصرار الأصمعیّ علی مجیئها له فی النظم والنثر من کلام العرب، وهو آنَسُ بکلام العرب وأعرف بمقاصدهم من سیبویه وغیره، وقد وافق الأصمعیّ کثیر من النُّحاة فجعلوها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عَیْناً یَشْرَبُ بِها </w:t>
      </w:r>
      <w:bookmarkStart w:id="588" w:name="pg6193_71276"/>
    </w:p>
    <w:p>
      <w:pPr>
        <w:pStyle w:val="BookText"/>
        <w:rPr/>
      </w:pPr>
      <w:bookmarkEnd w:id="588"/>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والعامّة جعلوا الباء للإلصاق حملاً للقرآن علی المذهب</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972474_237004111"/>
      <w:bookmarkStart w:id="590" w:name="_Toc211"/>
      <w:bookmarkEnd w:id="589"/>
      <w:r>
        <w:rPr/>
        <w:t>70</w:t>
      </w:r>
      <w:r>
        <w:rPr>
          <w:rtl w:val="true"/>
        </w:rPr>
        <w:t xml:space="preserve"> - </w:t>
      </w:r>
      <w:r>
        <w:rPr>
          <w:rtl w:val="true"/>
        </w:rPr>
        <w:t xml:space="preserve">الفیض الکاشانیّ </w:t>
      </w:r>
      <w:r>
        <w:rPr>
          <w:rtl w:val="true"/>
        </w:rPr>
        <w:t>(</w:t>
      </w:r>
      <w:r>
        <w:rPr>
          <w:rtl w:val="true"/>
        </w:rPr>
        <w:t xml:space="preserve">ت </w:t>
      </w:r>
      <w:r>
        <w:rPr/>
        <w:t>1091</w:t>
      </w:r>
      <w:r>
        <w:rPr>
          <w:rtl w:val="true"/>
        </w:rPr>
        <w:t xml:space="preserve"> </w:t>
      </w:r>
      <w:r>
        <w:rPr>
          <w:rtl w:val="true"/>
        </w:rPr>
        <w:t xml:space="preserve">ه </w:t>
      </w:r>
      <w:r>
        <w:rPr>
          <w:rtl w:val="true"/>
        </w:rPr>
        <w:t>)</w:t>
      </w:r>
      <w:bookmarkEnd w:id="590"/>
    </w:p>
    <w:p>
      <w:pPr>
        <w:pStyle w:val="BookText"/>
        <w:rPr/>
      </w:pPr>
      <w:r>
        <w:rPr>
          <w:rFonts w:ascii="IRNazanin" w:hAnsi="IRNazanin" w:eastAsia="IRNazanin"/>
          <w:color w:val="111111"/>
          <w:sz w:val="28"/>
          <w:sz w:val="28"/>
          <w:szCs w:val="28"/>
          <w:rtl w:val="true"/>
          <w:lang w:bidi="fa-IR"/>
        </w:rPr>
        <w:t>إن قراءة النصب مردودة عند الکاشانیّ؛ أوّلاً بروایة رواها عن الإمام</w:t>
      </w:r>
      <w:r>
        <w:rPr>
          <w:rStyle w:val="FootnoteAnchor"/>
          <w:rtl w:val="true"/>
        </w:rPr>
        <w:footnoteReference w:id="813"/>
      </w:r>
      <w:r>
        <w:rPr>
          <w:rFonts w:ascii="IRNazanin" w:hAnsi="IRNazanin" w:eastAsia="IRNazanin"/>
          <w:color w:val="111111"/>
          <w:sz w:val="28"/>
          <w:sz w:val="28"/>
          <w:szCs w:val="28"/>
          <w:rtl w:val="true"/>
          <w:lang w:bidi="fa-IR"/>
        </w:rPr>
        <w:t>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الصحّة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ومفیدة للمسح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النصب عطفاً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کقول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موضع زید المنصوب مفعولاً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قانون الفصاحة، بل عن أُسلوب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المسح علی الرجلین مرویّة عند الفریقین</w:t>
      </w:r>
      <w:r>
        <w:rPr>
          <w:rStyle w:val="FootnoteAnchor"/>
          <w:rtl w:val="true"/>
        </w:rPr>
        <w:footnoteReference w:id="814"/>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p>
    <w:p>
      <w:pPr>
        <w:pStyle w:val="Heading3"/>
        <w:numPr>
          <w:ilvl w:val="2"/>
          <w:numId w:val="1"/>
        </w:numPr>
        <w:rPr/>
      </w:pPr>
      <w:bookmarkStart w:id="591" w:name="__RefHeading___Toc972476_237004111"/>
      <w:bookmarkStart w:id="592" w:name="_Toc212"/>
      <w:bookmarkEnd w:id="591"/>
      <w:r>
        <w:rPr/>
        <w:t>71</w:t>
      </w:r>
      <w:r>
        <w:rPr>
          <w:rtl w:val="true"/>
        </w:rPr>
        <w:t xml:space="preserve"> - </w:t>
      </w:r>
      <w:r>
        <w:rPr>
          <w:rtl w:val="true"/>
        </w:rPr>
        <w:t xml:space="preserve">المحقّق الخوانساریّ </w:t>
      </w:r>
      <w:r>
        <w:rPr>
          <w:rtl w:val="true"/>
        </w:rPr>
        <w:t>(</w:t>
      </w:r>
      <w:r>
        <w:rPr>
          <w:rtl w:val="true"/>
        </w:rPr>
        <w:t xml:space="preserve">ت </w:t>
      </w:r>
      <w:r>
        <w:rPr/>
        <w:t>1099</w:t>
      </w:r>
      <w:r>
        <w:rPr>
          <w:rtl w:val="true"/>
        </w:rPr>
        <w:t xml:space="preserve"> </w:t>
      </w:r>
      <w:r>
        <w:rPr>
          <w:rtl w:val="true"/>
        </w:rPr>
        <w:t xml:space="preserve">ه </w:t>
      </w:r>
      <w:r>
        <w:rPr>
          <w:rtl w:val="true"/>
        </w:rPr>
        <w:t>)</w:t>
      </w:r>
      <w:bookmarkEnd w:id="59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المحقق الخوانساریّ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المسح، واستند فی دعواه إلی أُمور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إجماع الشیعة علی المسح تبعاً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فیه أهل الخلاف، وتقدّم أنّ بعضهم أوجب الغسل، وبعضهم أوجب الجمع، وبعضهم جعل المکلّف مخیّراً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الوضوء إمّا مجرورة کما فی بعض القراءات، أو منصوبة کما فی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الجرّ فهی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ومفید حکمها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النصب أیضاً تکون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ومفید الحکم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المسح عامل قریب والغسل عامل بعید، والأقرب مانع عن الأبعد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العطف علی المحلّ شائع فی کلام العرب وواقع فی فصیح الکلام فلا مانع منه 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الأولویّة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أولویّة العطف علی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لفظاً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یعارض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مرجّح آخر، وهو حصول التطابق بین القراءتین فی إفادة معنی واحد وهو المسح</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کثیرة تکاد أن تبلغ حدّ التواتر، وقد تقدّم نقلها عن السنّة، وهی منقولة عن النبیّ صلی الله علیه و آله وأمیرالمؤمنین علیه السلام وابن عبّاس وعکرمة والشعبیّ </w:t>
      </w:r>
      <w:bookmarkStart w:id="593" w:name="pg6193_71280"/>
    </w:p>
    <w:p>
      <w:pPr>
        <w:pStyle w:val="BookText"/>
        <w:rPr/>
      </w:pPr>
      <w:bookmarkEnd w:id="593"/>
      <w:r>
        <w:rPr>
          <w:rFonts w:ascii="IRNazanin" w:hAnsi="IRNazanin" w:eastAsia="IRNazanin"/>
          <w:color w:val="111111"/>
          <w:sz w:val="28"/>
          <w:sz w:val="28"/>
          <w:szCs w:val="28"/>
          <w:rtl w:val="true"/>
          <w:lang w:bidi="fa-IR"/>
        </w:rPr>
        <w:t>وأنس بن مالک وموسی بن أنس</w:t>
      </w:r>
      <w:r>
        <w:rPr>
          <w:rStyle w:val="FootnoteAnchor"/>
          <w:rtl w:val="true"/>
        </w:rPr>
        <w:footnoteReference w:id="817"/>
      </w:r>
      <w:r>
        <w:rPr>
          <w:rFonts w:ascii="IRNazanin" w:hAnsi="IRNazanin" w:eastAsia="IRNazanin"/>
          <w:color w:val="111111"/>
          <w:sz w:val="28"/>
          <w:sz w:val="28"/>
          <w:szCs w:val="28"/>
          <w:rtl w:val="true"/>
          <w:lang w:bidi="fa-IR"/>
        </w:rPr>
        <w:t>وغیرهم، مضافاً إلی الروایات المرویّة عن أهل بیت الوحی علیهم السلام</w:t>
      </w:r>
      <w:r>
        <w:rPr>
          <w:rFonts w:eastAsia="IRNazanin" w:cs="IRNazanin"/>
          <w:color w:val="111111"/>
          <w:sz w:val="28"/>
          <w:szCs w:val="28"/>
          <w:rtl w:val="true"/>
          <w:lang w:bidi="fa-IR"/>
        </w:rPr>
        <w:t>.</w:t>
      </w:r>
    </w:p>
    <w:p>
      <w:pPr>
        <w:pStyle w:val="Heading3"/>
        <w:numPr>
          <w:ilvl w:val="2"/>
          <w:numId w:val="1"/>
        </w:numPr>
        <w:rPr/>
      </w:pPr>
      <w:bookmarkStart w:id="594" w:name="__RefHeading___Toc972478_237004111"/>
      <w:bookmarkStart w:id="595" w:name="_Toc213"/>
      <w:bookmarkEnd w:id="594"/>
      <w:r>
        <w:rPr/>
        <w:t>72</w:t>
      </w:r>
      <w:r>
        <w:rPr>
          <w:rtl w:val="true"/>
        </w:rPr>
        <w:t xml:space="preserve"> - </w:t>
      </w:r>
      <w:r>
        <w:rPr>
          <w:rtl w:val="true"/>
        </w:rPr>
        <w:t xml:space="preserve">الحویزیّ </w:t>
      </w:r>
      <w:r>
        <w:rPr>
          <w:rtl w:val="true"/>
        </w:rPr>
        <w:t>(</w:t>
      </w:r>
      <w:r>
        <w:rPr>
          <w:rtl w:val="true"/>
        </w:rPr>
        <w:t xml:space="preserve">ت </w:t>
      </w:r>
      <w:r>
        <w:rPr/>
        <w:t>1112</w:t>
      </w:r>
      <w:r>
        <w:rPr>
          <w:rtl w:val="true"/>
        </w:rPr>
        <w:t xml:space="preserve"> </w:t>
      </w:r>
      <w:r>
        <w:rPr>
          <w:rtl w:val="true"/>
        </w:rPr>
        <w:t xml:space="preserve">ه </w:t>
      </w:r>
      <w:r>
        <w:rPr>
          <w:rtl w:val="true"/>
        </w:rPr>
        <w:t>)</w:t>
      </w:r>
      <w:bookmarkEnd w:id="595"/>
    </w:p>
    <w:p>
      <w:pPr>
        <w:pStyle w:val="BookText"/>
        <w:rPr/>
      </w:pPr>
      <w:r>
        <w:rPr>
          <w:rFonts w:ascii="IRNazanin" w:hAnsi="IRNazanin" w:eastAsia="IRNazanin"/>
          <w:color w:val="111111"/>
          <w:sz w:val="28"/>
          <w:sz w:val="28"/>
          <w:szCs w:val="28"/>
          <w:rtl w:val="true"/>
          <w:lang w:bidi="fa-IR"/>
        </w:rPr>
        <w:t xml:space="preserve">لم یتعرّض الحویزی للقراءتین، وحکم بمسح الرجلین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الباء الزائدة علی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المسح ببعض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مالک، حیث أوجب الاستیعاب مخالفةً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الحکم فیها المسح ببعض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ذلک المسح ببعض الرجل أیضاً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972480_237004111"/>
      <w:bookmarkStart w:id="597" w:name="_Toc214"/>
      <w:bookmarkEnd w:id="596"/>
      <w:r>
        <w:rPr/>
        <w:t>73</w:t>
      </w:r>
      <w:r>
        <w:rPr>
          <w:rtl w:val="true"/>
        </w:rPr>
        <w:t xml:space="preserve"> - </w:t>
      </w:r>
      <w:r>
        <w:rPr>
          <w:rtl w:val="true"/>
        </w:rPr>
        <w:t xml:space="preserve">البناء صاحب الإتحاف </w:t>
      </w:r>
      <w:r>
        <w:rPr>
          <w:rtl w:val="true"/>
        </w:rPr>
        <w:t>(</w:t>
      </w:r>
      <w:r>
        <w:rPr>
          <w:rtl w:val="true"/>
        </w:rPr>
        <w:t xml:space="preserve">ت </w:t>
      </w:r>
      <w:r>
        <w:rPr/>
        <w:t>1117</w:t>
      </w:r>
      <w:r>
        <w:rPr>
          <w:rtl w:val="true"/>
        </w:rPr>
        <w:t xml:space="preserve"> </w:t>
      </w:r>
      <w:r>
        <w:rPr>
          <w:rtl w:val="true"/>
        </w:rPr>
        <w:t xml:space="preserve">ه </w:t>
      </w:r>
      <w:r>
        <w:rPr>
          <w:rtl w:val="true"/>
        </w:rPr>
        <w:t>)</w:t>
      </w:r>
      <w:bookmarkEnd w:id="597"/>
    </w:p>
    <w:p>
      <w:pPr>
        <w:pStyle w:val="BookText"/>
        <w:rPr/>
      </w:pPr>
      <w:r>
        <w:rPr>
          <w:rFonts w:ascii="IRNazanin" w:hAnsi="IRNazanin" w:eastAsia="IRNazanin"/>
          <w:color w:val="111111"/>
          <w:sz w:val="28"/>
          <w:sz w:val="28"/>
          <w:szCs w:val="28"/>
          <w:rtl w:val="true"/>
          <w:lang w:bidi="fa-IR"/>
        </w:rPr>
        <w:t xml:space="preserve">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البناء صاحب الإتحاف عن نافع وابن عامر وحفص والکسائیّ ویعقوب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وحکم علیها بالغسل کالوجه‌علی وفق قاعدة العطف والتشریک، وجعل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معترضة بین المتعاطفین، ثمّ ادّعی أنّ ذلک کثیر فی القرآن وکلام العرب</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جملة المسح علی الاعتراض دلیل علی الجهل بقواعد النحویّین ورجم بالغیب، فإنّ الجملة الاعتراضیّة لها مواطن خاصّة بها ولیس هذه منها، وأنا أذکر المواضع واحدة تلو الأُخری حتّی یتبیّن لک فساد هذا القول، ولم یعبّر عن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بالاعتراض أحد ممّن سبق صاحب الإتحاف، حیث کانوا عارفین بمواضعها</w:t>
      </w:r>
      <w:r>
        <w:rPr>
          <w:rStyle w:val="FootnoteAnchor"/>
          <w:rtl w:val="true"/>
        </w:rPr>
        <w:footnoteReference w:id="820"/>
      </w:r>
      <w:r>
        <w:rPr>
          <w:rFonts w:ascii="IRNazanin" w:hAnsi="IRNazanin" w:eastAsia="IRNazanin"/>
          <w:color w:val="111111"/>
          <w:sz w:val="28"/>
          <w:sz w:val="28"/>
          <w:szCs w:val="28"/>
          <w:rtl w:val="true"/>
          <w:lang w:bidi="fa-IR"/>
        </w:rPr>
        <w:t>، بل عبّروا بالفاصل وغیره</w:t>
      </w:r>
      <w:r>
        <w:rPr>
          <w:rFonts w:eastAsia="IRNazanin" w:cs="IRNazanin"/>
          <w:color w:val="111111"/>
          <w:sz w:val="28"/>
          <w:szCs w:val="28"/>
          <w:rtl w:val="true"/>
          <w:lang w:bidi="fa-IR"/>
        </w:rPr>
        <w:t xml:space="preserve">. </w:t>
      </w:r>
      <w:bookmarkStart w:id="598" w:name="pg6193_71284"/>
    </w:p>
    <w:p>
      <w:pPr>
        <w:pStyle w:val="BookText"/>
        <w:rPr/>
      </w:pPr>
      <w:bookmarkEnd w:id="598"/>
      <w:r>
        <w:rPr>
          <w:rFonts w:ascii="IRNazanin" w:hAnsi="IRNazanin" w:eastAsia="IRNazanin"/>
          <w:color w:val="111111"/>
          <w:sz w:val="28"/>
          <w:sz w:val="28"/>
          <w:szCs w:val="28"/>
          <w:rtl w:val="true"/>
          <w:lang w:bidi="fa-IR"/>
        </w:rPr>
        <w:t>ولو کان حمل الجملة علی الاعتراض صحیحاً لما جری النزاع فی الحکم بالمسح والغسل، واتفق الجمیع علی الغسل</w:t>
      </w:r>
      <w:r>
        <w:rPr>
          <w:rFonts w:eastAsia="IRNazanin" w:cs="IRNazanin"/>
          <w:color w:val="111111"/>
          <w:sz w:val="28"/>
          <w:szCs w:val="28"/>
          <w:rtl w:val="true"/>
          <w:lang w:bidi="fa-IR"/>
        </w:rPr>
        <w:t>.</w:t>
      </w:r>
    </w:p>
    <w:p>
      <w:pPr>
        <w:pStyle w:val="Heading3"/>
        <w:numPr>
          <w:ilvl w:val="2"/>
          <w:numId w:val="1"/>
        </w:numPr>
        <w:rPr/>
      </w:pPr>
      <w:bookmarkStart w:id="599" w:name="__RefHeading___Toc972482_237004111"/>
      <w:bookmarkStart w:id="600" w:name="_Toc215"/>
      <w:bookmarkEnd w:id="599"/>
      <w:r>
        <w:rPr/>
        <w:t>74</w:t>
      </w:r>
      <w:r>
        <w:rPr>
          <w:rtl w:val="true"/>
        </w:rPr>
        <w:t xml:space="preserve"> - </w:t>
      </w:r>
      <w:r>
        <w:rPr>
          <w:rtl w:val="true"/>
        </w:rPr>
        <w:t xml:space="preserve">المیرزا محمد المشهدیّ القمّی </w:t>
      </w:r>
      <w:r>
        <w:rPr>
          <w:rtl w:val="true"/>
        </w:rPr>
        <w:t>(</w:t>
      </w:r>
      <w:r>
        <w:rPr>
          <w:rtl w:val="true"/>
        </w:rPr>
        <w:t xml:space="preserve">ت </w:t>
      </w:r>
      <w:r>
        <w:rPr/>
        <w:t>1125</w:t>
      </w:r>
      <w:r>
        <w:rPr>
          <w:rtl w:val="true"/>
        </w:rPr>
        <w:t xml:space="preserve"> </w:t>
      </w:r>
      <w:r>
        <w:rPr>
          <w:rtl w:val="true"/>
        </w:rPr>
        <w:t xml:space="preserve">ه </w:t>
      </w:r>
      <w:r>
        <w:rPr>
          <w:rtl w:val="true"/>
        </w:rPr>
        <w:t>)</w:t>
      </w:r>
      <w:bookmarkEnd w:id="60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المشهدیّ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وجرّ ورفع فالنّصب علی العطف </w:t>
      </w:r>
      <w:bookmarkStart w:id="601" w:name="pg6193_71286"/>
    </w:p>
    <w:p>
      <w:pPr>
        <w:pStyle w:val="BookText"/>
        <w:rPr/>
      </w:pPr>
      <w:bookmarkEnd w:id="601"/>
      <w:r>
        <w:rPr>
          <w:rFonts w:ascii="IRNazanin" w:hAnsi="IRNazanin" w:eastAsia="IRNazanin"/>
          <w:color w:val="111111"/>
          <w:sz w:val="28"/>
          <w:sz w:val="28"/>
          <w:szCs w:val="28"/>
          <w:rtl w:val="true"/>
          <w:lang w:bidi="fa-IR"/>
        </w:rPr>
        <w:t xml:space="preserve">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وعمرو، ولکن العطف علی الوجوه علی تقدیر النّصب کما یقوله العامّة عربی ردیّ</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972484_237004111"/>
      <w:bookmarkStart w:id="603" w:name="_Toc216"/>
      <w:bookmarkEnd w:id="602"/>
      <w:r>
        <w:rPr/>
        <w:t>75</w:t>
      </w:r>
      <w:r>
        <w:rPr>
          <w:rtl w:val="true"/>
        </w:rPr>
        <w:t xml:space="preserve"> - </w:t>
      </w:r>
      <w:r>
        <w:rPr>
          <w:rtl w:val="true"/>
        </w:rPr>
        <w:t xml:space="preserve">المظهری النّقشبندی الحنفی </w:t>
      </w:r>
      <w:r>
        <w:rPr>
          <w:rtl w:val="true"/>
        </w:rPr>
        <w:t>(</w:t>
      </w:r>
      <w:r>
        <w:rPr>
          <w:rtl w:val="true"/>
        </w:rPr>
        <w:t xml:space="preserve">ت </w:t>
      </w:r>
      <w:r>
        <w:rPr/>
        <w:t>1143</w:t>
      </w:r>
      <w:r>
        <w:rPr>
          <w:rtl w:val="true"/>
        </w:rPr>
        <w:t xml:space="preserve"> </w:t>
      </w:r>
      <w:r>
        <w:rPr>
          <w:rtl w:val="true"/>
        </w:rPr>
        <w:t xml:space="preserve">ه </w:t>
      </w:r>
      <w:r>
        <w:rPr>
          <w:rtl w:val="true"/>
        </w:rPr>
        <w:t>)</w:t>
      </w:r>
      <w:bookmarkEnd w:id="603"/>
    </w:p>
    <w:p>
      <w:pPr>
        <w:pStyle w:val="BookText"/>
        <w:rPr/>
      </w:pPr>
      <w:r>
        <w:rPr>
          <w:rFonts w:ascii="IRNazanin" w:hAnsi="IRNazanin" w:eastAsia="IRNazanin"/>
          <w:color w:val="111111"/>
          <w:sz w:val="28"/>
          <w:sz w:val="28"/>
          <w:szCs w:val="28"/>
          <w:rtl w:val="true"/>
          <w:lang w:bidi="fa-IR"/>
        </w:rPr>
        <w:t>قال المظهریّ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والکسائی، ویعقوب، وحفص بالنّصب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ضرب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الغایة لا یضرب فی الممسوح کالرأس وأعضاء التیمّم، إنّما یضرب للمغسولات</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ضرب الغایة لا یستلزم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غیر محدودة، والأیدی محدودة ومع ذلک عطفت الأیدی علی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الغایة لا یضرب فی 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یضرب للمغسولات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أدبا، فإنّ القواعد الأدبیة تقتضی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ضرب</w:t>
      </w:r>
      <w:r>
        <w:rPr>
          <w:rFonts w:eastAsia="IRNazanin" w:cs="IRNazanin"/>
          <w:color w:val="111111"/>
          <w:sz w:val="28"/>
          <w:szCs w:val="28"/>
          <w:rtl w:val="true"/>
          <w:lang w:bidi="fa-IR"/>
        </w:rPr>
        <w:t>!</w:t>
      </w:r>
    </w:p>
    <w:p>
      <w:pPr>
        <w:pStyle w:val="Heading3"/>
        <w:numPr>
          <w:ilvl w:val="2"/>
          <w:numId w:val="1"/>
        </w:numPr>
        <w:rPr/>
      </w:pPr>
      <w:bookmarkStart w:id="604" w:name="__RefHeading___Toc972486_237004111"/>
      <w:bookmarkStart w:id="605" w:name="_Toc217"/>
      <w:bookmarkEnd w:id="604"/>
      <w:r>
        <w:rPr/>
        <w:t>76</w:t>
      </w:r>
      <w:r>
        <w:rPr>
          <w:rtl w:val="true"/>
        </w:rPr>
        <w:t xml:space="preserve"> - </w:t>
      </w:r>
      <w:r>
        <w:rPr>
          <w:rtl w:val="true"/>
        </w:rPr>
        <w:t>أبو العباس أحمد بن محمد</w:t>
      </w:r>
      <w:r>
        <w:rPr>
          <w:rtl w:val="true"/>
        </w:rPr>
        <w:t xml:space="preserve">... </w:t>
      </w:r>
      <w:r>
        <w:rPr>
          <w:rtl w:val="true"/>
        </w:rPr>
        <w:t xml:space="preserve">ابن عجیبة الحسنی </w:t>
      </w:r>
      <w:r>
        <w:rPr>
          <w:rtl w:val="true"/>
        </w:rPr>
        <w:t>(</w:t>
      </w:r>
      <w:r>
        <w:rPr>
          <w:rtl w:val="true"/>
        </w:rPr>
        <w:t xml:space="preserve">ت </w:t>
      </w:r>
      <w:r>
        <w:rPr/>
        <w:t>1224</w:t>
      </w:r>
      <w:r>
        <w:rPr>
          <w:rtl w:val="true"/>
        </w:rPr>
        <w:t xml:space="preserve"> </w:t>
      </w:r>
      <w:r>
        <w:rPr>
          <w:rtl w:val="true"/>
        </w:rPr>
        <w:t xml:space="preserve">ه </w:t>
      </w:r>
      <w:r>
        <w:rPr>
          <w:rtl w:val="true"/>
        </w:rPr>
        <w:t>)</w:t>
      </w:r>
      <w:bookmarkEnd w:id="60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 ابن عجیبة الحسنی فی 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نصب عطف علی </w:t>
      </w:r>
      <w:bookmarkStart w:id="606" w:name="pg6193_71288"/>
    </w:p>
    <w:p>
      <w:pPr>
        <w:pStyle w:val="BookText"/>
        <w:rPr/>
      </w:pPr>
      <w:bookmarkEnd w:id="606"/>
      <w:r>
        <w:rPr>
          <w:rFonts w:ascii="IRNazanin" w:hAnsi="IRNazanin" w:eastAsia="IRNazanin"/>
          <w:color w:val="111111"/>
          <w:sz w:val="28"/>
          <w:sz w:val="28"/>
          <w:szCs w:val="28"/>
          <w:rtl w:val="true"/>
          <w:lang w:bidi="fa-IR"/>
        </w:rPr>
        <w:t>الوجه</w:t>
      </w:r>
      <w:r>
        <w:rPr>
          <w:rStyle w:val="FootnoteAnchor"/>
          <w:rtl w:val="true"/>
        </w:rPr>
        <w:footnoteReference w:id="823"/>
      </w:r>
      <w:r>
        <w:rPr>
          <w:rFonts w:ascii="IRNazanin" w:hAnsi="IRNazanin" w:eastAsia="IRNazanin"/>
          <w:color w:val="111111"/>
          <w:sz w:val="28"/>
          <w:sz w:val="28"/>
          <w:szCs w:val="28"/>
          <w:rtl w:val="true"/>
          <w:lang w:bidi="fa-IR"/>
        </w:rPr>
        <w:t>، ویأتی کلامه کاملاً فی الجرّ بالجوار مع جوابنا له</w:t>
      </w:r>
      <w:r>
        <w:rPr>
          <w:rFonts w:eastAsia="IRNazanin" w:cs="IRNazanin"/>
          <w:color w:val="111111"/>
          <w:sz w:val="28"/>
          <w:szCs w:val="28"/>
          <w:rtl w:val="true"/>
          <w:lang w:bidi="fa-IR"/>
        </w:rPr>
        <w:t>.</w:t>
      </w:r>
    </w:p>
    <w:p>
      <w:pPr>
        <w:pStyle w:val="Heading3"/>
        <w:numPr>
          <w:ilvl w:val="2"/>
          <w:numId w:val="1"/>
        </w:numPr>
        <w:rPr/>
      </w:pPr>
      <w:bookmarkStart w:id="607" w:name="__RefHeading___Toc972488_237004111"/>
      <w:bookmarkStart w:id="608" w:name="_Toc218"/>
      <w:bookmarkEnd w:id="607"/>
      <w:r>
        <w:rPr/>
        <w:t>77</w:t>
      </w:r>
      <w:r>
        <w:rPr>
          <w:rtl w:val="true"/>
        </w:rPr>
        <w:t xml:space="preserve"> - </w:t>
      </w:r>
      <w:r>
        <w:rPr>
          <w:rtl w:val="true"/>
        </w:rPr>
        <w:t xml:space="preserve">المحقّق البحرانی </w:t>
      </w:r>
      <w:r>
        <w:rPr>
          <w:rtl w:val="true"/>
        </w:rPr>
        <w:t>(</w:t>
      </w:r>
      <w:r>
        <w:rPr>
          <w:rtl w:val="true"/>
        </w:rPr>
        <w:t xml:space="preserve">ت </w:t>
      </w:r>
      <w:r>
        <w:rPr/>
        <w:t>1186</w:t>
      </w:r>
      <w:r>
        <w:rPr>
          <w:rtl w:val="true"/>
        </w:rPr>
        <w:t xml:space="preserve"> </w:t>
      </w:r>
      <w:r>
        <w:rPr>
          <w:rtl w:val="true"/>
        </w:rPr>
        <w:t xml:space="preserve">ه </w:t>
      </w:r>
      <w:r>
        <w:rPr>
          <w:rtl w:val="true"/>
        </w:rPr>
        <w:t>)</w:t>
      </w:r>
      <w:bookmarkEnd w:id="608"/>
    </w:p>
    <w:p>
      <w:pPr>
        <w:pStyle w:val="BookText"/>
        <w:rPr/>
      </w:pPr>
      <w:r>
        <w:rPr>
          <w:rFonts w:ascii="IRNazanin" w:hAnsi="IRNazanin" w:eastAsia="IRNazanin"/>
          <w:color w:val="111111"/>
          <w:sz w:val="28"/>
          <w:sz w:val="28"/>
          <w:szCs w:val="28"/>
          <w:rtl w:val="true"/>
          <w:lang w:bidi="fa-IR"/>
        </w:rPr>
        <w:t xml:space="preserve">اعتبر البحرانی قراءة الجر دون النص، وقد رواها غالب بن الهذیل عن أبی جعفر الباقر للعلوم علیه السلام حینما 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مجرورة أم منصوبة؟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علی الخفض</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النصب فمردود عنده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من الروایة الصحیحة الصریحة الفاصلة للنزاع عند العارفین بأهل البیت علیهم السلام، وأنّ الکتاب نزل علی لغتهم وفی بیتهم،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بالبعید أنّ هذه القراءة کغیرها من المحدثات فی القرآن العزیز</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قدّرنا صحّتها لکان دالّاً علی المسح أیضاً بالعطف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کقول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إلّاأنّ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تدلّ علیه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علی 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ورخّصوا النصب والقراءة بما یقرؤهُ الناس إلی ظهور صاحب الأمر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609" w:name="__RefHeading___Toc972490_237004111"/>
      <w:bookmarkStart w:id="610" w:name="_Toc219"/>
      <w:bookmarkEnd w:id="609"/>
      <w:r>
        <w:rPr/>
        <w:t>78</w:t>
      </w:r>
      <w:r>
        <w:rPr>
          <w:rtl w:val="true"/>
        </w:rPr>
        <w:t xml:space="preserve"> - </w:t>
      </w:r>
      <w:r>
        <w:rPr>
          <w:rtl w:val="true"/>
        </w:rPr>
        <w:t xml:space="preserve">السیّد عبداللّه الشُّبَّر </w:t>
      </w:r>
      <w:r>
        <w:rPr>
          <w:rtl w:val="true"/>
        </w:rPr>
        <w:t>(</w:t>
      </w:r>
      <w:r>
        <w:rPr>
          <w:rtl w:val="true"/>
        </w:rPr>
        <w:t xml:space="preserve">ت </w:t>
      </w:r>
      <w:r>
        <w:rPr/>
        <w:t>1242</w:t>
      </w:r>
      <w:r>
        <w:rPr>
          <w:rtl w:val="true"/>
        </w:rPr>
        <w:t xml:space="preserve"> </w:t>
      </w:r>
      <w:r>
        <w:rPr>
          <w:rtl w:val="true"/>
        </w:rPr>
        <w:t xml:space="preserve">ه </w:t>
      </w:r>
      <w:r>
        <w:rPr>
          <w:rtl w:val="true"/>
        </w:rPr>
        <w:t>)</w:t>
      </w:r>
      <w:bookmarkEnd w:id="61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الآیة قرأت بالجرّ والنّصب، والقراءتان معنا، أمّا الجرّ </w:t>
      </w:r>
      <w:bookmarkStart w:id="611" w:name="pg6193_71291"/>
    </w:p>
    <w:p>
      <w:pPr>
        <w:pStyle w:val="BookText"/>
        <w:rPr/>
      </w:pPr>
      <w:bookmarkEnd w:id="611"/>
      <w:r>
        <w:rPr>
          <w:rFonts w:ascii="IRNazanin" w:hAnsi="IRNazanin" w:eastAsia="IRNazanin"/>
          <w:color w:val="111111"/>
          <w:sz w:val="28"/>
          <w:sz w:val="28"/>
          <w:szCs w:val="28"/>
          <w:rtl w:val="true"/>
          <w:lang w:bidi="fa-IR"/>
        </w:rPr>
        <w:t>فواضح</w:t>
      </w:r>
      <w:r>
        <w:rPr>
          <w:rStyle w:val="FootnoteAnchor"/>
          <w:rtl w:val="true"/>
        </w:rPr>
        <w:footnoteReference w:id="826"/>
      </w:r>
      <w:r>
        <w:rPr>
          <w:rFonts w:ascii="IRNazanin" w:hAnsi="IRNazanin" w:eastAsia="IRNazanin"/>
          <w:color w:val="111111"/>
          <w:sz w:val="28"/>
          <w:sz w:val="28"/>
          <w:szCs w:val="28"/>
          <w:rtl w:val="true"/>
          <w:lang w:bidi="fa-IR"/>
        </w:rPr>
        <w:t xml:space="preserve">، وأمّا النّصب فلعطفها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فی کلام الفصحاء والقرآن العزیز غیر عزیز، فالقراءتان متطابقتان فی وجوب المسح، وعطفها علی الوجوه من أقبح الوجوه لإخراجه للکلام عن حلیة الإنتظام، وتقدیر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الأصل وإنّما ارتکب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الحمل علی المذکور، ولم یتعذّر هنا لصحّته علی المحل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قال فی تفسیره الآخر الملخص باسم تفسیر القرآن الکریم</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972492_237004111"/>
      <w:bookmarkStart w:id="613" w:name="_Toc220"/>
      <w:bookmarkEnd w:id="612"/>
      <w:r>
        <w:rPr/>
        <w:t>79</w:t>
      </w:r>
      <w:r>
        <w:rPr>
          <w:rtl w:val="true"/>
        </w:rPr>
        <w:t xml:space="preserve"> - </w:t>
      </w:r>
      <w:r>
        <w:rPr>
          <w:rtl w:val="true"/>
        </w:rPr>
        <w:t xml:space="preserve">الشوکانیّ </w:t>
      </w:r>
      <w:r>
        <w:rPr>
          <w:rtl w:val="true"/>
        </w:rPr>
        <w:t>(</w:t>
      </w:r>
      <w:r>
        <w:rPr>
          <w:rtl w:val="true"/>
        </w:rPr>
        <w:t xml:space="preserve">ت </w:t>
      </w:r>
      <w:r>
        <w:rPr/>
        <w:t>1255</w:t>
      </w:r>
      <w:r>
        <w:rPr>
          <w:rtl w:val="true"/>
        </w:rPr>
        <w:t xml:space="preserve"> </w:t>
      </w:r>
      <w:r>
        <w:rPr>
          <w:rtl w:val="true"/>
        </w:rPr>
        <w:t xml:space="preserve">ه </w:t>
      </w:r>
      <w:r>
        <w:rPr>
          <w:rtl w:val="true"/>
        </w:rPr>
        <w:t>)</w:t>
      </w:r>
      <w:bookmarkEnd w:id="613"/>
    </w:p>
    <w:p>
      <w:pPr>
        <w:pStyle w:val="BookText"/>
        <w:rPr/>
      </w:pPr>
      <w:r>
        <w:rPr>
          <w:rFonts w:ascii="IRNazanin" w:hAnsi="IRNazanin" w:eastAsia="IRNazanin"/>
          <w:color w:val="111111"/>
          <w:sz w:val="28"/>
          <w:sz w:val="28"/>
          <w:szCs w:val="28"/>
          <w:rtl w:val="true"/>
          <w:lang w:bidi="fa-IR"/>
        </w:rPr>
        <w:t xml:space="preserve">جعل الشوکانی هذه القراءة مفیدة للغسل عطفاً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یتعرّض لذکر الدلیل، بل استند فی فتواه إلی جمهور العلماء</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972494_237004111"/>
      <w:bookmarkStart w:id="615" w:name="_Toc221"/>
      <w:bookmarkEnd w:id="614"/>
      <w:r>
        <w:rPr/>
        <w:t>80</w:t>
      </w:r>
      <w:r>
        <w:rPr>
          <w:rtl w:val="true"/>
        </w:rPr>
        <w:t xml:space="preserve"> - </w:t>
      </w:r>
      <w:r>
        <w:rPr>
          <w:rtl w:val="true"/>
        </w:rPr>
        <w:t xml:space="preserve">الجواهریّ </w:t>
      </w:r>
      <w:r>
        <w:rPr>
          <w:rtl w:val="true"/>
        </w:rPr>
        <w:t>(</w:t>
      </w:r>
      <w:r>
        <w:rPr>
          <w:rtl w:val="true"/>
        </w:rPr>
        <w:t xml:space="preserve">ت </w:t>
      </w:r>
      <w:r>
        <w:rPr/>
        <w:t>1266</w:t>
      </w:r>
      <w:r>
        <w:rPr>
          <w:rtl w:val="true"/>
        </w:rPr>
        <w:t xml:space="preserve"> </w:t>
      </w:r>
      <w:r>
        <w:rPr>
          <w:rtl w:val="true"/>
        </w:rPr>
        <w:t xml:space="preserve">ه </w:t>
      </w:r>
      <w:r>
        <w:rPr>
          <w:rtl w:val="true"/>
        </w:rPr>
        <w:t>)</w:t>
      </w:r>
      <w:bookmarkEnd w:id="615"/>
    </w:p>
    <w:p>
      <w:pPr>
        <w:pStyle w:val="BookText"/>
        <w:rPr/>
      </w:pPr>
      <w:r>
        <w:rPr>
          <w:rFonts w:ascii="IRNazanin" w:hAnsi="IRNazanin" w:eastAsia="IRNazanin"/>
          <w:color w:val="111111"/>
          <w:sz w:val="28"/>
          <w:sz w:val="28"/>
          <w:szCs w:val="28"/>
          <w:rtl w:val="true"/>
          <w:lang w:bidi="fa-IR"/>
        </w:rPr>
        <w:t>قال الشیح محمد حسن النجفی صاحب الجواهر فی قراءة النصب</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النصب، والمرویّ صحیحاً هو الجرّ</w:t>
      </w:r>
      <w:r>
        <w:rPr>
          <w:rFonts w:eastAsia="Amiri" w:cs="Amiri" w:ascii="Amiri" w:hAnsi="Amiri"/>
          <w:color w:val="111111"/>
          <w:sz w:val="28"/>
          <w:szCs w:val="28"/>
          <w:rtl w:val="true"/>
          <w:lang w:bidi="ar-SA"/>
        </w:rPr>
        <w:t xml:space="preserve">. </w:t>
      </w:r>
      <w:bookmarkStart w:id="616" w:name="pg6193_71293"/>
    </w:p>
    <w:p>
      <w:pPr>
        <w:pStyle w:val="BookText"/>
        <w:rPr/>
      </w:pPr>
      <w:bookmarkEnd w:id="616"/>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سلّمناه، فهی غیر منافیة للجرّ لحمله، علی المحلّ کما أنّ الجرّ کان للعطف علی اللفظ، ومفاد القراءتین واحد وهو المسح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النصب عطفاً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والمُفاد الغسل کما یزعمه أهل السنّة، 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العطف علی المحلّ معیّن لأنّه قریب، والأقرب یمنع الأبعد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یلزم من العطف علی المحلّ الفصل بین المتعاطفین،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الفصل الممنوع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المحلّ لا یستلزم الإخلال بالفصاحة من الانتقال عن جملة إلی أُخری أجنبیّة قبل تمام الغرض،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ذلک، بل فیه إغراء بالجهل ومنافاة للغرض</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حمل قراءة الجرّ علی المجاورة، وإلّا یحصل التنافی بین القراءتین وهو غیر جائز</w:t>
      </w:r>
      <w:r>
        <w:rPr>
          <w:rFonts w:eastAsia="IRNazanin" w:cs="IRNazanin"/>
          <w:color w:val="111111"/>
          <w:sz w:val="28"/>
          <w:szCs w:val="28"/>
          <w:rtl w:val="true"/>
          <w:lang w:bidi="fa-IR"/>
        </w:rPr>
        <w:t>.</w:t>
      </w:r>
    </w:p>
    <w:p>
      <w:pPr>
        <w:pStyle w:val="Heading3"/>
        <w:numPr>
          <w:ilvl w:val="2"/>
          <w:numId w:val="1"/>
        </w:numPr>
        <w:rPr/>
      </w:pPr>
      <w:bookmarkStart w:id="617" w:name="__RefHeading___Toc972496_237004111"/>
      <w:bookmarkStart w:id="618" w:name="_Toc222"/>
      <w:bookmarkEnd w:id="617"/>
      <w:r>
        <w:rPr/>
        <w:t>81</w:t>
      </w:r>
      <w:r>
        <w:rPr>
          <w:rtl w:val="true"/>
        </w:rPr>
        <w:t xml:space="preserve"> - </w:t>
      </w:r>
      <w:r>
        <w:rPr>
          <w:rtl w:val="true"/>
        </w:rPr>
        <w:t xml:space="preserve">الآلوسیّ </w:t>
      </w:r>
      <w:r>
        <w:rPr>
          <w:rtl w:val="true"/>
        </w:rPr>
        <w:t>(</w:t>
      </w:r>
      <w:r>
        <w:rPr>
          <w:rtl w:val="true"/>
        </w:rPr>
        <w:t xml:space="preserve">ت </w:t>
      </w:r>
      <w:r>
        <w:rPr/>
        <w:t>1270</w:t>
      </w:r>
      <w:r>
        <w:rPr>
          <w:rtl w:val="true"/>
        </w:rPr>
        <w:t xml:space="preserve"> </w:t>
      </w:r>
      <w:r>
        <w:rPr>
          <w:rtl w:val="true"/>
        </w:rPr>
        <w:t xml:space="preserve">ه </w:t>
      </w:r>
      <w:r>
        <w:rPr>
          <w:rtl w:val="true"/>
        </w:rPr>
        <w:t>)</w:t>
      </w:r>
      <w:bookmarkEnd w:id="618"/>
    </w:p>
    <w:p>
      <w:pPr>
        <w:pStyle w:val="BookText"/>
        <w:rPr/>
      </w:pPr>
      <w:r>
        <w:rPr>
          <w:rFonts w:ascii="IRNazanin" w:hAnsi="IRNazanin" w:eastAsia="IRNazanin"/>
          <w:color w:val="111111"/>
          <w:sz w:val="28"/>
          <w:sz w:val="28"/>
          <w:szCs w:val="28"/>
          <w:rtl w:val="true"/>
          <w:lang w:bidi="fa-IR"/>
        </w:rPr>
        <w:t>قال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قراءات؛ واحدة شاذّة واثنتان متواترتان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القراءة الشاذّة، وهی الرفع، وهی قراءة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النصب، وهی متواترة عن نافع وابن عامر وحفص والکسائیّ ویعقوب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الجرّ، وهی متواترة عن ابن کثیر وحمزة وأُبی وعاصم بروایة </w:t>
      </w:r>
      <w:bookmarkStart w:id="619" w:name="pg6193_71294"/>
    </w:p>
    <w:p>
      <w:pPr>
        <w:pStyle w:val="BookText"/>
        <w:rPr/>
      </w:pPr>
      <w:bookmarkEnd w:id="619"/>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اختلاف الأُمّة فی المسح والغسل عن تفسیر الرازیّ حرفاً بحرفٍ</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قراءة النصب دلیلاً للقائلین بالغسل من غیر نقض واختلاف، کأنّها مجمع علیها مقبولة عنده، وذکر قراءة الجرّ دلیل القائلین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حجّة القائلین بالغسل فیما خرّج الجرّ، وأنّه بالمجاورة والحکم الغسل کما فی 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امرئ القیس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p>
    <w:p>
      <w:pPr>
        <w:pStyle w:val="BookText"/>
        <w:rPr/>
      </w:pPr>
      <w:r>
        <w:rPr>
          <w:rFonts w:ascii="IRNazanin" w:hAnsi="IRNazanin" w:eastAsia="IRNazanin"/>
          <w:color w:val="111111"/>
          <w:sz w:val="28"/>
          <w:sz w:val="28"/>
          <w:szCs w:val="28"/>
          <w:rtl w:val="true"/>
          <w:lang w:bidi="fa-IR"/>
        </w:rPr>
        <w:t>وضعّفه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 بالجوار لحن قد یتحمّل لأجل الضرورة فی الشعر، وکلام اللّه یجب تنزیهه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یصار إلی الجرّ بالجوار فی مقام الأمن من اللبس کما فیما استشهدوا، واللبس حاصل فی الآیة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 بالجوار لم یرد فی العطف بالحرف، وورد فی النعت والتأکید ضعیفاً</w:t>
      </w:r>
      <w:r>
        <w:rPr>
          <w:rFonts w:eastAsia="IRNazanin" w:cs="IRNazanin"/>
          <w:color w:val="111111"/>
          <w:sz w:val="28"/>
          <w:szCs w:val="28"/>
          <w:rtl w:val="true"/>
          <w:lang w:bidi="fa-IR"/>
        </w:rPr>
        <w:t>.</w:t>
      </w:r>
    </w:p>
    <w:p>
      <w:pPr>
        <w:pStyle w:val="Heading3"/>
        <w:numPr>
          <w:ilvl w:val="2"/>
          <w:numId w:val="1"/>
        </w:numPr>
        <w:rPr/>
      </w:pPr>
      <w:bookmarkStart w:id="620" w:name="__RefHeading___Toc972498_237004111"/>
      <w:bookmarkStart w:id="621" w:name="_Toc223"/>
      <w:bookmarkEnd w:id="620"/>
      <w:r>
        <w:rPr/>
        <w:t>82</w:t>
      </w:r>
      <w:r>
        <w:rPr>
          <w:rtl w:val="true"/>
        </w:rPr>
        <w:t xml:space="preserve"> - </w:t>
      </w:r>
      <w:r>
        <w:rPr>
          <w:rtl w:val="true"/>
        </w:rPr>
        <w:t>محمد جعفر ابن الشیخ محمد إبراهیم الکلباسی</w:t>
      </w:r>
      <w:bookmarkEnd w:id="62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منصوب وعلّامة نصبه الفتحة الظاهرة وهو مضاف والکاف ضمیر متصل مبنیّ علی الضمّ فی محل جرّ، مضاف إلیه والمیم علّامة الجمع</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622" w:name="pg6193_71296"/>
    </w:p>
    <w:p>
      <w:pPr>
        <w:pStyle w:val="BookText"/>
        <w:rPr/>
      </w:pPr>
      <w:bookmarkEnd w:id="622"/>
      <w:r>
        <w:rPr>
          <w:rFonts w:ascii="IRNazanin" w:hAnsi="IRNazanin" w:eastAsia="IRNazanin"/>
          <w:color w:val="111111"/>
          <w:sz w:val="28"/>
          <w:sz w:val="28"/>
          <w:szCs w:val="28"/>
          <w:rtl w:val="true"/>
          <w:lang w:bidi="fa-IR"/>
        </w:rPr>
        <w:t>وهذا مبنیّ علی قراءة النّصب، والشیّخ من ادباء الشیعة الإمامیّة، فأعرابه علی طریقتهم رحمهم اللّه</w:t>
      </w:r>
      <w:r>
        <w:rPr>
          <w:rFonts w:eastAsia="IRNazanin" w:cs="IRNazanin"/>
          <w:color w:val="111111"/>
          <w:sz w:val="28"/>
          <w:szCs w:val="28"/>
          <w:rtl w:val="true"/>
          <w:lang w:bidi="fa-IR"/>
        </w:rPr>
        <w:t>.</w:t>
      </w:r>
    </w:p>
    <w:p>
      <w:pPr>
        <w:pStyle w:val="Heading3"/>
        <w:numPr>
          <w:ilvl w:val="2"/>
          <w:numId w:val="1"/>
        </w:numPr>
        <w:rPr/>
      </w:pPr>
      <w:bookmarkStart w:id="623" w:name="__RefHeading___Toc972500_237004111"/>
      <w:bookmarkStart w:id="624" w:name="_Toc224"/>
      <w:bookmarkEnd w:id="623"/>
      <w:r>
        <w:rPr/>
        <w:t>83</w:t>
      </w:r>
      <w:r>
        <w:rPr>
          <w:rtl w:val="true"/>
        </w:rPr>
        <w:t xml:space="preserve"> - </w:t>
      </w:r>
      <w:r>
        <w:rPr>
          <w:rtl w:val="true"/>
        </w:rPr>
        <w:t xml:space="preserve">محمد بن عمر نووی الجاوی </w:t>
      </w:r>
      <w:r>
        <w:rPr>
          <w:rtl w:val="true"/>
        </w:rPr>
        <w:t>(</w:t>
      </w:r>
      <w:r>
        <w:rPr>
          <w:rtl w:val="true"/>
        </w:rPr>
        <w:t xml:space="preserve">ت </w:t>
      </w:r>
      <w:r>
        <w:rPr/>
        <w:t>1316</w:t>
      </w:r>
      <w:r>
        <w:rPr>
          <w:rtl w:val="true"/>
        </w:rPr>
        <w:t xml:space="preserve"> </w:t>
      </w:r>
      <w:r>
        <w:rPr>
          <w:rtl w:val="true"/>
        </w:rPr>
        <w:t xml:space="preserve">ه </w:t>
      </w:r>
      <w:r>
        <w:rPr>
          <w:rtl w:val="true"/>
        </w:rPr>
        <w:t>)</w:t>
      </w:r>
      <w:bookmarkEnd w:id="624"/>
    </w:p>
    <w:p>
      <w:pPr>
        <w:pStyle w:val="BookText"/>
        <w:rPr/>
      </w:pPr>
      <w:r>
        <w:rPr>
          <w:rFonts w:ascii="IRNazanin" w:hAnsi="IRNazanin" w:eastAsia="IRNazanin"/>
          <w:color w:val="111111"/>
          <w:sz w:val="28"/>
          <w:sz w:val="28"/>
          <w:szCs w:val="28"/>
          <w:rtl w:val="true"/>
          <w:lang w:bidi="fa-IR"/>
        </w:rPr>
        <w:t>قال الجاوی فی 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معطوفة علی الرؤوس لأنّه فی محل نصب، والعطف علی الظّاهر، وعلی المحل جائز کما هو مذهب مشهور للنّحاة، وأمّا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أنّه یجوز أن یکون عامل النّصب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اجتمع العاملان علی معمول واحد کان الأولی إعمال الأقرب وبعضهم لا یجوزون أن یکون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الفصل بین المتعاطفین بجملة مبیّنة حکماً جدیداً لیس منها تأکید للأوّل، ولیست هی اعتراضیّة، فیکون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وجوب المسح، لکنّ المسح، لکنّ الأخبار وردت بالغسل وهو مشتمل علی المسح ولا عکس، فالغسل أقرب إلی الإحتیاط والغسل یقوم مقام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یدلّ علی الغسل التّحدید، وهذا جواب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دفع وجوب المسح بالأخبار لأنّها آحاد ونسخ القرآن بالأحاد لا یجوز</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نفسه أجاب عن اجتماع العاملین فلم یبق لنا مئونة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bookmarkStart w:id="625" w:name="pg6193_71299"/>
    </w:p>
    <w:p>
      <w:pPr>
        <w:pStyle w:val="BookText"/>
        <w:rPr/>
      </w:pPr>
      <w:bookmarkEnd w:id="625"/>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اعترف بأنّ القرآن یدل علی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استدل للغسل بشیئین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وأجاب عنه ضمنیاً بأنّها آحاد لا یمکن نسخ القرآن بالآحاد إلّا أنّه رجع وتمسّک بالأخبار علی وجوب الغسل لاشتمال الغسل علی المسح ولا عکس</w:t>
      </w:r>
      <w:r>
        <w:rPr>
          <w:rStyle w:val="FootnoteAnchor"/>
          <w:rtl w:val="true"/>
        </w:rPr>
        <w:footnoteReference w:id="835"/>
      </w:r>
      <w:r>
        <w:rPr>
          <w:rFonts w:ascii="IRNazanin" w:hAnsi="IRNazanin" w:eastAsia="IRNazanin"/>
          <w:color w:val="111111"/>
          <w:sz w:val="28"/>
          <w:sz w:val="28"/>
          <w:szCs w:val="28"/>
          <w:rtl w:val="true"/>
          <w:lang w:bidi="fa-IR"/>
        </w:rPr>
        <w:t>، ولأن الغسل أقرب إلی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الأوّل أنّه إذا کانت الأخبار آحاد لا تنهض فی مقابل القرآن فأین الأخبار التی تدلّ علی الغسل؟ وکیف یکون الغسل أقرب للإحتیاط؟ وأیضاً الغسل شیء والمسح شیء آخر فی اصطلاح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التحدید فقد أجبنا عنه فی مواضع عدیدة من هذا المجلد من الکتاب فراجع</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972502_237004111"/>
      <w:bookmarkStart w:id="627" w:name="_Toc225"/>
      <w:bookmarkEnd w:id="626"/>
      <w:r>
        <w:rPr/>
        <w:t>84</w:t>
      </w:r>
      <w:r>
        <w:rPr>
          <w:rtl w:val="true"/>
        </w:rPr>
        <w:t xml:space="preserve"> - </w:t>
      </w:r>
      <w:r>
        <w:rPr>
          <w:rtl w:val="true"/>
        </w:rPr>
        <w:t xml:space="preserve">محمّد جمال الدّین القاسمی </w:t>
      </w:r>
      <w:r>
        <w:rPr>
          <w:rtl w:val="true"/>
        </w:rPr>
        <w:t>(</w:t>
      </w:r>
      <w:r>
        <w:rPr>
          <w:rtl w:val="true"/>
        </w:rPr>
        <w:t xml:space="preserve">ت </w:t>
      </w:r>
      <w:r>
        <w:rPr/>
        <w:t>1283</w:t>
      </w:r>
      <w:r>
        <w:rPr>
          <w:rtl w:val="true"/>
        </w:rPr>
        <w:t>-</w:t>
      </w:r>
      <w:r>
        <w:rPr/>
        <w:t>1332</w:t>
      </w:r>
      <w:r>
        <w:rPr>
          <w:rtl w:val="true"/>
        </w:rPr>
        <w:t xml:space="preserve"> </w:t>
      </w:r>
      <w:r>
        <w:rPr>
          <w:rtl w:val="true"/>
        </w:rPr>
        <w:t xml:space="preserve">ه </w:t>
      </w:r>
      <w:r>
        <w:rPr>
          <w:rtl w:val="true"/>
        </w:rPr>
        <w:t>)</w:t>
      </w:r>
      <w:bookmarkEnd w:id="627"/>
    </w:p>
    <w:p>
      <w:pPr>
        <w:pStyle w:val="BookText"/>
        <w:rPr/>
      </w:pPr>
      <w:r>
        <w:rPr>
          <w:rFonts w:ascii="IRNazanin" w:hAnsi="IRNazanin" w:eastAsia="IRNazanin"/>
          <w:color w:val="111111"/>
          <w:sz w:val="28"/>
          <w:sz w:val="28"/>
          <w:szCs w:val="28"/>
          <w:rtl w:val="true"/>
          <w:lang w:bidi="fa-IR"/>
        </w:rPr>
        <w:t>قال فی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بالنّصب نافع وابن عامر وحفص والکسائی ویعقوب، وبالجر الباقون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الأوّلون قراءة النّصب ظاهرها یفید الغسل وقراءة الجرّ ظاهرها یفید المسح إلّاأنّه لمّا وجد ما یرجّح الغسل تأولنا ما أفادته قراءة الجرّ فی الظّاهر، والمرجّح للغسل امور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الصحیحین والسنن عن عثمان وعلی وابن عباس ومعاویة وعبداللّه بن زید بن عاصم والمقداد بن معد یکرب أنّ رسول اللّه صلی الله علیه و آله غسل الرّجلین فی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عمرو بن شعیب عن أبیه عن جدّه أنّ رسول اللّه صلی الله علیه و آله توضّأ فغسل قدمیه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لا یقبل اللّه الصّلاة إلّابه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الصّحیحین 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رسول اللّه صلی الله علیه و آله فی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نتوضأ ونمسح علی أرجلنا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هو فی الصحیحین عن أبی هریرة، وفی الصحیح عن عائشة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اسبغوا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البیهقی والحاکم بإسناد صحیح عن عبداللّه بن الحرث بن جزء أنّه سمع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وبطون الأقدام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أحمد وابن ماجة وابن جریر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النبیّ صلی الله علیه و آله فی رِجل رجُلٍ مثل الدّرهم لم یغسله،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أحمد عن خالد بن معدان عن بعض أصحاب النبیّ صلی الله علیه و آله أنّ النبیّ صلی الله علیه و آله رأی رجلاً یصلّی وفی ظهر قدمه لمعة قدر الدّرهم لم یصبها الماء، فأمره رسول اللّه أن یعید الوضوء وزاد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روی روایات فی غسل الرجلین، وروایة فی مسح رسول اللّه صلی الله علیه و آله نعلیه وقدمیه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کلّه فی قراءة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الجواب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الأوّلون قراءة النّصب ظاهره یفید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فرع أن یکون </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الوجوه والأیدی وقد أجبنا عنه، مع أنّه یمکن لنا أن نجعله عطفاً علی محلّ الرؤوس وهذا أقرب، ومن دون فصل بین العاطف والمعطوف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الروایات الّتی ذکرها فقد أجبنا عنها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تدلّ علی الغسل، ولو دلّت علی شیء لدلّت علی الطّهارة من النّجاسة فإنّ الأعراب کانوا لا یبالون بها ویمشون بالنّعال أو بالأقدام وکثیراً ما کانت أرجلهم نجسة</w:t>
      </w:r>
      <w:r>
        <w:rPr>
          <w:rStyle w:val="FootnoteAnchor"/>
          <w:rtl w:val="true"/>
        </w:rPr>
        <w:footnoteReference w:id="839"/>
      </w:r>
      <w:r>
        <w:rPr>
          <w:rFonts w:ascii="IRNazanin" w:hAnsi="IRNazanin" w:eastAsia="IRNazanin"/>
          <w:color w:val="111111"/>
          <w:sz w:val="28"/>
          <w:sz w:val="28"/>
          <w:szCs w:val="28"/>
          <w:rtl w:val="true"/>
          <w:lang w:bidi="fa-IR"/>
        </w:rPr>
        <w:t xml:space="preserve">وشّاهده الرّوایة الّتی رواها عبداللّه بن الحرث بن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وبطون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الأعقاب کنایة عن عدم طهارتهم عن الغائط فکانت أعقابهم نجسة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روایة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رسول اللّه رجلا یصلی وفی ظهر قدمه لمعة قدر الدّرهم لم یصبها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مسح ظهر رجله وبقی بعضه قدر الدّرهم جافاً من موضع مسحه لا من موضع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رجله من النّجاسة، ولعلّه کانت دما قدر الدّرهم ولم یغسله فکان وضوءه باطلاً فوجب علیه أن یغسله ویعید الوضوء والصّلاة علی روایة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باقی الروایات فقد مضی الجواب عنهما فی البحث الروائی</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الجرّ محمولة علی الجرّ الجواری، ونظیره کثیر فی القرآن والشّعر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 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بالجرّ فی قراءة حمزة والکسائی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بِأَکْوابٍ وَ أَبارِیقَ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والمعنی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وللنّحاة باب فی ذلک، وقد ساق شذرة من أشباهه ونظائره أبو البقاء هنا فانظره، وما قیل بأنّ حرف العطف مانع عن الجوار زعما بأنّه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بالنّعت والتّأکید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بأنّه ورد فی العطف کثیراً فی کلام العرب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إلّاأسیر غیر منفلت موثّق فی عقال الأسر مکبول</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بالمجاورة للمنفلت وحقّه 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راحل إلی آل بسطام بن قیس فخاطبِ</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للمجاورة وحقه 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حسن الجرّ بالجوار عدم الإلتباس مع تضمّن نکتة، وهنا کذلک فإنّ الغایة دلّت علی أنّه لیس بممسوح إذ المسح لم تضرب له غایة فی الشّریعة، والنکتة فیه الإشارة إلی تخفیفه حتّی کأنّه 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کلام الزّمخشری بالإشارة إلی الاقتصاد فی الغسل لمظنّة الإسراف</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قد أجبنا عن کلّ ما ذکر من الشّواهد من الآیات والأشعار فلا نتحمّل مئونة الجواب مرة اخری فعلیکم بالمراجعة إلی مطاوی کتابنا</w:t>
      </w:r>
      <w:r>
        <w:rPr>
          <w:rStyle w:val="FootnoteAnchor"/>
          <w:rtl w:val="true"/>
        </w:rPr>
        <w:footnoteReference w:id="842"/>
      </w:r>
      <w:r>
        <w:rPr>
          <w:rFonts w:ascii="IRNazanin" w:hAnsi="IRNazanin" w:eastAsia="IRNazanin"/>
          <w:color w:val="111111"/>
          <w:sz w:val="28"/>
          <w:sz w:val="28"/>
          <w:szCs w:val="28"/>
          <w:rtl w:val="true"/>
          <w:lang w:bidi="fa-IR"/>
        </w:rPr>
        <w:t>وهذا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الواجب هو المسح فتمسّک بقراءة الجرّ وهو مذهب الإمامیّة، وأجابوا عن قراءة النّصب بأنّها مقتضیة للمسح أیضاً، وقد وقفت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المقنعة</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من کتبهم فوجدته أطنب فی هذا البحث، ووجّه اقتضاء النّصب للمسح بأنّ موضع الرؤوس موضع نصب لوقوع الفعل الّذی هو المسح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والعطف علی الموضع جائز مشهور فی لغة العرب ثمّ ساق الشّواهد فی ذلک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أنکرتم أن تکون القراءة بالنّصب لا تقتضی الغسل فلا یحتمل المسح لأنّ عطف الأرجل علی موضع الرؤوس فی الإیجاب توسّع وتجوّز، والظّاهر والحقیقة یوجبان عطفها علی اللّفظ لا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علی ما توهّمتم، بل العطف علی الموضع مستحسن فی لغة العرب، وجائز لا علی سبیل الإتساع والعدول عن الحقیقة، فالمتکلّم مخیّر بین حمل الإعراب علی اللّفظ تارة وبین حملة علی الموضع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فی العربیة مشهور عند أهلها، وفی القرآن والشّعر له نظائر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لو سلّمنا أنّ العطف علی اللّفظ أقوی، لکان عطف الأرجل علی موضع الرؤوس أولی مع القراءة بالنّصب لأن نصب الأرجل لا یکون إلّاعلی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بأن یعطف علی الأیدی والوجوه فی الغسل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یعطف علی موضع الرؤوس فینصب ویکون حکمها المسح، وعطفها علی موضع الرؤوس أولی، وذلک أنّ الکلام إذا حصل فیه عاملان أحدهما قریب والآخر بعید فإعمال الأقرب أولی من إعمال الأبعد، وقد نصّ أهل العربیّة علی هذا فی باب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جدلهم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العجب من القاسمی حیث سمّی ما أوردها الشیّخ شاهداً علی مرامه وما أجاب به عن الغسل جدلاً مع أنّ الشیّخ قد فصّل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تهذیب الأحکام فی الجواب عن شبهاتهم وفی الإستدلال علی مقصوده من المسح، وغمض القاسمی عینه عنهما</w:t>
      </w:r>
      <w:r>
        <w:rPr>
          <w:rStyle w:val="FootnoteAnchor"/>
          <w:rtl w:val="true"/>
        </w:rPr>
        <w:footnoteReference w:id="845"/>
      </w:r>
      <w:r>
        <w:rPr>
          <w:rFonts w:ascii="IRNazanin" w:hAnsi="IRNazanin" w:eastAsia="IRNazanin"/>
          <w:color w:val="111111"/>
          <w:sz w:val="28"/>
          <w:sz w:val="28"/>
          <w:szCs w:val="28"/>
          <w:rtl w:val="true"/>
          <w:lang w:bidi="fa-IR"/>
        </w:rPr>
        <w:t>وعبّر عن کلّ ما أورده الشیّخ بالجدل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نفسه نقل عن الحافظ ابن کثیر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طائفة من السّلف، القول بالمسح، فروی ابن جریر عن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أنس ونحن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حدیث الحجاج وقول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وکذب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 وأرجلکم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أنس إذا مسح قدمیه 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صحیح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جریر أیضاً عن عاصم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والسنّة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واسناده 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وأسند أیضاً عن عکرمة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روی سعید بن أبی عروبة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أبی حاتم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عمر، وعلقمة، وأبی جعفر محمد بن علی،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وجابر بن زید، ومجاهد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جریر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عکرمة یمسح علی رجلیه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جبریل بالمسح، ألا تری أنّ التیمّم أن یمسح ما کان </w:t>
      </w:r>
      <w:bookmarkStart w:id="628" w:name="pg6193_71311"/>
    </w:p>
    <w:p>
      <w:pPr>
        <w:pStyle w:val="BookText"/>
        <w:rPr/>
      </w:pPr>
      <w:bookmarkEnd w:id="628"/>
      <w:r>
        <w:rPr>
          <w:rFonts w:ascii="IRNazanin" w:hAnsi="IRNazanin" w:eastAsia="IRNazanin"/>
          <w:color w:val="111111"/>
          <w:sz w:val="28"/>
          <w:sz w:val="28"/>
          <w:szCs w:val="28"/>
          <w:rtl w:val="true"/>
          <w:lang w:bidi="fa-IR"/>
        </w:rPr>
        <w:t>غسلا ویلغی ما کان مسحاً؟</w:t>
      </w:r>
      <w:r>
        <w:rPr>
          <w:rStyle w:val="FootnoteAnchor"/>
          <w:rtl w:val="true"/>
        </w:rPr>
        <w:footnoteReference w:id="846"/>
      </w:r>
      <w:r>
        <w:rPr>
          <w:rFonts w:ascii="IRNazanin" w:hAnsi="IRNazanin" w:eastAsia="IRNazanin"/>
          <w:color w:val="111111"/>
          <w:sz w:val="28"/>
          <w:sz w:val="28"/>
          <w:szCs w:val="28"/>
          <w:rtl w:val="true"/>
          <w:lang w:bidi="fa-IR"/>
        </w:rPr>
        <w:t>، وعلی هذا فلیس ما قاله الشیّخ الطّوسی فی شرح المقنعة جدلاً، بل حقیقة لیس القاسمی وأمثاله أن یقبلها، ولکنّه اعترف فی آخر کلامه بأنّ مفاد الآیة هو المسح، وقال ما هذه 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ظاهر الآیة صریح فی المسح کما قاله ابن عباس وغیره ومما یدلّ علی المسح تشریع المسح علی الخفیّن والجوربین، ولا سند له إلّاهذه الآیة، فإنّ کلّ سنّة أصلها فی کتاب اللّه منطوقاً أو مفهوماً فاعرف ذلک واحتفظ به واللّه الهادی، هذا ولکنّه مع ذلک رجع وقال من 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وإیثار غسلهما فی المأثور عنه صلی الله علیه و آله إنّما هو للتّزیدّ فی الفرض والتوسّع فیه حسب عادته صلی الله علیه و آله فإنَّه سنّ فی کل فرض سننا تدعمه وتقویّة</w:t>
      </w:r>
      <w:r>
        <w:rPr>
          <w:rFonts w:eastAsia="IRNazanin" w:cs="IRNazanin"/>
          <w:color w:val="111111"/>
          <w:sz w:val="28"/>
          <w:szCs w:val="28"/>
          <w:rtl w:val="true"/>
          <w:lang w:bidi="fa-IR"/>
        </w:rPr>
        <w:t>!</w:t>
      </w:r>
      <w:r>
        <w:rPr>
          <w:rStyle w:val="FootnoteAnchor"/>
          <w:rtl w:val="true"/>
        </w:rPr>
        <w:footnoteReference w:id="847"/>
      </w:r>
    </w:p>
    <w:p>
      <w:pPr>
        <w:pStyle w:val="Heading3"/>
        <w:numPr>
          <w:ilvl w:val="2"/>
          <w:numId w:val="1"/>
        </w:numPr>
        <w:rPr/>
      </w:pPr>
      <w:bookmarkStart w:id="629" w:name="__RefHeading___Toc972504_237004111"/>
      <w:bookmarkStart w:id="630" w:name="_Toc226"/>
      <w:bookmarkEnd w:id="629"/>
      <w:r>
        <w:rPr/>
        <w:t>85</w:t>
      </w:r>
      <w:r>
        <w:rPr>
          <w:rtl w:val="true"/>
        </w:rPr>
        <w:t xml:space="preserve"> - </w:t>
      </w:r>
      <w:r>
        <w:rPr>
          <w:rtl w:val="true"/>
        </w:rPr>
        <w:t xml:space="preserve">الزرقانیّ </w:t>
      </w:r>
      <w:r>
        <w:rPr>
          <w:rtl w:val="true"/>
        </w:rPr>
        <w:t>(</w:t>
      </w:r>
      <w:r>
        <w:rPr>
          <w:rtl w:val="true"/>
        </w:rPr>
        <w:t xml:space="preserve">ت </w:t>
      </w:r>
      <w:r>
        <w:rPr/>
        <w:t>1367</w:t>
      </w:r>
      <w:r>
        <w:rPr>
          <w:rtl w:val="true"/>
        </w:rPr>
        <w:t xml:space="preserve"> </w:t>
      </w:r>
      <w:r>
        <w:rPr>
          <w:rtl w:val="true"/>
        </w:rPr>
        <w:t xml:space="preserve">ه </w:t>
      </w:r>
      <w:r>
        <w:rPr>
          <w:rtl w:val="true"/>
        </w:rPr>
        <w:t>)</w:t>
      </w:r>
      <w:bookmarkEnd w:id="630"/>
    </w:p>
    <w:p>
      <w:pPr>
        <w:pStyle w:val="BookText"/>
        <w:rPr/>
      </w:pPr>
      <w:r>
        <w:rPr>
          <w:rFonts w:ascii="IRNazanin" w:hAnsi="IRNazanin" w:eastAsia="IRNazanin"/>
          <w:color w:val="111111"/>
          <w:sz w:val="28"/>
          <w:sz w:val="28"/>
          <w:szCs w:val="28"/>
          <w:rtl w:val="true"/>
          <w:lang w:bidi="fa-IR"/>
        </w:rPr>
        <w:t xml:space="preserve">زعم الزرقانی أنّ النصب یفید الغسل عطفاً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منصوب مغسول</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مضی ردّ هذه المزعمة غیر مرّةٍ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1" w:name="__RefHeading___Toc972506_237004111"/>
      <w:bookmarkStart w:id="632" w:name="_Toc227"/>
      <w:bookmarkEnd w:id="631"/>
      <w:r>
        <w:rPr/>
        <w:t>86</w:t>
      </w:r>
      <w:r>
        <w:rPr>
          <w:rtl w:val="true"/>
        </w:rPr>
        <w:t xml:space="preserve"> - </w:t>
      </w:r>
      <w:r>
        <w:rPr>
          <w:rtl w:val="true"/>
        </w:rPr>
        <w:t xml:space="preserve">السیّد محمد رشیدرضا </w:t>
      </w:r>
      <w:r>
        <w:rPr>
          <w:rtl w:val="true"/>
        </w:rPr>
        <w:t>(</w:t>
      </w:r>
      <w:r>
        <w:rPr>
          <w:rtl w:val="true"/>
        </w:rPr>
        <w:t xml:space="preserve">ت </w:t>
      </w:r>
      <w:r>
        <w:rPr/>
        <w:t>1354</w:t>
      </w:r>
      <w:r>
        <w:rPr>
          <w:rtl w:val="true"/>
        </w:rPr>
        <w:t xml:space="preserve"> </w:t>
      </w:r>
      <w:r>
        <w:rPr>
          <w:rtl w:val="true"/>
        </w:rPr>
        <w:t xml:space="preserve">ه </w:t>
      </w:r>
      <w:r>
        <w:rPr>
          <w:rtl w:val="true"/>
        </w:rPr>
        <w:t>)</w:t>
      </w:r>
      <w:r>
        <w:rPr>
          <w:rtl w:val="true"/>
        </w:rPr>
        <w:t>، تلمید الشیّخ محمد عبده</w:t>
      </w:r>
      <w:bookmarkStart w:id="633" w:name="pg6193_71313"/>
      <w:bookmarkEnd w:id="632"/>
    </w:p>
    <w:p>
      <w:pPr>
        <w:pStyle w:val="BookText"/>
        <w:rPr/>
      </w:pPr>
      <w:bookmarkEnd w:id="633"/>
      <w:r>
        <w:rPr>
          <w:rFonts w:ascii="IRNazanin" w:hAnsi="IRNazanin" w:eastAsia="IRNazanin"/>
          <w:color w:val="111111"/>
          <w:sz w:val="28"/>
          <w:sz w:val="28"/>
          <w:szCs w:val="28"/>
          <w:rtl w:val="true"/>
          <w:lang w:bidi="fa-IR"/>
        </w:rPr>
        <w:t>قال السیّد رشیدرضا فی 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نافع، وابن عامر، وحفص، والکسائی ویعقوب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والجمهور أخذوا بقراءة النّصب وارجعوا قراءة الجرّ إلیها، وایدوا ذلک بالسنّة الصحیحة وإجماع الصّحابة، ویزاد علی ذلک أنّه هو المنطبق علی حکمة الطّهارة، وادّعی الطّحاوی وابن حزم أنّ المسح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الجواب عنهما فی البحث عن قراءة الجرّ مفصّلاً فراجع</w:t>
      </w:r>
      <w:r>
        <w:rPr>
          <w:rFonts w:eastAsia="IRNazanin" w:cs="IRNazanin"/>
          <w:color w:val="111111"/>
          <w:sz w:val="28"/>
          <w:szCs w:val="28"/>
          <w:rtl w:val="true"/>
          <w:lang w:bidi="fa-IR"/>
        </w:rPr>
        <w:t>.</w:t>
      </w:r>
    </w:p>
    <w:p>
      <w:pPr>
        <w:pStyle w:val="Heading3"/>
        <w:numPr>
          <w:ilvl w:val="2"/>
          <w:numId w:val="1"/>
        </w:numPr>
        <w:rPr/>
      </w:pPr>
      <w:bookmarkStart w:id="634" w:name="__RefHeading___Toc972508_237004111"/>
      <w:bookmarkStart w:id="635" w:name="_Toc228"/>
      <w:bookmarkEnd w:id="634"/>
      <w:r>
        <w:rPr/>
        <w:t>87</w:t>
      </w:r>
      <w:r>
        <w:rPr>
          <w:rtl w:val="true"/>
        </w:rPr>
        <w:t xml:space="preserve"> - </w:t>
      </w:r>
      <w:r>
        <w:rPr>
          <w:rtl w:val="true"/>
        </w:rPr>
        <w:t xml:space="preserve">عبدالرحمن بن ناصر آل سعدی </w:t>
      </w:r>
      <w:r>
        <w:rPr>
          <w:rtl w:val="true"/>
        </w:rPr>
        <w:t>(</w:t>
      </w:r>
      <w:r>
        <w:rPr>
          <w:rtl w:val="true"/>
        </w:rPr>
        <w:t xml:space="preserve">ت </w:t>
      </w:r>
      <w:r>
        <w:rPr/>
        <w:t>1376</w:t>
      </w:r>
      <w:r>
        <w:rPr>
          <w:rtl w:val="true"/>
        </w:rPr>
        <w:t xml:space="preserve"> </w:t>
      </w:r>
      <w:r>
        <w:rPr>
          <w:rtl w:val="true"/>
        </w:rPr>
        <w:t xml:space="preserve">ه </w:t>
      </w:r>
      <w:r>
        <w:rPr>
          <w:rtl w:val="true"/>
        </w:rPr>
        <w:t>)</w:t>
      </w:r>
      <w:bookmarkEnd w:id="635"/>
    </w:p>
    <w:p>
      <w:pPr>
        <w:pStyle w:val="BookText"/>
        <w:rPr/>
      </w:pPr>
      <w:r>
        <w:rPr>
          <w:rFonts w:ascii="IRNazanin" w:hAnsi="IRNazanin" w:eastAsia="IRNazanin"/>
          <w:color w:val="111111"/>
          <w:sz w:val="28"/>
          <w:sz w:val="28"/>
          <w:szCs w:val="28"/>
          <w:rtl w:val="true"/>
          <w:lang w:bidi="fa-IR"/>
        </w:rPr>
        <w:t>قال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کلّ من القراءتین علی معنی، فعلی قراءة النّصب فیها غسلهما إن کانتا مکشوفتین، وعلی قراءة الجرّ مسحهما إذا کانتا مستورتین بالخفّ</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 کلّ کلامه ادعاء فی ادعاء ویظهر جوابه من خلال أجوبتنا لسایر المدّعین</w:t>
      </w:r>
      <w:r>
        <w:rPr>
          <w:rFonts w:eastAsia="IRNazanin" w:cs="IRNazanin"/>
          <w:color w:val="111111"/>
          <w:sz w:val="28"/>
          <w:szCs w:val="28"/>
          <w:rtl w:val="true"/>
          <w:lang w:bidi="fa-IR"/>
        </w:rPr>
        <w:t>.</w:t>
      </w:r>
    </w:p>
    <w:p>
      <w:pPr>
        <w:pStyle w:val="Heading3"/>
        <w:numPr>
          <w:ilvl w:val="2"/>
          <w:numId w:val="1"/>
        </w:numPr>
        <w:rPr/>
      </w:pPr>
      <w:bookmarkStart w:id="636" w:name="__RefHeading___Toc972510_237004111"/>
      <w:bookmarkStart w:id="637" w:name="_Toc229"/>
      <w:bookmarkEnd w:id="636"/>
      <w:r>
        <w:rPr/>
        <w:t>88</w:t>
      </w:r>
      <w:r>
        <w:rPr>
          <w:rtl w:val="true"/>
        </w:rPr>
        <w:t xml:space="preserve"> - </w:t>
      </w:r>
      <w:r>
        <w:rPr>
          <w:rtl w:val="true"/>
        </w:rPr>
        <w:t xml:space="preserve">الشنقیطیّ </w:t>
      </w:r>
      <w:r>
        <w:rPr>
          <w:rtl w:val="true"/>
        </w:rPr>
        <w:t>(</w:t>
      </w:r>
      <w:r>
        <w:rPr>
          <w:rtl w:val="true"/>
        </w:rPr>
        <w:t xml:space="preserve">ت </w:t>
      </w:r>
      <w:r>
        <w:rPr/>
        <w:t>1393</w:t>
      </w:r>
      <w:r>
        <w:rPr>
          <w:rtl w:val="true"/>
        </w:rPr>
        <w:t xml:space="preserve"> </w:t>
      </w:r>
      <w:r>
        <w:rPr>
          <w:rtl w:val="true"/>
        </w:rPr>
        <w:t xml:space="preserve">ه </w:t>
      </w:r>
      <w:r>
        <w:rPr>
          <w:rtl w:val="true"/>
        </w:rPr>
        <w:t>)</w:t>
      </w:r>
      <w:bookmarkEnd w:id="637"/>
    </w:p>
    <w:p>
      <w:pPr>
        <w:pStyle w:val="BookText"/>
        <w:rPr/>
      </w:pPr>
      <w:r>
        <w:rPr>
          <w:rFonts w:ascii="IRNazanin" w:hAnsi="IRNazanin" w:eastAsia="IRNazanin"/>
          <w:color w:val="111111"/>
          <w:sz w:val="28"/>
          <w:sz w:val="28"/>
          <w:szCs w:val="28"/>
          <w:rtl w:val="true"/>
          <w:lang w:bidi="fa-IR"/>
        </w:rPr>
        <w:t>نقل الشنقیطیّ فی آیة الوضوء ثلاث قراءاتٍ؛ واحدة شاذّة واثنتان متواترتان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القراءة 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الرَّفْع وبها قرأ الحسن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نافع وابن عامر والکسائیّ وعاصم فی روایة حفص من السبعة، ویعقوب من الثلاثة</w:t>
      </w:r>
      <w:r>
        <w:rPr>
          <w:rFonts w:eastAsia="IRNazanin" w:cs="IRNazanin"/>
          <w:color w:val="111111"/>
          <w:sz w:val="28"/>
          <w:szCs w:val="28"/>
          <w:rtl w:val="true"/>
          <w:lang w:bidi="fa-IR"/>
        </w:rPr>
        <w:t xml:space="preserve">. </w:t>
      </w:r>
      <w:bookmarkStart w:id="638" w:name="pg6193_71315"/>
    </w:p>
    <w:p>
      <w:pPr>
        <w:pStyle w:val="BookText"/>
        <w:rPr/>
      </w:pPr>
      <w:bookmarkEnd w:id="638"/>
      <w:r>
        <w:rPr>
          <w:rFonts w:ascii="IRNazanin" w:hAnsi="IRNazanin" w:eastAsia="IRNazanin"/>
          <w:color w:val="111111"/>
          <w:sz w:val="28"/>
          <w:sz w:val="28"/>
          <w:szCs w:val="28"/>
          <w:rtl w:val="true"/>
          <w:lang w:bidi="fa-IR"/>
        </w:rPr>
        <w:t xml:space="preserve">وزعم أنّ هذه القراءة لا إشکال فیها،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المنصوبة والمعنی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واستشعر اعتراضاً علیه، وهو الفصل بالأجنبیّ بین المتعاطفین وتمحّل لجوابه وحاصل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الفصل بجملة المسح بین المغسولات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الترتیب، والمحافظة علیها، لأنّ الرأس یمسح بین المغسولات</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هذا قد تقدّم بأنّ الفصل لم یوضع فی لغة العرب للدلالة علی الترتیب والموضوع له الفاء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الْحُرُوْفِ العاطفة</w:t>
      </w:r>
      <w:r>
        <w:rPr>
          <w:rFonts w:eastAsia="IRNazanin" w:cs="IRNazanin"/>
          <w:color w:val="111111"/>
          <w:sz w:val="28"/>
          <w:szCs w:val="28"/>
          <w:rtl w:val="true"/>
          <w:lang w:bidi="fa-IR"/>
        </w:rPr>
        <w:t>.</w:t>
      </w:r>
    </w:p>
    <w:p>
      <w:pPr>
        <w:pStyle w:val="Heading3"/>
        <w:numPr>
          <w:ilvl w:val="2"/>
          <w:numId w:val="1"/>
        </w:numPr>
        <w:rPr/>
      </w:pPr>
      <w:bookmarkStart w:id="639" w:name="__RefHeading___Toc972512_237004111"/>
      <w:bookmarkStart w:id="640" w:name="_Toc230"/>
      <w:bookmarkEnd w:id="639"/>
      <w:r>
        <w:rPr/>
        <w:t>89</w:t>
      </w:r>
      <w:r>
        <w:rPr>
          <w:rtl w:val="true"/>
        </w:rPr>
        <w:t xml:space="preserve"> - </w:t>
      </w:r>
      <w:r>
        <w:rPr>
          <w:rtl w:val="true"/>
        </w:rPr>
        <w:t xml:space="preserve">الشیخ محمد الطّاهر ابن عاشور </w:t>
      </w:r>
      <w:r>
        <w:rPr>
          <w:rtl w:val="true"/>
        </w:rPr>
        <w:t>(</w:t>
      </w:r>
      <w:r>
        <w:rPr>
          <w:rtl w:val="true"/>
        </w:rPr>
        <w:t xml:space="preserve">ت </w:t>
      </w:r>
      <w:r>
        <w:rPr/>
        <w:t>1393</w:t>
      </w:r>
      <w:r>
        <w:rPr>
          <w:rtl w:val="true"/>
        </w:rPr>
        <w:t xml:space="preserve"> </w:t>
      </w:r>
      <w:r>
        <w:rPr>
          <w:rtl w:val="true"/>
        </w:rPr>
        <w:t xml:space="preserve">ه </w:t>
      </w:r>
      <w:r>
        <w:rPr>
          <w:rtl w:val="true"/>
        </w:rPr>
        <w:t>)</w:t>
      </w:r>
      <w:bookmarkEnd w:id="640"/>
    </w:p>
    <w:p>
      <w:pPr>
        <w:pStyle w:val="BookText"/>
        <w:rPr/>
      </w:pPr>
      <w:r>
        <w:rPr>
          <w:rFonts w:ascii="IRNazanin" w:hAnsi="IRNazanin" w:eastAsia="IRNazanin"/>
          <w:color w:val="111111"/>
          <w:sz w:val="28"/>
          <w:sz w:val="28"/>
          <w:szCs w:val="28"/>
          <w:rtl w:val="true"/>
          <w:lang w:bidi="fa-IR"/>
        </w:rPr>
        <w:t xml:space="preserve">قال ابن عاشور فی قراءة النّصب إنّه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معترضة بین المتعاطفین فیجب أن تکون الأرجل مغسولة، إذ حکمة الوضوء هی النقاوة والنظافة لمناجاة اللّه تعالی ولذلک أکد النبیّ صلی الله علیه و آله علی غسلهما ونادی باعلی صوته للذی لم یحسن غسل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ذلک ادعاء صرف ومن المُساء 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w:t>
      </w:r>
    </w:p>
    <w:p>
      <w:pPr>
        <w:pStyle w:val="BookText"/>
        <w:rPr/>
      </w:pPr>
      <w:r>
        <w:rPr>
          <w:rFonts w:ascii="IRNazanin" w:hAnsi="IRNazanin" w:eastAsia="IRNazanin"/>
          <w:color w:val="111111"/>
          <w:sz w:val="28"/>
          <w:sz w:val="28"/>
          <w:szCs w:val="28"/>
          <w:rtl w:val="true"/>
          <w:lang w:bidi="fa-IR"/>
        </w:rPr>
        <w:t xml:space="preserve">وأمّا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فأین الدلیل؟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حکمة الوضوء هی النّقاوة والنّظافة فأوّل الکلام، بل هی الطهارة المعنویّة </w:t>
      </w:r>
      <w:bookmarkStart w:id="641" w:name="pg6193_71317"/>
    </w:p>
    <w:p>
      <w:pPr>
        <w:pStyle w:val="BookText"/>
        <w:rPr/>
      </w:pPr>
      <w:bookmarkEnd w:id="641"/>
      <w:r>
        <w:rPr>
          <w:rFonts w:ascii="IRNazanin" w:hAnsi="IRNazanin" w:eastAsia="IRNazanin"/>
          <w:color w:val="111111"/>
          <w:sz w:val="28"/>
          <w:sz w:val="28"/>
          <w:szCs w:val="28"/>
          <w:rtl w:val="true"/>
          <w:lang w:bidi="fa-IR"/>
        </w:rPr>
        <w:t>والنّظافة شی آخر یجب أن تحصل قبل الوضوء وقد جاء فی روایات أهل البیت بأن الطهارة فیها حکمیة لا حقیقیة، لأن المسلم لا نجسه شیء، وان الوضوء شرع کی یعرف من یطع اللّه ومن یعصیه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نداءه صلی الله علیه و آله فهو اعلان للطهارة من النّجاسة لأن أعقابهم لم تکن طاهرة من النّجاسة غالباً فاراد النبی أن یلفت انتباههم إلی لزوم غسلها حین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بطون أقدامهم فی الروایة المرویة عنهم</w:t>
      </w:r>
      <w:r>
        <w:rPr>
          <w:rFonts w:eastAsia="IRNazanin" w:cs="IRNazanin"/>
          <w:color w:val="111111"/>
          <w:sz w:val="28"/>
          <w:szCs w:val="28"/>
          <w:rtl w:val="true"/>
          <w:lang w:bidi="fa-IR"/>
        </w:rPr>
        <w:t>.</w:t>
      </w:r>
    </w:p>
    <w:p>
      <w:pPr>
        <w:pStyle w:val="Heading3"/>
        <w:numPr>
          <w:ilvl w:val="2"/>
          <w:numId w:val="1"/>
        </w:numPr>
        <w:rPr/>
      </w:pPr>
      <w:bookmarkStart w:id="642" w:name="__RefHeading___Toc972514_237004111"/>
      <w:bookmarkStart w:id="643" w:name="_Toc231"/>
      <w:bookmarkEnd w:id="642"/>
      <w:r>
        <w:rPr/>
        <w:t>90</w:t>
      </w:r>
      <w:r>
        <w:rPr>
          <w:rtl w:val="true"/>
        </w:rPr>
        <w:t xml:space="preserve"> - </w:t>
      </w:r>
      <w:r>
        <w:rPr>
          <w:rtl w:val="true"/>
        </w:rPr>
        <w:t xml:space="preserve">محمد أبو زهرة </w:t>
      </w:r>
      <w:r>
        <w:rPr>
          <w:rtl w:val="true"/>
        </w:rPr>
        <w:t>(</w:t>
      </w:r>
      <w:r>
        <w:rPr>
          <w:rtl w:val="true"/>
        </w:rPr>
        <w:t xml:space="preserve">ت </w:t>
      </w:r>
      <w:r>
        <w:rPr/>
        <w:t>1394</w:t>
      </w:r>
      <w:r>
        <w:rPr>
          <w:rtl w:val="true"/>
        </w:rPr>
        <w:t xml:space="preserve"> </w:t>
      </w:r>
      <w:r>
        <w:rPr>
          <w:rtl w:val="true"/>
        </w:rPr>
        <w:t xml:space="preserve">ه </w:t>
      </w:r>
      <w:r>
        <w:rPr>
          <w:rtl w:val="true"/>
        </w:rPr>
        <w:t>)</w:t>
      </w:r>
      <w:bookmarkEnd w:id="643"/>
    </w:p>
    <w:p>
      <w:pPr>
        <w:pStyle w:val="BookText"/>
        <w:rPr/>
      </w:pPr>
      <w:r>
        <w:rPr>
          <w:rFonts w:ascii="IRNazanin" w:hAnsi="IRNazanin" w:eastAsia="IRNazanin"/>
          <w:color w:val="111111"/>
          <w:sz w:val="28"/>
          <w:sz w:val="28"/>
          <w:szCs w:val="28"/>
          <w:rtl w:val="true"/>
          <w:lang w:bidi="fa-IR"/>
        </w:rPr>
        <w:t>قال أبو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قراءتان، إحداهما بفتح اللّام علی حذف فعل،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تقدیر الفعل إذا لم یمکن تصحیح الجملة إلّابه، وهنا یمکن العطف علی محلّ الرؤوس فی قراءة النّصب، وعدم التّقدیر أولی منه إلّاأنّ أهل السنّة أوجبوا الغسل خلافاً للشیعة فاضطرّوا إلی هذه التمحلات لتطبیق القرآن علی المذهب</w:t>
      </w:r>
      <w:r>
        <w:rPr>
          <w:rFonts w:eastAsia="IRNazanin" w:cs="IRNazanin"/>
          <w:color w:val="111111"/>
          <w:sz w:val="28"/>
          <w:szCs w:val="28"/>
          <w:rtl w:val="true"/>
          <w:lang w:bidi="fa-IR"/>
        </w:rPr>
        <w:t>!</w:t>
      </w:r>
    </w:p>
    <w:p>
      <w:pPr>
        <w:pStyle w:val="Heading3"/>
        <w:numPr>
          <w:ilvl w:val="2"/>
          <w:numId w:val="1"/>
        </w:numPr>
        <w:rPr/>
      </w:pPr>
      <w:bookmarkStart w:id="644" w:name="__RefHeading___Toc972516_237004111"/>
      <w:bookmarkStart w:id="645" w:name="_Toc232"/>
      <w:bookmarkEnd w:id="644"/>
      <w:r>
        <w:rPr/>
        <w:t>91</w:t>
      </w:r>
      <w:r>
        <w:rPr>
          <w:rtl w:val="true"/>
        </w:rPr>
        <w:t xml:space="preserve"> - </w:t>
      </w:r>
      <w:r>
        <w:rPr>
          <w:rtl w:val="true"/>
        </w:rPr>
        <w:t>الشیخ أحمد مصطفی المراغی</w:t>
      </w:r>
      <w:bookmarkEnd w:id="64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واغسلوا أرجلکم إلی الکعبین، 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النبی صلی الله علیه و آله، وعمل الصّحابة، وقول أکثر الأئمّة، ثمّ نقل روایة أبی هریرة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وروایة ابن عمر فی السفرة التی کانوا فیها مع النبیّ صلی الله علیه و آله وهم </w:t>
      </w:r>
      <w:bookmarkStart w:id="646" w:name="pg6193_71319"/>
    </w:p>
    <w:p>
      <w:pPr>
        <w:pStyle w:val="BookText"/>
        <w:rPr/>
      </w:pPr>
      <w:bookmarkEnd w:id="646"/>
      <w:r>
        <w:rPr>
          <w:rFonts w:ascii="IRNazanin" w:hAnsi="IRNazanin" w:eastAsia="IRNazanin"/>
          <w:color w:val="111111"/>
          <w:sz w:val="28"/>
          <w:sz w:val="28"/>
          <w:szCs w:val="28"/>
          <w:rtl w:val="true"/>
          <w:lang w:bidi="fa-IR"/>
        </w:rPr>
        <w:t xml:space="preserve">کانوا یمسحون أرجلهم فی الوضوء فنادی باعلی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 مرتین أو ثلاثاً</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عمل النبیّ صلی الله علیه و آله غیر ثابت ومختلف فیه، وکذا فعل الصحابة، وأمّا قول أکثر الأئمّة فإنّه حصل بعد عصر النّزول أوّلاً، وهو قول الأکثر حسب الأدعاء لا قول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فهی من المساء فهمها، والمقصود منها هی الطهارة من النجاسة ویأتی قریباً بعض الشیء فی الکلام مع الزحیلی</w:t>
      </w:r>
      <w:r>
        <w:rPr>
          <w:rFonts w:eastAsia="IRNazanin" w:cs="IRNazanin"/>
          <w:color w:val="111111"/>
          <w:sz w:val="28"/>
          <w:szCs w:val="28"/>
          <w:rtl w:val="true"/>
          <w:lang w:bidi="fa-IR"/>
        </w:rPr>
        <w:t>.</w:t>
      </w:r>
    </w:p>
    <w:p>
      <w:pPr>
        <w:pStyle w:val="Heading3"/>
        <w:numPr>
          <w:ilvl w:val="2"/>
          <w:numId w:val="1"/>
        </w:numPr>
        <w:rPr/>
      </w:pPr>
      <w:bookmarkStart w:id="647" w:name="__RefHeading___Toc972518_237004111"/>
      <w:bookmarkStart w:id="648" w:name="_Toc233"/>
      <w:bookmarkEnd w:id="647"/>
      <w:r>
        <w:rPr/>
        <w:t>92</w:t>
      </w:r>
      <w:r>
        <w:rPr>
          <w:rtl w:val="true"/>
        </w:rPr>
        <w:t xml:space="preserve"> - </w:t>
      </w:r>
      <w:r>
        <w:rPr>
          <w:rtl w:val="true"/>
        </w:rPr>
        <w:t>الشیخ محمد جواد مغنیة</w:t>
      </w:r>
      <w:bookmarkEnd w:id="648"/>
    </w:p>
    <w:p>
      <w:pPr>
        <w:pStyle w:val="BookText"/>
        <w:rPr/>
      </w:pPr>
      <w:r>
        <w:rPr>
          <w:rFonts w:ascii="IRNazanin" w:hAnsi="IRNazanin" w:eastAsia="IRNazanin"/>
          <w:color w:val="111111"/>
          <w:sz w:val="28"/>
          <w:sz w:val="28"/>
          <w:szCs w:val="28"/>
          <w:rtl w:val="true"/>
          <w:lang w:bidi="fa-IR"/>
        </w:rPr>
        <w:t>قال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الأرجل قراءتان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 وقال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لأنّها معطوفة علی الأیدی علی القراءتین، أمّا علی النّصب فواضح إذ الأیدی منصوبة لفظاً ومحلاً، وأمّا علی قراءة الجرّ فللجوار، والإتباع أی الرؤوس مجرورة والأرجل مجاورة لها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المسح لأنّها معطوفة علی الرؤوس، أمّا علی قراءة الجرّ فواضح، وأمّا علی قراءة النّصب فمعطوفة علی محلّ الرؤوس لأنّ کل مجرور لفظاً منصوب محلّاً</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وهذا واضح لا غبار علیه، وعلیه الشیعة الإمامیّة اجمعون </w:t>
      </w:r>
      <w:bookmarkStart w:id="649" w:name="pg6193_71321"/>
    </w:p>
    <w:p>
      <w:pPr>
        <w:pStyle w:val="BookText"/>
        <w:rPr/>
      </w:pPr>
      <w:bookmarkEnd w:id="649"/>
      <w:r>
        <w:rPr>
          <w:rFonts w:ascii="IRNazanin" w:hAnsi="IRNazanin" w:eastAsia="IRNazanin"/>
          <w:color w:val="111111"/>
          <w:sz w:val="28"/>
          <w:sz w:val="28"/>
          <w:szCs w:val="28"/>
          <w:rtl w:val="true"/>
          <w:lang w:bidi="fa-IR"/>
        </w:rPr>
        <w:t>تبعاً لائمتهم من أهل البیت، وهم أدری بالأحکام الإسلامیّة</w:t>
      </w:r>
      <w:r>
        <w:rPr>
          <w:rFonts w:eastAsia="IRNazanin" w:cs="IRNazanin"/>
          <w:color w:val="111111"/>
          <w:sz w:val="28"/>
          <w:szCs w:val="28"/>
          <w:rtl w:val="true"/>
          <w:lang w:bidi="fa-IR"/>
        </w:rPr>
        <w:t>.</w:t>
      </w:r>
    </w:p>
    <w:p>
      <w:pPr>
        <w:pStyle w:val="Heading3"/>
        <w:numPr>
          <w:ilvl w:val="2"/>
          <w:numId w:val="1"/>
        </w:numPr>
        <w:rPr/>
      </w:pPr>
      <w:bookmarkStart w:id="650" w:name="__RefHeading___Toc972520_237004111"/>
      <w:bookmarkStart w:id="651" w:name="_Toc234"/>
      <w:bookmarkEnd w:id="650"/>
      <w:r>
        <w:rPr/>
        <w:t>93</w:t>
      </w:r>
      <w:r>
        <w:rPr>
          <w:rtl w:val="true"/>
        </w:rPr>
        <w:t xml:space="preserve"> - </w:t>
      </w:r>
      <w:r>
        <w:rPr>
          <w:rtl w:val="true"/>
        </w:rPr>
        <w:t xml:space="preserve">الدکتور وهبة الزّحیلی </w:t>
      </w:r>
      <w:r>
        <w:rPr>
          <w:rtl w:val="true"/>
        </w:rPr>
        <w:t>(</w:t>
      </w:r>
      <w:r>
        <w:rPr>
          <w:rtl w:val="true"/>
        </w:rPr>
        <w:t>من المعاصرین</w:t>
      </w:r>
      <w:r>
        <w:rPr>
          <w:rtl w:val="true"/>
        </w:rPr>
        <w:t>)</w:t>
      </w:r>
      <w:bookmarkEnd w:id="651"/>
    </w:p>
    <w:p>
      <w:pPr>
        <w:pStyle w:val="BookText"/>
        <w:rPr/>
      </w:pPr>
      <w:r>
        <w:rPr>
          <w:rFonts w:ascii="IRNazanin" w:hAnsi="IRNazanin" w:eastAsia="IRNazanin"/>
          <w:color w:val="111111"/>
          <w:sz w:val="28"/>
          <w:sz w:val="28"/>
          <w:szCs w:val="28"/>
          <w:rtl w:val="true"/>
          <w:lang w:bidi="fa-IR"/>
        </w:rPr>
        <w:t>وقال الدکتور الزحیلی فی تفسیره، علی فرض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والفرض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غسلب الرّجلین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واغسلوا أرجلکم إلی الکعبین، فالواجب غسل الرّجلین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والتّابعین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الفقد إجماع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التی أوردها</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فقد مرّ الجواب عنها فی البحث الروائی من کتابنا</w:t>
      </w:r>
      <w:r>
        <w:rPr>
          <w:rStyle w:val="FootnoteAnchor"/>
          <w:rtl w:val="true"/>
        </w:rPr>
        <w:footnoteReference w:id="85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فعل النبی صلی الله علیه و آله فلم یثبت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الصّحابة والتّابعون فالاختلاف واقع فیهم وظاهر القرآن علی خلاف الغسل</w:t>
      </w:r>
      <w:r>
        <w:rPr>
          <w:rFonts w:eastAsia="IRNazanin" w:cs="IRNazanin"/>
          <w:color w:val="111111"/>
          <w:sz w:val="28"/>
          <w:szCs w:val="28"/>
          <w:rtl w:val="true"/>
          <w:lang w:bidi="fa-IR"/>
        </w:rPr>
        <w:t xml:space="preserve">. </w:t>
      </w:r>
      <w:bookmarkStart w:id="652" w:name="pg6193_71323"/>
    </w:p>
    <w:p>
      <w:pPr>
        <w:pStyle w:val="BookText"/>
        <w:rPr/>
      </w:pPr>
      <w:bookmarkEnd w:id="652"/>
      <w:r>
        <w:rPr>
          <w:rFonts w:ascii="IRNazanin" w:hAnsi="IRNazanin" w:eastAsia="IRNazanin"/>
          <w:color w:val="111111"/>
          <w:sz w:val="28"/>
          <w:sz w:val="28"/>
          <w:szCs w:val="28"/>
          <w:rtl w:val="true"/>
          <w:lang w:bidi="fa-IR"/>
        </w:rPr>
        <w:t>وأمّا الإجماع فالإمامیّة من الاُمّة علی الخلاف، وما حصل فی أهل السنّة من الإتفاق علی الغسل هو من جهة عدم بیان الحقیقة لهم ومن أخذ الخلفاء من بنی امیّة وبنی العباس جانبهم خلافاً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أهل السنة علی مسیر الخلفاء حتی یعرفوا الشیعة من غیرهم کما فی قصته علیّ بن یقطین وزیر هارون الرشید</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وضحنا فی البحث التاریخی من هذه الدراسة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الزّحیلیّ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قراءة الجرّ فمحمول علی الجوار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وفائدة الجرّ للجوار هنا التنبیة علی أنّه ینبغی الإقتصاد فی صبّ الماء علی الأرجل، وخصّ الأرجل بذلک لأنّها مظنّة الإسراف لما یعلق بها من الأدران</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الجرّ بالجوار ردّه کثیر من علماء السنّة وأدباءهم، فضلاً عن الشیعة الإمامیّة کما وقفت علیه فی مواضع مختلفة من هذا الکتاب</w:t>
      </w:r>
      <w:r>
        <w:rPr>
          <w:rFonts w:eastAsia="IRNazanin" w:cs="IRNazanin"/>
          <w:color w:val="111111"/>
          <w:sz w:val="28"/>
          <w:szCs w:val="28"/>
          <w:rtl w:val="true"/>
          <w:lang w:bidi="fa-IR"/>
        </w:rPr>
        <w:t>.</w:t>
      </w:r>
    </w:p>
    <w:p>
      <w:pPr>
        <w:pStyle w:val="Heading3"/>
        <w:numPr>
          <w:ilvl w:val="2"/>
          <w:numId w:val="1"/>
        </w:numPr>
        <w:rPr/>
      </w:pPr>
      <w:bookmarkStart w:id="653" w:name="__RefHeading___Toc972522_237004111"/>
      <w:bookmarkStart w:id="654" w:name="_Toc235"/>
      <w:bookmarkEnd w:id="653"/>
      <w:r>
        <w:rPr/>
        <w:t>94</w:t>
      </w:r>
      <w:r>
        <w:rPr>
          <w:rtl w:val="true"/>
        </w:rPr>
        <w:t xml:space="preserve"> - </w:t>
      </w:r>
      <w:r>
        <w:rPr>
          <w:rtl w:val="true"/>
        </w:rPr>
        <w:t xml:space="preserve">السیّد قطب </w:t>
      </w:r>
      <w:r>
        <w:rPr>
          <w:rtl w:val="true"/>
        </w:rPr>
        <w:t>(</w:t>
      </w:r>
      <w:r>
        <w:rPr>
          <w:rtl w:val="true"/>
        </w:rPr>
        <w:t>من المعاصرین</w:t>
      </w:r>
      <w:r>
        <w:rPr>
          <w:rtl w:val="true"/>
        </w:rPr>
        <w:t>)</w:t>
      </w:r>
      <w:bookmarkEnd w:id="65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قطب بعد ذکر آیة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الفرائض فی هذه الآیة هی غسل الوجه، وغسل الأیدی إلی المرافق، ومسح الرأس، وغسل الرّجلین إلی الکعبین، </w:t>
      </w:r>
      <w:bookmarkStart w:id="655" w:name="pg6193_71324"/>
    </w:p>
    <w:p>
      <w:pPr>
        <w:pStyle w:val="BookText"/>
        <w:rPr/>
      </w:pPr>
      <w:bookmarkEnd w:id="655"/>
      <w:r>
        <w:rPr>
          <w:rFonts w:ascii="IRNazanin" w:hAnsi="IRNazanin" w:eastAsia="IRNazanin"/>
          <w:color w:val="111111"/>
          <w:sz w:val="28"/>
          <w:sz w:val="28"/>
          <w:szCs w:val="28"/>
          <w:rtl w:val="true"/>
          <w:lang w:bidi="fa-IR"/>
        </w:rPr>
        <w:t>وحول هذه الفرائض خلافات فقهیّة یسیرة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الفرائض علی الترتیب الّذی ذکرت به؟ أم هی تجزئ علی غیر ترتیب قولان</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السیّد قطب أدلته علی وجوب غسل الرّجلین حتّی نردها أو نقبلها ولم یکن دلیله أکثر مما نقلناه عن علماء أهل السنة والجماعة</w:t>
      </w:r>
      <w:r>
        <w:rPr>
          <w:rFonts w:eastAsia="IRNazanin" w:cs="IRNazanin"/>
          <w:color w:val="111111"/>
          <w:sz w:val="28"/>
          <w:szCs w:val="28"/>
          <w:rtl w:val="true"/>
          <w:lang w:bidi="fa-IR"/>
        </w:rPr>
        <w:t>.</w:t>
      </w:r>
    </w:p>
    <w:p>
      <w:pPr>
        <w:pStyle w:val="Heading3"/>
        <w:numPr>
          <w:ilvl w:val="2"/>
          <w:numId w:val="1"/>
        </w:numPr>
        <w:rPr/>
      </w:pPr>
      <w:bookmarkStart w:id="656" w:name="__RefHeading___Toc972524_237004111"/>
      <w:bookmarkStart w:id="657" w:name="_Toc236"/>
      <w:bookmarkEnd w:id="656"/>
      <w:r>
        <w:rPr/>
        <w:t>95</w:t>
      </w:r>
      <w:r>
        <w:rPr>
          <w:rtl w:val="true"/>
        </w:rPr>
        <w:t xml:space="preserve"> - </w:t>
      </w:r>
      <w:r>
        <w:rPr>
          <w:rtl w:val="true"/>
        </w:rPr>
        <w:t>الدّکتور یاسین جاسم</w:t>
      </w:r>
      <w:bookmarkEnd w:id="657"/>
    </w:p>
    <w:p>
      <w:pPr>
        <w:pStyle w:val="BookText"/>
        <w:rPr/>
      </w:pP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الدّکتور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وقرء نافع، والکسائی، وابن عامر، 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واختلفوا فی تخریج هذه القراءة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 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الفصل بین المتعاطفین بجملة لیست باعتراض بل هی منشئة حکما، وقال أبو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جائز بلا خلاف، وقال الاستاد أبو الحسن بن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الفصل بین المعطوف والمعطوف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واقبح ما یکون ذلک بالجمل، فدلّ قوله هذا علی أنّه ینزه کتاب اللّه عن هذا التّخریج، وهذا تخریج من یری أنّ فرض الرّجلین هو الغسل، وأمّا من یری المسح فیجعله معطوفاً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قراءة النّصب کقراءة الجرّ دالّة علی المسح</w:t>
      </w:r>
      <w:r>
        <w:rPr>
          <w:rStyle w:val="FootnoteAnchor"/>
          <w:rtl w:val="true"/>
        </w:rPr>
        <w:footnoteReference w:id="86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الدکتور لم یکن جازماً علی هذا أو ذاک بل یصرّح بأنّ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 ممکن جائز</w:t>
      </w:r>
      <w:r>
        <w:rPr>
          <w:rFonts w:eastAsia="IRNazanin" w:cs="IRNazanin"/>
          <w:color w:val="111111"/>
          <w:sz w:val="28"/>
          <w:szCs w:val="28"/>
          <w:rtl w:val="true"/>
          <w:lang w:bidi="fa-IR"/>
        </w:rPr>
        <w:t xml:space="preserve">». </w:t>
      </w:r>
      <w:bookmarkStart w:id="658" w:name="pg6193_71326"/>
    </w:p>
    <w:p>
      <w:pPr>
        <w:pStyle w:val="Heading3"/>
        <w:numPr>
          <w:ilvl w:val="2"/>
          <w:numId w:val="1"/>
        </w:numPr>
        <w:rPr/>
      </w:pPr>
      <w:bookmarkStart w:id="659" w:name="__RefHeading___Toc972526_237004111"/>
      <w:bookmarkStart w:id="660" w:name="_Toc237"/>
      <w:bookmarkEnd w:id="658"/>
      <w:bookmarkEnd w:id="659"/>
      <w:r>
        <w:rPr/>
        <w:t>96</w:t>
      </w:r>
      <w:r>
        <w:rPr>
          <w:rtl w:val="true"/>
        </w:rPr>
        <w:t xml:space="preserve"> - </w:t>
      </w:r>
      <w:r>
        <w:rPr>
          <w:rtl w:val="true"/>
        </w:rPr>
        <w:t>الدّکتور عبداللّطیف</w:t>
      </w:r>
      <w:bookmarkEnd w:id="660"/>
    </w:p>
    <w:p>
      <w:pPr>
        <w:pStyle w:val="BookText"/>
        <w:rPr/>
      </w:pP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الدّکتور عبداللّطیف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 وحکمها الغسل، وهو رأی جمهور الفقهاء وقال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بالنّصب جعله عطفاً علی الأوّل أی واغسلوا أرجلکم، 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جماعة بالنّصب وحکمها الغسل</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وتکراره قبیح</w:t>
      </w:r>
      <w:r>
        <w:rPr>
          <w:rFonts w:eastAsia="IRNazanin" w:cs="IRNazanin"/>
          <w:color w:val="111111"/>
          <w:sz w:val="28"/>
          <w:szCs w:val="28"/>
          <w:rtl w:val="true"/>
          <w:lang w:bidi="fa-IR"/>
        </w:rPr>
        <w:t>.</w:t>
      </w:r>
    </w:p>
    <w:p>
      <w:pPr>
        <w:pStyle w:val="Heading3"/>
        <w:numPr>
          <w:ilvl w:val="2"/>
          <w:numId w:val="1"/>
        </w:numPr>
        <w:rPr/>
      </w:pPr>
      <w:bookmarkStart w:id="661" w:name="__RefHeading___Toc972528_237004111"/>
      <w:bookmarkStart w:id="662" w:name="_Toc238"/>
      <w:bookmarkEnd w:id="661"/>
      <w:r>
        <w:rPr/>
        <w:t>97</w:t>
      </w:r>
      <w:r>
        <w:rPr>
          <w:rtl w:val="true"/>
        </w:rPr>
        <w:t xml:space="preserve"> - </w:t>
      </w:r>
      <w:r>
        <w:rPr>
          <w:rtl w:val="true"/>
        </w:rPr>
        <w:t>محیی الدّین الدّرویش</w:t>
      </w:r>
      <w:bookmarkEnd w:id="662"/>
    </w:p>
    <w:p>
      <w:pPr>
        <w:pStyle w:val="BookText"/>
        <w:rPr/>
      </w:pP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وحفص والکسائی 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أی واغسلوا أرجلکم إلی الکعبین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ادلّته اکثر من هذا لکنه مبحوث فی کلمات علماء السنّة، وقد أجبنا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وعلّلوا تأخیره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النّصب بأنّ صبّ الماء مظنّة للإسراف المذموم المنهیّ عنه، فعطفت علی الثالث الممسوح، لا لتمسح ولکن لینبّه علی وجوب الإقتصاد فی صبّ الماء علیها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الأصل فی الآیة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663" w:name="pg6193_71328"/>
    </w:p>
    <w:p>
      <w:pPr>
        <w:pStyle w:val="BookText"/>
        <w:rPr/>
      </w:pPr>
      <w:bookmarkEnd w:id="6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الوجوه والأیدی وإنّما آخّره وعطفه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 للتّنبیه علی الإقتصاد فی صبّ الماء علی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غفل عن أنّ هذا ادّعاء منه ومن کلّ من یذهب مذهبه بلا دلیل؛ أساله أیّ دلیل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مقدماً فاخرّ؟ سوی عمل بعض الأصحاب، وبعض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النّقل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عمل أهل السنّة لم ینشأ إلّامن سیرة عثمان بن عفان والذی خالفه بعض الناس فی حیاته، وذهبوا إلی أنّ سنة رسول اللّه غیر ما یحکیه عنه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بعض الروایات الضعیفة سنداً أو دلالة أو فی کلایهما أو المساء فهمها کما نبّهنا علی ذلک فی مواضع من هذا المجلّد من کتابنا هذا وفی البحثین التاریخی والروائی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هذه التّوجیهات إلّافراراً عن الحقیقة ومخالفة للشیّعة، وإلّا فالقواعد النّحویة والأدبیّة تشهد بما تقوله الشیّعة من کون الأرجل معطوفة علی لفظ الرؤوس فی قراءة الجرّ، وعلی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النّصب</w:t>
      </w:r>
      <w:r>
        <w:rPr>
          <w:rFonts w:eastAsia="IRNazanin" w:cs="IRNazanin"/>
          <w:color w:val="111111"/>
          <w:sz w:val="28"/>
          <w:szCs w:val="28"/>
          <w:rtl w:val="true"/>
          <w:lang w:bidi="fa-IR"/>
        </w:rPr>
        <w:t>.</w:t>
      </w:r>
    </w:p>
    <w:p>
      <w:pPr>
        <w:pStyle w:val="Heading3"/>
        <w:numPr>
          <w:ilvl w:val="2"/>
          <w:numId w:val="1"/>
        </w:numPr>
        <w:rPr/>
      </w:pPr>
      <w:bookmarkStart w:id="664" w:name="__RefHeading___Toc972530_237004111"/>
      <w:bookmarkStart w:id="665" w:name="_Toc239"/>
      <w:bookmarkEnd w:id="664"/>
      <w:r>
        <w:rPr/>
        <w:t>98</w:t>
      </w:r>
      <w:r>
        <w:rPr>
          <w:rtl w:val="true"/>
        </w:rPr>
        <w:t xml:space="preserve"> - </w:t>
      </w:r>
      <w:r>
        <w:rPr>
          <w:rtl w:val="true"/>
        </w:rPr>
        <w:t>بهجت عبدالواحد صالح</w:t>
      </w:r>
      <w:bookmarkEnd w:id="665"/>
    </w:p>
    <w:p>
      <w:pPr>
        <w:pStyle w:val="BookText"/>
        <w:rPr/>
      </w:pP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الأستاذ بهجت صالح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بالواو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محلّ الباء التّبعیضیّة</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أنّه أیّد العطف علی المحلّ علی قراءة النّصب، وإن لم یأخذ هذا الجانب </w:t>
      </w:r>
      <w:bookmarkStart w:id="666" w:name="pg6193_71330"/>
    </w:p>
    <w:p>
      <w:pPr>
        <w:pStyle w:val="BookText"/>
        <w:rPr/>
      </w:pPr>
      <w:bookmarkEnd w:id="666"/>
      <w:r>
        <w:rPr>
          <w:rFonts w:ascii="IRNazanin" w:hAnsi="IRNazanin" w:eastAsia="IRNazanin"/>
          <w:color w:val="111111"/>
          <w:sz w:val="28"/>
          <w:sz w:val="28"/>
          <w:szCs w:val="28"/>
          <w:rtl w:val="true"/>
          <w:lang w:bidi="fa-IR"/>
        </w:rPr>
        <w:t>أو ذاک</w:t>
      </w:r>
      <w:r>
        <w:rPr>
          <w:rFonts w:eastAsia="IRNazanin" w:cs="IRNazanin"/>
          <w:color w:val="111111"/>
          <w:sz w:val="28"/>
          <w:szCs w:val="28"/>
          <w:rtl w:val="true"/>
          <w:lang w:bidi="fa-IR"/>
        </w:rPr>
        <w:t>.</w:t>
      </w:r>
    </w:p>
    <w:p>
      <w:pPr>
        <w:pStyle w:val="Heading3"/>
        <w:numPr>
          <w:ilvl w:val="2"/>
          <w:numId w:val="1"/>
        </w:numPr>
        <w:rPr/>
      </w:pPr>
      <w:bookmarkStart w:id="667" w:name="__RefHeading___Toc972532_237004111"/>
      <w:bookmarkStart w:id="668" w:name="_Toc240"/>
      <w:bookmarkEnd w:id="667"/>
      <w:r>
        <w:rPr/>
        <w:t>99</w:t>
      </w:r>
      <w:r>
        <w:rPr>
          <w:rtl w:val="true"/>
        </w:rPr>
        <w:t xml:space="preserve"> - </w:t>
      </w:r>
      <w:r>
        <w:rPr>
          <w:rtl w:val="true"/>
        </w:rPr>
        <w:t>محمد علی الصّابونی</w:t>
      </w:r>
      <w:bookmarkEnd w:id="668"/>
    </w:p>
    <w:p>
      <w:pPr>
        <w:pStyle w:val="BookText"/>
        <w:rPr/>
      </w:pP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الصّابونی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أی امسحوا برؤوسکم، وأغسلوا أرجلکم إلی الکعبین، ثم استدلّ بقول الزّمخشری بأنّ فائدة المجیئ بالغایة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ظنّ من یحسبها ممسوحة؛ لأنّ المسح لم تضرب له غایة فی الشریعة،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الحدیث یردّ علی الإمامیّة الّذین یقولون بأنّ الرجلین فرضهما المسح لا الغسل، والآیة صریحة لأنّها جاءت بالنّصب فهی معطوفة علی المغسول وجئ بالمسح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المغسولات لإفادة التّرتیب</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الترتیب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وعدمه کما فی ظلال القرآن للسیّد قطب</w:t>
      </w:r>
      <w:r>
        <w:rPr>
          <w:rStyle w:val="FootnoteAnchor"/>
          <w:rtl w:val="true"/>
        </w:rPr>
        <w:footnoteReference w:id="873"/>
      </w:r>
      <w:r>
        <w:rPr>
          <w:rFonts w:ascii="IRNazanin" w:hAnsi="IRNazanin" w:eastAsia="IRNazanin"/>
          <w:color w:val="111111"/>
          <w:sz w:val="28"/>
          <w:sz w:val="28"/>
          <w:szCs w:val="28"/>
          <w:rtl w:val="true"/>
          <w:lang w:bidi="fa-IR"/>
        </w:rPr>
        <w:t>، وعدم وجوب التّرتیب قول کثیر من علماء مذهب الصّابونی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ضرب الغایة لا یدل بنفسه علی الغسل لا مطابقة ولا التزاماً، وقد أجبنا عنه فی کتابناً هذا امراراً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الوضوء وإنّما هو فی الطهارة عن الخباثة إلّاأنّهم اساؤا فهّمه</w:t>
      </w:r>
      <w:r>
        <w:rPr>
          <w:rFonts w:eastAsia="IRNazanin" w:cs="IRNazanin"/>
          <w:color w:val="111111"/>
          <w:sz w:val="28"/>
          <w:szCs w:val="28"/>
          <w:rtl w:val="true"/>
          <w:lang w:bidi="fa-IR"/>
        </w:rPr>
        <w:t xml:space="preserve">. </w:t>
      </w:r>
      <w:bookmarkStart w:id="669" w:name="pg6193_71332"/>
    </w:p>
    <w:p>
      <w:pPr>
        <w:pStyle w:val="Heading3"/>
        <w:numPr>
          <w:ilvl w:val="2"/>
          <w:numId w:val="1"/>
        </w:numPr>
        <w:rPr/>
      </w:pPr>
      <w:bookmarkStart w:id="670" w:name="__RefHeading___Toc972534_237004111"/>
      <w:bookmarkStart w:id="671" w:name="_Toc241"/>
      <w:bookmarkEnd w:id="669"/>
      <w:bookmarkEnd w:id="670"/>
      <w:r>
        <w:rPr/>
        <w:t>100</w:t>
      </w:r>
      <w:r>
        <w:rPr>
          <w:rtl w:val="true"/>
        </w:rPr>
        <w:t xml:space="preserve"> - </w:t>
      </w:r>
      <w:r>
        <w:rPr>
          <w:rtl w:val="true"/>
        </w:rPr>
        <w:t>الدّکتور سلیمان بن إبراهیم بن عبداللّه اللّاحم</w:t>
      </w:r>
      <w:bookmarkEnd w:id="671"/>
    </w:p>
    <w:p>
      <w:pPr>
        <w:pStyle w:val="BookText"/>
        <w:rPr/>
      </w:pP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عاصم ونافع وابن عامر والکسائی 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قرأها جمع من السّلف من الصحابة والتابعین،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واغسلوا أرجلکم إلی الکعبین</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ما تواتر فی السنّة قولاً وفعلا من أنّ فرض الرجلین هو الغسل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وبطون الأقدام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وکفعله صلی الله علیه و آله فی صفة وضوئه الذی نقله عنه أصحابه فی غسله رجلیه فی کلّ وضوئه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التّواتر القولی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النبیّ صلی الله علیه و آله کیف یکون حاصلاً والحال أنّ الصّحابة اختلف النّقل عنهم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بالتّابعین؟</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التّواتر الفعلیّ من النبیّ صلی الله علیه و آله فی الوضوء أیضاً لا یکون ثابتاً حمتاً لیس غیره، وإلّا لم یقع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ذلک مستند إلی بعض الروایات غیر متواترة المساء فهمها من جانب أهل السنّة، فإنّها واردة فی الطّهارة الخبثیّة ولا الوضوئیّة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غسل الأرجل متواتر بین أهل السنّة من عصر التّابعین وبعده</w:t>
      </w:r>
      <w:r>
        <w:rPr>
          <w:rFonts w:eastAsia="IRNazanin" w:cs="IRNazanin"/>
          <w:color w:val="111111"/>
          <w:sz w:val="28"/>
          <w:szCs w:val="28"/>
          <w:rtl w:val="true"/>
          <w:lang w:bidi="fa-IR"/>
        </w:rPr>
        <w:t>.</w:t>
      </w:r>
    </w:p>
    <w:p>
      <w:pPr>
        <w:pStyle w:val="Heading3"/>
        <w:numPr>
          <w:ilvl w:val="2"/>
          <w:numId w:val="1"/>
        </w:numPr>
        <w:rPr/>
      </w:pPr>
      <w:bookmarkStart w:id="672" w:name="__RefHeading___Toc972536_237004111"/>
      <w:bookmarkStart w:id="673" w:name="_Toc242"/>
      <w:bookmarkEnd w:id="672"/>
      <w:r>
        <w:rPr/>
        <w:t>101</w:t>
      </w:r>
      <w:r>
        <w:rPr>
          <w:rtl w:val="true"/>
        </w:rPr>
        <w:t xml:space="preserve"> - </w:t>
      </w:r>
      <w:r>
        <w:rPr>
          <w:rtl w:val="true"/>
        </w:rPr>
        <w:t>الدّکتور محمد سالم محیسن</w:t>
      </w:r>
      <w:bookmarkEnd w:id="67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الدکتور محمد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والکسائی، ویعقوب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اللّام، وذلک عطفاً علی الأیدی والوجوه، وعلیه یکون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 وأرجلکم إلی الکعبین 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هناک تقدیم وتأخیر فی الآیة وذلک جائز فی اللّغة العربیّة، لأنّ الواو لمطلق الجمع فلا تقتضی الترتیب، وقد جاء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اقْنُتِی لِرَبِّکِ وَ اسْجُدِی وَ ارْکَعِی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والرکوع قبل السجود، والسنّة المطهّرة جاءت بغسل الرّجلین</w:t>
      </w:r>
      <w:r>
        <w:rPr>
          <w:rStyle w:val="FootnoteAnchor"/>
          <w:rtl w:val="true"/>
        </w:rPr>
        <w:footnoteReference w:id="878"/>
      </w:r>
      <w:r>
        <w:rPr>
          <w:rFonts w:ascii="IRNazanin" w:hAnsi="IRNazanin" w:eastAsia="IRNazanin"/>
          <w:color w:val="111111"/>
          <w:sz w:val="28"/>
          <w:sz w:val="28"/>
          <w:szCs w:val="28"/>
          <w:rtl w:val="true"/>
          <w:lang w:bidi="fa-IR"/>
        </w:rPr>
        <w:t>، ثمّ نقل حدیث الصّنابجی عن رسول اللّه صلی الله علیه و آله أنّه 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رواه مالک</w:t>
      </w:r>
      <w:r>
        <w:rPr>
          <w:rStyle w:val="FootnoteAnchor"/>
          <w:rtl w:val="true"/>
        </w:rPr>
        <w:footnoteReference w:id="879"/>
      </w:r>
      <w:r>
        <w:rPr>
          <w:rFonts w:ascii="Amiri" w:hAnsi="Amiri" w:eastAsia="Amiri" w:cs="Amiri"/>
          <w:color w:val="111111"/>
          <w:sz w:val="28"/>
          <w:sz w:val="28"/>
          <w:szCs w:val="28"/>
          <w:rtl w:val="true"/>
          <w:lang w:bidi="ar-SA"/>
        </w:rPr>
        <w:t>والنّسائی</w:t>
      </w:r>
      <w:r>
        <w:rPr>
          <w:rStyle w:val="FootnoteAnchor"/>
          <w:rtl w:val="true"/>
        </w:rPr>
        <w:footnoteReference w:id="880"/>
      </w:r>
      <w:r>
        <w:rPr>
          <w:rFonts w:ascii="Amiri" w:hAnsi="Amiri" w:eastAsia="Amiri" w:cs="Amiri"/>
          <w:color w:val="111111"/>
          <w:sz w:val="28"/>
          <w:sz w:val="28"/>
          <w:szCs w:val="28"/>
          <w:rtl w:val="true"/>
          <w:lang w:bidi="ar-SA"/>
        </w:rPr>
        <w:t>، وابن ماجة</w:t>
      </w:r>
      <w:r>
        <w:rPr>
          <w:rStyle w:val="FootnoteAnchor"/>
          <w:rtl w:val="true"/>
        </w:rPr>
        <w:footnoteReference w:id="88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الدّکتور یتردّد بین هذا وذاک، إلّاأنّه استدلّ للغسل بالسنّة ونقل من السنّة حدیث الصّنابجی ولکنّه لم یدرک النبیّ صلی الله علیه و آله فإنّه رحل إلی المدینة فوجد النبیّ صلی الله علیه و آله قد مات بخمس لیال أو ستْ لیال ثمّ نزل الشّام فحدیثه شامیّ أوّلا، ویُری عن النبی صلی الله علیه و آله مرسلا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زید بن أسلم الذی فی السنّد فهو کان یفسّر القرآن برأیه، وکان یدلّس</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عطاء بن یسار کان قصیّصاً یقصّ للنّاس القصصص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الصنابجی لا عبرة به ولا یعبأ به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آیة مریم فإنّها لیست فی مقام الترتیب أصلاً، بل هی آمره لمریم علی هذه الأمور فقط</w:t>
      </w:r>
      <w:r>
        <w:rPr>
          <w:rFonts w:eastAsia="IRNazanin" w:cs="IRNazanin"/>
          <w:color w:val="111111"/>
          <w:sz w:val="28"/>
          <w:szCs w:val="28"/>
          <w:rtl w:val="true"/>
          <w:lang w:bidi="fa-IR"/>
        </w:rPr>
        <w:t xml:space="preserve">. </w:t>
      </w:r>
      <w:bookmarkStart w:id="674" w:name="pg6193_71336"/>
    </w:p>
    <w:p>
      <w:pPr>
        <w:pStyle w:val="Heading2"/>
        <w:numPr>
          <w:ilvl w:val="1"/>
          <w:numId w:val="1"/>
        </w:numPr>
        <w:rPr/>
      </w:pPr>
      <w:bookmarkStart w:id="675" w:name="__RefHeading___Toc972538_237004111"/>
      <w:bookmarkStart w:id="676" w:name="_Toc243"/>
      <w:bookmarkEnd w:id="674"/>
      <w:bookmarkEnd w:id="675"/>
      <w:r>
        <w:rPr>
          <w:rtl w:val="true"/>
        </w:rPr>
        <w:t>الفصل الثالث</w:t>
      </w:r>
      <w:r>
        <w:rPr>
          <w:rtl w:val="true"/>
        </w:rPr>
        <w:t xml:space="preserve">: </w:t>
      </w:r>
      <w:r>
        <w:rPr>
          <w:rtl w:val="true"/>
        </w:rPr>
        <w:t>فی قراءة الرفع</w:t>
      </w:r>
      <w:bookmarkEnd w:id="67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972540_237004111"/>
      <w:bookmarkStart w:id="678" w:name="_Toc244"/>
      <w:bookmarkEnd w:id="677"/>
      <w:r>
        <w:rPr>
          <w:rtl w:val="true"/>
        </w:rPr>
        <w:t>اشارة</w:t>
      </w:r>
      <w:bookmarkEnd w:id="67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قراءة الرفع وهی قراءة شاذّة، اعترف بشذوذها غیر واحد من المفسّرین والآدباء وأصحاب القراءات کما سیعرض علیک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ویتبیّن للمتأمّل فی اختلاف القراءات أنّه لم یکن وراء هذا الاختلاف الوصول إلی الحقّ والظفر بالحقیقیة التی لا یختلف فیها آثنان، هی قراءة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تری أَحداً منهم یختلف إلی عترة رسول اللّه لیسألهم عن قراءة جدّهم صلی الله علیه و آله، مع اعترافهم بفضل العترة وعلمهم وعدالتهم ومکانتهم علماً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والواقف إلی جانب العترة هم الشیعة فحسب، فإنّهم انقادوا فی أُمور الدین والدنیا لأهل البیت علیهم السلام، وآنقطعوا إلیهم فی کل ما یتعلق بالتکالیف الشرعیة والقواعد المرعیة فی إحراز الوقوف علی حکم اللّه تعالی فی کل مسألة من منابعها الصافیة التی لا یشوبها کدر الأهواءِ، ولا یرنقها آبتداعُ ذوی الآراءِ المتهافتة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مَدِیْنَةِ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p>
    <w:p>
      <w:pPr>
        <w:pStyle w:val="BookText"/>
        <w:rPr/>
      </w:pPr>
      <w:r>
        <w:rPr>
          <w:rFonts w:ascii="Amiri" w:hAnsi="Amiri" w:eastAsia="Amiri" w:cs="Amiri"/>
          <w:color w:val="111111"/>
          <w:sz w:val="28"/>
          <w:sz w:val="28"/>
          <w:szCs w:val="28"/>
          <w:rtl w:val="true"/>
          <w:lang w:bidi="ar-SA"/>
        </w:rPr>
        <w:t xml:space="preserve">وَمْن عَجَبِ أَنْ یَسْلُکَ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مَسْلَکاً لِکُلِّ سَدیْد الرأَی بأنَ ضلالُهُ</w:t>
      </w:r>
    </w:p>
    <w:p>
      <w:pPr>
        <w:pStyle w:val="BookText"/>
        <w:rPr/>
      </w:pPr>
      <w:r>
        <w:rPr>
          <w:rFonts w:ascii="Amiri" w:hAnsi="Amiri" w:eastAsia="Amiri" w:cs="Amiri"/>
          <w:color w:val="111111"/>
          <w:sz w:val="28"/>
          <w:sz w:val="28"/>
          <w:szCs w:val="28"/>
          <w:rtl w:val="true"/>
          <w:lang w:bidi="ar-SA"/>
        </w:rPr>
        <w:t>وَیَقْفُوْا خُطی زَیْدٍ وعَمْروٍ وخَالدٍ ویُتْرَکَ فیْ دَرْکِ آلحقائقِ آلُهُ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ووقوف الشیعة إلی جانب أهل البیت عرّضهم للقتل والتشرید والنهب والدمار من قِبَل طغاة بنی أُمیّة وعتاة بنی العبّاس، ومن قِبَل المردة والمنافقین الذین مهّدوا لهما السُّبل قبل ذلک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والجمهور انحرفوا عن أهل البیت علیهم السلام فتفرّقت بهم السُّبل فی شتّی المجالات ومنها قراءة القرآن، فلا تراهم یجتمعون علی قراءة واحدةٍ؛ ذلک بسبب عدم تمسّکهم بأهل البیت الذین کانوا أماناً للأُمّة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حدیث جدّهم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قبل ذلک فی أُصول الدین وفروعه إلی فرق متعدّدة، والحکّام استغلّوا هذا الاختلاف لیتحکّموا برقابهم، وکان بنو أُمیّة وبنو العبّاس والممهّدون لهما قبل ذلک یبثّون بذور الاختلاف فی الأُصول والفروع بین المسلمین، والغرض کان مخبّأً وراء السیاسة، وکانوا یدعمون رؤوس الفِرَق أیّ دعمٍ، وکان رؤساء هذه الفرق دُعاةً من قِبَل السُّلطات إلی هذا الاختلاف وسیوفاً لهم علی معارضیهم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کان لکلّ واحد منهم رأی خاصّ وهوی یعتنقه ویدعو الناس إلیه، ویؤیّد رأیه وهواه بالدلیل ولو کان مختلقاً، وبالقرآن وإن کان متشابهاً، وربّما فسّروا القرآن علی وَفْق ما یهوون لَیَکُوْنَ مُوافِقاً لما 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عطف القرآن علی الهوی لمناصرة رأی فلان وفلان ودعم هوی فلان منشأً لاختلاف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واحداً یقرأ القرآن بقراءته الخاصّة به، ویفسّره کما یقرأ، وآخر یخالفه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والتفسیر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یخالفهما فیهما ویقرأ بثالثة ویفسّر بها، کما أثبتنا ذلک فی المباحث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القراءة الأصلیّة هی الجرّ 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فی الرأس والرجلین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وقراءة النَّصب ربّما أوجدوها لمناصرة آراء الرجال، ولکنّها أیضاً لم تفدهم، </w:t>
      </w:r>
      <w:bookmarkStart w:id="679" w:name="pg6193_71344"/>
    </w:p>
    <w:p>
      <w:pPr>
        <w:pStyle w:val="BookText"/>
        <w:rPr/>
      </w:pPr>
      <w:bookmarkEnd w:id="679"/>
      <w:r>
        <w:rPr>
          <w:rFonts w:ascii="IRNazanin" w:hAnsi="IRNazanin" w:eastAsia="IRNazanin"/>
          <w:color w:val="111111"/>
          <w:sz w:val="28"/>
          <w:sz w:val="28"/>
          <w:szCs w:val="28"/>
          <w:rtl w:val="true"/>
          <w:lang w:bidi="fa-IR"/>
        </w:rPr>
        <w:t>حیث کانت بالعطف علی محلّ الرؤوس، والعطف علی المحلّ شائع کثیر فی الکلام، والمُفاد المسح قبل أن یکون غسلاً؛ لأنّ الغسل لا یکون مُفاده إلّابالعطف علی الوجوه والأیدی، وقد منعه النُّحاة وأهل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أحدثوا قراءةً أُخری لمناصرة الآراء وعطفاً لکتاب اللّه تعالی علی الأهواء، وسمّوها قراءة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الحقّ کان لهم بالمرصاد، حیث إنّهم إنّما کانوا قرؤوا به لإثبات الغسل، وقبل أن یثبت هو ثبت المسح، ولم یتفحّصوا عن إثبات الغسل فی موضعٍ إلّا وجدوا المسح قبله موجوداً موافقاً للقوانین العلمیّة والأدبیة واللغویة غیر معارضٍ لواحدٍ منها، إلّاأنّه لم یکن رأی قوم بأعیانهم، وهذا ممّا لا یضرّ بمکانة المسح فی الکتاب والسنّة النبویّة، وإن کانت السنّة العثمانیّة والأمویّة عموماً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والمستدلّون بقراءة الرَّفع علی الغسل جاؤوا ببضاعة مزجاة، ولذا تری کثیراً منهم بعد ذکر الرفع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الرفع علی تقدیر مغسولة،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ممسوحة،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ممسوحة، فجاء الاحتمال وبطل الاستدلال بالرّفع علی الغسل وحده علی أن قراءة الرفع تخرج الآیة عن إحکامه مع أنّها محکمة ولیست بمتشابهة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من قال به بالرفع هم</w:t>
      </w:r>
      <w:r>
        <w:rPr>
          <w:rFonts w:eastAsia="IRNazanin" w:cs="IRNazanin"/>
          <w:color w:val="111111"/>
          <w:sz w:val="28"/>
          <w:szCs w:val="28"/>
          <w:rtl w:val="true"/>
          <w:lang w:bidi="fa-IR"/>
        </w:rPr>
        <w:t>:</w:t>
      </w:r>
    </w:p>
    <w:p>
      <w:pPr>
        <w:pStyle w:val="Heading3"/>
        <w:numPr>
          <w:ilvl w:val="2"/>
          <w:numId w:val="1"/>
        </w:numPr>
        <w:rPr/>
      </w:pPr>
      <w:bookmarkStart w:id="680" w:name="__RefHeading___Toc972542_237004111"/>
      <w:bookmarkStart w:id="681" w:name="_Toc245"/>
      <w:bookmarkEnd w:id="680"/>
      <w:r>
        <w:rPr/>
        <w:t>1</w:t>
      </w:r>
      <w:r>
        <w:rPr>
          <w:rtl w:val="true"/>
        </w:rPr>
        <w:t xml:space="preserve"> - </w:t>
      </w:r>
      <w:r>
        <w:rPr>
          <w:rtl w:val="true"/>
        </w:rPr>
        <w:t xml:space="preserve">ابن جنّی </w:t>
      </w:r>
      <w:r>
        <w:rPr>
          <w:rtl w:val="true"/>
        </w:rPr>
        <w:t>(</w:t>
      </w:r>
      <w:r>
        <w:rPr>
          <w:rtl w:val="true"/>
        </w:rPr>
        <w:t xml:space="preserve">ت </w:t>
      </w:r>
      <w:r>
        <w:rPr/>
        <w:t>392</w:t>
      </w:r>
      <w:r>
        <w:rPr>
          <w:rtl w:val="true"/>
        </w:rPr>
        <w:t xml:space="preserve"> </w:t>
      </w:r>
      <w:r>
        <w:rPr>
          <w:rtl w:val="true"/>
        </w:rPr>
        <w:t xml:space="preserve">ه </w:t>
      </w:r>
      <w:r>
        <w:rPr>
          <w:rtl w:val="true"/>
        </w:rPr>
        <w:t>)</w:t>
      </w:r>
      <w:bookmarkEnd w:id="681"/>
    </w:p>
    <w:p>
      <w:pPr>
        <w:pStyle w:val="BookText"/>
        <w:rPr/>
      </w:pPr>
      <w:r>
        <w:rPr>
          <w:rFonts w:ascii="IRNazanin" w:hAnsi="IRNazanin" w:eastAsia="IRNazanin"/>
          <w:color w:val="111111"/>
          <w:sz w:val="28"/>
          <w:sz w:val="28"/>
          <w:szCs w:val="28"/>
          <w:rtl w:val="true"/>
          <w:lang w:bidi="fa-IR"/>
        </w:rPr>
        <w:t>روی عن عمرو عن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رفعه بالابتداء والخبر محذوف، دلّ علیه ما تقدّمه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وأرجلکم </w:t>
      </w:r>
      <w:bookmarkStart w:id="682" w:name="pg6193_71346"/>
    </w:p>
    <w:p>
      <w:pPr>
        <w:pStyle w:val="BookText"/>
        <w:rPr/>
      </w:pPr>
      <w:bookmarkEnd w:id="682"/>
      <w:r>
        <w:rPr>
          <w:rFonts w:ascii="IRNazanin" w:hAnsi="IRNazanin" w:eastAsia="IRNazanin"/>
          <w:color w:val="111111"/>
          <w:sz w:val="28"/>
          <w:sz w:val="28"/>
          <w:szCs w:val="28"/>
          <w:rtl w:val="true"/>
          <w:lang w:bidi="fa-IR"/>
        </w:rPr>
        <w:t>واجب غسلها أو مفروض غسلها، أو مغسولة کغیرها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نحو هذا ممّا حذف خبره لدلالة ما هناک علیه؛ وکأنّه بالرّفع أقوی معنیً؛ لأنّه یستأنف فیرفعه الابتداء فیصیر صاحب الجملة، وإذا نصب أو جرّ عطفه علی ما قبله فصار لَحَقاً وتبعاً، فاعرفه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الرَّفع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حذف الخبر بقرینة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تقدّمه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وتقدیر الغسل دون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 المسح وکونه متّفقاً علیه وأنه نزل به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للمرجوح کما لا یخفی، ولذا لم یجزم به غیر واحد، بل تردّد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مغسولة</w:t>
      </w:r>
      <w:r>
        <w:rPr>
          <w:rStyle w:val="FootnoteAnchor"/>
          <w:rtl w:val="true"/>
        </w:rPr>
        <w:footnoteReference w:id="886"/>
      </w:r>
      <w:r>
        <w:rPr>
          <w:rFonts w:ascii="IRNazanin" w:hAnsi="IRNazanin" w:eastAsia="IRNazanin"/>
          <w:color w:val="111111"/>
          <w:sz w:val="28"/>
          <w:sz w:val="28"/>
          <w:szCs w:val="28"/>
          <w:rtl w:val="true"/>
          <w:lang w:bidi="fa-IR"/>
        </w:rPr>
        <w:t>أو ممسوحة کما سیأتی</w:t>
      </w:r>
      <w:r>
        <w:rPr>
          <w:rFonts w:eastAsia="IRNazanin" w:cs="IRNazanin"/>
          <w:color w:val="111111"/>
          <w:sz w:val="28"/>
          <w:szCs w:val="28"/>
          <w:rtl w:val="true"/>
          <w:lang w:bidi="fa-IR"/>
        </w:rPr>
        <w:t>.</w:t>
      </w:r>
    </w:p>
    <w:p>
      <w:pPr>
        <w:pStyle w:val="Heading3"/>
        <w:numPr>
          <w:ilvl w:val="2"/>
          <w:numId w:val="1"/>
        </w:numPr>
        <w:rPr/>
      </w:pPr>
      <w:bookmarkStart w:id="683" w:name="__RefHeading___Toc972544_237004111"/>
      <w:bookmarkStart w:id="684" w:name="_Toc246"/>
      <w:bookmarkEnd w:id="683"/>
      <w:r>
        <w:rPr/>
        <w:t>2</w:t>
      </w:r>
      <w:r>
        <w:rPr>
          <w:rtl w:val="true"/>
        </w:rPr>
        <w:t xml:space="preserve"> - </w:t>
      </w:r>
      <w:r>
        <w:rPr>
          <w:rtl w:val="true"/>
        </w:rPr>
        <w:t xml:space="preserve">ابن سیده </w:t>
      </w:r>
      <w:r>
        <w:rPr>
          <w:rtl w:val="true"/>
        </w:rPr>
        <w:t>(</w:t>
      </w:r>
      <w:r>
        <w:rPr>
          <w:rtl w:val="true"/>
        </w:rPr>
        <w:t xml:space="preserve">ت </w:t>
      </w:r>
      <w:r>
        <w:rPr/>
        <w:t>458</w:t>
      </w:r>
      <w:r>
        <w:rPr>
          <w:rtl w:val="true"/>
        </w:rPr>
        <w:t xml:space="preserve"> </w:t>
      </w:r>
      <w:r>
        <w:rPr>
          <w:rtl w:val="true"/>
        </w:rPr>
        <w:t xml:space="preserve">ه </w:t>
      </w:r>
      <w:r>
        <w:rPr>
          <w:rtl w:val="true"/>
        </w:rPr>
        <w:t>)</w:t>
      </w:r>
      <w:bookmarkEnd w:id="684"/>
    </w:p>
    <w:p>
      <w:pPr>
        <w:pStyle w:val="BookText"/>
        <w:rPr/>
      </w:pPr>
      <w:r>
        <w:rPr>
          <w:rFonts w:ascii="IRNazanin" w:hAnsi="IRNazanin" w:eastAsia="IRNazanin"/>
          <w:color w:val="111111"/>
          <w:sz w:val="28"/>
          <w:sz w:val="28"/>
          <w:szCs w:val="28"/>
          <w:rtl w:val="true"/>
          <w:lang w:bidi="fa-IR"/>
        </w:rPr>
        <w:t>وقرأ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وهو مبتدأ محذوف الخبر؛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اغسلوها إلی الکعبین علی تأویل من یغسل، أو ممسوحة علی تأویل من یمسح</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فتراهم شاکّین فی تقدیر القراءة التی مالوا إلیها لإثبات الغسل؛ ولکنّها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سرابا بقیعة یحسبه الظّمئان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أتوه لم یجدوا عنده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ووجدوا الله عنده فوفّاهم حسابهم</w:t>
      </w:r>
      <w:r>
        <w:rPr>
          <w:rFonts w:eastAsia="IRNazanin" w:cs="IRNazanin"/>
          <w:color w:val="111111"/>
          <w:sz w:val="28"/>
          <w:szCs w:val="28"/>
          <w:rtl w:val="true"/>
          <w:lang w:bidi="fa-IR"/>
        </w:rPr>
        <w:t>».</w:t>
      </w:r>
    </w:p>
    <w:p>
      <w:pPr>
        <w:pStyle w:val="Heading3"/>
        <w:numPr>
          <w:ilvl w:val="2"/>
          <w:numId w:val="1"/>
        </w:numPr>
        <w:rPr/>
      </w:pPr>
      <w:bookmarkStart w:id="685" w:name="__RefHeading___Toc972546_237004111"/>
      <w:bookmarkStart w:id="686" w:name="_Toc247"/>
      <w:bookmarkEnd w:id="685"/>
      <w:r>
        <w:rPr/>
        <w:t>3</w:t>
      </w:r>
      <w:r>
        <w:rPr>
          <w:rtl w:val="true"/>
        </w:rPr>
        <w:t xml:space="preserve"> - </w:t>
      </w:r>
      <w:r>
        <w:rPr>
          <w:rtl w:val="true"/>
        </w:rPr>
        <w:t xml:space="preserve">الزمخشری </w:t>
      </w:r>
      <w:r>
        <w:rPr>
          <w:rtl w:val="true"/>
        </w:rPr>
        <w:t>(</w:t>
      </w:r>
      <w:r>
        <w:rPr>
          <w:rtl w:val="true"/>
        </w:rPr>
        <w:t xml:space="preserve">ت </w:t>
      </w:r>
      <w:r>
        <w:rPr/>
        <w:t>538</w:t>
      </w:r>
      <w:r>
        <w:rPr>
          <w:rtl w:val="true"/>
        </w:rPr>
        <w:t xml:space="preserve"> </w:t>
      </w:r>
      <w:r>
        <w:rPr>
          <w:rtl w:val="true"/>
        </w:rPr>
        <w:t xml:space="preserve">ه </w:t>
      </w:r>
      <w:r>
        <w:rPr>
          <w:rtl w:val="true"/>
        </w:rPr>
        <w:t>)</w:t>
      </w:r>
      <w:bookmarkEnd w:id="68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 الزمخشری فائدةً فی التعلّل، فروی الرفع عن الحسن البصریّ وسلیمان </w:t>
      </w:r>
      <w:bookmarkStart w:id="687" w:name="pg6193_71348"/>
    </w:p>
    <w:p>
      <w:pPr>
        <w:pStyle w:val="BookText"/>
        <w:rPr/>
      </w:pPr>
      <w:bookmarkEnd w:id="687"/>
      <w:r>
        <w:rPr>
          <w:rFonts w:ascii="IRNazanin" w:hAnsi="IRNazanin" w:eastAsia="IRNazanin"/>
          <w:color w:val="111111"/>
          <w:sz w:val="28"/>
          <w:sz w:val="28"/>
          <w:szCs w:val="28"/>
          <w:rtl w:val="true"/>
          <w:lang w:bidi="fa-IR"/>
        </w:rPr>
        <w:t>ابن مهران الأعمش، ولم یقطع بالمقدّر، بأنّها مغسولةٌ، بل احتمله والمسح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وأرجلکم مغسولة أو ممسوحة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فی فصل الجرّ والنصب تعلیله وتوجیهه بأنّه عطف علی الممسوح لا لتمسح، بل للاقتصاد فی صبّ الماء علیها للنهی عن الإسراف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فتردّده فی الرّفع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 أو 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الآن أنّ توجیهه فی السابق إنّما کان لعطف القرآن علی الرّأی وأنّه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هو جازماً فی تعلیله السابق فی فصل الجرّ والنصب، لم یتردّد فی التقدیر فی هذا الفصل، بل کان له القطع بالتقدیر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972548_237004111"/>
      <w:bookmarkStart w:id="689" w:name="_Toc248"/>
      <w:bookmarkEnd w:id="688"/>
      <w:r>
        <w:rPr/>
        <w:t>4</w:t>
      </w:r>
      <w:r>
        <w:rPr>
          <w:rtl w:val="true"/>
        </w:rPr>
        <w:t xml:space="preserve"> - </w:t>
      </w:r>
      <w:r>
        <w:rPr>
          <w:rtl w:val="true"/>
        </w:rPr>
        <w:t xml:space="preserve">ابن العربی </w:t>
      </w:r>
      <w:r>
        <w:rPr>
          <w:rtl w:val="true"/>
        </w:rPr>
        <w:t>(</w:t>
      </w:r>
      <w:r>
        <w:rPr>
          <w:rtl w:val="true"/>
        </w:rPr>
        <w:t xml:space="preserve">ت </w:t>
      </w:r>
      <w:r>
        <w:rPr/>
        <w:t>543</w:t>
      </w:r>
      <w:r>
        <w:rPr>
          <w:rtl w:val="true"/>
        </w:rPr>
        <w:t xml:space="preserve"> </w:t>
      </w:r>
      <w:r>
        <w:rPr>
          <w:rtl w:val="true"/>
        </w:rPr>
        <w:t xml:space="preserve">ه </w:t>
      </w:r>
      <w:r>
        <w:rPr>
          <w:rtl w:val="true"/>
        </w:rPr>
        <w:t>)</w:t>
      </w:r>
      <w:bookmarkEnd w:id="68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برفع اللّام، وروی عنه فی المشهور أنّه قرأها بفتح اللّام کغیره من الجماعة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مُفِیْدٌ حکم غسل الرّجلین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عن نافع إنّما رواه الولید بن مسلم، وهی قراءة الأعمش والحسن</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تعبیره عن الضمّ بالرَّفع غرابة لا تخفی علی الأدیب النّحوی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ضعّف الرَّفع عن نافع،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عنه الفتح، ومراده النّصب</w:t>
      </w:r>
      <w:r>
        <w:rPr>
          <w:rFonts w:eastAsia="Amiri" w:cs="Amiri" w:ascii="Amiri" w:hAnsi="Amiri"/>
          <w:color w:val="111111"/>
          <w:sz w:val="28"/>
          <w:szCs w:val="28"/>
          <w:rtl w:val="true"/>
          <w:lang w:bidi="ar-SA"/>
        </w:rPr>
        <w:t xml:space="preserve">. </w:t>
      </w:r>
      <w:bookmarkStart w:id="690" w:name="pg6193_71350"/>
    </w:p>
    <w:p>
      <w:pPr>
        <w:pStyle w:val="BookText"/>
        <w:rPr/>
      </w:pPr>
      <w:bookmarkEnd w:id="690"/>
      <w:r>
        <w:rPr>
          <w:rFonts w:ascii="IRNazanin" w:hAnsi="IRNazanin" w:eastAsia="IRNazanin"/>
          <w:color w:val="111111"/>
          <w:sz w:val="28"/>
          <w:sz w:val="28"/>
          <w:szCs w:val="28"/>
          <w:rtl w:val="true"/>
          <w:lang w:bidi="fa-IR"/>
        </w:rPr>
        <w:t>وحکمه بأنّه مفید للغسل تحکّم کما لا یخفی، لأنّه لیس للرَّفع خصوصیّة تقتضی الدلالة علی الغسل ولا لزوم بینهما، کما هو واضح</w:t>
      </w:r>
      <w:r>
        <w:rPr>
          <w:rFonts w:eastAsia="IRNazanin" w:cs="IRNazanin"/>
          <w:color w:val="111111"/>
          <w:sz w:val="28"/>
          <w:szCs w:val="28"/>
          <w:rtl w:val="true"/>
          <w:lang w:bidi="fa-IR"/>
        </w:rPr>
        <w:t>.</w:t>
      </w:r>
    </w:p>
    <w:p>
      <w:pPr>
        <w:pStyle w:val="Heading3"/>
        <w:numPr>
          <w:ilvl w:val="2"/>
          <w:numId w:val="1"/>
        </w:numPr>
        <w:rPr/>
      </w:pPr>
      <w:bookmarkStart w:id="691" w:name="__RefHeading___Toc972550_237004111"/>
      <w:bookmarkStart w:id="692" w:name="_Toc249"/>
      <w:bookmarkEnd w:id="691"/>
      <w:r>
        <w:rPr/>
        <w:t>5</w:t>
      </w:r>
      <w:r>
        <w:rPr>
          <w:rtl w:val="true"/>
        </w:rPr>
        <w:t xml:space="preserve"> - </w:t>
      </w:r>
      <w:r>
        <w:rPr>
          <w:rtl w:val="true"/>
        </w:rPr>
        <w:t xml:space="preserve">ابن عطیّة الأندلسیّ </w:t>
      </w:r>
      <w:r>
        <w:rPr>
          <w:rtl w:val="true"/>
        </w:rPr>
        <w:t>(</w:t>
      </w:r>
      <w:r>
        <w:rPr>
          <w:rtl w:val="true"/>
        </w:rPr>
        <w:t xml:space="preserve">ت </w:t>
      </w:r>
      <w:r>
        <w:rPr/>
        <w:t>546</w:t>
      </w:r>
      <w:r>
        <w:rPr>
          <w:rtl w:val="true"/>
        </w:rPr>
        <w:t xml:space="preserve"> </w:t>
      </w:r>
      <w:r>
        <w:rPr>
          <w:rtl w:val="true"/>
        </w:rPr>
        <w:t xml:space="preserve">ه </w:t>
      </w:r>
      <w:r>
        <w:rPr>
          <w:rtl w:val="true"/>
        </w:rPr>
        <w:t>)</w:t>
      </w:r>
      <w:bookmarkEnd w:id="692"/>
    </w:p>
    <w:p>
      <w:pPr>
        <w:pStyle w:val="BookText"/>
        <w:rPr/>
      </w:pPr>
      <w:r>
        <w:rPr>
          <w:rFonts w:ascii="IRNazanin" w:hAnsi="IRNazanin" w:eastAsia="IRNazanin"/>
          <w:color w:val="111111"/>
          <w:sz w:val="28"/>
          <w:sz w:val="28"/>
          <w:szCs w:val="28"/>
          <w:rtl w:val="true"/>
          <w:lang w:bidi="fa-IR"/>
        </w:rPr>
        <w:t>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الحسن والأعمش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فاغسلوها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المتأمّل فی کلامه لا یدری من أین جاء هذا التقدیر وما هو الموجب له؟ نعم الموجب له هو عطف القرآن علی الهوی ولا دلیل آخر علیه، لأنّ القوم فی القراءتین النّصب والجرّ لم یستطیعوا إثبات الغسل، ولم تتّفق کلمتهم علی ذلک، فمن أین جاء القطع بهذا التقدیر فی الرّفع الشاذّ، ولم یکن موجوداً فی النصب والجرّ فی القراءات المشهورة؟</w:t>
      </w:r>
      <w:r>
        <w:rPr>
          <w:rFonts w:eastAsia="IRNazanin" w:cs="IRNazanin"/>
          <w:color w:val="111111"/>
          <w:sz w:val="28"/>
          <w:szCs w:val="28"/>
          <w:rtl w:val="true"/>
          <w:lang w:bidi="fa-IR"/>
        </w:rPr>
        <w:t>!</w:t>
      </w:r>
    </w:p>
    <w:p>
      <w:pPr>
        <w:pStyle w:val="Heading3"/>
        <w:numPr>
          <w:ilvl w:val="2"/>
          <w:numId w:val="1"/>
        </w:numPr>
        <w:rPr/>
      </w:pPr>
      <w:bookmarkStart w:id="693" w:name="__RefHeading___Toc972552_237004111"/>
      <w:bookmarkStart w:id="694" w:name="_Toc250"/>
      <w:bookmarkEnd w:id="693"/>
      <w:r>
        <w:rPr/>
        <w:t>6</w:t>
      </w:r>
      <w:r>
        <w:rPr>
          <w:rtl w:val="true"/>
        </w:rPr>
        <w:t xml:space="preserve"> - </w:t>
      </w:r>
      <w:r>
        <w:rPr>
          <w:rtl w:val="true"/>
        </w:rPr>
        <w:t xml:space="preserve">محمود بن أبی الحسن النیّسابوری </w:t>
      </w:r>
      <w:r>
        <w:rPr>
          <w:rtl w:val="true"/>
        </w:rPr>
        <w:t>(</w:t>
      </w:r>
      <w:r>
        <w:rPr>
          <w:rtl w:val="true"/>
        </w:rPr>
        <w:t xml:space="preserve">ت </w:t>
      </w:r>
      <w:r>
        <w:rPr/>
        <w:t>553</w:t>
      </w:r>
      <w:r>
        <w:rPr>
          <w:rtl w:val="true"/>
        </w:rPr>
        <w:t xml:space="preserve"> </w:t>
      </w:r>
      <w:r>
        <w:rPr>
          <w:rtl w:val="true"/>
        </w:rPr>
        <w:t xml:space="preserve">ه </w:t>
      </w:r>
      <w:r>
        <w:rPr>
          <w:rtl w:val="true"/>
        </w:rPr>
        <w:t>)</w:t>
      </w:r>
      <w:bookmarkEnd w:id="694"/>
    </w:p>
    <w:p>
      <w:pPr>
        <w:pStyle w:val="BookText"/>
        <w:rPr/>
      </w:pPr>
      <w:r>
        <w:rPr>
          <w:rFonts w:ascii="IRNazanin" w:hAnsi="IRNazanin" w:eastAsia="IRNazanin"/>
          <w:color w:val="111111"/>
          <w:sz w:val="28"/>
          <w:sz w:val="28"/>
          <w:szCs w:val="28"/>
          <w:rtl w:val="true"/>
          <w:lang w:bidi="fa-IR"/>
        </w:rPr>
        <w:t>بالرفع علی الابتداء المحذوف الخبر،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مغسولة</w:t>
      </w:r>
      <w:r>
        <w:rPr>
          <w:rStyle w:val="FootnoteAnchor"/>
          <w:rtl w:val="true"/>
        </w:rPr>
        <w:footnoteReference w:id="894"/>
      </w:r>
      <w:r>
        <w:rPr>
          <w:rFonts w:ascii="IRNazanin" w:hAnsi="IRNazanin" w:eastAsia="IRNazanin"/>
          <w:color w:val="111111"/>
          <w:sz w:val="28"/>
          <w:sz w:val="28"/>
          <w:szCs w:val="28"/>
          <w:rtl w:val="true"/>
          <w:lang w:bidi="fa-IR"/>
        </w:rPr>
        <w:t>ولکنّنا نقدر ممسوحة بالأدلة الّتی عندنا</w:t>
      </w:r>
      <w:r>
        <w:rPr>
          <w:rFonts w:eastAsia="IRNazanin" w:cs="IRNazanin"/>
          <w:color w:val="111111"/>
          <w:sz w:val="28"/>
          <w:szCs w:val="28"/>
          <w:rtl w:val="true"/>
          <w:lang w:bidi="fa-IR"/>
        </w:rPr>
        <w:t>.</w:t>
      </w:r>
    </w:p>
    <w:p>
      <w:pPr>
        <w:pStyle w:val="Heading3"/>
        <w:numPr>
          <w:ilvl w:val="2"/>
          <w:numId w:val="1"/>
        </w:numPr>
        <w:rPr/>
      </w:pPr>
      <w:bookmarkStart w:id="695" w:name="__RefHeading___Toc972554_237004111"/>
      <w:bookmarkStart w:id="696" w:name="_Toc251"/>
      <w:bookmarkEnd w:id="695"/>
      <w:r>
        <w:rPr/>
        <w:t>7</w:t>
      </w:r>
      <w:r>
        <w:rPr>
          <w:rtl w:val="true"/>
        </w:rPr>
        <w:t xml:space="preserve"> - </w:t>
      </w:r>
      <w:r>
        <w:rPr>
          <w:rtl w:val="true"/>
        </w:rPr>
        <w:t xml:space="preserve">أبو البقاء </w:t>
      </w:r>
      <w:r>
        <w:rPr>
          <w:rtl w:val="true"/>
        </w:rPr>
        <w:t>(</w:t>
      </w:r>
      <w:r>
        <w:rPr>
          <w:rtl w:val="true"/>
        </w:rPr>
        <w:t xml:space="preserve">ت </w:t>
      </w:r>
      <w:r>
        <w:rPr/>
        <w:t>616</w:t>
      </w:r>
      <w:r>
        <w:rPr>
          <w:rtl w:val="true"/>
        </w:rPr>
        <w:t xml:space="preserve"> </w:t>
      </w:r>
      <w:r>
        <w:rPr>
          <w:rtl w:val="true"/>
        </w:rPr>
        <w:t xml:space="preserve">ه </w:t>
      </w:r>
      <w:r>
        <w:rPr>
          <w:rtl w:val="true"/>
        </w:rPr>
        <w:t>)</w:t>
      </w:r>
      <w:bookmarkEnd w:id="69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الرّجل بابتدائیّة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القراءة، وقدّر الخبر مغسولة قائلاً</w:t>
      </w:r>
      <w:r>
        <w:rPr>
          <w:rFonts w:eastAsia="IRNazanin" w:cs="IRNazanin"/>
          <w:color w:val="111111"/>
          <w:sz w:val="28"/>
          <w:szCs w:val="28"/>
          <w:rtl w:val="true"/>
          <w:lang w:bidi="fa-IR"/>
        </w:rPr>
        <w:t xml:space="preserve">: </w:t>
      </w:r>
      <w:bookmarkStart w:id="697" w:name="pg6193_71352"/>
    </w:p>
    <w:p>
      <w:pPr>
        <w:pStyle w:val="BookText"/>
        <w:rPr/>
      </w:pPr>
      <w:bookmarkEnd w:id="697"/>
      <w:r>
        <w:rPr>
          <w:rFonts w:ascii="IRNazanin" w:hAnsi="IRNazanin" w:eastAsia="IRNazanin"/>
          <w:color w:val="111111"/>
          <w:sz w:val="28"/>
          <w:sz w:val="28"/>
          <w:szCs w:val="28"/>
          <w:rtl w:val="true"/>
          <w:lang w:bidi="fa-IR"/>
        </w:rPr>
        <w:t>قراءة الرَّفع أیضاً محمولة علی الغسل بتقدیر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یذکر لأیّ سبب حکم بهذا التّقدیر؟ وما هو الدلیل الذی أوجبه؟ وما هو سبب الترجیح الذی رکن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علی فرض صحّة تلک القراءة نقدّر ممسوحة والتّرجیح یکون بسبب بالأدلّة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إعرابه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الرفع علی الابتداء والخبر محذوف، ودلیل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هذا المبتدأ</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یصرّح به، کأنّه یمیل إلی مغسولة، ونحن نقدّر ممسوحة لأنّ المسح أیضاً ما قبل هذا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قبله الحقیقیّ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المانع من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قربه ووضوحه؟ علی أنّه حکم بشذوذ قراءة الرفع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ویقرء بالشذوذ بالرفع</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قراءة الرَّفع عن الحسن البصریّ وهو متأخّر عن عهد رسول اللّه صلی الله علیه و آله بأکثر من عقدین، ثمّ اعترف بأنّ هذه القرآءة لا تصلح أن تکون دلیلاً للفریقین، إذ لکلّ أن یقدّر ما شاء، ومن ثَمّ قال الزمخشریّ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972556_237004111"/>
      <w:bookmarkStart w:id="699" w:name="_Toc252"/>
      <w:bookmarkEnd w:id="698"/>
      <w:r>
        <w:rPr/>
        <w:t>8</w:t>
      </w:r>
      <w:r>
        <w:rPr>
          <w:rtl w:val="true"/>
        </w:rPr>
        <w:t xml:space="preserve"> - </w:t>
      </w:r>
      <w:r>
        <w:rPr>
          <w:rtl w:val="true"/>
        </w:rPr>
        <w:t xml:space="preserve">بیان الحق النیسابوری </w:t>
      </w:r>
      <w:r>
        <w:rPr>
          <w:rtl w:val="true"/>
        </w:rPr>
        <w:t>(</w:t>
      </w:r>
      <w:r>
        <w:rPr>
          <w:rtl w:val="true"/>
        </w:rPr>
        <w:t xml:space="preserve">ت </w:t>
      </w:r>
      <w:r>
        <w:rPr/>
        <w:t>555</w:t>
      </w:r>
      <w:r>
        <w:rPr>
          <w:rtl w:val="true"/>
        </w:rPr>
        <w:t xml:space="preserve"> </w:t>
      </w:r>
      <w:r>
        <w:rPr>
          <w:rtl w:val="true"/>
        </w:rPr>
        <w:t xml:space="preserve">ه </w:t>
      </w:r>
      <w:r>
        <w:rPr>
          <w:rtl w:val="true"/>
        </w:rPr>
        <w:t>)</w:t>
      </w:r>
      <w:bookmarkEnd w:id="69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بیان الحقّ إنّ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علی الإبتداء المحذوف الخبر، أی </w:t>
      </w:r>
      <w:bookmarkStart w:id="700" w:name="pg6193_71354"/>
    </w:p>
    <w:p>
      <w:pPr>
        <w:pStyle w:val="BookText"/>
        <w:rPr/>
      </w:pPr>
      <w:bookmarkEnd w:id="700"/>
      <w:r>
        <w:rPr>
          <w:rFonts w:ascii="IRNazanin" w:hAnsi="IRNazanin" w:eastAsia="IRNazanin"/>
          <w:color w:val="111111"/>
          <w:sz w:val="28"/>
          <w:sz w:val="28"/>
          <w:szCs w:val="28"/>
          <w:rtl w:val="true"/>
          <w:lang w:bidi="fa-IR"/>
        </w:rPr>
        <w:t>وأرجلکم مغسولة لئلّا یحتاج إلی اعتبار المجاز توقّی العطف عما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رجع عن قراءة النصب والرّفع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یکون معطوفاً علی مسح الرّأس فی اللّفظ والمعنی ثمّ نسخ بدلیل السنة وبدلیل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قلنا فی أوّل قراءة الرّفع أنّ هذه القراءة شاذّة بتصریح غیر واحد من المفسرین والأدباء وأصحاب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هذه القراءة فمن این نعلم أنّ المحذوف هو الغسل، بل نقول نحن إنّه المسح، فتعیین الغسل هو أوّل الکلام، ولهذا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اغسلوها إلی الکعبین، علی تأویل من یغسل، أو ممسوحة علی تأویل من یمسح وکذا لم یقطع الزّمخشری إذ قال وأرجلکم مغسولة أو ممسوحة فتراهم شاکیّن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یلزم المجاز والحال 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سواء علی لفظه أو محلّه؟</w:t>
      </w:r>
    </w:p>
    <w:p>
      <w:pPr>
        <w:pStyle w:val="Heading3"/>
        <w:numPr>
          <w:ilvl w:val="2"/>
          <w:numId w:val="1"/>
        </w:numPr>
        <w:rPr/>
      </w:pPr>
      <w:bookmarkStart w:id="701" w:name="__RefHeading___Toc972558_237004111"/>
      <w:bookmarkStart w:id="702" w:name="_Toc253"/>
      <w:bookmarkEnd w:id="701"/>
      <w:r>
        <w:rPr/>
        <w:t>9</w:t>
      </w:r>
      <w:r>
        <w:rPr>
          <w:rtl w:val="true"/>
        </w:rPr>
        <w:t xml:space="preserve"> - </w:t>
      </w:r>
      <w:r>
        <w:rPr>
          <w:rtl w:val="true"/>
        </w:rPr>
        <w:t xml:space="preserve">القرطبیّ </w:t>
      </w:r>
      <w:r>
        <w:rPr>
          <w:rtl w:val="true"/>
        </w:rPr>
        <w:t>(</w:t>
      </w:r>
      <w:r>
        <w:rPr>
          <w:rtl w:val="true"/>
        </w:rPr>
        <w:t xml:space="preserve">ت </w:t>
      </w:r>
      <w:r>
        <w:rPr/>
        <w:t>671</w:t>
      </w:r>
      <w:r>
        <w:rPr>
          <w:rtl w:val="true"/>
        </w:rPr>
        <w:t xml:space="preserve"> </w:t>
      </w:r>
      <w:r>
        <w:rPr>
          <w:rtl w:val="true"/>
        </w:rPr>
        <w:t xml:space="preserve">ه </w:t>
      </w:r>
      <w:r>
        <w:rPr>
          <w:rtl w:val="true"/>
        </w:rPr>
        <w:t>)</w:t>
      </w:r>
      <w:bookmarkEnd w:id="702"/>
    </w:p>
    <w:p>
      <w:pPr>
        <w:pStyle w:val="BookText"/>
        <w:rPr/>
      </w:pPr>
      <w:r>
        <w:rPr>
          <w:rFonts w:ascii="IRNazanin" w:hAnsi="IRNazanin" w:eastAsia="IRNazanin"/>
          <w:color w:val="111111"/>
          <w:sz w:val="28"/>
          <w:sz w:val="28"/>
          <w:szCs w:val="28"/>
          <w:rtl w:val="true"/>
          <w:lang w:bidi="fa-IR"/>
        </w:rPr>
        <w:t>رواه عن الولید بن مسلم عن نافع،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قراءة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والأعمش سلیمان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واکتفی بهذا القدر، وأنت تعرف أنّ التقدیر مرجوح لا یصار إلیه إلّامع الحاجة ویکتفی بقدرها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وهاهنا لا حاجة إلی التقدیر، لأنّ الآیة تدلّ علی المراد من دونه، وهی محکمة </w:t>
      </w:r>
      <w:bookmarkStart w:id="703" w:name="pg6193_71356"/>
    </w:p>
    <w:p>
      <w:pPr>
        <w:pStyle w:val="BookText"/>
        <w:rPr/>
      </w:pPr>
      <w:bookmarkEnd w:id="703"/>
      <w:r>
        <w:rPr>
          <w:rFonts w:ascii="IRNazanin" w:hAnsi="IRNazanin" w:eastAsia="IRNazanin"/>
          <w:color w:val="111111"/>
          <w:sz w:val="28"/>
          <w:sz w:val="28"/>
          <w:szCs w:val="28"/>
          <w:rtl w:val="true"/>
          <w:lang w:bidi="fa-IR"/>
        </w:rPr>
        <w:t>لا تحتاج إلی التقدیر والتأویل، وأکثر التقدیر إنّما یتطرّق إلی الآیات للتأویل، فهذا لیس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علم أنّ الرَّفع لا یساعده علی مراده، فلم یذکر المقدّر المزعوم ما هو؟ ولو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نطلب منه ترجیح الغسل والمرجّح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فیؤول الأمر إلی المسح ومعه المرجّحات المذکورة فی الفصلین السابقین</w:t>
      </w:r>
      <w:r>
        <w:rPr>
          <w:rFonts w:eastAsia="IRNazanin" w:cs="IRNazanin"/>
          <w:color w:val="111111"/>
          <w:sz w:val="28"/>
          <w:szCs w:val="28"/>
          <w:rtl w:val="true"/>
          <w:lang w:bidi="fa-IR"/>
        </w:rPr>
        <w:t>.</w:t>
      </w:r>
    </w:p>
    <w:p>
      <w:pPr>
        <w:pStyle w:val="Heading3"/>
        <w:numPr>
          <w:ilvl w:val="2"/>
          <w:numId w:val="1"/>
        </w:numPr>
        <w:rPr/>
      </w:pPr>
      <w:bookmarkStart w:id="704" w:name="__RefHeading___Toc972560_237004111"/>
      <w:bookmarkStart w:id="705" w:name="_Toc254"/>
      <w:bookmarkEnd w:id="704"/>
      <w:r>
        <w:rPr/>
        <w:t>10</w:t>
      </w:r>
      <w:r>
        <w:rPr>
          <w:rtl w:val="true"/>
        </w:rPr>
        <w:t xml:space="preserve"> - </w:t>
      </w:r>
      <w:r>
        <w:rPr>
          <w:rtl w:val="true"/>
        </w:rPr>
        <w:t xml:space="preserve">البیضاوی </w:t>
      </w:r>
      <w:r>
        <w:rPr>
          <w:rtl w:val="true"/>
        </w:rPr>
        <w:t>(</w:t>
      </w:r>
      <w:r>
        <w:rPr>
          <w:rtl w:val="true"/>
        </w:rPr>
        <w:t xml:space="preserve">ت </w:t>
      </w:r>
      <w:r>
        <w:rPr/>
        <w:t>682</w:t>
      </w:r>
      <w:r>
        <w:rPr>
          <w:rtl w:val="true"/>
        </w:rPr>
        <w:t xml:space="preserve"> </w:t>
      </w:r>
      <w:r>
        <w:rPr>
          <w:rtl w:val="true"/>
        </w:rPr>
        <w:t xml:space="preserve">ه </w:t>
      </w:r>
      <w:r>
        <w:rPr>
          <w:rtl w:val="true"/>
        </w:rPr>
        <w:t>)</w:t>
      </w:r>
      <w:bookmarkEnd w:id="70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 بالرَّفع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مغسولة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لطف التعبیر، فإنّ مراده أنّ الرَّفع إنّما قرؤوا به علی أن یفید الغسل؛ ولکن الرّفع أیضاً خیّب آمالهم، حیث لم یفد الغرض بل ربّما أفاده المسح، وهو خلاف مقصودهم تماماً</w:t>
      </w:r>
      <w:r>
        <w:rPr>
          <w:rFonts w:eastAsia="IRNazanin" w:cs="IRNazanin"/>
          <w:color w:val="111111"/>
          <w:sz w:val="28"/>
          <w:szCs w:val="28"/>
          <w:rtl w:val="true"/>
          <w:lang w:bidi="fa-IR"/>
        </w:rPr>
        <w:t>.</w:t>
      </w:r>
    </w:p>
    <w:p>
      <w:pPr>
        <w:pStyle w:val="Heading3"/>
        <w:numPr>
          <w:ilvl w:val="2"/>
          <w:numId w:val="1"/>
        </w:numPr>
        <w:rPr/>
      </w:pPr>
      <w:bookmarkStart w:id="706" w:name="__RefHeading___Toc972562_237004111"/>
      <w:bookmarkStart w:id="707" w:name="_Toc255"/>
      <w:bookmarkEnd w:id="706"/>
      <w:r>
        <w:rPr/>
        <w:t>11</w:t>
      </w:r>
      <w:r>
        <w:rPr>
          <w:rtl w:val="true"/>
        </w:rPr>
        <w:t xml:space="preserve"> - </w:t>
      </w:r>
      <w:r>
        <w:rPr>
          <w:rtl w:val="true"/>
        </w:rPr>
        <w:t xml:space="preserve">أبو حیّان </w:t>
      </w:r>
      <w:r>
        <w:rPr>
          <w:rtl w:val="true"/>
        </w:rPr>
        <w:t>(</w:t>
      </w:r>
      <w:r>
        <w:rPr>
          <w:rtl w:val="true"/>
        </w:rPr>
        <w:t xml:space="preserve">ت </w:t>
      </w:r>
      <w:r>
        <w:rPr/>
        <w:t>745</w:t>
      </w:r>
      <w:r>
        <w:rPr>
          <w:rtl w:val="true"/>
        </w:rPr>
        <w:t xml:space="preserve"> </w:t>
      </w:r>
      <w:r>
        <w:rPr>
          <w:rtl w:val="true"/>
        </w:rPr>
        <w:t xml:space="preserve">ه </w:t>
      </w:r>
      <w:r>
        <w:rPr>
          <w:rtl w:val="true"/>
        </w:rPr>
        <w:t>)</w:t>
      </w:r>
      <w:bookmarkEnd w:id="707"/>
    </w:p>
    <w:p>
      <w:pPr>
        <w:pStyle w:val="BookText"/>
        <w:rPr/>
      </w:pPr>
      <w:r>
        <w:rPr>
          <w:rFonts w:ascii="IRNazanin" w:hAnsi="IRNazanin" w:eastAsia="IRNazanin"/>
          <w:color w:val="111111"/>
          <w:sz w:val="28"/>
          <w:sz w:val="28"/>
          <w:szCs w:val="28"/>
          <w:rtl w:val="true"/>
          <w:lang w:bidi="fa-IR"/>
        </w:rPr>
        <w:t>لم یثبت عند أبی حیّان أنّ الرَّفع یدلّ علی الغسل ویساعده، ولذا لم یرجّح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الرَّفع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مبتدأ محذوف الخبر، أی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اغسلوها إلی الکعبین علی تأویل من یغسل، أو ممسوحة إلی الکعبین علی تأویل من یمسح</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708" w:name="pg6193_71359"/>
    </w:p>
    <w:p>
      <w:pPr>
        <w:pStyle w:val="BookText"/>
        <w:rPr/>
      </w:pPr>
      <w:bookmarkEnd w:id="708"/>
      <w:r>
        <w:rPr>
          <w:rFonts w:ascii="IRNazanin" w:hAnsi="IRNazanin" w:eastAsia="IRNazanin"/>
          <w:color w:val="111111"/>
          <w:sz w:val="28"/>
          <w:sz w:val="28"/>
          <w:szCs w:val="28"/>
          <w:rtl w:val="true"/>
          <w:lang w:bidi="fa-IR"/>
        </w:rPr>
        <w:t>فهو عارف بعدم جدوی أیّ تقدیر فی ترجیح نظریّة الغسل علی نظریّة المسح ولذا لم یقتنع بواحدٍ ولم یحکم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 الاحتمالین، إذ ما من دلیل علی الغسل إلّاوقبله دلیل أقوی منه علی المسح، کما عرفت فی الأبحاث المتقدّمة</w:t>
      </w:r>
      <w:r>
        <w:rPr>
          <w:rFonts w:eastAsia="IRNazanin" w:cs="IRNazanin"/>
          <w:color w:val="111111"/>
          <w:sz w:val="28"/>
          <w:szCs w:val="28"/>
          <w:rtl w:val="true"/>
          <w:lang w:bidi="fa-IR"/>
        </w:rPr>
        <w:t>.</w:t>
      </w:r>
    </w:p>
    <w:p>
      <w:pPr>
        <w:pStyle w:val="Heading3"/>
        <w:numPr>
          <w:ilvl w:val="2"/>
          <w:numId w:val="1"/>
        </w:numPr>
        <w:rPr/>
      </w:pPr>
      <w:bookmarkStart w:id="709" w:name="__RefHeading___Toc972564_237004111"/>
      <w:bookmarkStart w:id="710" w:name="_Toc256"/>
      <w:bookmarkEnd w:id="709"/>
      <w:r>
        <w:rPr/>
        <w:t>12</w:t>
      </w:r>
      <w:r>
        <w:rPr>
          <w:rtl w:val="true"/>
        </w:rPr>
        <w:t xml:space="preserve"> - </w:t>
      </w:r>
      <w:r>
        <w:rPr>
          <w:rtl w:val="true"/>
        </w:rPr>
        <w:t xml:space="preserve">السّمین الحلبی </w:t>
      </w:r>
      <w:r>
        <w:rPr>
          <w:rtl w:val="true"/>
        </w:rPr>
        <w:t>(</w:t>
      </w:r>
      <w:r>
        <w:rPr>
          <w:rtl w:val="true"/>
        </w:rPr>
        <w:t xml:space="preserve">ت </w:t>
      </w:r>
      <w:r>
        <w:rPr/>
        <w:t>756</w:t>
      </w:r>
      <w:r>
        <w:rPr>
          <w:rtl w:val="true"/>
        </w:rPr>
        <w:t xml:space="preserve"> </w:t>
      </w:r>
      <w:r>
        <w:rPr>
          <w:rtl w:val="true"/>
        </w:rPr>
        <w:t xml:space="preserve">ه </w:t>
      </w:r>
      <w:r>
        <w:rPr>
          <w:rtl w:val="true"/>
        </w:rPr>
        <w:t>)</w:t>
      </w:r>
      <w:bookmarkEnd w:id="710"/>
    </w:p>
    <w:p>
      <w:pPr>
        <w:pStyle w:val="BookText"/>
        <w:rPr/>
      </w:pPr>
      <w:r>
        <w:rPr>
          <w:rFonts w:ascii="IRNazanin" w:hAnsi="IRNazanin" w:eastAsia="IRNazanin"/>
          <w:color w:val="111111"/>
          <w:sz w:val="28"/>
          <w:sz w:val="28"/>
          <w:szCs w:val="28"/>
          <w:rtl w:val="true"/>
          <w:lang w:bidi="fa-IR"/>
        </w:rPr>
        <w:t>قال السّمین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الرّفع فعلی الإبتداء والخبر 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مغسولة أو ممسوحة علی ما تقدّم فی حکمها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العطف علی المنصوب فالحکم الغسل أو علی المجرور فالحکم المسح ولکنّه منسوخ فالواجب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قراءة الجر والنّصب ومناقشاتنا معه فی القراءتین</w:t>
      </w:r>
      <w:r>
        <w:rPr>
          <w:rFonts w:eastAsia="IRNazanin" w:cs="IRNazanin"/>
          <w:color w:val="111111"/>
          <w:sz w:val="28"/>
          <w:szCs w:val="28"/>
          <w:rtl w:val="true"/>
          <w:lang w:bidi="fa-IR"/>
        </w:rPr>
        <w:t>.</w:t>
      </w:r>
    </w:p>
    <w:p>
      <w:pPr>
        <w:pStyle w:val="Heading3"/>
        <w:numPr>
          <w:ilvl w:val="2"/>
          <w:numId w:val="1"/>
        </w:numPr>
        <w:rPr/>
      </w:pPr>
      <w:bookmarkStart w:id="711" w:name="__RefHeading___Toc972566_237004111"/>
      <w:bookmarkStart w:id="712" w:name="_Toc257"/>
      <w:bookmarkEnd w:id="711"/>
      <w:r>
        <w:rPr/>
        <w:t>13</w:t>
      </w:r>
      <w:r>
        <w:rPr>
          <w:rtl w:val="true"/>
        </w:rPr>
        <w:t xml:space="preserve"> - </w:t>
      </w:r>
      <w:r>
        <w:rPr>
          <w:rtl w:val="true"/>
        </w:rPr>
        <w:t xml:space="preserve">الدّمشقی الحنبلی </w:t>
      </w:r>
      <w:r>
        <w:rPr>
          <w:rtl w:val="true"/>
        </w:rPr>
        <w:t>(</w:t>
      </w:r>
      <w:r>
        <w:rPr>
          <w:rtl w:val="true"/>
        </w:rPr>
        <w:t xml:space="preserve">ت بعد </w:t>
      </w:r>
      <w:r>
        <w:rPr/>
        <w:t>880</w:t>
      </w:r>
      <w:r>
        <w:rPr>
          <w:rtl w:val="true"/>
        </w:rPr>
        <w:t xml:space="preserve"> </w:t>
      </w:r>
      <w:r>
        <w:rPr>
          <w:rtl w:val="true"/>
        </w:rPr>
        <w:t xml:space="preserve">ه </w:t>
      </w:r>
      <w:r>
        <w:rPr>
          <w:rtl w:val="true"/>
        </w:rPr>
        <w:t>)</w:t>
      </w:r>
      <w:bookmarkEnd w:id="712"/>
    </w:p>
    <w:p>
      <w:pPr>
        <w:pStyle w:val="BookText"/>
        <w:rPr/>
      </w:pPr>
      <w:r>
        <w:rPr>
          <w:rFonts w:ascii="IRNazanin" w:hAnsi="IRNazanin" w:eastAsia="IRNazanin"/>
          <w:color w:val="111111"/>
          <w:sz w:val="28"/>
          <w:sz w:val="28"/>
          <w:szCs w:val="28"/>
          <w:rtl w:val="true"/>
          <w:lang w:bidi="fa-IR"/>
        </w:rPr>
        <w:t>قال الدّمشقی فی قراءة الرفع ما قاله السّمین الحلبی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الجواب عنه</w:t>
      </w:r>
      <w:r>
        <w:rPr>
          <w:rFonts w:eastAsia="IRNazanin" w:cs="IRNazanin"/>
          <w:color w:val="111111"/>
          <w:sz w:val="28"/>
          <w:szCs w:val="28"/>
          <w:rtl w:val="true"/>
          <w:lang w:bidi="fa-IR"/>
        </w:rPr>
        <w:t>.</w:t>
      </w:r>
    </w:p>
    <w:p>
      <w:pPr>
        <w:pStyle w:val="Heading3"/>
        <w:numPr>
          <w:ilvl w:val="2"/>
          <w:numId w:val="1"/>
        </w:numPr>
        <w:rPr/>
      </w:pPr>
      <w:bookmarkStart w:id="713" w:name="__RefHeading___Toc972568_237004111"/>
      <w:bookmarkStart w:id="714" w:name="_Toc258"/>
      <w:bookmarkEnd w:id="713"/>
      <w:r>
        <w:rPr/>
        <w:t>14</w:t>
      </w:r>
      <w:r>
        <w:rPr>
          <w:rtl w:val="true"/>
        </w:rPr>
        <w:t xml:space="preserve"> - </w:t>
      </w:r>
      <w:r>
        <w:rPr>
          <w:rtl w:val="true"/>
        </w:rPr>
        <w:t xml:space="preserve">السّیوطیّ </w:t>
      </w:r>
      <w:r>
        <w:rPr>
          <w:rtl w:val="true"/>
        </w:rPr>
        <w:t>(</w:t>
      </w:r>
      <w:r>
        <w:rPr>
          <w:rtl w:val="true"/>
        </w:rPr>
        <w:t xml:space="preserve">ت </w:t>
      </w:r>
      <w:r>
        <w:rPr/>
        <w:t>911</w:t>
      </w:r>
      <w:r>
        <w:rPr>
          <w:rtl w:val="true"/>
        </w:rPr>
        <w:t xml:space="preserve"> </w:t>
      </w:r>
      <w:r>
        <w:rPr>
          <w:rtl w:val="true"/>
        </w:rPr>
        <w:t xml:space="preserve">ه </w:t>
      </w:r>
      <w:r>
        <w:rPr>
          <w:rtl w:val="true"/>
        </w:rPr>
        <w:t>)</w:t>
      </w:r>
      <w:bookmarkEnd w:id="71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علی الابتداء والخبر محذوف دلّ علیه ما </w:t>
      </w:r>
      <w:bookmarkStart w:id="715" w:name="pg6193_71361"/>
    </w:p>
    <w:p>
      <w:pPr>
        <w:pStyle w:val="BookText"/>
        <w:rPr/>
      </w:pPr>
      <w:bookmarkEnd w:id="715"/>
      <w:r>
        <w:rPr>
          <w:rFonts w:ascii="IRNazanin" w:hAnsi="IRNazanin" w:eastAsia="IRNazanin"/>
          <w:color w:val="111111"/>
          <w:sz w:val="28"/>
          <w:sz w:val="28"/>
          <w:szCs w:val="28"/>
          <w:rtl w:val="true"/>
          <w:lang w:bidi="fa-IR"/>
        </w:rPr>
        <w:t>قبله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وأیّهما یدلّ علی الخبر المحذوف؟ ولعلّه لهذا لم یصرّح بالمحذوف أهو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16" w:name="__RefHeading___Toc972570_237004111"/>
      <w:bookmarkStart w:id="717" w:name="_Toc259"/>
      <w:bookmarkEnd w:id="716"/>
      <w:r>
        <w:rPr/>
        <w:t>15</w:t>
      </w:r>
      <w:r>
        <w:rPr>
          <w:rtl w:val="true"/>
        </w:rPr>
        <w:t xml:space="preserve"> - </w:t>
      </w:r>
      <w:r>
        <w:rPr>
          <w:rtl w:val="true"/>
        </w:rPr>
        <w:t xml:space="preserve">أبو السّعود </w:t>
      </w:r>
      <w:r>
        <w:rPr>
          <w:rtl w:val="true"/>
        </w:rPr>
        <w:t>(</w:t>
      </w:r>
      <w:r>
        <w:rPr>
          <w:rtl w:val="true"/>
        </w:rPr>
        <w:t xml:space="preserve">ت </w:t>
      </w:r>
      <w:r>
        <w:rPr/>
        <w:t>951</w:t>
      </w:r>
      <w:r>
        <w:rPr>
          <w:rtl w:val="true"/>
        </w:rPr>
        <w:t xml:space="preserve"> </w:t>
      </w:r>
      <w:r>
        <w:rPr>
          <w:rtl w:val="true"/>
        </w:rPr>
        <w:t xml:space="preserve">ه </w:t>
      </w:r>
      <w:r>
        <w:rPr>
          <w:rtl w:val="true"/>
        </w:rPr>
        <w:t>)</w:t>
      </w:r>
      <w:bookmarkEnd w:id="7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 بالرَّفع،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مغسولة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التقدیر بناءً علی أمر مفروغ منه بینهم وهو الغسل، وقد عرفت أنّه غیر صحیح، ولقائل أن یقدّر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ممسوحة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ویرجّح هذا التقدیر بما سبق من الأدلّة، ولیس واحد منها یدعم الغسل کما بیّنّا</w:t>
      </w:r>
      <w:r>
        <w:rPr>
          <w:rFonts w:eastAsia="IRNazanin" w:cs="IRNazanin"/>
          <w:color w:val="111111"/>
          <w:sz w:val="28"/>
          <w:szCs w:val="28"/>
          <w:rtl w:val="true"/>
          <w:lang w:bidi="fa-IR"/>
        </w:rPr>
        <w:t>.</w:t>
      </w:r>
    </w:p>
    <w:p>
      <w:pPr>
        <w:pStyle w:val="Heading3"/>
        <w:numPr>
          <w:ilvl w:val="2"/>
          <w:numId w:val="1"/>
        </w:numPr>
        <w:rPr/>
      </w:pPr>
      <w:bookmarkStart w:id="718" w:name="__RefHeading___Toc972572_237004111"/>
      <w:bookmarkStart w:id="719" w:name="_Toc260"/>
      <w:bookmarkEnd w:id="718"/>
      <w:r>
        <w:rPr/>
        <w:t>16</w:t>
      </w:r>
      <w:r>
        <w:rPr>
          <w:rtl w:val="true"/>
        </w:rPr>
        <w:t xml:space="preserve"> - </w:t>
      </w:r>
      <w:r>
        <w:rPr>
          <w:rtl w:val="true"/>
        </w:rPr>
        <w:t xml:space="preserve">صاحب الإتحاف </w:t>
      </w:r>
      <w:r>
        <w:rPr>
          <w:rtl w:val="true"/>
        </w:rPr>
        <w:t>(</w:t>
      </w:r>
      <w:r>
        <w:rPr>
          <w:rtl w:val="true"/>
        </w:rPr>
        <w:t xml:space="preserve">ت </w:t>
      </w:r>
      <w:r>
        <w:rPr/>
        <w:t>1117</w:t>
      </w:r>
      <w:r>
        <w:rPr>
          <w:rtl w:val="true"/>
        </w:rPr>
        <w:t xml:space="preserve"> </w:t>
      </w:r>
      <w:r>
        <w:rPr>
          <w:rtl w:val="true"/>
        </w:rPr>
        <w:t xml:space="preserve">ه </w:t>
      </w:r>
      <w:r>
        <w:rPr>
          <w:rtl w:val="true"/>
        </w:rPr>
        <w:t>)</w:t>
      </w:r>
      <w:bookmarkEnd w:id="719"/>
    </w:p>
    <w:p>
      <w:pPr>
        <w:pStyle w:val="BookText"/>
        <w:rPr/>
      </w:pPr>
      <w:r>
        <w:rPr>
          <w:rFonts w:ascii="IRNazanin" w:hAnsi="IRNazanin" w:eastAsia="IRNazanin"/>
          <w:color w:val="111111"/>
          <w:sz w:val="28"/>
          <w:sz w:val="28"/>
          <w:szCs w:val="28"/>
          <w:rtl w:val="true"/>
          <w:lang w:bidi="fa-IR"/>
        </w:rPr>
        <w:t xml:space="preserve">نقل الرَّفع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الابتداء والخبر محذوف، أی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مغسولة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مبنیّ علی أمر مفروغ مِنْهُ فیما بینهم وهو الغسل، وقد عرفت ردّه، وأنّ التقدیر لو صحّ لم لا یجوز أن یکون ممسوحة وهو المتّفق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مختلف فیه بین أهل الغسل، ولا یدلّ علیه القرآن بما یسمّیه أهل العلم </w:t>
      </w:r>
      <w:bookmarkStart w:id="720" w:name="pg6193_71363"/>
    </w:p>
    <w:p>
      <w:pPr>
        <w:pStyle w:val="BookText"/>
        <w:rPr/>
      </w:pPr>
      <w:bookmarkEnd w:id="720"/>
      <w:r>
        <w:rPr>
          <w:rFonts w:ascii="IRNazanin" w:hAnsi="IRNazanin" w:eastAsia="IRNazanin"/>
          <w:color w:val="111111"/>
          <w:sz w:val="28"/>
          <w:sz w:val="28"/>
          <w:szCs w:val="28"/>
          <w:rtl w:val="true"/>
          <w:lang w:bidi="fa-IR"/>
        </w:rPr>
        <w:t>دلالة فی کلام العرب</w:t>
      </w:r>
      <w:r>
        <w:rPr>
          <w:rFonts w:eastAsia="IRNazanin" w:cs="IRNazanin"/>
          <w:color w:val="111111"/>
          <w:sz w:val="28"/>
          <w:szCs w:val="28"/>
          <w:rtl w:val="true"/>
          <w:lang w:bidi="fa-IR"/>
        </w:rPr>
        <w:t>.</w:t>
      </w:r>
    </w:p>
    <w:p>
      <w:pPr>
        <w:pStyle w:val="Heading3"/>
        <w:numPr>
          <w:ilvl w:val="2"/>
          <w:numId w:val="1"/>
        </w:numPr>
        <w:rPr/>
      </w:pPr>
      <w:bookmarkStart w:id="721" w:name="__RefHeading___Toc972574_237004111"/>
      <w:bookmarkStart w:id="722" w:name="_Toc261"/>
      <w:bookmarkEnd w:id="721"/>
      <w:r>
        <w:rPr/>
        <w:t>17</w:t>
      </w:r>
      <w:r>
        <w:rPr>
          <w:rtl w:val="true"/>
        </w:rPr>
        <w:t xml:space="preserve"> - </w:t>
      </w:r>
      <w:r>
        <w:rPr>
          <w:rtl w:val="true"/>
        </w:rPr>
        <w:t xml:space="preserve">المیرزا محمد المشهدی القمّی </w:t>
      </w:r>
      <w:r>
        <w:rPr>
          <w:rtl w:val="true"/>
        </w:rPr>
        <w:t>(</w:t>
      </w:r>
      <w:r>
        <w:rPr>
          <w:rtl w:val="true"/>
        </w:rPr>
        <w:t xml:space="preserve">ت </w:t>
      </w:r>
      <w:r>
        <w:rPr/>
        <w:t>1125</w:t>
      </w:r>
      <w:r>
        <w:rPr>
          <w:rtl w:val="true"/>
        </w:rPr>
        <w:t xml:space="preserve"> </w:t>
      </w:r>
      <w:r>
        <w:rPr>
          <w:rtl w:val="true"/>
        </w:rPr>
        <w:t xml:space="preserve">ه </w:t>
      </w:r>
      <w:r>
        <w:rPr>
          <w:rtl w:val="true"/>
        </w:rPr>
        <w:t>)</w:t>
      </w:r>
      <w:bookmarkEnd w:id="722"/>
    </w:p>
    <w:p>
      <w:pPr>
        <w:pStyle w:val="BookText"/>
        <w:rPr/>
      </w:pPr>
      <w:r>
        <w:rPr>
          <w:rFonts w:ascii="IRNazanin" w:hAnsi="IRNazanin" w:eastAsia="IRNazanin"/>
          <w:color w:val="111111"/>
          <w:sz w:val="28"/>
          <w:sz w:val="28"/>
          <w:szCs w:val="28"/>
          <w:rtl w:val="true"/>
          <w:lang w:bidi="fa-IR"/>
        </w:rPr>
        <w:t>قال المشهدی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بالرّفع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ممسوحة</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972576_237004111"/>
      <w:bookmarkStart w:id="724" w:name="_Toc262"/>
      <w:bookmarkEnd w:id="723"/>
      <w:r>
        <w:rPr/>
        <w:t>18</w:t>
      </w:r>
      <w:r>
        <w:rPr>
          <w:rtl w:val="true"/>
        </w:rPr>
        <w:t xml:space="preserve"> - </w:t>
      </w:r>
      <w:r>
        <w:rPr>
          <w:rtl w:val="true"/>
        </w:rPr>
        <w:t xml:space="preserve">الشنقیطیّ </w:t>
      </w:r>
      <w:r>
        <w:rPr>
          <w:rtl w:val="true"/>
        </w:rPr>
        <w:t>(</w:t>
      </w:r>
      <w:r>
        <w:rPr>
          <w:rtl w:val="true"/>
        </w:rPr>
        <w:t xml:space="preserve">ت </w:t>
      </w:r>
      <w:r>
        <w:rPr/>
        <w:t>1393</w:t>
      </w:r>
      <w:r>
        <w:rPr>
          <w:rtl w:val="true"/>
        </w:rPr>
        <w:t xml:space="preserve"> </w:t>
      </w:r>
      <w:r>
        <w:rPr>
          <w:rtl w:val="true"/>
        </w:rPr>
        <w:t xml:space="preserve">ه </w:t>
      </w:r>
      <w:r>
        <w:rPr>
          <w:rtl w:val="true"/>
        </w:rPr>
        <w:t>)</w:t>
      </w:r>
      <w:bookmarkEnd w:id="724"/>
    </w:p>
    <w:p>
      <w:pPr>
        <w:pStyle w:val="BookText"/>
        <w:rPr/>
      </w:pPr>
      <w:r>
        <w:rPr>
          <w:rFonts w:ascii="IRNazanin" w:hAnsi="IRNazanin" w:eastAsia="IRNazanin"/>
          <w:color w:val="111111"/>
          <w:sz w:val="28"/>
          <w:sz w:val="28"/>
          <w:szCs w:val="28"/>
          <w:rtl w:val="true"/>
          <w:lang w:bidi="fa-IR"/>
        </w:rPr>
        <w:t xml:space="preserve">وصف الرّفع بالشّذوذ، وأنّه قراءة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یزد علی ذلک بأن یبیّن المقدَّر فی حال الرَّفع، لأنّه لم یره مجدیاً فی إفادة المقصود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972578_237004111"/>
      <w:bookmarkStart w:id="726" w:name="_Toc263"/>
      <w:bookmarkEnd w:id="725"/>
      <w:r>
        <w:rPr/>
        <w:t>19</w:t>
      </w:r>
      <w:r>
        <w:rPr>
          <w:rtl w:val="true"/>
        </w:rPr>
        <w:t xml:space="preserve"> - </w:t>
      </w:r>
      <w:r>
        <w:rPr>
          <w:rtl w:val="true"/>
        </w:rPr>
        <w:t>الدّکتور یاسین جاسم</w:t>
      </w:r>
      <w:bookmarkEnd w:id="726"/>
    </w:p>
    <w:p>
      <w:pPr>
        <w:pStyle w:val="BookText"/>
        <w:rPr/>
      </w:pP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الدّکتور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وهو مبتدأ محذوف الخبر أی أغسلوها إلی الکعبین أو ممسوحة إلی الکعبین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مردّد بین الحکمین ولا یرجح أحدهما علی الآخر</w:t>
      </w:r>
      <w:r>
        <w:rPr>
          <w:rFonts w:eastAsia="IRNazanin" w:cs="IRNazanin"/>
          <w:color w:val="111111"/>
          <w:sz w:val="28"/>
          <w:szCs w:val="28"/>
          <w:rtl w:val="true"/>
          <w:lang w:bidi="fa-IR"/>
        </w:rPr>
        <w:t>.</w:t>
      </w:r>
    </w:p>
    <w:p>
      <w:pPr>
        <w:pStyle w:val="Heading3"/>
        <w:numPr>
          <w:ilvl w:val="2"/>
          <w:numId w:val="1"/>
        </w:numPr>
        <w:rPr/>
      </w:pPr>
      <w:bookmarkStart w:id="727" w:name="__RefHeading___Toc972580_237004111"/>
      <w:bookmarkStart w:id="728" w:name="_Toc264"/>
      <w:bookmarkEnd w:id="727"/>
      <w:r>
        <w:rPr/>
        <w:t>20</w:t>
      </w:r>
      <w:r>
        <w:rPr>
          <w:rtl w:val="true"/>
        </w:rPr>
        <w:t xml:space="preserve"> - </w:t>
      </w:r>
      <w:r>
        <w:rPr>
          <w:rtl w:val="true"/>
        </w:rPr>
        <w:t>الدّکتور عبداللّطیف الخطیب</w:t>
      </w:r>
      <w:bookmarkEnd w:id="72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الدّکتور عبداللّطیف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الولید بن مسلم عن نافع، وعمرو عن الحسن، وسلیمان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وهو مبتدأ محذوف الخبر، والتقدیر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واجب غسلها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مسحها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ابتداء وخبر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الرّفع مردّد بین الغسل والمسح، وتردّد أبو حیان، وقال فی قراءة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المسح والغسل</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توعلی هذا فلا یمکن الحکم بهذا أو ذاک إلّابالرّجوع إلی القواعد، وهی موافقة لما نقول وهو المسح</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6193_71369"/>
      <w:bookmarkStart w:id="730" w:name="pg6193_71369"/>
      <w:bookmarkEnd w:id="730"/>
    </w:p>
    <w:p>
      <w:pPr>
        <w:pStyle w:val="Heading2"/>
        <w:numPr>
          <w:ilvl w:val="1"/>
          <w:numId w:val="1"/>
        </w:numPr>
        <w:rPr/>
      </w:pPr>
      <w:bookmarkStart w:id="731" w:name="pg6193_71369"/>
      <w:bookmarkStart w:id="732" w:name="__RefHeading___Toc972582_237004111"/>
      <w:bookmarkStart w:id="733" w:name="_Toc265"/>
      <w:bookmarkEnd w:id="731"/>
      <w:bookmarkEnd w:id="732"/>
      <w:r>
        <w:rPr>
          <w:rtl w:val="true"/>
        </w:rPr>
        <w:t>الفصل الرابع</w:t>
      </w:r>
      <w:r>
        <w:rPr>
          <w:rtl w:val="true"/>
        </w:rPr>
        <w:t xml:space="preserve">: </w:t>
      </w:r>
      <w:r>
        <w:rPr>
          <w:rtl w:val="true"/>
        </w:rPr>
        <w:t>فی الجرّ بالجوار</w:t>
      </w:r>
      <w:bookmarkEnd w:id="73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972584_237004111"/>
      <w:bookmarkStart w:id="735" w:name="_Toc266"/>
      <w:bookmarkEnd w:id="734"/>
      <w:r>
        <w:rPr>
          <w:rtl w:val="true"/>
        </w:rPr>
        <w:t>اشارة</w:t>
      </w:r>
      <w:bookmarkEnd w:id="73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6193_71373"/>
      <w:bookmarkStart w:id="737" w:name="pg6193_71373"/>
      <w:bookmarkEnd w:id="737"/>
    </w:p>
    <w:p>
      <w:pPr>
        <w:pStyle w:val="BookText"/>
        <w:rPr/>
      </w:pPr>
      <w:bookmarkStart w:id="738" w:name="pg6193_71373"/>
      <w:bookmarkEnd w:id="738"/>
      <w:r>
        <w:rPr>
          <w:rFonts w:ascii="IRNazanin" w:hAnsi="IRNazanin" w:eastAsia="IRNazanin"/>
          <w:color w:val="111111"/>
          <w:sz w:val="28"/>
          <w:sz w:val="28"/>
          <w:szCs w:val="28"/>
          <w:rtl w:val="true"/>
          <w:lang w:bidi="fa-IR"/>
        </w:rPr>
        <w:t>نحن تعرضنا فی الصلحات السابقة إلی الجرّ بالجوار وأجبنا عنه، لکنا أفردناه هنا کی نوسع الکلام فیه من خلال بیان موقف العلماء والنحاة والقراء من أهل السنة لیکون القارئ أکثر بصیرة فی هذا الأمر</w:t>
      </w:r>
      <w:r>
        <w:rPr>
          <w:rFonts w:eastAsia="IRNazanin" w:cs="IRNazanin"/>
          <w:color w:val="111111"/>
          <w:sz w:val="28"/>
          <w:szCs w:val="28"/>
          <w:rtl w:val="true"/>
          <w:lang w:bidi="fa-IR"/>
        </w:rPr>
        <w:t>.</w:t>
      </w:r>
    </w:p>
    <w:p>
      <w:pPr>
        <w:pStyle w:val="Heading3"/>
        <w:numPr>
          <w:ilvl w:val="2"/>
          <w:numId w:val="1"/>
        </w:numPr>
        <w:rPr/>
      </w:pPr>
      <w:bookmarkStart w:id="739" w:name="__RefHeading___Toc972586_237004111"/>
      <w:bookmarkStart w:id="740" w:name="_Toc267"/>
      <w:bookmarkEnd w:id="739"/>
      <w:r>
        <w:rPr/>
        <w:t>1</w:t>
      </w:r>
      <w:r>
        <w:rPr>
          <w:rtl w:val="true"/>
        </w:rPr>
        <w:t xml:space="preserve"> - </w:t>
      </w:r>
      <w:r>
        <w:rPr>
          <w:rtl w:val="true"/>
        </w:rPr>
        <w:t>موقف سیبویه من الجرّ بالجوار</w:t>
      </w:r>
      <w:bookmarkEnd w:id="740"/>
    </w:p>
    <w:p>
      <w:pPr>
        <w:pStyle w:val="BookText"/>
        <w:rPr/>
      </w:pPr>
      <w:r>
        <w:rPr>
          <w:rFonts w:ascii="IRNazanin" w:hAnsi="IRNazanin" w:eastAsia="IRNazanin"/>
          <w:color w:val="111111"/>
          <w:sz w:val="28"/>
          <w:sz w:val="28"/>
          <w:szCs w:val="28"/>
          <w:rtl w:val="true"/>
          <w:lang w:bidi="fa-IR"/>
        </w:rPr>
        <w:t xml:space="preserve">قال فی آخر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مَجری النَّعْت علی المنعوت والشّریک علی الشّریک والبدل علی المبدل منه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جری نعتاً علی غیر وجه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فالوجه الرَّفع، وهو کلام أکثر العرب وأفصحهم وهو القیاس،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بعض العرب یجرّه ولیس بنعتٍ للضبِّ، ولکنّه نعت للذی أُضیف إلی الضبّ، فجرّوه لأنّه نکرة کالضبّ، ولأنّه فی موضع یقع فیه نعت الضبّ، ولأنّه صار هو والضبّ بمنزلة اسم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تری أنّک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حَبُّ 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کان لک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حَبُّ رُمَّانی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فأضفت الرُّمَّان إلیک، ولیس لک الرُّمَّان إنّما لک الحَبُّ، ومثل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ثلاثة أثوابک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فکذلک یقع علی جحر ضبّ ما یقع علی حبّ رمّان،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لک الضبّ إنّما لک جُحْر ضبّ، فلم یمنعک ذلک من أن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والجُحْر والضبّ بمنزلة اسم مفرد، فانجرّ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أضفت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هذا أنّهم أتبعوا الجرّ الجرّ کما أتبعوا الکسر الکسر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وبدارهم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التّفسیرین تفسیر الخلیل، وکان کلّ واحدٍ منهما عنده وجهاً من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جُحرا ضبٍّ خربان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 جحران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یغلطون إذا کان الآخِر بعدّة الأوّل، وکان مذکّراً مثله أو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جِحَرَةُ ضِبابٍ 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والعدّة واحدة فغلِطُوا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قول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نری هذا والأوّل إلّاسواءً، لأنّه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متهدّمٍ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ففیه من البیان أنّه لیس بالضبّ مثلُ ما فی التثنیة من البیان أنّه لیس بالضبّ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نسج العنکبوت المُرْمَلِ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6193_71376"/>
    </w:p>
    <w:p>
      <w:pPr>
        <w:pStyle w:val="BookText"/>
        <w:rPr/>
      </w:pPr>
      <w:bookmarkEnd w:id="741"/>
      <w:r>
        <w:rPr>
          <w:rFonts w:ascii="IRNazanin" w:hAnsi="IRNazanin" w:eastAsia="IRNazanin"/>
          <w:color w:val="111111"/>
          <w:sz w:val="28"/>
          <w:sz w:val="28"/>
          <w:szCs w:val="28"/>
          <w:rtl w:val="true"/>
          <w:lang w:bidi="fa-IR"/>
        </w:rPr>
        <w:t>فالنسج مذکّر والعنکبوت أُنثی</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972588_237004111"/>
      <w:bookmarkStart w:id="743" w:name="_Toc268"/>
      <w:bookmarkEnd w:id="742"/>
      <w:r>
        <w:rPr/>
        <w:t>2</w:t>
      </w:r>
      <w:r>
        <w:rPr>
          <w:rtl w:val="true"/>
        </w:rPr>
        <w:t xml:space="preserve"> - </w:t>
      </w:r>
      <w:r>
        <w:rPr>
          <w:rtl w:val="true"/>
        </w:rPr>
        <w:t xml:space="preserve">موقف الفرّاء </w:t>
      </w:r>
      <w:r>
        <w:rPr>
          <w:rtl w:val="true"/>
        </w:rPr>
        <w:t>(</w:t>
      </w:r>
      <w:r>
        <w:rPr>
          <w:rtl w:val="true"/>
        </w:rPr>
        <w:t xml:space="preserve">ت </w:t>
      </w:r>
      <w:r>
        <w:rPr/>
        <w:t>207</w:t>
      </w:r>
      <w:r>
        <w:rPr>
          <w:rtl w:val="true"/>
        </w:rPr>
        <w:t xml:space="preserve"> </w:t>
      </w:r>
      <w:r>
        <w:rPr>
          <w:rtl w:val="true"/>
        </w:rPr>
        <w:t xml:space="preserve">ه </w:t>
      </w:r>
      <w:r>
        <w:rPr>
          <w:rtl w:val="true"/>
        </w:rPr>
        <w:t>)</w:t>
      </w:r>
      <w:bookmarkEnd w:id="743"/>
    </w:p>
    <w:p>
      <w:pPr>
        <w:pStyle w:val="BookText"/>
        <w:rPr/>
      </w:pPr>
      <w:r>
        <w:rPr>
          <w:rFonts w:ascii="IRNazanin" w:hAnsi="IRNazanin" w:eastAsia="IRNazanin"/>
          <w:color w:val="111111"/>
          <w:sz w:val="28"/>
          <w:sz w:val="28"/>
          <w:szCs w:val="28"/>
          <w:rtl w:val="true"/>
          <w:lang w:bidi="fa-IR"/>
        </w:rPr>
        <w:t xml:space="preserve">الفرّاء لم یعتدّ بقراءة الجرّ أصلاً فضلاً عن الجرّ بالجوار، فلم یتعرّض لذکره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ذکر نصب الأرجل وتعرّض لتفسیره وتوجیهه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أنّه کان محقِّقاً ولم یدلّه التحقیق علی ثبوته فی کلام الضعفاء فضلاً عن البلغاء، فلم یره صالحاً للذکر والکلام حوله نفیاً وإثباتاً وردّاً وتأییداً، ولکن عدم الاعتناء والذکر دلیل علی رأیه، وهو إنکار المجاورة أساساً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ویدلّک علی ما قلنا قوله فی شرح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الأنبیاء، حیث استدلّ بعض به علی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ولو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صواباً، أی جعلنا کلّ شیءٍ حیّاً من الماء</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بمعنی خلق فهو یقتضی مفعولاً واحداً فقط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متعدّیاً إلی مفعولین فله وجهان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ثانیاً</w:t>
      </w:r>
      <w:r>
        <w:rPr>
          <w:rStyle w:val="FootnoteAnchor"/>
          <w:rtl w:val="true"/>
        </w:rPr>
        <w:footnoteReference w:id="917"/>
      </w:r>
      <w:r>
        <w:rPr>
          <w:rFonts w:ascii="Amiri" w:hAnsi="Amiri" w:eastAsia="Amiri" w:cs="Amiri"/>
          <w:color w:val="111111"/>
          <w:sz w:val="28"/>
          <w:sz w:val="28"/>
          <w:szCs w:val="28"/>
          <w:rtl w:val="true"/>
          <w:lang w:bidi="ar-SA"/>
        </w:rPr>
        <w:t xml:space="preserve">مقدّماً علی الأوّل بحکم کونه جاراً </w:t>
      </w:r>
    </w:p>
    <w:p>
      <w:pPr>
        <w:pStyle w:val="BookText"/>
        <w:rPr/>
      </w:pPr>
      <w:r>
        <w:rPr>
          <w:rFonts w:ascii="Amiri" w:hAnsi="Amiri" w:eastAsia="Amiri" w:cs="Amiri"/>
          <w:color w:val="111111"/>
          <w:sz w:val="28"/>
          <w:sz w:val="28"/>
          <w:szCs w:val="28"/>
          <w:rtl w:val="true"/>
          <w:lang w:bidi="ar-SA"/>
        </w:rPr>
        <w:t>ومجروراً وله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ملحقات أفعال القلوب إنّما تدخل علی المبتدأ والخبر ویجعلهما مفعولین له، ویصحّ لک علی الابتداء والخبر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حیٍّ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لغواً، 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علی المفعولیّة الثانیة، ویکون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أوّلاً، ویدلّ علی ذلک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لو کان حیّاً منصوباً کان مفعولاً ثانیاً، وکانت القراءة صحیحةً، وهو یدلی برأیه بهذا التفسیر ویعرب عن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شرحنا به کلام الفرّاء مؤیّد بما نصّ علیه الزمخشریّ، وهو إمام العربیّة عند الجمیع، قال فی تفسیر الآیة المذکورة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أن یتعدّی إلی واحد أو اثنین، فإن تعدّی إلی واحد فالمعنی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خلقنا من الماء کلّ حیوان، کقوله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کأنّما خلقناه من الماء لفرط احتیاجه إلیه وحبّه له وقلّة صبره عنه،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وإن تعدّی إلی اثنین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صیّرنا کلّ شیءٍ حیٍّ بسبب من الماء لابدّ له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من دَد ولا الدَد منّی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المفعول الثانی والظرف لغو</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744" w:name="pg6193_71380"/>
    </w:p>
    <w:p>
      <w:pPr>
        <w:pStyle w:val="Heading3"/>
        <w:numPr>
          <w:ilvl w:val="2"/>
          <w:numId w:val="1"/>
        </w:numPr>
        <w:rPr/>
      </w:pPr>
      <w:bookmarkStart w:id="745" w:name="__RefHeading___Toc972590_237004111"/>
      <w:bookmarkStart w:id="746" w:name="_Toc269"/>
      <w:bookmarkEnd w:id="744"/>
      <w:bookmarkEnd w:id="745"/>
      <w:r>
        <w:rPr/>
        <w:t>3</w:t>
      </w:r>
      <w:r>
        <w:rPr>
          <w:rtl w:val="true"/>
        </w:rPr>
        <w:t xml:space="preserve"> - </w:t>
      </w:r>
      <w:r>
        <w:rPr>
          <w:rtl w:val="true"/>
        </w:rPr>
        <w:t xml:space="preserve">موقف الأخفش </w:t>
      </w:r>
      <w:r>
        <w:rPr>
          <w:rtl w:val="true"/>
        </w:rPr>
        <w:t>(</w:t>
      </w:r>
      <w:r>
        <w:rPr>
          <w:rtl w:val="true"/>
        </w:rPr>
        <w:t xml:space="preserve">ت </w:t>
      </w:r>
      <w:r>
        <w:rPr/>
        <w:t>215</w:t>
      </w:r>
      <w:r>
        <w:rPr>
          <w:rtl w:val="true"/>
        </w:rPr>
        <w:t xml:space="preserve"> </w:t>
      </w:r>
      <w:r>
        <w:rPr>
          <w:rtl w:val="true"/>
        </w:rPr>
        <w:t xml:space="preserve">ه </w:t>
      </w:r>
      <w:r>
        <w:rPr>
          <w:rtl w:val="true"/>
        </w:rPr>
        <w:t>)</w:t>
      </w:r>
      <w:bookmarkEnd w:id="746"/>
    </w:p>
    <w:p>
      <w:pPr>
        <w:pStyle w:val="BookText"/>
        <w:rPr/>
      </w:pPr>
      <w:r>
        <w:rPr>
          <w:rFonts w:ascii="IRNazanin" w:hAnsi="IRNazanin" w:eastAsia="IRNazanin"/>
          <w:color w:val="111111"/>
          <w:sz w:val="28"/>
          <w:sz w:val="28"/>
          <w:szCs w:val="28"/>
          <w:rtl w:val="true"/>
          <w:lang w:bidi="fa-IR"/>
        </w:rPr>
        <w:t xml:space="preserve">الأخفش وإن قال بالجوار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علی قراءة الجرّ، وظنّه معطوفاً علی الوجوه والأیدی، مستدلّاً بالمنقول الذی یحتمل کونه مصنوعاً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ولبنا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برائحةٍ أطیب من هذه ولا رأیت رائحة أطیب من هذه، وما رأیت کلاماً أصوب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زوجک قد غدا متقلّداً سیفاً ورمحاً</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لکنّه لما لم ینفعه کلّ ذلک ولم یقنعه، فذکره وقلبه یشهد بخلافه، نقض کلّ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به ضرورة،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لا یحمل علیه أصلاً،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والنصب أسلم وأجود من هذا الاضطرار</w:t>
      </w:r>
      <w:r>
        <w:rPr>
          <w:rFonts w:eastAsia="IRNazanin" w:cs="IRNazanin"/>
          <w:color w:val="111111"/>
          <w:sz w:val="28"/>
          <w:szCs w:val="28"/>
          <w:rtl w:val="true"/>
          <w:lang w:bidi="fa-IR"/>
        </w:rPr>
        <w:t>»</w:t>
      </w:r>
      <w:r>
        <w:rPr>
          <w:rStyle w:val="FootnoteAnchor"/>
          <w:rtl w:val="true"/>
        </w:rPr>
        <w:footnoteReference w:id="920"/>
      </w:r>
      <w:r>
        <w:rPr>
          <w:rFonts w:ascii="Amiri" w:hAnsi="Amiri" w:eastAsia="Amiri" w:cs="Amiri"/>
          <w:color w:val="111111"/>
          <w:sz w:val="28"/>
          <w:sz w:val="28"/>
          <w:szCs w:val="28"/>
          <w:rtl w:val="true"/>
          <w:lang w:bidi="ar-SA"/>
        </w:rPr>
        <w:t>، فتراه مقرّاً بالاضطرار، وأنّهم مجمعون علی خلوّ القرآن مِنْهُ إجماعاً وَقَوْلاً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أنّه بیّن بصورة واضحة أنّ القول بالجوار إنّما جاء من قبل حمل القرآن علی الهوی والمذهب، وأنّهم إنّما قالوا به لتسویغ الغسل الذی فرضوه علی أنفسهم منذ عهد عثمان بن عفّان ومعاویة بن أبی سفیان الأمویین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ولإثبات ذلک نقل المسح عن ابن عبّاس</w:t>
      </w:r>
      <w:r>
        <w:rPr>
          <w:rStyle w:val="FootnoteAnchor"/>
          <w:rtl w:val="true"/>
        </w:rPr>
        <w:footnoteReference w:id="921"/>
      </w:r>
      <w:r>
        <w:rPr>
          <w:rFonts w:ascii="IRNazanin" w:hAnsi="IRNazanin" w:eastAsia="IRNazanin"/>
          <w:color w:val="111111"/>
          <w:sz w:val="28"/>
          <w:sz w:val="28"/>
          <w:szCs w:val="28"/>
          <w:rtl w:val="true"/>
          <w:lang w:bidi="fa-IR"/>
        </w:rPr>
        <w:t>، وأنّ ذلک أمر لا یعرفه النّاس</w:t>
      </w:r>
      <w:r>
        <w:rPr>
          <w:rFonts w:eastAsia="IRNazanin" w:cs="IRNazanin"/>
          <w:color w:val="111111"/>
          <w:sz w:val="28"/>
          <w:szCs w:val="28"/>
          <w:rtl w:val="true"/>
          <w:lang w:bidi="fa-IR"/>
        </w:rPr>
        <w:t xml:space="preserve">. </w:t>
      </w:r>
      <w:bookmarkStart w:id="747" w:name="pg6193_71383"/>
    </w:p>
    <w:p>
      <w:pPr>
        <w:pStyle w:val="BookText"/>
        <w:rPr/>
      </w:pPr>
      <w:bookmarkEnd w:id="747"/>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لا تعرف ما أنزل اللّه فی کتابه ونقله حبر الأُمّة عبداللّه بن العبّاس وهذا؛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معرفة الناس لا یسوّغ الغسل بخلق أدلّةٍ مثل الجرّ بالجوار</w:t>
      </w:r>
      <w:r>
        <w:rPr>
          <w:rFonts w:eastAsia="IRNazanin" w:cs="IRNazanin"/>
          <w:color w:val="111111"/>
          <w:sz w:val="28"/>
          <w:szCs w:val="28"/>
          <w:rtl w:val="true"/>
          <w:lang w:bidi="fa-IR"/>
        </w:rPr>
        <w:t>.</w:t>
      </w:r>
    </w:p>
    <w:p>
      <w:pPr>
        <w:pStyle w:val="Heading3"/>
        <w:numPr>
          <w:ilvl w:val="2"/>
          <w:numId w:val="1"/>
        </w:numPr>
        <w:rPr/>
      </w:pPr>
      <w:bookmarkStart w:id="748" w:name="__RefHeading___Toc972592_237004111"/>
      <w:bookmarkStart w:id="749" w:name="_Toc270"/>
      <w:bookmarkEnd w:id="748"/>
      <w:r>
        <w:rPr/>
        <w:t>4</w:t>
      </w:r>
      <w:r>
        <w:rPr>
          <w:rtl w:val="true"/>
        </w:rPr>
        <w:t xml:space="preserve"> - </w:t>
      </w:r>
      <w:r>
        <w:rPr>
          <w:rtl w:val="true"/>
        </w:rPr>
        <w:t xml:space="preserve">موقف النّحاس </w:t>
      </w:r>
      <w:r>
        <w:rPr>
          <w:rtl w:val="true"/>
        </w:rPr>
        <w:t>(</w:t>
      </w:r>
      <w:r>
        <w:rPr>
          <w:rtl w:val="true"/>
        </w:rPr>
        <w:t xml:space="preserve">ت </w:t>
      </w:r>
      <w:r>
        <w:rPr/>
        <w:t>338</w:t>
      </w:r>
      <w:r>
        <w:rPr>
          <w:rtl w:val="true"/>
        </w:rPr>
        <w:t xml:space="preserve"> </w:t>
      </w:r>
      <w:r>
        <w:rPr>
          <w:rtl w:val="true"/>
        </w:rPr>
        <w:t xml:space="preserve">ه </w:t>
      </w:r>
      <w:r>
        <w:rPr>
          <w:rtl w:val="true"/>
        </w:rPr>
        <w:t>)</w:t>
      </w:r>
      <w:bookmarkEnd w:id="749"/>
    </w:p>
    <w:p>
      <w:pPr>
        <w:pStyle w:val="BookText"/>
        <w:rPr/>
      </w:pPr>
      <w:r>
        <w:rPr>
          <w:rFonts w:ascii="IRNazanin" w:hAnsi="IRNazanin" w:eastAsia="IRNazanin"/>
          <w:color w:val="111111"/>
          <w:sz w:val="28"/>
          <w:sz w:val="28"/>
          <w:szCs w:val="28"/>
          <w:rtl w:val="true"/>
          <w:lang w:bidi="fa-IR"/>
        </w:rPr>
        <w:t>لقد تحلّی النحّاس بالشجاعة، حیث إنّه غلّط القول بالجوار بعد أن نقله عن أبی عبیدة والأخفش،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الخفض، إلّاأنّ الأخفش وأبا عبیدة یذهبان إلی أنّ الخفض علی الجوار والمعنی للغسل،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القول غلط عظیم، لأنّ الجوار لا یجوز فی الکلام أن یقاس علیه وإنّما هو غلط ونظیره الإقواء</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لم یقتصر فی الجرّ بالجوار علی التغلیط فقط، بل تجاوزه إلی الوصف بالعظمة إشارةً إلی أنّ کلام اللّه لا یوصف به ولا یشتمل علیه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بوروده فی الکلام فهو سماعیّ، لا تُقاس علیه سائر المواضع من غیر کلام اللّه فضلاً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ودعماً لهذا الرأی الثاقب تراه فی تفسیر الآیة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 الذی جعله بعضهم من الجرّ بالجوار،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لشیءٍ</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المفعول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بناءً علی أنّه ظرف مستقرّ، أو أنّ جعل بمعنی خلق، وهو لا یرید إلّامفعولاً واحداً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أنّه </w:t>
      </w:r>
      <w:bookmarkStart w:id="750" w:name="pg6193_71384"/>
    </w:p>
    <w:p>
      <w:pPr>
        <w:pStyle w:val="BookText"/>
        <w:rPr/>
      </w:pPr>
      <w:bookmarkEnd w:id="750"/>
      <w:r>
        <w:rPr>
          <w:rFonts w:ascii="IRNazanin" w:hAnsi="IRNazanin" w:eastAsia="IRNazanin"/>
          <w:color w:val="111111"/>
          <w:sz w:val="28"/>
          <w:sz w:val="28"/>
          <w:szCs w:val="28"/>
          <w:rtl w:val="true"/>
          <w:lang w:bidi="fa-IR"/>
        </w:rPr>
        <w:t>ظرف لغو</w:t>
      </w:r>
      <w:r>
        <w:rPr>
          <w:rFonts w:eastAsia="IRNazanin" w:cs="IRNazanin"/>
          <w:color w:val="111111"/>
          <w:sz w:val="28"/>
          <w:szCs w:val="28"/>
          <w:rtl w:val="true"/>
          <w:lang w:bidi="fa-IR"/>
        </w:rPr>
        <w:t>.</w:t>
      </w:r>
    </w:p>
    <w:p>
      <w:pPr>
        <w:pStyle w:val="Heading3"/>
        <w:numPr>
          <w:ilvl w:val="2"/>
          <w:numId w:val="1"/>
        </w:numPr>
        <w:rPr/>
      </w:pPr>
      <w:bookmarkStart w:id="751" w:name="__RefHeading___Toc972594_237004111"/>
      <w:bookmarkStart w:id="752" w:name="_Toc271"/>
      <w:bookmarkEnd w:id="751"/>
      <w:r>
        <w:rPr/>
        <w:t>5</w:t>
      </w:r>
      <w:r>
        <w:rPr>
          <w:rtl w:val="true"/>
        </w:rPr>
        <w:t xml:space="preserve"> - </w:t>
      </w:r>
      <w:r>
        <w:rPr>
          <w:rtl w:val="true"/>
        </w:rPr>
        <w:t xml:space="preserve">موقف السیرافی </w:t>
      </w:r>
      <w:r>
        <w:rPr>
          <w:rtl w:val="true"/>
        </w:rPr>
        <w:t>(</w:t>
      </w:r>
      <w:r>
        <w:rPr>
          <w:rtl w:val="true"/>
        </w:rPr>
        <w:t xml:space="preserve">ت </w:t>
      </w:r>
      <w:r>
        <w:rPr/>
        <w:t>368</w:t>
      </w:r>
      <w:r>
        <w:rPr>
          <w:rtl w:val="true"/>
        </w:rPr>
        <w:t xml:space="preserve"> </w:t>
      </w:r>
      <w:r>
        <w:rPr>
          <w:rtl w:val="true"/>
        </w:rPr>
        <w:t xml:space="preserve">ه </w:t>
      </w:r>
      <w:r>
        <w:rPr>
          <w:rtl w:val="true"/>
        </w:rPr>
        <w:t>)</w:t>
      </w:r>
      <w:bookmarkEnd w:id="752"/>
    </w:p>
    <w:p>
      <w:pPr>
        <w:pStyle w:val="BookText"/>
        <w:rPr/>
      </w:pPr>
      <w:r>
        <w:rPr>
          <w:rFonts w:ascii="IRNazanin" w:hAnsi="IRNazanin" w:eastAsia="IRNazanin"/>
          <w:color w:val="111111"/>
          <w:sz w:val="28"/>
          <w:sz w:val="28"/>
          <w:szCs w:val="28"/>
          <w:rtl w:val="true"/>
          <w:lang w:bidi="fa-IR"/>
        </w:rPr>
        <w:t xml:space="preserve">السیرافی وقف فی إنکار الجرّ بالجوار إلی جانب المنکرین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حاشیة الکتاب</w:t>
      </w:r>
      <w:r>
        <w:rPr>
          <w:rStyle w:val="FootnoteAnchor"/>
          <w:rtl w:val="true"/>
        </w:rPr>
        <w:footnoteReference w:id="924"/>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مجری النعت علی المنعوت والشریک علی الشریک والبدل علی المبدل منه وما أشبه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بعض النحویّین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شرحته وقوّیته بما یحتمله، زعم هذا النحویّ أنّ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 الجُحْر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یقوّی هذا أنّا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 الجُحْر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صار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الجحر مرفوع، لأنّ التقدیر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 جحره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السیرافی أورد هذا الرأی وعزاه إلی بعض النحویّین ولم یسمّه مَن هو؟ واحتمل الأُستاذ محمّد علی‌النجّار فی‌حاشیة الخصائص أن یکون المراد من بعضهم هو ابن جنّی، مقوّیاً ذلک بأنّهما کانا متعایشین دهراً، فلا ضیر أن یکون السیرافیّ عرف رأی ابن جنّی فی حیاته واستحقّ منه العنایة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یتمّ لابن جنّی دعواه انفراده بهذا الرأی، وأنّه لم یسبق به وإن کانت وفاة السیرافی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ووفاة ابن جنّی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والسیرافی فی درجة أبی علیّ الفارسیّ استاذ ابن جنّی</w:t>
      </w:r>
      <w:r>
        <w:rPr>
          <w:rFonts w:eastAsia="IRNazanin" w:cs="IRNazanin"/>
          <w:color w:val="111111"/>
          <w:sz w:val="28"/>
          <w:szCs w:val="28"/>
          <w:rtl w:val="true"/>
          <w:lang w:bidi="fa-IR"/>
        </w:rPr>
        <w:t>.</w:t>
      </w:r>
    </w:p>
    <w:p>
      <w:pPr>
        <w:pStyle w:val="Heading3"/>
        <w:numPr>
          <w:ilvl w:val="2"/>
          <w:numId w:val="1"/>
        </w:numPr>
        <w:rPr/>
      </w:pPr>
      <w:bookmarkStart w:id="753" w:name="__RefHeading___Toc972596_237004111"/>
      <w:bookmarkStart w:id="754" w:name="_Toc272"/>
      <w:bookmarkEnd w:id="753"/>
      <w:r>
        <w:rPr/>
        <w:t>6</w:t>
      </w:r>
      <w:r>
        <w:rPr>
          <w:rtl w:val="true"/>
        </w:rPr>
        <w:t xml:space="preserve"> - </w:t>
      </w:r>
      <w:r>
        <w:rPr>
          <w:rtl w:val="true"/>
        </w:rPr>
        <w:t xml:space="preserve">موقف ابن جنّی </w:t>
      </w:r>
      <w:r>
        <w:rPr>
          <w:rtl w:val="true"/>
        </w:rPr>
        <w:t>(</w:t>
      </w:r>
      <w:r>
        <w:rPr>
          <w:rtl w:val="true"/>
        </w:rPr>
        <w:t xml:space="preserve">ت </w:t>
      </w:r>
      <w:r>
        <w:rPr/>
        <w:t>392</w:t>
      </w:r>
      <w:r>
        <w:rPr>
          <w:rtl w:val="true"/>
        </w:rPr>
        <w:t xml:space="preserve"> </w:t>
      </w:r>
      <w:r>
        <w:rPr>
          <w:rtl w:val="true"/>
        </w:rPr>
        <w:t xml:space="preserve">ه </w:t>
      </w:r>
      <w:r>
        <w:rPr>
          <w:rtl w:val="true"/>
        </w:rPr>
        <w:t>)</w:t>
      </w:r>
      <w:bookmarkEnd w:id="75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جنّی من أشدّ المنکرین للجرّ بالجوار،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القول علی إجماع </w:t>
      </w:r>
    </w:p>
    <w:p>
      <w:pPr>
        <w:pStyle w:val="BookText"/>
        <w:rPr/>
      </w:pPr>
      <w:r>
        <w:rPr>
          <w:rFonts w:ascii="IRNazanin" w:hAnsi="IRNazanin" w:eastAsia="IRNazanin"/>
          <w:color w:val="111111"/>
          <w:sz w:val="28"/>
          <w:sz w:val="28"/>
          <w:szCs w:val="28"/>
          <w:rtl w:val="true"/>
          <w:lang w:bidi="fa-IR"/>
        </w:rPr>
        <w:t>أهل العربیّة متی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مجیزاً مخالفة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جاز فیه خلاف الإجماع الواقع فیه منذُ بُدِئ هذا العلم وإلی آخر هذا الوقت ما رأیته أنا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یتناوله آخِرٌ عن أوّل وتالٍ عن ماضٍ علی أنّه غلط من العرب، لا یختلفون فیه ولا یتوقّفون عنه، وأنّه من الشاذّ الذی لا یحمل علیه، ولا یجوز ردّ غیره إلیه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أنا فعندی أنّ فی القرآن مثل هذا الموضع نیّفاً علی ألف موضعٍ، وذلک أنّه علی حذف المضاف لا غیر، فإذا حملته علی هذا الذی هو حَشْو الکلام من القرآن والشّعر ساغ وسَلِس، وشاع وقُبِل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وتلخیص هذا أنّ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 جُحْرُهُ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فی الحقیقة للجُحْر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قائم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القیام للأب لا للرجل لما ضمن ذکره، والأمر فی هذا أظهر من أن یؤتی بمثال له أو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أصله کذلک حذف الجُحْر المضاف إلی الهاء، وأُقیمت الهاء مقامه فارتفعت، لأنّ المضاف المحذوف کان مرفوعاً، فلمّا ارتفعت استتر الضمیر المرفوع فی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فجری وصفاً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الخراب للجُحْر لا للضبِّ علی تقدیر حذف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آیة تخلو من حذف المضاف، نعم، وربّما کان فی الآیة الواحدة من ذلک عدّة مواضع</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نحو من هذا حمل أبو علیّ رحمه اللّه</w:t>
      </w:r>
      <w:r>
        <w:rPr>
          <w:rFonts w:eastAsia="IRNazanin" w:cs="IRNazanin"/>
          <w:color w:val="111111"/>
          <w:sz w:val="28"/>
          <w:szCs w:val="28"/>
          <w:rtl w:val="true"/>
          <w:lang w:bidi="fa-IR"/>
        </w:rPr>
        <w:t xml:space="preserve">: </w:t>
      </w:r>
      <w:bookmarkStart w:id="755" w:name="pg6193_71388"/>
    </w:p>
    <w:p>
      <w:pPr>
        <w:pStyle w:val="BookText"/>
        <w:rPr/>
      </w:pPr>
      <w:bookmarkEnd w:id="7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کبیر أُناس فی بجاد مزمّل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یحمله علی الغلط،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مزمّل فیه، ثمّ حذف حرف الجرّ، فارتفع الضمیر فاستتر فی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أمکن ما قلنا، ولم یکن أکثر من حذف المضاف الذی قد شاع واطّرد، کان حمله علیه أولی من حمله علی الغلط الذی لا یحمل غیره علیه ولا یقاس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قول 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مُذْهَبٌ جُدَدٌ علی ألواحه النّاطق المزْبُورُ والمختومُ</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المزبور فیه، ثمّ حذف حرف الجرّ فارتفع الضّمیر، فاستتر فی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قول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موثوقٍ من الأرض تذهبُ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موثوق به، ثمّ حذف حرف الجرّ فارتفع الضمیر، فاستتر فی اسم المفعول</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972598_237004111"/>
      <w:bookmarkStart w:id="757" w:name="_Toc273"/>
      <w:bookmarkEnd w:id="756"/>
      <w:r>
        <w:rPr/>
        <w:t>7</w:t>
      </w:r>
      <w:r>
        <w:rPr>
          <w:rtl w:val="true"/>
        </w:rPr>
        <w:t xml:space="preserve"> - </w:t>
      </w:r>
      <w:r>
        <w:rPr>
          <w:rtl w:val="true"/>
        </w:rPr>
        <w:t xml:space="preserve">موقف ابن مالک </w:t>
      </w:r>
      <w:r>
        <w:rPr>
          <w:rtl w:val="true"/>
        </w:rPr>
        <w:t>(</w:t>
      </w:r>
      <w:r>
        <w:rPr>
          <w:rtl w:val="true"/>
        </w:rPr>
        <w:t xml:space="preserve">ت </w:t>
      </w:r>
      <w:r>
        <w:rPr/>
        <w:t>672</w:t>
      </w:r>
      <w:r>
        <w:rPr>
          <w:rtl w:val="true"/>
        </w:rPr>
        <w:t xml:space="preserve"> </w:t>
      </w:r>
      <w:r>
        <w:rPr>
          <w:rtl w:val="true"/>
        </w:rPr>
        <w:t xml:space="preserve">ه </w:t>
      </w:r>
      <w:r>
        <w:rPr>
          <w:rtl w:val="true"/>
        </w:rPr>
        <w:t>)</w:t>
      </w:r>
      <w:bookmarkEnd w:id="75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لوضوح أمر الجرّ بالجوار عند ابن مالک الذی لم یجنح إلیه أصلاً، فلم یتعرّض له فی مسألة آیة الوضوء فی کتبه بل بحثه فی العطف، وراح یطلب الأسباب فی تجویز عطف الأرجل علی الوجوه مع الفصل بین المعطوف والمعطوف علیه بالأجنبیّ، مع أنّه لیس بجائز عند الجمهور، استجابة لهواه ودعماً لمذهبه فقسّم </w:t>
      </w:r>
    </w:p>
    <w:p>
      <w:pPr>
        <w:pStyle w:val="BookText"/>
        <w:rPr/>
      </w:pPr>
      <w:r>
        <w:rPr>
          <w:rFonts w:ascii="IRNazanin" w:hAnsi="IRNazanin" w:eastAsia="IRNazanin"/>
          <w:color w:val="111111"/>
          <w:sz w:val="28"/>
          <w:sz w:val="28"/>
          <w:szCs w:val="28"/>
          <w:rtl w:val="true"/>
          <w:lang w:bidi="fa-IR"/>
        </w:rPr>
        <w:t>الأجنبی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 وغیره، فجوّز العطف مع الفعل غیر المحض، ومنعه فی المحض تحرزاً من الخروج علی النحاة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أنّه قال فی الکافیة وشرحها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وتابعاً بالأجنبی المَحْض لا تَفْصِل، وفصل بِسواه قُبِلا</w:t>
      </w:r>
    </w:p>
    <w:p>
      <w:pPr>
        <w:pStyle w:val="BookText"/>
        <w:rPr/>
      </w:pPr>
      <w:r>
        <w:rPr>
          <w:rFonts w:ascii="Amiri" w:hAnsi="Amiri" w:eastAsia="Amiri" w:cs="Amiri"/>
          <w:color w:val="111111"/>
          <w:sz w:val="28"/>
          <w:sz w:val="28"/>
          <w:szCs w:val="28"/>
          <w:rtl w:val="true"/>
          <w:lang w:bidi="ar-SA"/>
        </w:rPr>
        <w:t>وقال فی الشرح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التابع أن یکون متصلاً بمتبوعه، فإن فصل بینهما بغیر أجنبیٍّ حسن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 اللّهِ شَکٌّ فاطِرِ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ففصل بالمبتدأ بین الصفة والموصوف، لکونه بعض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غَیْرَ اللّهِ أَتَّخِذُ وَلِیًّا فاطِرِ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بالفعل ومفعوله الثانی بین الصفة والموصوف، لإضافة المفعول الأوّل إلیه، فلم یَعد الفاصل أجنبیّاً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ناقض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الفصل بما لیس أجنبیّاً محضاً الفصل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 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الأیدی والأرجل، لأنّ المجموع عمل واحد قصد الإعلام بترتیبه فحسن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ذلک أسهل من الجملة المعترض بها بین شیئین، امتزاجهما أشدّ من امتزاج المعطوف والمعطوف علیه، کالموصول والصلة والموصوف والصفة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جیء بین المعطوف والمعطوف علیه بجملةٍ لا یکون مضمونها جزء ما توسّطت فیه، ولا هی حالیة ولا اعتراضیّة تمحّضت أجنبیّتها ولم یجز الفصل </w:t>
      </w:r>
    </w:p>
    <w:p>
      <w:pPr>
        <w:pStyle w:val="BookText"/>
        <w:rPr/>
      </w:pPr>
      <w:r>
        <w:rPr>
          <w:rFonts w:ascii="IRNazanin" w:hAnsi="IRNazanin" w:eastAsia="IRNazanin"/>
          <w:color w:val="111111"/>
          <w:sz w:val="28"/>
          <w:sz w:val="28"/>
          <w:szCs w:val="28"/>
          <w:rtl w:val="true"/>
          <w:lang w:bidi="fa-IR"/>
        </w:rPr>
        <w:t>بها</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أنّه تناقض فی کلامه صدراً وذیلاً، حیث اعترف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لکنّه قسّم الأجنبیّ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 وغیر المحض، وأجاز الفصل بالأجنبی غیر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خرق للإجماع أوّلاً، لأنّ العلماء قبله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الفصل بالأجنبی ویظهر منهم أنّ الأجنبیّ لا یصلح للفصل بین المتعاطفین محضاً کان أو غیره بقانون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محضة من ناحیة المضمون، ولیست هی حالیة ولا معترضة، فلا یجوز الفصل بها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المجموع عمل واحد قصد الإعلام بترتیبه 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للقرآن والقواعد النحویّة علی الرأی والهوی والمذهب، والموضوع للدلالة علی الترتیب الفاء وثمّ العاطفتان لا الفصل اللّازم علی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قاعدة لمعرفة الأجنبی من غیره فی الأخیر</w:t>
      </w:r>
      <w:r>
        <w:rPr>
          <w:rStyle w:val="FootnoteAnchor"/>
          <w:rtl w:val="true"/>
        </w:rPr>
        <w:footnoteReference w:id="931"/>
      </w:r>
      <w:r>
        <w:rPr>
          <w:rFonts w:ascii="IRNazanin" w:hAnsi="IRNazanin" w:eastAsia="IRNazanin"/>
          <w:color w:val="111111"/>
          <w:sz w:val="28"/>
          <w:sz w:val="28"/>
          <w:szCs w:val="28"/>
          <w:rtl w:val="true"/>
          <w:lang w:bidi="fa-IR"/>
        </w:rPr>
        <w:t>، وهذه القاعدة تحکم بأجنبیّة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والأیدی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الفصل بالأجنبی علی حدِّ ما ذکره من القاعدة فی معرفة الأجنبی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أنّه قال فی القاعدة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جیء بین المعطوف والمعطوف علیه بجملةٍ لا یکون مضمونها جزء ما </w:t>
      </w:r>
      <w:bookmarkStart w:id="758" w:name="pg6193_71394"/>
    </w:p>
    <w:p>
      <w:pPr>
        <w:pStyle w:val="BookText"/>
        <w:rPr/>
      </w:pPr>
      <w:bookmarkEnd w:id="758"/>
      <w:r>
        <w:rPr>
          <w:rFonts w:ascii="IRNazanin" w:hAnsi="IRNazanin" w:eastAsia="IRNazanin"/>
          <w:color w:val="111111"/>
          <w:sz w:val="28"/>
          <w:sz w:val="28"/>
          <w:szCs w:val="28"/>
          <w:rtl w:val="true"/>
          <w:lang w:bidi="fa-IR"/>
        </w:rPr>
        <w:t>توسّطت فیه ولا هی‌حالیة ولا اعتراضیّة تمحّضت أجنبیّتها ولم یجز الفصل بها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معترضة، فقد بیّنّا فی السابق أنّ الجمل الاعتراضیّة لها مواضع معیّنة وهی لیست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کونها حالیةً فواضح، لأنّ لها أیضاً مواضع معیّنة وهی لیست من تلک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احتمال أن تکون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جزءاً ما توسّطت فیه، وهل تکون جزءه أو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المسح والغسل عملان متغایران شرعاً وعرفاً فالجزئیّة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شرعاً فلأنّه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بالمسح والغسل، فلو کانا غیر متغایرین لم یکن للأمر بهما معنًی؛ لأنّ الواحد لا یکون اثنین واستغنی بأحدهما عن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عرفاً فلأنّ کلّ واحدٍ غیر الآخر عند أهل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الغسل والمسح واحداً غیر متغایرین فَلِمَ وقع هذا النزاع؟ وأنّ الأرجل مغسولة أو ممسوحة؟ ولکفی کلّ واحد عن الآخر، فَلِمَ یُصِرُّ الجمهور علی الغسل ویردّون المسح، ولا یقولون به؟ فالمغایرة ضروریّة وإلّا لم یکن للنزاع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هذا کلّه أنّ تقسیم ابن مالک الأجنبی إلی قسمین لا أصل له، وأنّ ما عدّه غیر المحض وأجاز الفصل به لیس بشیءٍ</w:t>
      </w:r>
      <w:r>
        <w:rPr>
          <w:rFonts w:eastAsia="IRNazanin" w:cs="IRNazanin"/>
          <w:color w:val="111111"/>
          <w:sz w:val="28"/>
          <w:szCs w:val="28"/>
          <w:rtl w:val="true"/>
          <w:lang w:bidi="fa-IR"/>
        </w:rPr>
        <w:t>.</w:t>
      </w:r>
    </w:p>
    <w:p>
      <w:pPr>
        <w:pStyle w:val="Heading3"/>
        <w:numPr>
          <w:ilvl w:val="2"/>
          <w:numId w:val="1"/>
        </w:numPr>
        <w:rPr/>
      </w:pPr>
      <w:bookmarkStart w:id="759" w:name="__RefHeading___Toc972600_237004111"/>
      <w:bookmarkStart w:id="760" w:name="_Toc274"/>
      <w:bookmarkEnd w:id="759"/>
      <w:r>
        <w:rPr/>
        <w:t>8</w:t>
      </w:r>
      <w:r>
        <w:rPr>
          <w:rtl w:val="true"/>
        </w:rPr>
        <w:t xml:space="preserve"> - </w:t>
      </w:r>
      <w:r>
        <w:rPr>
          <w:rtl w:val="true"/>
        </w:rPr>
        <w:t>موقف ابن الأنباریّ</w:t>
      </w:r>
      <w:bookmarkEnd w:id="76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 ابن الأنباری لردّ الجوار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 والثمانین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مسائل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استدلُّوا علی الجوار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الَّذِینَ کَفَرُوا مِنْ أَهْلِ الْکِتابِ وَ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الدلیل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علی الجوار، وإن کان معطوفاً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مرفوع، لأنّه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 علی الجوار، وهی قراءة أبی عمرو، وابن کثیر، وحمزة، ویحیی عن عاصم، وأبی جعفر، وخلف، وکان ینبغی أن یکون منصوباً، لأنّه معطوف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فی القراءة الأُخری وهی قراءة نافع وابن عامر والکسائیّ وحفص عن عاصم، ویعقوب، ولو کان معطوفاً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بِرُؤُسِکُمْ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ینبغی أن تکون الأرجل ممسوحة لا مغسولة، وهو مخالف لإجماع أئمّة الأُمّة من السَّلَف والخلف إلّافیما لا یعدّ خلافاً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زهیرٍ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 الرّیاح بها وغیّرها بعدی سوافی المُوْرِ والقطرِ</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الجوار، وإن کان ینبغی أن یکون مرفوعاً لأنّه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الغبار، لأنّه لیس للقطر سوافٍ کالمور حتّی یعطفه علیه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ذی الرُّمَةِ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کأنّما ضَرَبتْ قُدَّام أعْیُنِها قُطْناً بمُسْتَحْصِدِ الأوتار مَحْلُوجِ</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الجوار، وکان ینبغی أن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کونه وصفاً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خفض علی 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وبقول العجّاج وهو من شواهد سیبویه</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 نسج العنکبوت المرمل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الجوار، وکان ینبغی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وصفاً للنسج، لا للعنکبوت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الجوار، وکان ینبغی أن یکون مرفوعاً، لکونه فی الحقیقة صفة للجُحْر لا للضبّ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ابن الأنباریّ فی الجواب عن أدلّتهم المتقدّمة 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فی الجواب عن الدلیل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لهم فیه،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معطوفاً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 الجرّ، لأنّه معطوف علی مجرور، لا علی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 الجواب عن 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لهم فیه أیضاً، لأنّه علی قراءة من قرأ بالجرّ لیس معطوفاً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وُجُوهَکُمْ وَ 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برؤوسکم</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ذلک هو المسح، وهو لمّا کان منافیاً لرأیه حمله علی الغسل مستدلّاً بما روی عن أبی زید والتحدید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مرّ الجواب عنهما </w:t>
      </w:r>
    </w:p>
    <w:p>
      <w:pPr>
        <w:pStyle w:val="BookText"/>
        <w:rPr/>
      </w:pP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 الجواب عن بیت زهیر بن أبی سُلْمی الْمُزَنِیّ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حجّة لهم فیه، لأنّه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لیس للقطر سوافٍ</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قد سمّی ما تسفیه الرّیح منه وقت نزوله سوافی، کما یسمّی ما تسفیه الریح من الغبار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الجواب عن قول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وصف العنکبوت لا النسج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صحّة الروایة التی ذکرتم وأنّه مجرور علی الجوار، فلا حجّة فیه أیضاً، لأنّ الحمل علی الجوار من الشاذّ الذی لا یعرج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الجواب عن قول ذی الرمة بمثل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الجواب عن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الشذوذ الذی یقتصر فیه علی السماع لقلّته ولا یقاس علیه؛ لأنّه لیس کلّ ما حکی عنهم یقاس علیه، ألا تری أنّ اللحیانی حکی أنّ من العرب من یجزم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الشواذّ التی لا یلتفت إلیها ولا یقاس علیها، فکذلک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استدلال ابن الأنباری لإثبات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الرّاعی النمیری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الغانیات برزن یوماً وزجّجن الحواجب والعیونا </w:t>
      </w:r>
    </w:p>
    <w:p>
      <w:pPr>
        <w:pStyle w:val="BookText"/>
        <w:rPr/>
      </w:pPr>
      <w:r>
        <w:rPr>
          <w:rFonts w:ascii="IRNazanin" w:hAnsi="IRNazanin" w:eastAsia="IRNazanin"/>
          <w:color w:val="111111"/>
          <w:sz w:val="28"/>
          <w:sz w:val="28"/>
          <w:szCs w:val="28"/>
          <w:rtl w:val="true"/>
          <w:lang w:bidi="fa-IR"/>
        </w:rPr>
        <w:t>حیث عطف العیون علی الحواجب وهی غیر مزجّجة، فقد تقدّم جوابه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بقول الزبرقان بن بدر أو خالد بن طیفان</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تراه کأنّ اللّه یجدع أنفه وعینیه إن مولاه ثاب له وَفْرُ</w:t>
      </w:r>
    </w:p>
    <w:p>
      <w:pPr>
        <w:pStyle w:val="BookText"/>
        <w:rPr/>
      </w:pPr>
      <w:r>
        <w:rPr>
          <w:rFonts w:ascii="IRNazanin" w:hAnsi="IRNazanin" w:eastAsia="IRNazanin"/>
          <w:color w:val="111111"/>
          <w:sz w:val="28"/>
          <w:sz w:val="28"/>
          <w:szCs w:val="28"/>
          <w:rtl w:val="true"/>
          <w:lang w:bidi="fa-IR"/>
        </w:rPr>
        <w:t>حیث عطف عینیه علی أنفه والعینان لا توصفان بالجدع، فمردود بمثل ما تقدّم، وأنّ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یقلع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عطف الجملة علی الجملة مع القرینة القائمة من غیر التباس، ولیست الآیة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بقول لبید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فعَلا فروعُ الأَیهُقانِ وأطفَلَتْ بالجَهْلتین ظِباؤُها ونَعامها</w:t>
      </w:r>
    </w:p>
    <w:p>
      <w:pPr>
        <w:pStyle w:val="BookText"/>
        <w:rPr/>
      </w:pPr>
      <w:r>
        <w:rPr>
          <w:rFonts w:ascii="Amiri" w:hAnsi="Amiri" w:eastAsia="Amiri" w:cs="Amiri"/>
          <w:color w:val="111111"/>
          <w:sz w:val="28"/>
          <w:sz w:val="28"/>
          <w:szCs w:val="28"/>
          <w:rtl w:val="true"/>
          <w:lang w:bidi="ar-SA"/>
        </w:rPr>
        <w:t xml:space="preserve">حیث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والنعام لا تُطْفِل وإنّما تبیض، أیضاً قد تقدّم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الاستدلال بقول القائل</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یا لیت بعلکِ فی الوَغَی متقلّداً سیفاً ورمحا</w:t>
      </w:r>
    </w:p>
    <w:p>
      <w:pPr>
        <w:pStyle w:val="BookText"/>
        <w:rPr/>
      </w:pP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الرمح لا یتقلّد، أیضاً قد تقدّم الجواب عنه، وأنّ الآیة لیست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الاستدلال بقول الرّاجز</w:t>
      </w:r>
      <w:r>
        <w:rPr>
          <w:rFonts w:eastAsia="IRNazanin" w:cs="IRNazanin"/>
          <w:color w:val="111111"/>
          <w:sz w:val="28"/>
          <w:szCs w:val="28"/>
          <w:rtl w:val="true"/>
          <w:lang w:bidi="fa-IR"/>
        </w:rPr>
        <w:t>:</w:t>
      </w:r>
      <w:r>
        <w:rPr>
          <w:rStyle w:val="FootnoteAnchor"/>
          <w:rtl w:val="true"/>
        </w:rPr>
        <w:footnoteReference w:id="94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علفتُها تِبناً وماءً بارداً حتّی شَتَتْ هَمَّالَةً عیناها </w:t>
      </w:r>
    </w:p>
    <w:p>
      <w:pPr>
        <w:pStyle w:val="BookText"/>
        <w:rPr/>
      </w:pP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الماء لا یعلف وکذا قول الراجز الآخر</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شَرَّابُ ألبانٍ وتمرٍ وأقِطْ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التّمر لا یشرب، فکذلک عطف الأرجل علی الرؤوس وإن کانت لا تمسح</w:t>
      </w:r>
      <w:r>
        <w:rPr>
          <w:rStyle w:val="FootnoteAnchor"/>
          <w:rtl w:val="true"/>
        </w:rPr>
        <w:footnoteReference w:id="945"/>
      </w:r>
      <w:r>
        <w:rPr>
          <w:rFonts w:ascii="IRNazanin" w:hAnsi="IRNazanin" w:eastAsia="IRNazanin"/>
          <w:color w:val="111111"/>
          <w:sz w:val="28"/>
          <w:sz w:val="28"/>
          <w:szCs w:val="28"/>
          <w:rtl w:val="true"/>
          <w:lang w:bidi="fa-IR"/>
        </w:rPr>
        <w:t>علی ما زعم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الآیة لیست من قبیل الأبیات، لأن القرائن فیها موجودة وواضحة دون الآیة، لان الالتباس فیها بین المسح والغسل، موجود علی تقدیر الجوار، والقیاس علیها قیاس مع الفارق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بقول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علفتُها تِبناً وماءً بارداً حتّی غَدَتْ هَمَّالَةً عیناها</w:t>
      </w:r>
    </w:p>
    <w:p>
      <w:pPr>
        <w:pStyle w:val="BookText"/>
        <w:rPr/>
      </w:pPr>
      <w:r>
        <w:rPr>
          <w:rFonts w:ascii="Amiri" w:hAnsi="Amiri" w:eastAsia="Amiri" w:cs="Amiri"/>
          <w:color w:val="111111"/>
          <w:sz w:val="28"/>
          <w:sz w:val="28"/>
          <w:szCs w:val="28"/>
          <w:rtl w:val="true"/>
          <w:lang w:bidi="ar-SA"/>
        </w:rPr>
        <w:t>وقول الرّاعی النمیریّ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الغانیات بَرَزْنَ یوماً وزجّجن الحواجب والعیونا</w:t>
      </w:r>
    </w:p>
    <w:p>
      <w:pPr>
        <w:pStyle w:val="BookText"/>
        <w:rPr/>
      </w:pPr>
      <w:r>
        <w:rPr>
          <w:rFonts w:ascii="IRNazanin" w:hAnsi="IRNazanin" w:eastAsia="IRNazanin"/>
          <w:color w:val="111111"/>
          <w:sz w:val="28"/>
          <w:sz w:val="28"/>
          <w:szCs w:val="28"/>
          <w:rtl w:val="true"/>
          <w:lang w:bidi="fa-IR"/>
        </w:rPr>
        <w:t xml:space="preserve">مردود أیضاً بما قاله ابن هشام فی مبحث المفعول معه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الشذور</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هی فی المثالین لعطف جملة علی جملةٍ، والتقدیر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وسقیتها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کحّلن العیونا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فحذف الفعل والفاعل وبقی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جائز أن یکون الواو فیهما لعطف مفرد علی مفرد، لعدم تشارک ما قبلها وما بعدها فی العامل،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تسلیطه علی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تسلیطه علی العیون، </w:t>
      </w:r>
      <w:bookmarkStart w:id="761" w:name="pg6193_71405"/>
    </w:p>
    <w:p>
      <w:pPr>
        <w:pStyle w:val="BookText"/>
        <w:rPr/>
      </w:pPr>
      <w:bookmarkEnd w:id="761"/>
      <w:r>
        <w:rPr>
          <w:rFonts w:ascii="IRNazanin" w:hAnsi="IRNazanin" w:eastAsia="IRNazanin"/>
          <w:color w:val="111111"/>
          <w:sz w:val="28"/>
          <w:sz w:val="28"/>
          <w:szCs w:val="28"/>
          <w:rtl w:val="true"/>
          <w:lang w:bidi="fa-IR"/>
        </w:rPr>
        <w:t>ولا تکون للمصاحبة لانتفائها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ولعدم فائدتها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وزجّجن الحواجب والعیونا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المعلوم لکلّ أحد أنّ العیون مصاحبة للحواجب</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والأصل الذی بنوا علیه کلامهم خطأ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الرأس فی الظّاهر لا فی المعنی، وقد یعطف الشیء علی الشیء والمعنی مختلف کما استدلّوا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الأنباری یری الجرّ بالجوار فی الآیة الکریمة خَطَأً، وهو یقول بالغسل، وأنّ الجرّ بالعطف علی الرؤوس لا یفید المسح</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تعرف أنّ الجوار خطأ وإفادة الغسل مع العطف علی الرؤوس خطأ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الجرّ للعطف علی الرؤوس والمفاد المسح لیس إلّا، ولما قالوا بالغسل مخالفةً لأهل البیت، ورأوا أنّ القرآن لا یساعدهم علی الغسل؛ ارتکبوا هذه التأویلات</w:t>
      </w:r>
      <w:r>
        <w:rPr>
          <w:rFonts w:eastAsia="IRNazanin" w:cs="IRNazanin"/>
          <w:color w:val="111111"/>
          <w:sz w:val="28"/>
          <w:szCs w:val="28"/>
          <w:rtl w:val="true"/>
          <w:lang w:bidi="fa-IR"/>
        </w:rPr>
        <w:t>.</w:t>
      </w:r>
    </w:p>
    <w:p>
      <w:pPr>
        <w:pStyle w:val="Heading3"/>
        <w:numPr>
          <w:ilvl w:val="2"/>
          <w:numId w:val="1"/>
        </w:numPr>
        <w:rPr/>
      </w:pPr>
      <w:bookmarkStart w:id="762" w:name="__RefHeading___Toc972602_237004111"/>
      <w:bookmarkStart w:id="763" w:name="_Toc275"/>
      <w:bookmarkEnd w:id="762"/>
      <w:r>
        <w:rPr/>
        <w:t>9</w:t>
      </w:r>
      <w:r>
        <w:rPr>
          <w:rtl w:val="true"/>
        </w:rPr>
        <w:t xml:space="preserve"> - </w:t>
      </w:r>
      <w:r>
        <w:rPr>
          <w:rtl w:val="true"/>
        </w:rPr>
        <w:t xml:space="preserve">موقف الفخرالرازی صاحب التفسیر </w:t>
      </w:r>
      <w:r>
        <w:rPr>
          <w:rtl w:val="true"/>
        </w:rPr>
        <w:t>(</w:t>
      </w:r>
      <w:r>
        <w:rPr>
          <w:rtl w:val="true"/>
        </w:rPr>
        <w:t xml:space="preserve">ت </w:t>
      </w:r>
      <w:r>
        <w:rPr/>
        <w:t>606</w:t>
      </w:r>
      <w:r>
        <w:rPr>
          <w:rtl w:val="true"/>
        </w:rPr>
        <w:t xml:space="preserve"> </w:t>
      </w:r>
      <w:r>
        <w:rPr>
          <w:rtl w:val="true"/>
        </w:rPr>
        <w:t xml:space="preserve">ه </w:t>
      </w:r>
      <w:r>
        <w:rPr>
          <w:rtl w:val="true"/>
        </w:rPr>
        <w:t>)</w:t>
      </w:r>
      <w:bookmarkEnd w:id="763"/>
    </w:p>
    <w:p>
      <w:pPr>
        <w:pStyle w:val="BookText"/>
        <w:rPr/>
      </w:pPr>
      <w:r>
        <w:rPr>
          <w:rFonts w:ascii="IRNazanin" w:hAnsi="IRNazanin" w:eastAsia="IRNazanin"/>
          <w:color w:val="111111"/>
          <w:sz w:val="28"/>
          <w:sz w:val="28"/>
          <w:szCs w:val="28"/>
          <w:rtl w:val="true"/>
          <w:lang w:bidi="fa-IR"/>
        </w:rPr>
        <w:t xml:space="preserve">لم یتردّد الفخر الرازیّ فی الحکم ببطلان الجرّ بالمجاورة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السعة مستدلاً لذلک بأدلّة مرّ تفصیلها، والحاصل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الجرّ علی الجوار معدود فی اللحن الذی قد یتحمّل للضرورة الشعریّة، وکلام اللّه یجب تنزیهه عنه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الکسر علی الجوار إنّما یکون فی مقام الأمن من الالتباس، والأمن منه فی </w:t>
      </w:r>
    </w:p>
    <w:p>
      <w:pPr>
        <w:pStyle w:val="BookText"/>
        <w:rPr/>
      </w:pPr>
      <w:r>
        <w:rPr>
          <w:rFonts w:ascii="IRNazanin" w:hAnsi="IRNazanin" w:eastAsia="IRNazanin"/>
          <w:color w:val="111111"/>
          <w:sz w:val="28"/>
          <w:sz w:val="28"/>
          <w:szCs w:val="28"/>
          <w:rtl w:val="true"/>
          <w:lang w:bidi="fa-IR"/>
        </w:rPr>
        <w:t>الآیة غیر 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الجوار لا یمکن القول به فی المعطوف بالحرف، ولم تتکلّم به العرب فیه، لأنّ العاطف یمنع من المجاورة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النصوص الجلیّة من أئمّة العربیّة والتفسیر، لا یَصحُ قول أبی الولید الباجی المالکی المتوفّی سنة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الجرّ علی الجوار کثیر سائغ فی القرآن وکلام العرب</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استدلاله بالآیات التی مرّ الجوابُ عنها فی القراءات والأشعار کلّها محمولة علی الضرورة، ووجوه أُخری مقبولة عند الجمیع سوی الجرّ بالجوار؛ وإنّما حمله علی ذلک التوجیه غلبة العصبیة علیه وحمله القرآن علی هواه ومیله إلی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حمله علی ذلک الجهل، والدلیل علی ذلک أنّه أنکر النصب فی الأرجل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باب العطف علی محلّ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العطف علی الموضع إنّما یجوز إذا کان المعطوف علیه یتعدّی بحرف جرّ وفی معنی ما یتعدّی بغیر حرف جرّ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 وعمراً،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زیداً وعمراً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برؤوسکم فإنّه لا یتعدّی إلّابحرف جرٍّ، فلا یجوز أن یعطف علی موضعه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کان مراده بما ذکره أنّ حرف الجرّ فی المثال زائِدٌ وَلَیْسَ کذلک فی الآیة فهو </w:t>
      </w:r>
    </w:p>
    <w:p>
      <w:pPr>
        <w:pStyle w:val="BookText"/>
        <w:rPr/>
      </w:pPr>
      <w:r>
        <w:rPr>
          <w:rFonts w:ascii="IRNazanin" w:hAnsi="IRNazanin" w:eastAsia="IRNazanin"/>
          <w:color w:val="111111"/>
          <w:sz w:val="28"/>
          <w:sz w:val="28"/>
          <w:szCs w:val="28"/>
          <w:rtl w:val="true"/>
          <w:lang w:bidi="fa-IR"/>
        </w:rPr>
        <w:t>خطأ ذکره المتقدمون؛ لأنّ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أصلیّ للتعدیة، وأیضاً لیس معناه ما ذکره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جاوزت زیداً وعمراً، کما نصّ علیه ابن الحاجب فی باب الاشتغال من کتاب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بخلاف ما قاله تماماً، فقیاسه علی المثال قیاس مع الفارق وخطأ بالضرورة، لأنّ مسح متعدٍّ بنفسه بحکم أهل اللغة أجمعین، والباء فیه زائدة قطعاً، فیجوز العطف علی محلّه بالنصب،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یتعدّی إلّابحرف جرّ خطأ واضح، وهذه هی کتب اللغة متوافّرة وهی تحکم وتنصّ بخلاف ما قاله من 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 والسین والحاء أصل صحیح، وهو إمرار الشیء علی الشیء بسطاً، ومسحته بیدی مسحاً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القوطیة فی کتاب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الشیء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علیه الید</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وبمثله قال ابن القطاع أیضاً فی کتاب الأفعال</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مسحه یمسحه مسحاً، ومسّحه وتمسّح منه وبه</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غیر واحد من أهل اللغة وفی ذلک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هؤلاء یردّ علی أبی الولید قوله ویثبت عدم صحته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مراده أنّ الباء فی الآیة زائدة ولیست کذلک فی المثال فهو صحیح، ولکنّه لا یثبت نظره بل یردّه، ولکنّی أستغرب منه کیف یقول فی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bookmarkStart w:id="764" w:name="pg6193_71412"/>
    </w:p>
    <w:p>
      <w:pPr>
        <w:pStyle w:val="BookText"/>
        <w:rPr/>
      </w:pPr>
      <w:bookmarkEnd w:id="764"/>
      <w:r>
        <w:rPr>
          <w:rFonts w:ascii="Amiri" w:hAnsi="Amiri" w:eastAsia="Amiri" w:cs="Amiri"/>
          <w:color w:val="111111"/>
          <w:sz w:val="28"/>
          <w:sz w:val="28"/>
          <w:szCs w:val="28"/>
          <w:rtl w:val="true"/>
          <w:lang w:bidi="ar-SA"/>
        </w:rPr>
        <w:t>لا یتعدّی إلّابحرف جرّ</w:t>
      </w:r>
      <w:r>
        <w:rPr>
          <w:rStyle w:val="FootnoteAnchor"/>
          <w:rtl w:val="true"/>
        </w:rPr>
        <w:footnoteReference w:id="956"/>
      </w:r>
      <w:r>
        <w:rPr>
          <w:rFonts w:ascii="IRNazanin" w:hAnsi="IRNazanin" w:eastAsia="IRNazanin"/>
          <w:color w:val="111111"/>
          <w:sz w:val="28"/>
          <w:sz w:val="28"/>
          <w:szCs w:val="28"/>
          <w:rtl w:val="true"/>
          <w:lang w:bidi="fa-IR"/>
        </w:rPr>
        <w:t>؟</w:t>
      </w:r>
    </w:p>
    <w:p>
      <w:pPr>
        <w:pStyle w:val="Heading3"/>
        <w:numPr>
          <w:ilvl w:val="2"/>
          <w:numId w:val="1"/>
        </w:numPr>
        <w:rPr/>
      </w:pPr>
      <w:bookmarkStart w:id="765" w:name="__RefHeading___Toc972604_237004111"/>
      <w:bookmarkStart w:id="766" w:name="_Toc276"/>
      <w:bookmarkEnd w:id="765"/>
      <w:r>
        <w:rPr/>
        <w:t>10</w:t>
      </w:r>
      <w:r>
        <w:rPr>
          <w:rtl w:val="true"/>
        </w:rPr>
        <w:t xml:space="preserve"> - </w:t>
      </w:r>
      <w:r>
        <w:rPr>
          <w:rtl w:val="true"/>
        </w:rPr>
        <w:t xml:space="preserve">موقف الجوینی أبی المعالی الشافعیّ </w:t>
      </w:r>
      <w:r>
        <w:rPr>
          <w:rtl w:val="true"/>
        </w:rPr>
        <w:t>(</w:t>
      </w:r>
      <w:r>
        <w:rPr>
          <w:rtl w:val="true"/>
        </w:rPr>
        <w:t xml:space="preserve">ت </w:t>
      </w:r>
      <w:r>
        <w:rPr/>
        <w:t>478</w:t>
      </w:r>
      <w:r>
        <w:rPr>
          <w:rtl w:val="true"/>
        </w:rPr>
        <w:t xml:space="preserve"> </w:t>
      </w:r>
      <w:r>
        <w:rPr>
          <w:rtl w:val="true"/>
        </w:rPr>
        <w:t xml:space="preserve">ه </w:t>
      </w:r>
      <w:r>
        <w:rPr>
          <w:rtl w:val="true"/>
        </w:rPr>
        <w:t>)</w:t>
      </w:r>
      <w:bookmarkEnd w:id="766"/>
    </w:p>
    <w:p>
      <w:pPr>
        <w:pStyle w:val="BookText"/>
        <w:rPr/>
      </w:pPr>
      <w:r>
        <w:rPr>
          <w:rFonts w:ascii="IRNazanin" w:hAnsi="IRNazanin" w:eastAsia="IRNazanin"/>
          <w:color w:val="111111"/>
          <w:sz w:val="28"/>
          <w:sz w:val="28"/>
          <w:szCs w:val="28"/>
          <w:rtl w:val="true"/>
          <w:lang w:bidi="fa-IR"/>
        </w:rPr>
        <w:t xml:space="preserve">لقد صدع الجوینی بالحقّ بعد أن أنکره ثلة من قومه، فقال فی المسألة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ردّه المحقّقون من طرق التأویل ما یتضمّن حمل کلام الشارع من جهة رکیکة تنأی عن اللغة الفُصحی، فقد لا یتساهل فیه إلّافی مضایق القوافی وأوزان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حمل حامل آیةً من کتاب اللّه أو لفظاً من ألفاظ رسول اللّه صلی الله علیه و آله و سلم علی أمثال هذه المحامل، وأزال الظاهر الممکن إجراؤه لمذهب اعتقده فهذا لا یقبل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یردّ علی من یعطف القواعد علی المذهب، ویبلغ به ذلک إلی أن یحمل القرآن والحدیث علی معتقده، وقوله فصل وهو فی غایة الدقّة والإنصاف؛ لأنّنا لو فتحنا هذا الباب علی وجوهنا ولم نجد رادعاً عن ذلک، لما بقیت آ یة من القرآن أو لفظ من الحدیث إلّامحمولاً علی غیر محمله، ومعطوفاً علی کلام ساقط عامی مرذول، وذلک لا یمکن أن یجتمع مع الاحتفاظ بکرامة القرآن والحدیث وبلاغتهما المتفق علیها من ناحیةٍ أُخری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مثل ذلک بالآیة المبحوث عنها فی المائدة قائلاً فی المسألة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أمثلة ذلک حمل الکسر علی الجوار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مشارکة المعطوف علیه فی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فی حکم الخروج عن نظم الإعراب بالکلیّة، وإیثار ترک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لإتباع لفظةٍ لفظةً فی الحرکة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ارتیاد الأردأ من غیر ضرورة، وإذا اضطرّ إلیه الشاعر فی مضایق القوافی لم یعدّ ذلک من حسن شعره، کما قال امرؤ القیس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معه مجری الصفة، ووجه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کبیر أُناس مزمّل فی بجاد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ولکنّه أتبع کسرة اللّام الکسرات المتقدّمة لمّا کانت القافیة علی الکسرة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أحاط بعلم هذا الباب حمل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علی المسح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والمصیر إلی أنّه محمول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 وأقرب إلی قیاس الأُصول من حمل قراءة الکسر علی الجوار، فإنّ کلّ مجرور اتّصل الفعل به بواسطة الجارّ فمحلّه النّصب، وإنّما الکسر فیه فی حکم العارض، فإتباع المعنی والعطف علی المحلّ من فصیح الکلام، ومن کلامهم فی شعر جریر</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عمر الجوادا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المنادی المفرد العلم وإن کان مبنیّاً علی الرفع فأصله النصب، فردّ الصفة إلی محلّه، 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بالغ</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قاله الجوینی حسن بالغ ظریف لا یناقش ولا یرد</w:t>
      </w:r>
      <w:r>
        <w:rPr>
          <w:rFonts w:eastAsia="IRNazanin" w:cs="IRNazanin"/>
          <w:color w:val="111111"/>
          <w:sz w:val="28"/>
          <w:szCs w:val="28"/>
          <w:rtl w:val="true"/>
          <w:lang w:bidi="fa-IR"/>
        </w:rPr>
        <w:t xml:space="preserve">. </w:t>
      </w:r>
      <w:bookmarkStart w:id="767" w:name="pg6193_71416"/>
    </w:p>
    <w:p>
      <w:pPr>
        <w:pStyle w:val="Heading3"/>
        <w:numPr>
          <w:ilvl w:val="2"/>
          <w:numId w:val="1"/>
        </w:numPr>
        <w:rPr/>
      </w:pPr>
      <w:bookmarkStart w:id="768" w:name="__RefHeading___Toc972606_237004111"/>
      <w:bookmarkStart w:id="769" w:name="_Toc277"/>
      <w:bookmarkEnd w:id="767"/>
      <w:bookmarkEnd w:id="768"/>
      <w:r>
        <w:rPr/>
        <w:t>11</w:t>
      </w:r>
      <w:r>
        <w:rPr>
          <w:rtl w:val="true"/>
        </w:rPr>
        <w:t xml:space="preserve"> - </w:t>
      </w:r>
      <w:r>
        <w:rPr>
          <w:rtl w:val="true"/>
        </w:rPr>
        <w:t xml:space="preserve">موقف ابن منظور صاحب اللسان </w:t>
      </w:r>
      <w:r>
        <w:rPr>
          <w:rtl w:val="true"/>
        </w:rPr>
        <w:t>(</w:t>
      </w:r>
      <w:r>
        <w:rPr>
          <w:rtl w:val="true"/>
        </w:rPr>
        <w:t xml:space="preserve">ت </w:t>
      </w:r>
      <w:r>
        <w:rPr/>
        <w:t>630</w:t>
      </w:r>
      <w:r>
        <w:rPr>
          <w:rtl w:val="true"/>
        </w:rPr>
        <w:t xml:space="preserve"> </w:t>
      </w:r>
      <w:r>
        <w:rPr>
          <w:rtl w:val="true"/>
        </w:rPr>
        <w:t xml:space="preserve">ه </w:t>
      </w:r>
      <w:r>
        <w:rPr>
          <w:rtl w:val="true"/>
        </w:rPr>
        <w:t>):</w:t>
      </w:r>
      <w:bookmarkEnd w:id="769"/>
    </w:p>
    <w:p>
      <w:pPr>
        <w:pStyle w:val="BookText"/>
        <w:rPr/>
      </w:pPr>
      <w:r>
        <w:rPr>
          <w:rFonts w:ascii="IRNazanin" w:hAnsi="IRNazanin" w:eastAsia="IRNazanin"/>
          <w:color w:val="111111"/>
          <w:sz w:val="28"/>
          <w:sz w:val="28"/>
          <w:szCs w:val="28"/>
          <w:rtl w:val="true"/>
          <w:lang w:bidi="fa-IR"/>
        </w:rPr>
        <w:t xml:space="preserve">بعد أن نقل ابن منظور الخفض علی الجوار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 ردّ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إسحاق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 علی الجوار لا یجوز فی کتاب اللّه عزّ وجلّ، وإنّما یجوز ذلک فی ضرورة الشعر</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نقل ابن منظور محاولات القوم فی الآیة أنّ القول بالجوار إنّما جاء من قبل غسل الأرجل، فإنّهم فعلوا ذلک، ثمّ رأوا أنّ القرآن لا یساعدهم علیه أبداً، فجاؤوا یتأوّلون القراءات نصباً وجرّاً وأخیراً رفعاً؛ ولکنّهم بعد کلّ تلک المحاولات لم یعطوا مسوغاً صحیحاً لها</w:t>
      </w:r>
      <w:r>
        <w:rPr>
          <w:rFonts w:eastAsia="IRNazanin" w:cs="IRNazanin"/>
          <w:color w:val="111111"/>
          <w:sz w:val="28"/>
          <w:szCs w:val="28"/>
          <w:rtl w:val="true"/>
          <w:lang w:bidi="fa-IR"/>
        </w:rPr>
        <w:t>.</w:t>
      </w:r>
    </w:p>
    <w:p>
      <w:pPr>
        <w:pStyle w:val="Heading3"/>
        <w:numPr>
          <w:ilvl w:val="2"/>
          <w:numId w:val="1"/>
        </w:numPr>
        <w:rPr/>
      </w:pPr>
      <w:bookmarkStart w:id="770" w:name="__RefHeading___Toc972608_237004111"/>
      <w:bookmarkStart w:id="771" w:name="_Toc278"/>
      <w:bookmarkEnd w:id="770"/>
      <w:r>
        <w:rPr/>
        <w:t>12</w:t>
      </w:r>
      <w:r>
        <w:rPr>
          <w:rtl w:val="true"/>
        </w:rPr>
        <w:t xml:space="preserve"> - </w:t>
      </w:r>
      <w:r>
        <w:rPr>
          <w:rtl w:val="true"/>
        </w:rPr>
        <w:t>موقف المحقّق الرضی</w:t>
      </w:r>
      <w:r>
        <w:rPr>
          <w:rtl w:val="true"/>
        </w:rPr>
        <w:t>:</w:t>
      </w:r>
      <w:bookmarkEnd w:id="771"/>
    </w:p>
    <w:p>
      <w:pPr>
        <w:pStyle w:val="BookText"/>
        <w:rPr/>
      </w:pPr>
      <w:r>
        <w:rPr>
          <w:rFonts w:ascii="IRNazanin" w:hAnsi="IRNazanin" w:eastAsia="IRNazanin"/>
          <w:color w:val="111111"/>
          <w:sz w:val="28"/>
          <w:sz w:val="28"/>
          <w:szCs w:val="28"/>
          <w:rtl w:val="true"/>
          <w:lang w:bidi="fa-IR"/>
        </w:rPr>
        <w:t xml:space="preserve">قال الرضی فی آخر باب النعت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یوصف المضاف إلیه لفظاً والنعت للمضاف إذا لم یلبس،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بالجوار، وذلک للاتصال الحاصل بین المضاف والمضاف إلیه، فجعل ما هو نعت للأوّل معنیً نعتاً للثانی لفظاً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کما یضاف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إلیه إلی ما ینبغی أن یضاف إلیه المضاف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حَبُّ رمّانی، والذی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الجحر والحبّ، لا الضبّ ولا الرمّان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والخلیل یشترط فی الجرّ بالجوار توافق المضاف والمضاف إلیه إفراداً وتثنیة وجمعاً وتذکیراً وتأنیثاً، فلا یجیز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جحرا ضبٍّ خربان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یجیز خربین خلافاً لسیبویه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واستشهد سیبویه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فإیّاکُمْ وحَیَّةَ بَطْنِ وَادٍ هَمُوزِ النّابِ لیسَ لکُم بِسیّ</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المضاف إلی الضمیر، فاستتر الضمیر المرفوع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مرفوعاً، لقیامه مقام المضاف المرفوع، فیکون أصل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هموز النّاب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هموز نابُ 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المضاف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حیّة فبقی هموز 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أُضیف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النّاب، استتر الضّمیر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رأی المحقّق الرضی بالنسبة إلی الجرّ بالجوار، ولکنّه تفطّن أنّ القوم إنّما قالوا به ووسّعوه فی کتبهم تمهیداً لحمل الآیة علیه، فردّ حمل الآیة علی الجوار وعمد إلی ذلک فی غیرموضع من شرح الکافیة، فقال فی‌مبحث تعریف الإعراب</w:t>
      </w:r>
      <w:r>
        <w:rPr>
          <w:rStyle w:val="FootnoteAnchor"/>
          <w:rtl w:val="true"/>
        </w:rPr>
        <w:footnoteReference w:id="964"/>
      </w:r>
      <w:r>
        <w:rPr>
          <w:rFonts w:ascii="IRNazanin" w:hAnsi="IRNazanin" w:eastAsia="IRNazanin"/>
          <w:color w:val="111111"/>
          <w:sz w:val="28"/>
          <w:sz w:val="28"/>
          <w:szCs w:val="28"/>
          <w:rtl w:val="true"/>
          <w:lang w:bidi="fa-IR"/>
        </w:rPr>
        <w:t>ومبحث المتعدّی واللزوم</w:t>
      </w:r>
      <w:r>
        <w:rPr>
          <w:rStyle w:val="FootnoteAnchor"/>
          <w:rtl w:val="true"/>
        </w:rPr>
        <w:footnoteReference w:id="965"/>
      </w:r>
      <w:r>
        <w:rPr>
          <w:rFonts w:ascii="IRNazanin" w:hAnsi="IRNazanin" w:eastAsia="IRNazanin"/>
          <w:color w:val="111111"/>
          <w:sz w:val="28"/>
          <w:sz w:val="28"/>
          <w:szCs w:val="28"/>
          <w:rtl w:val="true"/>
          <w:lang w:bidi="fa-IR"/>
        </w:rPr>
        <w:t>ومبحث حروف الجرّ</w:t>
      </w:r>
      <w:r>
        <w:rPr>
          <w:rStyle w:val="FootnoteAnchor"/>
          <w:rtl w:val="true"/>
        </w:rPr>
        <w:footnoteReference w:id="966"/>
      </w:r>
      <w:r>
        <w:rPr>
          <w:rFonts w:ascii="IRNazanin" w:hAnsi="IRNazanin" w:eastAsia="IRNazanin"/>
          <w:color w:val="111111"/>
          <w:sz w:val="28"/>
          <w:sz w:val="28"/>
          <w:szCs w:val="28"/>
          <w:rtl w:val="true"/>
          <w:lang w:bidi="fa-IR"/>
        </w:rPr>
        <w:t xml:space="preserve">من شرح </w:t>
      </w:r>
      <w:bookmarkStart w:id="772" w:name="pg6193_71420"/>
    </w:p>
    <w:p>
      <w:pPr>
        <w:pStyle w:val="BookText"/>
        <w:rPr/>
      </w:pPr>
      <w:bookmarkEnd w:id="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الأرجل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عطف علی الموضع،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الرؤوس المجرورة لفظاً، وهذا نصّه فی مبحث المتعدّی واللزوم</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تعدی بحرف الجرّ، فالجارّ والمجرور فی محلّ النصب علی المفعول به، ولهذا قد یعطف علی‌الموضع بالنصب،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 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تَجْدِ من دُونِ عْدنانَ والِداً ودونَ مَعَدٍّ فلتَزعْکَ العَوَاذِلُ</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وقال مثل هذا الکلام فی باب الإعراب وحروف الجرّ، ویظهر منه أنّ الجرّ ا نّما یکون عطفاً علی اللفظ فقط لا علی الجوار، ولذا یمثّل به من القرآن المجید</w:t>
      </w:r>
      <w:r>
        <w:rPr>
          <w:rFonts w:eastAsia="IRNazanin" w:cs="IRNazanin"/>
          <w:color w:val="111111"/>
          <w:sz w:val="28"/>
          <w:szCs w:val="28"/>
          <w:rtl w:val="true"/>
          <w:lang w:bidi="fa-IR"/>
        </w:rPr>
        <w:t>.</w:t>
      </w:r>
    </w:p>
    <w:p>
      <w:pPr>
        <w:pStyle w:val="Heading3"/>
        <w:numPr>
          <w:ilvl w:val="2"/>
          <w:numId w:val="1"/>
        </w:numPr>
        <w:rPr/>
      </w:pPr>
      <w:bookmarkStart w:id="773" w:name="__RefHeading___Toc972610_237004111"/>
      <w:bookmarkStart w:id="774" w:name="_Toc279"/>
      <w:bookmarkEnd w:id="773"/>
      <w:r>
        <w:rPr/>
        <w:t>13</w:t>
      </w:r>
      <w:r>
        <w:rPr>
          <w:rtl w:val="true"/>
        </w:rPr>
        <w:t xml:space="preserve"> - </w:t>
      </w:r>
      <w:r>
        <w:rPr>
          <w:rtl w:val="true"/>
        </w:rPr>
        <w:t xml:space="preserve">موقف ابن هشام الأنصاری </w:t>
      </w:r>
      <w:r>
        <w:rPr>
          <w:rtl w:val="true"/>
        </w:rPr>
        <w:t>(</w:t>
      </w:r>
      <w:r>
        <w:rPr>
          <w:rtl w:val="true"/>
        </w:rPr>
        <w:t xml:space="preserve">ت </w:t>
      </w:r>
      <w:r>
        <w:rPr/>
        <w:t>761</w:t>
      </w:r>
      <w:r>
        <w:rPr>
          <w:rtl w:val="true"/>
        </w:rPr>
        <w:t xml:space="preserve"> </w:t>
      </w:r>
      <w:r>
        <w:rPr>
          <w:rtl w:val="true"/>
        </w:rPr>
        <w:t xml:space="preserve">ه </w:t>
      </w:r>
      <w:r>
        <w:rPr>
          <w:rtl w:val="true"/>
        </w:rPr>
        <w:t>)</w:t>
      </w:r>
      <w:bookmarkEnd w:id="774"/>
    </w:p>
    <w:p>
      <w:pPr>
        <w:pStyle w:val="BookText"/>
        <w:rPr/>
      </w:pPr>
      <w:r>
        <w:rPr>
          <w:rFonts w:ascii="IRNazanin" w:hAnsi="IRNazanin" w:eastAsia="IRNazanin"/>
          <w:color w:val="111111"/>
          <w:sz w:val="28"/>
          <w:sz w:val="28"/>
          <w:szCs w:val="28"/>
          <w:rtl w:val="true"/>
          <w:lang w:bidi="fa-IR"/>
        </w:rPr>
        <w:t xml:space="preserve">قال فی القاعدة الثانیة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یعطی حکم الشیء إذا جاوره، کقول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والأکثر الرَّفع،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کبیرُ أُناسٍ فی بجادٍ مزمّلٍ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جرّهما، فإنّ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 وأباریق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المعنی أنّ الولدان یطوفون علیهم بالحور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 فی جنّات وفاکهةٍ ولحم طیرٍ وحور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أکوابٍ باعتبار المعنی، إذ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 بأکواب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ینعّمون بأکوابٍ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الأرجل مغسولة لا ممسوحة، ولکنّه خفض 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علیه المحقّقون أنّ خفض الجوار یکون فی النعت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التوکید نادراً،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 بلّغ ذوی الزَّوْجات کلّهم أن لیس وصلٌ إذا انحلّت عُرَی الذَّنَبِ</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أنشدنیه أبو الجرّاح بخفض کلّهم،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 الذی قلته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استنشدته إیّاه، فأنشدنیه بالخفض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یکون فی النَّسَق، لأنّ العاطف یمنع من التّجاور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السّیرافیّ وابن جنّی الخفض علی الجوار، وتأوّلا قولهم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علی أنّه صفة 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السّیرافیّ</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 الجحر </w:t>
      </w:r>
    </w:p>
    <w:p>
      <w:pPr>
        <w:pStyle w:val="BookText"/>
        <w:rPr/>
      </w:pPr>
      <w:r>
        <w:rPr>
          <w:rFonts w:ascii="IRNazanin" w:hAnsi="IRNazanin" w:eastAsia="IRNazanin"/>
          <w:color w:val="111111"/>
          <w:sz w:val="28"/>
          <w:sz w:val="28"/>
          <w:szCs w:val="28"/>
          <w:rtl w:val="true"/>
          <w:lang w:bidi="fa-IR"/>
        </w:rPr>
        <w:t xml:space="preserve">منه بتنوین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الضّمیر للعلم به، وحوّل الإسناد إلی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والأصل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الوجهُ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أتی بضمیر الجُحر مکانه لتقدّم ذکره فاستتر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جُحرُهُ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أُنیب المضافُ إلیه عن المضاف فارتفع واستتر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ویلزمهما استتار الضمیر مع جریان الصفة علی غیر</w:t>
      </w:r>
      <w:r>
        <w:rPr>
          <w:rStyle w:val="FootnoteAnchor"/>
          <w:rtl w:val="true"/>
        </w:rPr>
        <w:footnoteReference w:id="972"/>
      </w:r>
      <w:r>
        <w:rPr>
          <w:rFonts w:ascii="IRNazanin" w:hAnsi="IRNazanin" w:eastAsia="IRNazanin"/>
          <w:color w:val="111111"/>
          <w:sz w:val="28"/>
          <w:sz w:val="28"/>
          <w:szCs w:val="28"/>
          <w:rtl w:val="true"/>
          <w:lang w:bidi="fa-IR"/>
        </w:rPr>
        <w:t>من هی له، وذلک لا یجوز عند البصریّین وإن أمن اللبس</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قائم أبواه لا قاعدین</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لأنّ ذلک إنّما یجوز فی الوصف الثانی</w:t>
      </w:r>
      <w:r>
        <w:rPr>
          <w:rStyle w:val="FootnoteAnchor"/>
          <w:rtl w:val="true"/>
        </w:rPr>
        <w:footnoteReference w:id="974"/>
      </w:r>
      <w:r>
        <w:rPr>
          <w:rFonts w:ascii="Amiri" w:hAnsi="Amiri" w:eastAsia="Amiri" w:cs="Amiri"/>
          <w:color w:val="111111"/>
          <w:sz w:val="28"/>
          <w:sz w:val="28"/>
          <w:szCs w:val="28"/>
          <w:rtl w:val="true"/>
          <w:lang w:bidi="ar-SA"/>
        </w:rPr>
        <w:t>دون الأوّل</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لیس وصفاً ثانیاً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فقیاس خرب علی قاعدین قیاس مع الفارق علی حدّ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هشام فی باب المجرورات من الشذور وشرحه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المجرور للمجاورة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جحر ضبّ خرب، وقوله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صاحِ بلّغ ذوی الزَّوْجات کلّهم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بیّن أنّ ذلک إنّما یکون فی بابی النعت والتأکید، ونقل عن بعضهم القول بکونه فی باب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مثّل للنعت بالمثال المشهور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حقّه الرّفع، لأنّه صفة للمرفوع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الرّفع أکثر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للتوکید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ذوی الزَّوْجات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فکلّهم تأکید لذوی، لا للزوجات وإلّا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وذوی منصوب علی المفعولیّة، وکان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ولکنّه خفض لمجاورة المخفوض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للمعطوف بالآیة الکریمة فی قراءة من قرأ 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لمجاورته للمخفوض وهو الرّؤوس، وإنّما کان حقّه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القراءة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قول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وخالفهم فی ذلک المحقّقون، ورأوا أنّ الخفض علی الجوار لا یحسن فی المعطوف، لأنّ حرف العطف حاجز بین الاسمین ومبطل للمجاورة، قال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یمنع فی القیاس الخفض علی الجوار فی عطف البیان؛ لأنّه کالنعت </w:t>
      </w:r>
      <w:bookmarkStart w:id="775" w:name="pg6193_71428"/>
    </w:p>
    <w:p>
      <w:pPr>
        <w:pStyle w:val="BookText"/>
        <w:rPr/>
      </w:pPr>
      <w:bookmarkEnd w:id="775"/>
      <w:r>
        <w:rPr>
          <w:rFonts w:ascii="IRNazanin" w:hAnsi="IRNazanin" w:eastAsia="IRNazanin"/>
          <w:color w:val="111111"/>
          <w:sz w:val="28"/>
          <w:sz w:val="28"/>
          <w:szCs w:val="28"/>
          <w:rtl w:val="true"/>
          <w:lang w:bidi="fa-IR"/>
        </w:rPr>
        <w:t>والتّوکید فی مجاورة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امتناعه فی البدل، لأنّه فی التّقدیر من جملة أُخری، فهو محجوز تقدیراً، ورأی هؤلاء أنّ الخفض فی الآیة إنّما هو بالعطف علی لفظ الرّؤوس،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الأرجل مغسولة لا ممسوحة، فأجابوا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المسح بمعنی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المسح یحمل علی المسح علی الخفّین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رُدّ الوجهان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ویرجح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نصّ علیه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الحمل علی المجاورة حمل علی شاذّ، فینبغی صون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إذا حمل علی ذلک کان العطف فی الحقیقة علی الوجوه والأیدی، فیلزم الفصل بین المتعاطفین بجملةٍ أجنبیّة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حمل علی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الفصل بالأجنبی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أن لا یفصل بین المتعاطفین بمفردٍ فضلاً عن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العطف علی هذا التقدیر حمل علی المجاور، وعلی العطف علی الوجوه والأیدی حمل علی غیر المجاور، والحمل علی المجاور أولی</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972612_237004111"/>
      <w:bookmarkStart w:id="777" w:name="_Toc280"/>
      <w:bookmarkEnd w:id="776"/>
      <w:r>
        <w:rPr/>
        <w:t>14</w:t>
      </w:r>
      <w:r>
        <w:rPr>
          <w:rtl w:val="true"/>
        </w:rPr>
        <w:t xml:space="preserve"> - </w:t>
      </w:r>
      <w:r>
        <w:rPr>
          <w:rtl w:val="true"/>
        </w:rPr>
        <w:t xml:space="preserve">موقف محمّد بن فرامرز الشهیر بملّا خسرو </w:t>
      </w:r>
      <w:r>
        <w:rPr>
          <w:rtl w:val="true"/>
        </w:rPr>
        <w:t>(</w:t>
      </w:r>
      <w:r>
        <w:rPr>
          <w:rtl w:val="true"/>
        </w:rPr>
        <w:t xml:space="preserve">ت </w:t>
      </w:r>
      <w:r>
        <w:rPr/>
        <w:t>885</w:t>
      </w:r>
      <w:r>
        <w:rPr>
          <w:rtl w:val="true"/>
        </w:rPr>
        <w:t xml:space="preserve"> </w:t>
      </w:r>
      <w:r>
        <w:rPr>
          <w:rtl w:val="true"/>
        </w:rPr>
        <w:t xml:space="preserve">ه </w:t>
      </w:r>
      <w:r>
        <w:rPr>
          <w:rtl w:val="true"/>
        </w:rPr>
        <w:t>)</w:t>
      </w:r>
      <w:bookmarkEnd w:id="777"/>
    </w:p>
    <w:p>
      <w:pPr>
        <w:pStyle w:val="BookText"/>
        <w:rPr/>
      </w:pPr>
      <w:r>
        <w:rPr>
          <w:rFonts w:ascii="IRNazanin" w:hAnsi="IRNazanin" w:eastAsia="IRNazanin"/>
          <w:color w:val="111111"/>
          <w:sz w:val="28"/>
          <w:sz w:val="28"/>
          <w:szCs w:val="28"/>
          <w:rtl w:val="true"/>
          <w:lang w:bidi="fa-IR"/>
        </w:rPr>
        <w:t>حمل الجرّ علی الجوار وادّعی أنّه کثیر فی القرآن والشعر</w:t>
      </w:r>
      <w:r>
        <w:rPr>
          <w:rStyle w:val="FootnoteAnchor"/>
          <w:rtl w:val="true"/>
        </w:rPr>
        <w:footnoteReference w:id="978"/>
      </w:r>
      <w:r>
        <w:rPr>
          <w:rFonts w:ascii="Amiri" w:hAnsi="Amiri" w:eastAsia="Amiri" w:cs="Amiri"/>
          <w:color w:val="111111"/>
          <w:sz w:val="28"/>
          <w:sz w:val="28"/>
          <w:szCs w:val="28"/>
          <w:rtl w:val="true"/>
          <w:lang w:bidi="ar-SA"/>
        </w:rPr>
        <w:t>، واستدلّ من القرآن أیضاً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الحمل علی الجوار فی آیة الوضوء فقد تقدّم الکلام حوله فی غیر موضعٍ، وأمّا ادّعاء الکثرة فی القرآن والشعر، فقد ظهر بطلانه أیضاً فی الأبحاث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والاستدلال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أیضاً، لأنّ المحیط وصف للیوم لا للعذاب، وقد نصّ علی ذلک الزمخشری فی تفسیر الآیة من الکشّاف</w:t>
      </w:r>
      <w:r>
        <w:rPr>
          <w:rStyle w:val="FootnoteAnchor"/>
          <w:rtl w:val="true"/>
        </w:rPr>
        <w:footnoteReference w:id="979"/>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العذاب بالإحاطة أبلغ أم وصف الیوم بها؟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وصف الیوم بها، لأنّ الیوم زمان یشتمل علی الحوادث، فإذا أحاط بعذابه فقد اجتمع للمعذّب ما اشتمل علیه منه، کما إذا أحاط بنعیمه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یتبیّن بطلان الاستدلال علی الجوار بنظائر هذه الآیة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الزمخشری فی تفسیر الآیة من الکشّاف</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الیوم بألیم من الإسناد المجازیّ لوقوع الألم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وصف به العذاب؟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مثله، لأنّ الألیم فی الحقیقة هو العذاب</w:t>
      </w:r>
      <w:r>
        <w:rPr>
          <w:rStyle w:val="FootnoteAnchor"/>
          <w:rtl w:val="true"/>
        </w:rPr>
        <w:footnoteReference w:id="981"/>
      </w:r>
      <w:r>
        <w:rPr>
          <w:rFonts w:ascii="IRNazanin" w:hAnsi="IRNazanin" w:eastAsia="IRNazanin"/>
          <w:color w:val="111111"/>
          <w:sz w:val="28"/>
          <w:sz w:val="28"/>
          <w:szCs w:val="28"/>
          <w:rtl w:val="true"/>
          <w:lang w:bidi="fa-IR"/>
        </w:rPr>
        <w:t>، ونظیرهما قولک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نهارک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البقاء الذی هو طوّل أطناب الجرّ بالجوار إلی أطول الغایات منکراً له فی هذا المقام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لیوم فی اللفظ وللعذاب فی المعنی</w:t>
      </w:r>
      <w:r>
        <w:rPr>
          <w:rFonts w:eastAsia="IRNazanin" w:cs="IRNazanin"/>
          <w:color w:val="111111"/>
          <w:sz w:val="28"/>
          <w:szCs w:val="28"/>
          <w:rtl w:val="true"/>
          <w:lang w:bidi="fa-IR"/>
        </w:rPr>
        <w:t xml:space="preserve">. </w:t>
      </w:r>
      <w:bookmarkStart w:id="778" w:name="pg6193_71432"/>
    </w:p>
    <w:p>
      <w:pPr>
        <w:pStyle w:val="BookText"/>
        <w:rPr/>
      </w:pPr>
      <w:bookmarkEnd w:id="778"/>
      <w:r>
        <w:rPr>
          <w:rFonts w:ascii="IRNazanin" w:hAnsi="IRNazanin" w:eastAsia="IRNazanin"/>
          <w:color w:val="111111"/>
          <w:sz w:val="28"/>
          <w:sz w:val="28"/>
          <w:szCs w:val="28"/>
          <w:rtl w:val="true"/>
          <w:lang w:bidi="fa-IR"/>
        </w:rPr>
        <w:t xml:space="preserve">وذهب قوم إلی أنّ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محیط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بعید، لأنّ محیطاً قد جری علی غیر من هو له، فیجب إبراز فاعله مضافاً إلی ضمیر الموصوف انتهی</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ما ظنّه بعیداً ببعیدٍ عند الکوفیّین، وإن کان بعیداً عند البصریّین، لأنّ الأمن من الالتباس یسمح لنا بذلک، کما هو مبیّن فی محلّه من کتب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الدُّرَر بعد أن قوّی الجرّ بالجوار بحصول الأمن من الالتباس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یجب أن یعلم هذا المقام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عرفت ردّ الجرّ بالجوار فی الآیة من القائلین به علمت أنّ قوله فی غیر محلّه، لأنّ حصول الأمن من الالتباس إنّما یحصل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التحدید فی الغسل وعدم التحدید فی المسح ثابتاً عندهم، ولیس الأمر کذلک، فإنّ کلیهما محدود حیث احتاجا إلیه، وغیر محدود حیث لم یحتاجا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فالأمن غیر حاصل وعلی تقدیر حصوله فهو إنّما یخرج الکلام عن الغلط ولا یضمن له البلاغة، والقرآن مضمون بلاغته وفصاحته فلا یجری هذا التوجیه فیه أصلاً</w:t>
      </w:r>
      <w:r>
        <w:rPr>
          <w:rFonts w:eastAsia="IRNazanin" w:cs="IRNazanin"/>
          <w:color w:val="111111"/>
          <w:sz w:val="28"/>
          <w:szCs w:val="28"/>
          <w:rtl w:val="true"/>
          <w:lang w:bidi="fa-IR"/>
        </w:rPr>
        <w:t>.</w:t>
      </w:r>
    </w:p>
    <w:p>
      <w:pPr>
        <w:pStyle w:val="Heading3"/>
        <w:numPr>
          <w:ilvl w:val="2"/>
          <w:numId w:val="1"/>
        </w:numPr>
        <w:rPr/>
      </w:pPr>
      <w:bookmarkStart w:id="779" w:name="__RefHeading___Toc972614_237004111"/>
      <w:bookmarkStart w:id="780" w:name="_Toc281"/>
      <w:bookmarkEnd w:id="779"/>
      <w:r>
        <w:rPr/>
        <w:t>15</w:t>
      </w:r>
      <w:r>
        <w:rPr>
          <w:rtl w:val="true"/>
        </w:rPr>
        <w:t xml:space="preserve"> - </w:t>
      </w:r>
      <w:r>
        <w:rPr>
          <w:rtl w:val="true"/>
        </w:rPr>
        <w:t xml:space="preserve">موقف السیوطیّ </w:t>
      </w:r>
      <w:r>
        <w:rPr>
          <w:rtl w:val="true"/>
        </w:rPr>
        <w:t>(</w:t>
      </w:r>
      <w:r>
        <w:rPr>
          <w:rtl w:val="true"/>
        </w:rPr>
        <w:t xml:space="preserve">ت </w:t>
      </w:r>
      <w:r>
        <w:rPr/>
        <w:t>911</w:t>
      </w:r>
      <w:r>
        <w:rPr>
          <w:rtl w:val="true"/>
        </w:rPr>
        <w:t xml:space="preserve"> </w:t>
      </w:r>
      <w:r>
        <w:rPr>
          <w:rtl w:val="true"/>
        </w:rPr>
        <w:t xml:space="preserve">ه </w:t>
      </w:r>
      <w:r>
        <w:rPr>
          <w:rtl w:val="true"/>
        </w:rPr>
        <w:t>)</w:t>
      </w:r>
      <w:bookmarkEnd w:id="780"/>
    </w:p>
    <w:p>
      <w:pPr>
        <w:pStyle w:val="BookText"/>
        <w:rPr/>
      </w:pPr>
      <w:r>
        <w:rPr>
          <w:rFonts w:ascii="IRNazanin" w:hAnsi="IRNazanin" w:eastAsia="IRNazanin"/>
          <w:color w:val="111111"/>
          <w:sz w:val="28"/>
          <w:sz w:val="28"/>
          <w:szCs w:val="28"/>
          <w:rtl w:val="true"/>
          <w:lang w:bidi="fa-IR"/>
        </w:rPr>
        <w:t>أثبت الجمهور من البصریّین والکوفیّین الجرّ بالمجاورة للمجرور فی نعت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وتوکید کقولهم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صاح بلّغ ذوی الزَّوجات کلّهم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المجاورة، لأنّه توکید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لا للزوجات وإلّا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 نسق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موصول؛ 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ضعیف جدّاً ولم یحفظ من کلامهم،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النعت والتوکید أنّهما تابعان بلا واسطةٍ، فهما أشدّ مجاورةً من العطف المفصول بحرف العطف، وأُجیب عن الآیة بأنّ العطف فیها علی المجرور الممسوح إشارة إلی مسح 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ابن هشام فی شرح الشذور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 بیان،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یمتنع فی القیاس جرّه علی الجوار، لأنّه کالنعت والتوکید فی مجاورة 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البدل فقال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یحفظ من کلامهم ولا خرّج علیه أحد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وسببه أنّه معمول لعامل آخر غیر العامل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یجوز إظهاره إذا کان حرف جرّ بإجماعٍ، فبعدت مراعاة المجاورة، ونزّل منزلة جملة أُخری</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السیوطی إنکاره مطلقاً عن السیرافی وابن جنّی آخذاً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وقال فی ردّ توجیههما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بأنّ إبراز الضّمیر حینئذٍ واجب للإلباس، وبأنّ معمول هذه الصّفة لضعفها لا یتصرّف فیه بالحذف</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وقصره الفرّاء علی السماع، ومنع القیاس علی ما جاء منه، فلا یجوز هذه </w:t>
      </w:r>
      <w:bookmarkStart w:id="781" w:name="pg6193_71435"/>
    </w:p>
    <w:p>
      <w:pPr>
        <w:pStyle w:val="BookText"/>
        <w:rPr/>
      </w:pPr>
      <w:bookmarkEnd w:id="781"/>
      <w:r>
        <w:rPr>
          <w:rFonts w:ascii="Amiri" w:hAnsi="Amiri" w:eastAsia="Amiri" w:cs="Amiri"/>
          <w:color w:val="111111"/>
          <w:sz w:val="28"/>
          <w:sz w:val="28"/>
          <w:szCs w:val="28"/>
          <w:rtl w:val="true"/>
          <w:lang w:bidi="ar-SA"/>
        </w:rPr>
        <w:t>جحرة ضبّ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وخصّه قوم بالنکرة کالمثال، ورُدّ بما حکاه أبو ثروان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العرب المعروف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وخصّه الخلیل بغیر المثنّی،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بالمفرد والجمع فقط،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وبغیر الجمع أیضاً بالمفرد فقط، فلا یجوز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جُحْر ضبٍّ خربین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علی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جحرة ضبّ 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والجواز فی المثنّی معزوّ إلی سیبویه، قال أبو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وقیاسه الجواز فی الجمع والمانع،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إلّافی الإفراد، وهو قریب من رأی الفرّاء</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الجرّ بالجوار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نفسه ضعیف شاذّ، لم یرد منه إلّا أحرف یسیرة،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972616_237004111"/>
      <w:bookmarkStart w:id="783" w:name="_Toc282"/>
      <w:bookmarkEnd w:id="782"/>
      <w:r>
        <w:rPr/>
        <w:t>16</w:t>
      </w:r>
      <w:r>
        <w:rPr>
          <w:rtl w:val="true"/>
        </w:rPr>
        <w:t xml:space="preserve"> - </w:t>
      </w:r>
      <w:r>
        <w:rPr>
          <w:rtl w:val="true"/>
        </w:rPr>
        <w:t xml:space="preserve">موقف الأنصاری الشافعی زکریّا بن محمّد </w:t>
      </w:r>
      <w:r>
        <w:rPr>
          <w:rtl w:val="true"/>
        </w:rPr>
        <w:t>(</w:t>
      </w:r>
      <w:r>
        <w:rPr>
          <w:rtl w:val="true"/>
        </w:rPr>
        <w:t xml:space="preserve">ت </w:t>
      </w:r>
      <w:r>
        <w:rPr/>
        <w:t>926</w:t>
      </w:r>
      <w:r>
        <w:rPr>
          <w:rtl w:val="true"/>
        </w:rPr>
        <w:t xml:space="preserve"> </w:t>
      </w:r>
      <w:r>
        <w:rPr>
          <w:rtl w:val="true"/>
        </w:rPr>
        <w:t xml:space="preserve">ه </w:t>
      </w:r>
      <w:r>
        <w:rPr>
          <w:rtl w:val="true"/>
        </w:rPr>
        <w:t>)</w:t>
      </w:r>
      <w:bookmarkEnd w:id="78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انبری زکریّا بن محمّد الأنصاری الشافعی یؤیّد الجرّ بالجوار حتّی مع العاطف الذی أجمعوا علی أنّه لا یکون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النووی فی المجموع </w:t>
      </w:r>
      <w:r>
        <w:rPr>
          <w:rFonts w:eastAsia="IRNazanin" w:cs="IRNazanin"/>
          <w:color w:val="111111"/>
          <w:sz w:val="28"/>
          <w:szCs w:val="28"/>
          <w:rtl w:val="true"/>
          <w:lang w:bidi="fa-IR"/>
        </w:rPr>
        <w:t xml:space="preserve">- </w:t>
      </w:r>
      <w:r>
        <w:rPr>
          <w:rStyle w:val="FootnoteAnchor"/>
          <w:rtl w:val="true"/>
        </w:rPr>
        <w:footnoteReference w:id="989"/>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bookmarkStart w:id="784" w:name="pg6193_71437"/>
    </w:p>
    <w:p>
      <w:pPr>
        <w:pStyle w:val="BookText"/>
        <w:rPr/>
      </w:pPr>
      <w:bookmarkEnd w:id="784"/>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الاتّباع إذا لم یکن هناک واو، فإن کانت لم یصحّ، والآیة فیها واو؟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فإنّ الاتّباع مع الواو مشهور فی أشعارهم، من ذلک ما أنشدوا</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لم یبق إلّاأسیر غیر منفلتٍ وموثق فی عقال الأسر مکبول</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لمجاورته منفلت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مرفوع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الجواب عن هذا البیت فی الأبحاث السابقة، وقد فصلنا فیه القول</w:t>
      </w:r>
      <w:r>
        <w:rPr>
          <w:rFonts w:eastAsia="IRNazanin" w:cs="IRNazanin"/>
          <w:color w:val="111111"/>
          <w:sz w:val="28"/>
          <w:szCs w:val="28"/>
          <w:rtl w:val="true"/>
          <w:lang w:bidi="fa-IR"/>
        </w:rPr>
        <w:t>.</w:t>
      </w:r>
    </w:p>
    <w:p>
      <w:pPr>
        <w:pStyle w:val="Heading3"/>
        <w:numPr>
          <w:ilvl w:val="2"/>
          <w:numId w:val="1"/>
        </w:numPr>
        <w:rPr/>
      </w:pPr>
      <w:bookmarkStart w:id="785" w:name="__RefHeading___Toc972618_237004111"/>
      <w:bookmarkStart w:id="786" w:name="_Toc283"/>
      <w:bookmarkEnd w:id="785"/>
      <w:r>
        <w:rPr/>
        <w:t>17</w:t>
      </w:r>
      <w:r>
        <w:rPr>
          <w:rtl w:val="true"/>
        </w:rPr>
        <w:t xml:space="preserve"> - </w:t>
      </w:r>
      <w:r>
        <w:rPr>
          <w:rtl w:val="true"/>
        </w:rPr>
        <w:t xml:space="preserve">موقف البغدادی </w:t>
      </w:r>
      <w:r>
        <w:rPr>
          <w:rtl w:val="true"/>
        </w:rPr>
        <w:t>(</w:t>
      </w:r>
      <w:r>
        <w:rPr>
          <w:rtl w:val="true"/>
        </w:rPr>
        <w:t xml:space="preserve">ت </w:t>
      </w:r>
      <w:r>
        <w:rPr/>
        <w:t>1093</w:t>
      </w:r>
      <w:r>
        <w:rPr>
          <w:rtl w:val="true"/>
        </w:rPr>
        <w:t xml:space="preserve"> </w:t>
      </w:r>
      <w:r>
        <w:rPr>
          <w:rtl w:val="true"/>
        </w:rPr>
        <w:t xml:space="preserve">ه </w:t>
      </w:r>
      <w:r>
        <w:rPr>
          <w:rtl w:val="true"/>
        </w:rPr>
        <w:t>)</w:t>
      </w:r>
      <w:bookmarkEnd w:id="786"/>
    </w:p>
    <w:p>
      <w:pPr>
        <w:pStyle w:val="BookText"/>
        <w:rPr/>
      </w:pPr>
      <w:r>
        <w:rPr>
          <w:rFonts w:ascii="Amiri" w:hAnsi="Amiri" w:eastAsia="Amiri" w:cs="Amiri"/>
          <w:color w:val="111111"/>
          <w:sz w:val="28"/>
          <w:sz w:val="28"/>
          <w:szCs w:val="28"/>
          <w:rtl w:val="true"/>
          <w:lang w:bidi="ar-SA"/>
        </w:rPr>
        <w:t>لم ینقل المجوّزون لجرّ الجوار لإثباته إلّاقولاً واحداً، زعموا أنّه ورد عن العرب وهو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مثال محتمل لا یصلح لأن یستدلّ به علی إثبات شیءٍ، فقد رووا فیه الجرّ والرَّفع، فهو لو ثبت وروده عن العرب الموثوق بعربیّتهم لما کان حجّةً أیضاً، فکیف وهو لم یثبت وروده فی کلام الفصحاء الذین یعتمد علیهم فی أخذ اللغة والإعراب؟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البغدادیّ فی شرح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فیه الجرّ والرَّفع، والرّفع فی کلامهم أکثر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أبطل البغدادی بهذا الحکم الاستدلال بهذا القول، لأنّ الرّفع لو کان فیه </w:t>
      </w:r>
    </w:p>
    <w:p>
      <w:pPr>
        <w:pStyle w:val="BookText"/>
        <w:rPr/>
      </w:pPr>
      <w:r>
        <w:rPr>
          <w:rFonts w:ascii="IRNazanin" w:hAnsi="IRNazanin" w:eastAsia="IRNazanin"/>
          <w:color w:val="111111"/>
          <w:sz w:val="28"/>
          <w:sz w:val="28"/>
          <w:szCs w:val="28"/>
          <w:rtl w:val="true"/>
          <w:lang w:bidi="fa-IR"/>
        </w:rPr>
        <w:t>أکثر لکان دلیلاً علی أنّه الحکایة الصحیحة عن العرب، ولا یمکن تخطئة الأکثر بدلیل أنّ الأقلّ تکلّموا فیه علی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حکم لغوی ولیس بحکم اعتقادیّ حتّی یمکن فیه تخطئة الأکثر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الاستدلال بجرّ الجوار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المحقّق الرّضی إلی سیبویه أنّه استدلّ علی الجوار ردّاً للخلیل بقول الحُطیئة</w:t>
      </w:r>
      <w:r>
        <w:rPr>
          <w:rStyle w:val="FootnoteAnchor"/>
          <w:rtl w:val="true"/>
        </w:rPr>
        <w:footnoteReference w:id="992"/>
      </w:r>
      <w:r>
        <w:rPr>
          <w:rFonts w:ascii="IRNazanin" w:hAnsi="IRNazanin" w:eastAsia="IRNazanin"/>
          <w:color w:val="111111"/>
          <w:sz w:val="28"/>
          <w:sz w:val="28"/>
          <w:szCs w:val="28"/>
          <w:rtl w:val="true"/>
          <w:lang w:bidi="fa-IR"/>
        </w:rPr>
        <w:t>من أبیاتٍ مدح بها عدیّ بن فزارة وعیینة بن حصن وحذیفة بن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فإیّاکم وحیّةَ بطنِ وادٍ هموزِ الناب لیس لکم بسیّی</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هموز 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الحیّة المنصوبة، وجُرَّ لمجاورته لأحد المجرورین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بالنصب اتّباعاً للفظ الحیّة</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یبطل الاستدلال أساساً، والمحتمل لا یصلح لأن یستدلّ به علی شیءٍ، وإنّما یستدلّ علی الأشیاء بالمنصوص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 الجوار لم یسمع إلّافی النعت علی القلّة، وقد جاء فی التأکید فی بیتٍ علی سبیل النُّدْرة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البغدادی بعد أن نقل الجرّ علی الجوار فی العطف أنکره مقوّیاً بقول أبی حیّان فی التذکرة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یأت فی کلامهم، ولذلک ضعف جدّاً قول من حمل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من خفض علی الجوار</w:t>
      </w:r>
      <w:r>
        <w:rPr>
          <w:rStyle w:val="FootnoteAnchor"/>
          <w:rtl w:val="true"/>
        </w:rPr>
        <w:footnoteReference w:id="9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والبغدادی قد اعترفا بأنّ الجرّ بالجوار لم یأت فی کلام العرب فکیف یقولان بضعف قول من یقول به فی الآیة الشریفة؟ ومقتضی عدم وروده فی کلام العرب عدم الورود فی القرآن أصلاً لا وروده مع الضعف، إلّاأن یقولا بأنّ القرآن لیس من کلام العرب فورد الجرّ المذکور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البغدادیّ فی سبب عدم الجوار فی العطف ووروده فی النعت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النعت کون الاسم فی باب النعت تابعاً لما قبله من غیر وساطة شیءٍ، فهو أشدّ له مجاورةً، بخلاف العطف، إذ قد فصل بین الاسمین حرف العطف، وجاز إظهار العامل فی بعض المواضع فبعدت المجاورة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ورود الجرّ بالجوار فی البدل، فقال البغدادی مستدلّاً بقول أبی حیّان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یُحفظ ذلک فی کلامهم، ولا خرّج علیه أحد من علمائنا شیئاً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معمول لعامل آخر لا للعامل الأوّل علی أصحّ المذهبین، ولذلک یجوز ذکره إذا کان حرف جرّ بإجماع، وربّما وجب إذا کان العامل رافعاً أو ناصباً، ففی جواز إظهاره خلاف، فبعدت إذ ذاک مراعاة المجاورة ونزل المقدّر الممکن إظهاره منزلة الموجود، فصار من جملة أُخری</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787" w:name="pg6193_71443"/>
    </w:p>
    <w:p>
      <w:pPr>
        <w:pStyle w:val="BookText"/>
        <w:rPr/>
      </w:pPr>
      <w:bookmarkEnd w:id="78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هذا الجوار فی البدل غیر ممکن تنزیلاً للمقدّر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الإظهار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الموجود، فکیف یکون فی العطف بالحرف جائزاً وممکناً، والفصل غیر مقدّرٍ بل موجود فی اللفظ وهو حرف العطف کما لا یخفی؟ وصرّح بأنّه فاصل کلَّ من ابن هشام والبغدادیّ وصاحب الغنیة کما تقدم</w:t>
      </w:r>
      <w:r>
        <w:rPr>
          <w:rFonts w:eastAsia="IRNazanin" w:cs="IRNazanin"/>
          <w:color w:val="111111"/>
          <w:sz w:val="28"/>
          <w:szCs w:val="28"/>
          <w:rtl w:val="true"/>
          <w:lang w:bidi="fa-IR"/>
        </w:rPr>
        <w:t>.</w:t>
      </w:r>
    </w:p>
    <w:p>
      <w:pPr>
        <w:pStyle w:val="Heading3"/>
        <w:numPr>
          <w:ilvl w:val="2"/>
          <w:numId w:val="1"/>
        </w:numPr>
        <w:rPr/>
      </w:pPr>
      <w:bookmarkStart w:id="788" w:name="__RefHeading___Toc972620_237004111"/>
      <w:bookmarkStart w:id="789" w:name="_Toc284"/>
      <w:bookmarkEnd w:id="788"/>
      <w:r>
        <w:rPr/>
        <w:t>18</w:t>
      </w:r>
      <w:r>
        <w:rPr>
          <w:rtl w:val="true"/>
        </w:rPr>
        <w:t xml:space="preserve"> - </w:t>
      </w:r>
      <w:r>
        <w:rPr>
          <w:rtl w:val="true"/>
        </w:rPr>
        <w:t xml:space="preserve">موقف الصبّان </w:t>
      </w:r>
      <w:r>
        <w:rPr>
          <w:rtl w:val="true"/>
        </w:rPr>
        <w:t>(</w:t>
      </w:r>
      <w:r>
        <w:rPr>
          <w:rtl w:val="true"/>
        </w:rPr>
        <w:t xml:space="preserve">ت </w:t>
      </w:r>
      <w:r>
        <w:rPr/>
        <w:t>1206</w:t>
      </w:r>
      <w:r>
        <w:rPr>
          <w:rtl w:val="true"/>
        </w:rPr>
        <w:t xml:space="preserve"> </w:t>
      </w:r>
      <w:r>
        <w:rPr>
          <w:rtl w:val="true"/>
        </w:rPr>
        <w:t xml:space="preserve">ه </w:t>
      </w:r>
      <w:r>
        <w:rPr>
          <w:rtl w:val="true"/>
        </w:rPr>
        <w:t>)</w:t>
      </w:r>
      <w:bookmarkEnd w:id="789"/>
    </w:p>
    <w:p>
      <w:pPr>
        <w:pStyle w:val="BookText"/>
        <w:rPr/>
      </w:pPr>
      <w:r>
        <w:rPr>
          <w:rFonts w:ascii="IRNazanin" w:hAnsi="IRNazanin" w:eastAsia="IRNazanin"/>
          <w:color w:val="111111"/>
          <w:sz w:val="28"/>
          <w:sz w:val="28"/>
          <w:szCs w:val="28"/>
          <w:rtl w:val="true"/>
          <w:lang w:bidi="fa-IR"/>
        </w:rPr>
        <w:t xml:space="preserve">احتمل الصبّان أن یکون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الجوار یختصّ بالجرّ وبالنّصب قلیلاً والتوکید نادراً علی ما فی التسهیل والمغنی، وقال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العطف لکن بالواو وخاصّة وأنّ الواو وتختّص باحد عشر حکما، والثامن جواز فی الجرّ خاصة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الجرّ، وضعّفه فی المغنی بأنّ العاطف یمنع التّجاور وعلی منع عطف الجوار یکون جرّ الأرجل للعطف علی الرّؤوس لا لتمسح بل لینبّه بعطفها علی الممسوح علی طلب الإقتصاد فی غسلها الذی هو مظنة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وجئ بالغابة دفعاً لتوهم أنّها ممسوحة لأن المسح لم تضرب له غایة فی الشّرع کذا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ضعف هذا ونقل عن الدمامینی أن ابن جنی أنکر الجوار وکذا نقل انکار ابن جنّی ذلک عن المغنی</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للّه‌أنّهم اغنونا عن مئونة الجواب وأجابوا عن الجرّ بالجوار</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790" w:name="pg6193_71445"/>
    </w:p>
    <w:p>
      <w:pPr>
        <w:pStyle w:val="Heading3"/>
        <w:numPr>
          <w:ilvl w:val="2"/>
          <w:numId w:val="1"/>
        </w:numPr>
        <w:rPr/>
      </w:pPr>
      <w:bookmarkStart w:id="791" w:name="__RefHeading___Toc972622_237004111"/>
      <w:bookmarkStart w:id="792" w:name="_Toc285"/>
      <w:bookmarkEnd w:id="790"/>
      <w:bookmarkEnd w:id="791"/>
      <w:r>
        <w:rPr/>
        <w:t>19</w:t>
      </w:r>
      <w:r>
        <w:rPr>
          <w:rtl w:val="true"/>
        </w:rPr>
        <w:t xml:space="preserve"> - </w:t>
      </w:r>
      <w:r>
        <w:rPr>
          <w:rtl w:val="true"/>
        </w:rPr>
        <w:t>موقف أبی العباس أحمد بن محمد بن المهدی ابن عجیبة</w:t>
      </w:r>
      <w:bookmarkEnd w:id="792"/>
    </w:p>
    <w:p>
      <w:pPr>
        <w:pStyle w:val="BookText"/>
        <w:rPr/>
      </w:pP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ابن عجیبة الحسنی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عطف علی الوجه، ومن خفض فعلی الجوار وفائدته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قلة صبّ الماء حتی یکون غسلاً یقرب من المسح قاله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وردّه فی المغنی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یکون فی النّعت قلیلاً، وفی التّوکید نادراً، ولا یکون فی النّسق؛ لأنّ العاطف یمنع من التّجاو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الأرجل بین الأعضاء الثّلاثة مغسولات، تغسل بصب الماء علیها کانت مظنّة الإسراف المذموم شرعاً فعطف علی الممسوح لا لتمسح ولکن لینبّه علی وجوب الإقتصاد فی صبّ الماء علیها، وجیء فیهما بالغایة إماطة لظنّ من یظنّ أنّهما ممسوحة؛ لأنّ المسح لم تضرب له غایة فی الشریعة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لا یکون فی قراءة النّصب معطوفاً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 وحکمه المسح؟</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ارتضاه أخذه کثیر من علماء السنّة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بعید عن ظاهر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 الجوار کثیر من علماء مذهب الزّمخشری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ضرب الغایة لا یدلّ علی ما قاله الزمخشری، وأنّه تأویل خارج عن </w:t>
      </w:r>
      <w:bookmarkStart w:id="793" w:name="pg6193_71447"/>
    </w:p>
    <w:p>
      <w:pPr>
        <w:pStyle w:val="BookText"/>
        <w:rPr/>
      </w:pPr>
      <w:bookmarkEnd w:id="793"/>
      <w:r>
        <w:rPr>
          <w:rFonts w:ascii="IRNazanin" w:hAnsi="IRNazanin" w:eastAsia="IRNazanin"/>
          <w:color w:val="111111"/>
          <w:sz w:val="28"/>
          <w:sz w:val="28"/>
          <w:szCs w:val="28"/>
          <w:rtl w:val="true"/>
          <w:lang w:bidi="fa-IR"/>
        </w:rPr>
        <w:t>ظاهر الآیة</w:t>
      </w:r>
      <w:r>
        <w:rPr>
          <w:rFonts w:eastAsia="IRNazanin" w:cs="IRNazanin"/>
          <w:color w:val="111111"/>
          <w:sz w:val="28"/>
          <w:szCs w:val="28"/>
          <w:rtl w:val="true"/>
          <w:lang w:bidi="fa-IR"/>
        </w:rPr>
        <w:t>.</w:t>
      </w:r>
    </w:p>
    <w:p>
      <w:pPr>
        <w:pStyle w:val="Heading3"/>
        <w:numPr>
          <w:ilvl w:val="2"/>
          <w:numId w:val="1"/>
        </w:numPr>
        <w:rPr/>
      </w:pPr>
      <w:bookmarkStart w:id="794" w:name="__RefHeading___Toc972624_237004111"/>
      <w:bookmarkStart w:id="795" w:name="_Toc286"/>
      <w:bookmarkEnd w:id="794"/>
      <w:r>
        <w:rPr/>
        <w:t>20</w:t>
      </w:r>
      <w:r>
        <w:rPr>
          <w:rtl w:val="true"/>
        </w:rPr>
        <w:t xml:space="preserve"> - </w:t>
      </w:r>
      <w:r>
        <w:rPr>
          <w:rtl w:val="true"/>
        </w:rPr>
        <w:t xml:space="preserve">موقف الشوکانی </w:t>
      </w:r>
      <w:r>
        <w:rPr>
          <w:rtl w:val="true"/>
        </w:rPr>
        <w:t>(</w:t>
      </w:r>
      <w:r>
        <w:rPr>
          <w:rtl w:val="true"/>
        </w:rPr>
        <w:t xml:space="preserve">ت </w:t>
      </w:r>
      <w:r>
        <w:rPr/>
        <w:t>1250</w:t>
      </w:r>
      <w:r>
        <w:rPr>
          <w:rtl w:val="true"/>
        </w:rPr>
        <w:t xml:space="preserve"> </w:t>
      </w:r>
      <w:r>
        <w:rPr>
          <w:rtl w:val="true"/>
        </w:rPr>
        <w:t xml:space="preserve">ه </w:t>
      </w:r>
      <w:r>
        <w:rPr>
          <w:rtl w:val="true"/>
        </w:rPr>
        <w:t>)</w:t>
      </w:r>
      <w:bookmarkEnd w:id="795"/>
    </w:p>
    <w:p>
      <w:pPr>
        <w:pStyle w:val="BookText"/>
        <w:rPr/>
      </w:pPr>
      <w:r>
        <w:rPr>
          <w:rFonts w:ascii="IRNazanin" w:hAnsi="IRNazanin" w:eastAsia="IRNazanin"/>
          <w:color w:val="111111"/>
          <w:sz w:val="28"/>
          <w:sz w:val="28"/>
          <w:szCs w:val="28"/>
          <w:rtl w:val="true"/>
          <w:lang w:bidi="fa-IR"/>
        </w:rPr>
        <w:t>دعته العصبیّة إلی حمل الجرّ علی الجوار والعطف علی المغسول کالنصب عندهم، ثمّ انصرف عن ذلک أخیراً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عطف علی المجرور وقراءة النصب علی محلّ الرؤوس، وهو محلّ یظهر فی الفصیح، وهذا أولی لتخریج القراءتین به علی المطّرد بخلاف تخریج الجرّ علی الجوار</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متردّداً فی حمل الکتاب علی المذهب، ثمّ تراه راجعاً عن الحیرة والجزم بأنّ الجرّ من باب العطف علی الرؤوس لفظاً لا من باب الجوار الذی هو ضعیف وغیر مطّرد</w:t>
      </w:r>
      <w:r>
        <w:rPr>
          <w:rFonts w:eastAsia="IRNazanin" w:cs="IRNazanin"/>
          <w:color w:val="111111"/>
          <w:sz w:val="28"/>
          <w:szCs w:val="28"/>
          <w:rtl w:val="true"/>
          <w:lang w:bidi="fa-IR"/>
        </w:rPr>
        <w:t>.</w:t>
      </w:r>
    </w:p>
    <w:p>
      <w:pPr>
        <w:pStyle w:val="Heading3"/>
        <w:numPr>
          <w:ilvl w:val="2"/>
          <w:numId w:val="1"/>
        </w:numPr>
        <w:rPr/>
      </w:pPr>
      <w:bookmarkStart w:id="796" w:name="__RefHeading___Toc972626_237004111"/>
      <w:bookmarkStart w:id="797" w:name="_Toc287"/>
      <w:bookmarkEnd w:id="796"/>
      <w:r>
        <w:rPr/>
        <w:t>21</w:t>
      </w:r>
      <w:r>
        <w:rPr>
          <w:rtl w:val="true"/>
        </w:rPr>
        <w:t xml:space="preserve"> - </w:t>
      </w:r>
      <w:r>
        <w:rPr>
          <w:rtl w:val="true"/>
        </w:rPr>
        <w:t>موقف الدّکتور سلیمان بن إبراهیم بن عبداللّه اللّاحم</w:t>
      </w:r>
      <w:bookmarkEnd w:id="79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اللّاحم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بخفض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جرت لمجاورتها للمجرور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برؤوسکم وعلی هذا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بفتحة مقدرة علی آخرها منع من ظهورها جرّ المجاورة 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 ثِیابُ سُندُسٍ خُضْرٌ</w:t>
      </w:r>
      <w:r>
        <w:rPr>
          <w:rFonts w:eastAsia="IRNazanin" w:cs="IRNazanin"/>
          <w:color w:val="111111"/>
          <w:sz w:val="28"/>
          <w:szCs w:val="28"/>
          <w:rtl w:val="true"/>
          <w:lang w:bidi="fa-IR"/>
        </w:rPr>
        <w:t>» ...</w:t>
      </w:r>
      <w:r>
        <w:rPr>
          <w:rStyle w:val="FootnoteAnchor"/>
          <w:rtl w:val="true"/>
        </w:rPr>
        <w:footnoteReference w:id="1003"/>
      </w:r>
      <w:bookmarkStart w:id="798" w:name="pg6193_71449"/>
    </w:p>
    <w:p>
      <w:pPr>
        <w:pStyle w:val="BookText"/>
        <w:rPr/>
      </w:pPr>
      <w:bookmarkEnd w:id="798"/>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قد علقنا علی کلامه هذا فی أواخر قراءة الجرّ من هذا المجلد فراجع</w:t>
      </w:r>
      <w:r>
        <w:rPr>
          <w:rFonts w:eastAsia="IRNazanin" w:cs="IRNazanin"/>
          <w:color w:val="111111"/>
          <w:sz w:val="28"/>
          <w:szCs w:val="28"/>
          <w:rtl w:val="true"/>
          <w:lang w:bidi="fa-IR"/>
        </w:rPr>
        <w:t>.</w:t>
      </w:r>
    </w:p>
    <w:p>
      <w:pPr>
        <w:pStyle w:val="Heading3"/>
        <w:numPr>
          <w:ilvl w:val="2"/>
          <w:numId w:val="1"/>
        </w:numPr>
        <w:rPr/>
      </w:pPr>
      <w:bookmarkStart w:id="799" w:name="__RefHeading___Toc972628_237004111"/>
      <w:bookmarkStart w:id="800" w:name="_Toc288"/>
      <w:bookmarkEnd w:id="799"/>
      <w:r>
        <w:rPr/>
        <w:t>22</w:t>
      </w:r>
      <w:r>
        <w:rPr>
          <w:rtl w:val="true"/>
        </w:rPr>
        <w:t xml:space="preserve"> - </w:t>
      </w:r>
      <w:r>
        <w:rPr>
          <w:rtl w:val="true"/>
        </w:rPr>
        <w:t>موقف النُّحاة المعاصرین والجرّ بالجوار</w:t>
      </w:r>
      <w:r>
        <w:rPr>
          <w:rtl w:val="true"/>
        </w:rPr>
        <w:t>:</w:t>
      </w:r>
      <w:bookmarkEnd w:id="800"/>
    </w:p>
    <w:p>
      <w:pPr>
        <w:pStyle w:val="BookText"/>
        <w:rPr/>
      </w:pPr>
      <w:r>
        <w:rPr>
          <w:rFonts w:ascii="Amiri" w:hAnsi="Amiri" w:eastAsia="Amiri" w:cs="Amiri"/>
          <w:color w:val="111111"/>
          <w:sz w:val="28"/>
          <w:sz w:val="28"/>
          <w:szCs w:val="28"/>
          <w:rtl w:val="true"/>
          <w:lang w:bidi="ar-SA"/>
        </w:rPr>
        <w:t>ذکروا موجبات جرّ الاسم وأنّها خَمْسَةٌ؛ ثلاثة مشهورةٌ واثنان نادران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 بحرف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 بالإضافة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الثلاثة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التوهّم، ومن صواب الرّأی إهماله وعدم الاعتداد به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التشدّد فی إغفاله وعدم الأخذ به مطلقاً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وذکروا أنّ اتّخاذ هذا النوع سبباً للجرّ إنّما هو ورود أمثلة قلیلة جدّاً، حتّی أنّ بعضها مشکوک فیه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تلخص مما تقدم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جمیع الوجوه التی أتی بها القوم فی قراءة الجر، وجوابنا لها بما یلیق بمقامهم بما لا مزید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ذکرنا مدعیاتهم فی قراءة النصب وإیراد کل ما قیل او یمکن أن یقال لاثبات الغسل فی الوضوء، والجواب عنها بکل جهد 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أشرنا إلی قراءة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لاثبات الغسل وجوابنا عنها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الفصل الرابع أوردنا کلّ ما قالوا حول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واستدلالهم به علی إثبات الغسل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بالجر الجواری وبالمجاورة ومفادها الغسل، لیس إلّاوجوابنا لها، مکتفین بهذا القدر من التلخیص محیلین القارئ الکریم إلی أصل الکتاب للاستزاده، ومن اللّه التوفیق وعلیه التکلان</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6193_71455"/>
      <w:bookmarkStart w:id="802" w:name="pg6193_71455"/>
      <w:bookmarkEnd w:id="802"/>
    </w:p>
    <w:p>
      <w:pPr>
        <w:pStyle w:val="Heading2"/>
        <w:numPr>
          <w:ilvl w:val="1"/>
          <w:numId w:val="1"/>
        </w:numPr>
        <w:rPr/>
      </w:pPr>
      <w:bookmarkStart w:id="803" w:name="pg6193_71455"/>
      <w:bookmarkStart w:id="804" w:name="__RefHeading___Toc972630_237004111"/>
      <w:bookmarkStart w:id="805" w:name="_Toc289"/>
      <w:bookmarkEnd w:id="803"/>
      <w:bookmarkEnd w:id="804"/>
      <w:r>
        <w:rPr>
          <w:rtl w:val="true"/>
        </w:rPr>
        <w:t>المصار والمراجع</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إبراز المعانی من حرز الأمانی 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شامة، عبدالرحمن ابن إسماعیل بن إبراهیم، نشر شرکة مکتبة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عطوه 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إتحاف فضلاء البشر فی القراءات الأربعة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الدمیاطیّ، شهاب الدین، أحمد بن محمّد بن عبدالغنی،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جلال الدین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عبدالغنی عبدالخالق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أحمد بن علیّ الرازیّ،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الصادق قمعاویّ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العربیّ، أَبُوْ بکر محمّد بن عبداللّه، 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العربی، محمد بن عبداللّه، تحقیق وتعلیق أحمد فرید المزیدی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عماد الدین بن محمّد المعروف بالکیاالهَرَّاس،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محمّد علی،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علی 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الفرس الأندلسیّ، عبدالمنعم بن عبدالرحیم،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الدکتورة منجیة بنت الهادی النفزیّ السَّوایحیّ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محمّد بن إدریس،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أحمد حیدر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للنحّاس، أحمد بن محمّد بن إسماعیل،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غازی 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للسرخسیّ، محمّد بن أحمد بن أبی سهل،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البزدویّ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الوصول إلی معرفة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للبزدویّ الحنفیّ، علیّ بن محمّد، مطبعة جاوید بریس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 فی إیضاح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للجکنیّ الشنقیطیّ، محمّد الأمین بن محمّد بن المتار،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للشاطبی الغرناطی، أبی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دار الفکر، الطبعة الأولی،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 فیما تضمّنه الکشّاف من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للاسکندریّ المالکیّ، أحمد بن محمّد بن المنیر، نشر مکتبة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للجوینیّ، أبی المعالی عبدالملک بن عبداللّه،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محمود الدیب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محمّد بن بهادر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الوعاة فی طبقات اللغویّین والنُّحاة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جلال الدین،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بیروت، الطبعة الأُولی،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علی بن الحسن بن هبة اللّه بن عبداللّه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شبه، عمر بن شبة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سعد الدین بیان،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أبی یعقوب بن جعفر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محمّد بن علیّ بن محمّد بن أحمد الطائیّ الحاتمیّ،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عبدالوارث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الدمشقیّ،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عبدالحلیم بن تیمیّة الحرّانیّ،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الجلینذ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لعبدالرحمن بن علیّ ابن محمّد الجوزیّ،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للبغویّ،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عبدالرحمن العک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بن عمر بن محمّد بن علی أبو الخیر الشیرازیّ الشافعیّ،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إسحاق أحمد بن محمّد بن </w:t>
      </w:r>
    </w:p>
    <w:p>
      <w:pPr>
        <w:pStyle w:val="BookText"/>
        <w:rPr/>
      </w:pPr>
      <w:r>
        <w:rPr>
          <w:rFonts w:ascii="IRNazanin" w:hAnsi="IRNazanin" w:eastAsia="IRNazanin"/>
          <w:color w:val="111111"/>
          <w:sz w:val="28"/>
          <w:sz w:val="28"/>
          <w:szCs w:val="28"/>
          <w:rtl w:val="true"/>
          <w:lang w:bidi="fa-IR"/>
        </w:rPr>
        <w:t xml:space="preserve">إبراهیم الثعلبیّ النیسابوریّ،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بن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وطبعة اخری،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مؤسسة الرسالة،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مسعود بن عیّاش،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للسمرقندیّ، نصر بن محمّد بن أحمد أبو اللیث،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محمد بن الحسن، مکتب الاعلام الإسلامیّ بالأُوفسیت من دار إحیاء التراث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محمّد الواحدیّ، دار القلم، الدار الشامیّة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القرنین الثالث والرابع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دار الکتاب للطباعة والنشر،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 الفضل بن الحسن، تحقیق ونشر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تقدیم السیّد محسن الأمین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الدین محمّد بن عمر التمیمیّ الرازیّ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فی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البقاء العکبریّ، نشر عیسی البابی الحلبیّ وشرکاؤه،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منصور بن محمّد بن عبدالجبّار، 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بن إبراهیم وغنیم بن عبّاس بن غنیم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البرکات، عبداللّه بن أحمد بن محمود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القلم ودار الکتب العلمیة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للحویزی، علی بن جمعة العروسی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مؤسسة إسماعیلیان للطباعة والنشر والتوزیع،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الحسن بن یوسف بن المطهّر،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التسهیل لعلوم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للغرناطیّ الکلبیّ، محمّد بن أحمد بن محمّد،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حیّان الأندلسیّ، محمّد بن یوسف، دار </w:t>
      </w:r>
    </w:p>
    <w:p>
      <w:pPr>
        <w:pStyle w:val="BookText"/>
        <w:rPr/>
      </w:pPr>
      <w:r>
        <w:rPr>
          <w:rFonts w:ascii="IRNazanin" w:hAnsi="IRNazanin" w:eastAsia="IRNazanin"/>
          <w:color w:val="111111"/>
          <w:sz w:val="28"/>
          <w:sz w:val="28"/>
          <w:szCs w:val="28"/>
          <w:rtl w:val="true"/>
          <w:lang w:bidi="fa-IR"/>
        </w:rPr>
        <w:t xml:space="preserve">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عبدالموجود، الشیخ علی محمّد معوّض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تنویر المقباس من تفسیر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یعقوب بن محمّد بن إبراهیم بن عمر أبو طاهر الشیرازیّ الفیروزآبادیّ،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محمّد بن أحمد المحلّیّ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أبی بکر،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لعبدالرحمن بن محمّد بن مخلوق الثعالبیّ،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السعود محمّد بن محمّد العمادیّ،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الأصفی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محمد بن محسن،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نشر 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للحویزیّ، عبد علی بن جمعة العروسیّ،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النظر إلی أُصول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للجزائریّ، طاهر الدمشقیّ، مکتبة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أبو غدّة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الکریم الرحمن فی تفسیر کلام المنّان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لعبدالرحمن بن ناصر السعدیّ،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عثیمین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عبدالحقّ بن غالب بن عطیّة الأندلسیّ،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عبدالشافی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والسبع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شهاب الدین السیّد محمود الآلوسیّ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أبو القاسم محمود بن عمر الخوارزمیّ،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علیّ بن محمّد بن إبراهیم البغدادیّ الشهیر بالخازن،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 ضبط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علی شاهین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شُکری أحمد الزوایتیّ، دار السلام للطباعة والنشر والتوزیع والترجمة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وتحقیق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یوسف کمال، الجامعة العربیّة گلشن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کتاب اللّه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لهود بن المحکّم الهوّاریّ، ط دار الغرب الإسلامیّ،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بلحاج بن سعید شریفی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أحمد الواحدیّ النیسابوریّ،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عبدالموجود، الشیخ علی محمّد معوض، الدکتور أحمد محمّد صیرة، الدکتور أحمد بن الغنی الجمل، </w:t>
      </w:r>
    </w:p>
    <w:p>
      <w:pPr>
        <w:pStyle w:val="BookText"/>
        <w:rPr/>
      </w:pPr>
      <w:r>
        <w:rPr>
          <w:rFonts w:ascii="IRNazanin" w:hAnsi="IRNazanin" w:eastAsia="IRNazanin"/>
          <w:color w:val="111111"/>
          <w:sz w:val="28"/>
          <w:sz w:val="28"/>
          <w:szCs w:val="28"/>
          <w:rtl w:val="true"/>
          <w:lang w:bidi="fa-IR"/>
        </w:rPr>
        <w:t>الدکتور عبدالرحمن عویس،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عبدالحیّ الفرماوی کلّیّة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الأزهر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للطیّبیّ، شرف الدین حسین بن محمّد، دار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 لما فی الموطأ من المعانی والأسانید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أبی عمر یوسف بن عبداللّه بن عبدالبر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محمد عبدالکبیر البکری، وزارة عموم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تأویلات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محمّد بن محمّد بن محمود الماتردیّ،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منشورات محمّد علی بیضون،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باسلّوم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الخلاف والوفاق بین الإمامیّة وأئمّة الحجاز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القمیّ، انتشارات زمینه سازان ظهور امام عصر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حسین الحسنی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حسن النجفیّ،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خ</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 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خالویه، الحسین بن أحمد، دار الشرق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عبدالعال سالم مکرم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زرعة عبدالرحمن بن محمّد بن زنجلة،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الأفغانیّ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محمّد بن الحسین بن عبدالصمد الحارثیّ العاملیّ، انتشارات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للبحرانیّ، یوسف،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خزانة الأدب للبغدادی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جماعة المدرسین،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جلال الدین عبدالرحمن بن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النعمان بن محمد بن منصور بن حیون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دار المعرفة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ذکری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الأوّل، محمّد بن جمال الدین مکّیّ العاملیّ الجزینیّ، 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علی بن الحسین الموسوی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المحکم والمتشابه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المنسوبة للشریف المرتضی علم الهدی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عبدالحسین الغریفی، مجمع البحوث الإسلامیة،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أبو القاسم نجم الدین جعفر بن الحسن، نشر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السعدیّة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نشر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محمّد علی بقّال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الجبعیّ العاملیّ الشامیّ،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السبعة من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مجاهد، أحمد بن موسی بن العبّاس بن مجاهد التمیمیّ البغدادیّ،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ضیف</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السجستانی، سلیمان بن الأشعث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الحسین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أبی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وآخرون،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العمدة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الحرّانیّ، مکتبة العبیکان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صالح العطیشان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التلویح علی التوضیح لمتن التنقیح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لعبیداللّه بن مسعود المحبوبیّ البخاریّ الحنفیّ، دار الکتاب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عمیرات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المعلّقات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الأمین الشنقیطیّ،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بیروت، الطبعة الثانیة،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المعلّقات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التبریزیّ،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عز الدین بن هبة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دار الکتب العربیة، الطبعة الأولی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ابن بلبان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حاتم البستی، محمد بن حبان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مؤسسة الرسالة،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أبی عبداللّه، محمد بن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دار ابن کثیر، الیمامة، الطبعة الثالثة،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ضوء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العلاء أحمد بن عبداللّه المعرّیّ، المجمع الثقافیّ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الإمارات العربیّة المتّحدة،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بنحامی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غ</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غنیة النزوع إلی علمَی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زهرة الحلبیّ، السیّد حمزة بن علیّ، مؤسّسة الصادق،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القرآن ومعانیه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للمحاسبیّ، الحارث بن أسد بن عبداللّه، دار الکندیّ،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القوتلیّ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 بین فنَّی الروایة والدرایة من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محمّد بن علیّ بن محمّد،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المنان فی نسخ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حسن العریض مفتش الوعظ بالأزهر الشریف، 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الفتنة ووقعة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لسیف بن عمر الضبی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دار النفائس،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للراوندیّ، قطب الدین أبو الحسن سعید بن هبة اللّه، نشر مکتبة المرعشیّ،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 فی 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المصری،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فی سنة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الموافق لعام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فی الملل والأهواء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علی بن أحمد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المستصفی للغزالی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للکنوی الهندی، </w:t>
      </w:r>
    </w:p>
    <w:p>
      <w:pPr>
        <w:pStyle w:val="BookText"/>
        <w:rPr/>
      </w:pPr>
      <w:r>
        <w:rPr>
          <w:rFonts w:ascii="IRNazanin" w:hAnsi="IRNazanin" w:eastAsia="IRNazanin"/>
          <w:color w:val="111111"/>
          <w:sz w:val="28"/>
          <w:sz w:val="28"/>
          <w:szCs w:val="28"/>
          <w:rtl w:val="true"/>
          <w:lang w:bidi="fa-IR"/>
        </w:rPr>
        <w:t xml:space="preserve">عبدالعلی محمد بن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دار صادر بالاوفسیت عن المطبعة الأمیریة ببولاق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قواطع الأدلّة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أبی جعفر منصور بن محمّد بن عبدالجبّار،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 حسن إسماعیل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الرازی،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أبی الحسن، علی بن أبی الکرم محمد بن محمد بن عبدالکریم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القاضی، دار الکتب العلمیة،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للمنقری،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المؤسسة العربیة الحدیثة،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فی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 الهندی، 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للنحّاس، أبی جعفر أحمد بن محمّد بن إسماعیل، 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الصابونیّ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للفرّاء، أبی زکریّا یحیی بن زیاد،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یوسف نجاتی، محمّد علی النجّار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للأخفش الأوسط، أبی الحسن سعید بن مسعدة المجاشعیّ البلخیّ البصریّ،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القرآن وإعرابه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للزجّاج، أبی إسحاق إبراهیم بن السرّیّ،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شرح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عبده شلبیّ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مکّیّ بن أبی طالب القیسیّ،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صالح الضامن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السجستانی، عبداللّه بن سلیمان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عبده، دار الفاروق الحدیثیة، مصر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المنخول فی تعلیقات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حامد الغزالیّ،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هیتو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المحصول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ابن العربیّ المعافریّ المالکیّ، دار البیارق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فودة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ط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نشر مجمع البحوث </w:t>
      </w:r>
    </w:p>
    <w:p>
      <w:pPr>
        <w:pStyle w:val="BookText"/>
        <w:rPr/>
      </w:pP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فی مجمع البحوث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المنثور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وزارة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فائق أحمد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انتشارات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الشموس فی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للخوانساریّ، حسین بن جمال الدین، نشر مؤسّسة آل البیت علیهم السلام لإحیاء التراث،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مناهل العرفان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للزرقانیّ، محمّد عبدالعظیم،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للسکّاکیّ، أبی یعقوب یوسف بن محمّد بن علی،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الهنداویّ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الموضح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علیّ بن محمّد أبی عبداللّه الشیرازیّ الفارسیّ الفسویّ النحویّ المعروف بابن أبی مریم، جامعة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 تحقیق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حمدان الکبیسیّ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نور الدین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الریان للتراث،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البحوث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للرئاسة العامة للبحوث العلمیة والإفتاء والدعوة والإرشاد،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محمد بن عبداللّه،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الکتب العلمیة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الموصلی، أحمد بن علی بن المثنی التمیمی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دار المأمون للتراث،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أبی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أبی بکر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الرحمن الأعظمی، المکتب الإسلامی،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أبی بکر بن أبی شیبة،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مکتبة الرشد،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أبی 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عبدالمحسن بن إبراهیم الحسینی، 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أبی القاسم، سلیمان بن أحمد بنت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المجید السلفی، مکتبة الزهراء،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الاندلسی، أبی محمد، علی بن أحمد بن سعید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المغنی فی فقه الإمام أحمد بن حنبل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الحنبلی، ابن قدامة،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للنوری الطبرسی، الشیخ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لإسحاق بن إبراهیم بن مخلد بن راهویه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بن عبدالحق البلوشی، 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الاصفهانی، أبی القاسم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للنحّاس، أبی جعفر أحمد بن محمّد بن إسماعیل المرادیّ، مکتبة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عبدالسلام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والمنسوخ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علی بن أحمد بن سعید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البنداری،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رابطة الثقافة والعلاقات الإسلامیّة، مدیریّة النشر والترجمة،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البحوث والدراسات العلمیّة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الخیر، محمّد بن محمّد الدمشقیّ ابن الجزریّ،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الضباع، شیخ عموم المقارئ بالدیار المصریّة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همیان الزاد إلی دار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للوهبیّ الإباضیّ المصعبیّ، محمّد بن یوسف، وزارة التراث القومیّ والثقافة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سلطنة عمان،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806" w:name="pg6193_71494"/>
    </w:p>
    <w:p>
      <w:pPr>
        <w:pStyle w:val="Heading2"/>
        <w:numPr>
          <w:ilvl w:val="1"/>
          <w:numId w:val="1"/>
        </w:numPr>
        <w:rPr/>
      </w:pPr>
      <w:bookmarkStart w:id="807" w:name="__RefHeading___Toc972632_237004111"/>
      <w:bookmarkStart w:id="808" w:name="_Toc290"/>
      <w:bookmarkEnd w:id="806"/>
      <w:bookmarkEnd w:id="807"/>
      <w:r>
        <w:rPr>
          <w:rtl w:val="true"/>
        </w:rPr>
        <w:t>الفهرست</w:t>
      </w:r>
      <w:bookmarkEnd w:id="80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القُرّاء وآیة الوضوء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القرّاء بالجرِّ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ابن کثیر المکّیّ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أبو جعفر المدنیّ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أبو عمرو بن العَلاء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عاصم بن أبی 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أبی بکر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الْقرّاءِ بالنَّصْب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عاصم بروایة حفص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نافع المدنیّ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الحضرمیّ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فِیْ قِراءَةِ الْجَرِّ </w:t>
      </w:r>
      <w:r>
        <w:rPr>
          <w:rFonts w:eastAsia="Amiri" w:cs="Amiri" w:ascii="Amiri" w:hAnsi="Amiri"/>
          <w:color w:val="111111"/>
          <w:sz w:val="28"/>
          <w:szCs w:val="28"/>
          <w:lang w:bidi="ar-SA"/>
        </w:rPr>
        <w:t>59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أبو زکریّا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أبو عبیدة 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الأخفش الاوسط البلخیّ سعید بن مسعدة المجاشعیّ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المحاسبیّ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هود بن الُمحکّم الهوّاریّ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محمّد بن یوسف الوهبیّ الإباضیّ المصعبیّ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عبداللّه بن محمد بن وهب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العیّاشیّ السمرقندیّ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أبو منصور الماتریدیّ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الفضل بن شاذان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أبو جعفر أحمد بن محمّد بن إسماعیل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الأزهری أبو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أبو علی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مکّیّ بن أبی طالب القیسیّ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الهروی صاحب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الثعلبیّ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الشریف المرتضی علیّ بن الحسین علم الهدی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ابن سِیْدَة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الشیخ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أبو المعالی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السرخسیّ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أبو المظفّر السَّمْعانیّ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البزدویّ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عماد الدین الکِیا الهَرَّاس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الغزالیّ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المیبدی، أبو الفضل، رشید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الشیّخ، أبو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أبوالقاسم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أبوبکر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ابن عطیّة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بن أبی الحسن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الحق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نصر بن علیّ الشیرازیّ الفسویّ المعروف بابن أبی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السیّد ابن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أبو محمّد عبدالمنعم المعروف بابن الفرس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ابن الجَوْزیّ الحنبلیّ البغدادَیّ،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أبو البقاء البغدادیّ الحَنْبَلیّ العکبری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أبو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علیّ بن محمّد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ابن المنیر الاسکندریّ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أبو البرکات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علاء الدین علیّ بن محمّد البغدادیّ الشهیر بالخازن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العلّامة الحلّیّ الحسن بن یوسف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ابن تیمیّة الحرّانیّ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نظام الدین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جزی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حیّان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السّمین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الشهید محمّد بن مکّیّ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الزرکشیّ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المقداد بن عبداللّه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یوسف بن أحمد بن عثمان الشهیر بالفقیه یوسف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جلال الدین المحلّیّ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برهان الدین أبوالحسن إبراهیم بن عمر البقاعیّ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الدّمشقی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إبراهیم بن محمّد الحنفی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المولی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المحقّق الأردبیلیّ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الشیخ بِهاء الدین محمّد العاملیّ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الجواد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فی أواسط القرن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البقاء الکفوی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المحقّق الخوانساریّ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الحویزیّ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البناء صاحب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القاضی محمد المظهری النقشبندی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1143</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المحقّق البحرانیّ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أحمد بن محمد بن المهدی ابن عجیبة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السیّد عبداللّه الشُّبلّر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الآلوسیّ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عمر نووی الجاوی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الشیخ محمد عبده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عبدالرّحمن بن ناصر آل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الشیخ محمد الطاهر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یاسین جاسم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الدکتور محمد سالم محیسن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الدکتور عبداللّطیف الخطیب المعاصر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محیی الّدین الّدرویش من المعاصرین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الدکتور سلیمان بن إبراهیم بن عبداللّه اللّاحم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الشیخ عبداللّه بن حمید بن سلوم السّالمی من المعاصرین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عبداللّه بن عبیدان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محمد بن یوسف إطفیس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 xml:space="preserve">فِیْ قِراءَةِ النصبِّ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أبو عبیدة 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عبداللّه بن محمد بن وهب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الأزهری أبو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أبو محمد عبداللّه بن عبدالرّحمن أبی زید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مکّیّ بن أبی طالب القیسیّ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الثعلبیّ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علی بن محمد بن حبیب الماوردی صاحب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الشیخ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أبو المعالی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أبو المظفّر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البزدویّ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أبو الفضل رشید الدین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أبو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ابن عطیّة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الحق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الفسوی المعروف بأبن أبی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أبو الحسن الماوردی البصری صاحب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ابن الجوزی صاحب زاد 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أبو البقاء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أبو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ابن عصفور الإشبیلّی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علیّ بن محمّد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أبو البرکات النَّسفیّ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العلّامة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ابن تیمیّة الحرّانیّ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ابن جزّی الکلبیّ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أبو حیّان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السّمین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الزرکشیّ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الفیروزابادیّ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جلال الدین المحلّیّ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یوسف بن أحمد بن عثمان الشّهیر بالفقیه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الدّمشقیّ الحنبلیّ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المولی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المحقّق الخوانساریّ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الحویزیّ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البناء صاحب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المظهری النّقشبندی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أبو العباس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عجیبة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عبداللّه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الآلوسیّ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محمد جعفر ابن الشیخ محمد إبراهیم الکلباسی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محمد بن عمر نووی الجاوی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محمّد جمال الدّین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السیّد محمد رشیدرضا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تلمید الشیّخ محمد عبده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عبدالرحمن بن ناصر آل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الشیخ محمد الطّاهر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الشیخ أحمد مصطفی المراغی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الشیخ محمد جواد مغنیة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الدکتور وهبة الزّحیلی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الدّکتور یاسین جاسم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الدّکتور عبداللّطیف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محیی الدّین الدّرویش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بهجت عبدالواحد صالح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علی الصّابونی </w:t>
      </w:r>
      <w:r>
        <w:rPr>
          <w:rFonts w:eastAsia="IRNazanin" w:cs="IRNazanin"/>
          <w:color w:val="111111"/>
          <w:sz w:val="28"/>
          <w:szCs w:val="28"/>
          <w:lang w:bidi="fa-IR"/>
        </w:rPr>
        <w:t>412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سلیمان بن إبراهیم بن عبداللّه اللّاحم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الدّکتور محمد سالم محیسن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فی قراءة الرفع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ابن جنّی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ابن عطیّة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محمود بن أبی الحسن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أبو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بیان الحق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أبو حیّان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السّمین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الدّمشقی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صاحب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الدّکتور یاسین جاسم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الدّکتور عبداللّطیف الخطیب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فی الجرّ بالجوار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موقف سیبویه من الجرّ بالجوار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موقف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موقف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موقف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موقف 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موقف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موقف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موقف ابن الأنباریّ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موقف الفخرالرازی صاحب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موقف الجوینی أبی المعالی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موقف ابن منظور صاحب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موقف المحقّق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موقف 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موقف محمّد بن فرامرز الشهیر بملّا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موقف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موقف الأنصاری الشافعی زکریّا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موقف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موقف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موقف أبی العباس أحمد بن محمد بن المهدی ابن عجیبة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موقف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موقف الدّکتور سلیمان بن إبراهیم بن عبداللّه اللّاحم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موقف النُّحاة المعاصرین والجرّ بالجوار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المصار والمراجع </w:t>
      </w:r>
      <w:r>
        <w:rPr>
          <w:rFonts w:eastAsia="IRNazanin" w:cs="IRNazanin"/>
          <w:color w:val="111111"/>
          <w:sz w:val="28"/>
          <w:szCs w:val="28"/>
          <w:lang w:bidi="fa-IR"/>
        </w:rPr>
        <w:t>475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هذا علی شکل مقالات فی مجلة تراثنا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الزرگشی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القرآن والقراءات حقیقتان متغایرتان، فالقرآن هو الوحی المنزل علی محمد صلی الله علیه و آله للبیان والإعجاز، والقراءات هی اختلاف ألفاظ الوحی المذکور فی کتبة الحروف أو کیفیتها من تخفیف وتثقیل وغیرها، البرهان فی علوم القرآن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النوع الثانی عشر، وعنه بتصرف فی الإتقان للسیوطی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ما جاء فی غسل القدمین، مسند أحمد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کم الوضوء من غسلة، مسند ابن راهویه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وضحنا ذلک فی کتابنا وضوء النبی البحث التاریخی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سنذکر فی آخر هذه المقدمة جرد لما استدلوا به علی الغسل مع احالتنا الجواب عن ادلتهم إلی‌مواطن وجودها فی الکتاب کی یکون المطالع علی علم بها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رووا عن الصحابة والتابعیین بأن القرآن نزل بالمسح لکن السنة جرت بالغسل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 القرآن بالمسح لکن السنة جرت بالغسل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الصاوی علی تفسیر الجلالین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العربی، وقد رد الشیخ أحمد بن حجر آل بوطامی القاضی الأول بالمحکمة الشرعیة بدولة قطر علی کلام الصاوی فی کتاب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 السنة والقرآن عن کونهما مصدر الضلال والکفران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العلّامة الخلیلی مفتی سلطنة عمان فی کتابه الحق الدامغ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قول حی علی خیر العمل فی الأذان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4699</w:t>
      </w:r>
      <w:r>
        <w:rPr>
          <w:rFonts w:ascii="IRNazanin" w:hAnsi="IRNazanin" w:eastAsia="IRNazanin"/>
          <w:b w:val="false"/>
          <w:b w:val="false"/>
          <w:bCs w:val="false"/>
          <w:i w:val="false"/>
          <w:i w:val="false"/>
          <w:iCs w:val="false"/>
          <w:color w:val="333333"/>
          <w:sz w:val="20"/>
          <w:sz w:val="20"/>
          <w:szCs w:val="20"/>
          <w:rtl w:val="true"/>
        </w:rPr>
        <w:t>، باب وجوب تعلم إعراب القرآن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باب وجوب تعلم إعراب القرآن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 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والشیخ الطوسی، وابن عبدالبرّ، والقطب الراوندی، والتفتازانی، والمقداد السیوری، والشیخ البهائی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فصل قراءة النصب عند عرض رأی القاسمی، وجوابنا عنهم وجواب علمائنا من الشیخ الطوسی، والقطب الراوندی، والمقداد السیوری، والشیخ البهائی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والمحقق الحلّی، والأنصاری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قراءة النصب عند عرض رأی القاسمی، وقد أجبنا عنهم وأجابهم کلّ من الشیخ الطوسی والمحقق الحلّی أیضاً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وأبی المعالی الجوینی،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 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والواحدی النیسابوری، وأبی المقالی الجوینی، وأبی المظفر السمعانی، والکیا الهراس الطبری، وأبی الفتوح الرازی، وابن الجوزی البغدادی، والسمعانی، والقرطبی، وابن المنیر الاسکندری، والخازن، والآلوسی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قراءة فصل النصب عند عرض 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الأخفش، وابن زنجلة، والشیخ الطوسی، والبزدوی، وبیان الحق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الجر بالجوار عند عرض موقف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الأخفش، وابن الأنباری وقد مرّ جوابنا عنهم فی الفصول المذکورة، وجواب علمائنا بدءاً من أبی الفتوح الرازی، والشیخ الطوسی فی فصل الجر، والنّصب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وابن عبدالبرّ، وأبی المظفر السمعانی، وابن عطیة الأندلسی، والفخرالرازی، والقرطبی، والعلّامة الحلّی، والشهید الأوّل، والفقیه یوسف، ونووی الحاوی، والشنقیطی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قراءة النّصب عند عرض رأی الآلوسی، وفی فصل الجر بالجوار عند عرض موقف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والجوینی أبی المعالی، وابن هشام الأنصاری، وأجبنا عنهم فی الفصول المذکورة، وأجابهم الشیخ الطوسی، والعلّامة الحلی، والشهید الأول فی فصل قراءة الجر أیضاً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النیسابوری، والکیا الهراس‌الطبری، والشیخ الطبرسی، وابن الفرس الأندلسی، وابن الجوزی البغدادی، والسمعانی، والقرطبی، وابن المنیر الاسکندری، والخازن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قراءة النصب عند عرض 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وابن العربی، وبیان الحق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قراءة الجر بالجوار عند عرض موقف ابن الأنباری، وقد اجبناهم فی الفصول المذکورة، واجابهم من علمائنا الشیخ الطبرسی فی قراءة الجر، والشیخ الطوسی فی قراءة والنصب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مجنوب، وأبی البقاء، والآلوسی، والشنقیطی، وقد أجبنا عنه بالأخص عند عرض رأی الآلوسی فراجع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 أبی البقاء مع جوابنا هناک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البقاء، والسمین الحلبی، مع جوابنا عنهما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البقاء، والسمین الحلبی، والشهید الاول، مع‌جوابنا وجواب الشهید المشار إلیه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ذکره فی قراءة الجرّ عند عرض رأی السمعانی مع جوابنا عنه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والقرطبی، والتفتازانی، والفقیه‌یوسف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قراءة الجر بالجوار عند عرض موقف ابن الأنباری، مع جوابنا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قراءة النّصب عند عرض رأی 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الجر بالجوار عند عرض رأی ابن الأنباری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 لرأی الطّوسی وهناک جوابه وجوابنا عنهم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التّفتازانی، واقرأ جوابه منا هناک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التّفتازانی، مع الجواب عنه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 علی بن محمد القمی، وفی قراءة فصل النصب عندعرض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والشیخ الطوسی، والبزدوی، والشیخ الطبرسی، والقطب الراوندی، وابن زهرة الحلبی، مع جوابنا وجواب علمائنا من الشیخ الطوسی، والطبرسی، والقطب الراوندی، وابن زهرة الحلبی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الشیخ البهائی، وجوابه وجوابنا عنهم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الآلوسی، وفی قراءة فصل الجر بالجوار عند عرض رأی ابن الأنباری، مع جوابهما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الجواهری، مع جوابه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والفقیه یوسف، والشنقیطی، مع الجواب عنه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الشنقیطی مع جوابه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الشنقیطی، وفی الجر بالجوار عند عرض</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النصب عند عرض رأی ابن زنجلة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النصب عند عرض رأی ابن زنجلة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النصب عند عرض رأی ابن زنجلة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 بیان الحق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 بیان الحق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 رأی أبی البقاء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النصب عند عرض رأی الشیخ الطّوسی، والشیّخ الطبرسی، وجوابهما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جاء فی قراءة النصب عند عرض رأی الشیّخ الطّوسی، والقطب الراوندی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قراءة النصب عند عرض رأی الشیّخ الطّوسی، والقطب الراوندی، والمحقق الحلّی، وجوابهم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النصب عند عرض رأی أبی المعالی الجوینی، وفی قراءة الجر بالجوار عند عرض رأی الجوینی أیضاً، والجواب عنه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النصب عند عرض رأی المحقق الحلّی، وجوابه عنه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یأتی فی قراءة الجر عند عرض رأی الآلوسی، وموقف ابن الأنباری فی قراءة الجربالجوار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النصب عند عرض رأی القاسمی، وموقف زکریا بن محمد الأنصاری فی قراءة الجر بالجوار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 موقف سیبویه، وموقف ابن الأنباری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 موقف ابن جنّی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 موقف ابن جنّی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 موقف ابن الأنباری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 موقف ابن الأنباری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 موقف الشیخ المحقق الرضی، وموقف البغدادی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 موقف الشیخ المحقق الرضیّ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 موقف ابن هشام الأنصاری، وموقف السیّوطی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عند عرض رأی ابن عبدالبرّ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الجرّ عند عرض رأی السّمعانی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فی قراءة النّصب عند عرض رأی الشیّخ الطّوسی، والشیخ الطبرسی، وجوابهما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أمر المسیرین من أهل الکوفة إلی الشام، الفتوح لابن أعثم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ذکر قدوم العنزی علی عثمان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أمر عبداللّه بن مسعود، وانظر شرح نهج البلاغة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والاعتصام للشاطبی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ومصنف بن أبی شیبة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عابوه علی عثمان بن عفان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المسیرین من أهل الکوفة إلی الشام، وانظر الفتوح لابن أعثم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جواب الأشتر علی رسالة عثمان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أمر أبی ذر، شرح نهج البلاغة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ذکر المطاعن التی طعن بها علی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العاشر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صفین، لابن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الخامس، وعنه فی شرح نهج البلاغة لابن أبی‌الحدید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صفین لابن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الخامس، وعنه فی شرح نهج البلاغة لابن أبی الحدید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عود إلی أخبار صفین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أقتلوا نعثلاً، قتل اللّه 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أو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فقد کفر، کما فی تاریخ الطبری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وفی تاریخ الطبری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من بالمدینة من أصحاب النبی إلی من بالآفاق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إنما خرجتم أن تجاهدوا فی سبیل اللّه عزّوجلّ تطلبون دین محمد فإن دین محمد قد أفسد من خلفکم وترک فهلموا فأقیموا 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والخبر ملفق من المصدرین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ولایة سعید بن العاص الکوفة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المسیرین من أهل الکوفة إلی الشام،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جواب الأشتر علی رسالة عثمان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فی الملل والنحل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الکبریت الأحمر بهامش الیواقیت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المسح فرضاً معیّناً، وقالت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الغسل فرضاً معیّناً، ونسب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الزیدیّة الجمع بینهما وجوباً، وإلی الحسن البصریّ وابن جریر الطبریّ التخییر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وإنکار الآلوسیّ لنسبة هذا الرّأی إلی الطبریّ مکابَرَة ودفعٌ للدلیل بالصدرِ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للطوسیّ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127:11</w:t>
      </w:r>
      <w:r>
        <w:rPr>
          <w:rFonts w:ascii="IRNazanin" w:hAnsi="IRNazanin" w:eastAsia="IRNazanin"/>
          <w:b w:val="false"/>
          <w:b w:val="false"/>
          <w:bCs w:val="false"/>
          <w:i w:val="false"/>
          <w:i w:val="false"/>
          <w:iCs w:val="false"/>
          <w:color w:val="333333"/>
          <w:sz w:val="20"/>
          <w:sz w:val="20"/>
          <w:szCs w:val="20"/>
          <w:rtl w:val="true"/>
        </w:rPr>
        <w:t xml:space="preserve">، مجمع البیان للطبرسیّ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البحث هو قسم من دراستنا حول وضوء النبیّ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وفیه السلمی، نقد الرجال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قدّمنا قرّاء الجرّ علی قرّاء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لتقدّم قراءة الجرّ علی النصب علی ما أثبتت البحوث حتّی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القراءة الأصل، ثمّ حدثت قراءة النصب لمصلحة اقتضتها السیاسة، ثمّ رأوا تلک القراءة أیضاً غیر وافیة بالغرض، فأحدثوا قراءةً ثالثة وهی قراءة الرَّفْع، وهی أیضاً لا تُسمِن اولئک ولا تُغنیهم من جوع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کتاب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التهذیب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Pr>
        <w:t>200:33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مقدّمة المحقّق لکتاب حجّة القراءات لأبی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التیسر للدانی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الاقناع لابن خلف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الکافی فی القراءات السبع للرعینی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التیسر للدانی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الاقناع فی القراءات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الکافی للرعینی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التیسر للدانی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الکافی للرعینی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الوفیات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للقرّاءات السبع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الإقناع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إتحاف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الضحّاک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الحسن البصریّ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عنه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الدار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قلناه فی مناقشة الطبری والنّحاس فی قراءة الجرّ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فؤاد سزکین، الناشر محمد سامی الخانجی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القاهرة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معانی القرآن للاخفش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عالم الکتب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نسب القفطیّ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الحکایة إلی أبی الأسود، والصحیح أنّها تنسب إلی أمیر</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896:2</w:t>
      </w:r>
      <w:r>
        <w:rPr>
          <w:rFonts w:ascii="IRNazanin" w:hAnsi="IRNazanin" w:eastAsia="IRNazanin"/>
          <w:b w:val="false"/>
          <w:b w:val="false"/>
          <w:bCs w:val="false"/>
          <w:i w:val="false"/>
          <w:i w:val="false"/>
          <w:iCs w:val="false"/>
          <w:color w:val="333333"/>
          <w:sz w:val="20"/>
          <w:sz w:val="20"/>
          <w:szCs w:val="20"/>
          <w:rtl w:val="true"/>
        </w:rPr>
        <w:t xml:space="preserve">، کتاب الخصائص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تذکرة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896:2</w:t>
      </w:r>
      <w:r>
        <w:rPr>
          <w:rFonts w:ascii="IRNazanin" w:hAnsi="IRNazanin" w:eastAsia="IRNazanin"/>
          <w:b w:val="false"/>
          <w:b w:val="false"/>
          <w:bCs w:val="false"/>
          <w:i w:val="false"/>
          <w:i w:val="false"/>
          <w:iCs w:val="false"/>
          <w:color w:val="333333"/>
          <w:sz w:val="20"/>
          <w:sz w:val="20"/>
          <w:szCs w:val="20"/>
          <w:rtl w:val="true"/>
        </w:rPr>
        <w:t xml:space="preserve">، تفسیر الفخرالرازی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895:2</w:t>
      </w:r>
      <w:r>
        <w:rPr>
          <w:rFonts w:ascii="IRNazanin" w:hAnsi="IRNazanin" w:eastAsia="IRNazanin"/>
          <w:b w:val="false"/>
          <w:b w:val="false"/>
          <w:bCs w:val="false"/>
          <w:i w:val="false"/>
          <w:i w:val="false"/>
          <w:iCs w:val="false"/>
          <w:color w:val="333333"/>
          <w:sz w:val="20"/>
          <w:sz w:val="20"/>
          <w:szCs w:val="20"/>
          <w:rtl w:val="true"/>
        </w:rPr>
        <w:t xml:space="preserve">، وانظر کلام البغدادی فی الخزانة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البغدادی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رده فی صفحه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کتاب اللّه العزیز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افترض اللّه غسلتین ومسحتین ألا تری أنّه ذکر التیمم فجعل مکان الغسلتین مسحتین وترک المسحتین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26842/433:9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ویمکننا ان نجیبه بأنه لوصحّ هذا فما الفرق بین المسح علی الرأس والغسل الخفیف فی الأرجل، فإنه علی هذا هو المسح أیضاً؟</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البحر المحیط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والمغنی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نصوص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اجد فی کتاب اللّه إلاّ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عباس للربیّع بنت معوذ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ونجد فی کتاب اللّه المسح علی القدمین ویأتی فی</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فی الکلام مع الفراء أنّ المراد من السنّة هو سنة النّاس لا سنة النبی صلی الله علیه و آله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تفسیره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تحقیق أحمد فرید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هذه القراءة عند رأی الإباضی وابن کثیر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الصحیح، لکنّهم تعوّدوا علی التحریف، فوضعوا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حینما نعرض کلام الشیخ الطبرسیّ فی هذه القراءة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الإجابة عن أدلّة الأخفش فی هذه القراءة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النحّاس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وابن خالویه فی الحجّة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والفخر الرازیّ فی تفسیر آیة الوضوء من التفسیر الکبیر وغیرهم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السبعة فی القراءات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الماتریدیّ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کلام الصاوی فی حاشیته علی تفسیر الجلالین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التراب العربی بیروت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تفسیر الطبریّ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الجواب عن أدلّة الفارسیّ أبی علیّ فی هذه القراءة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للزجّاج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معانی القرآن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الإیضاح للفضل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جامعة طهران بتحقیق وتحشیة ومقدمة الدکتور ومحدّث الأرموی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برقم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وطبعة مؤسسة الأعلمی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الأولی سنة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أحکام القرآن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بِأَکْوابٍ وَ أَبارِیقَ وَ کَأْسٍ مِنْ مَعِینٍ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أحکام القرآن للجصاص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أحکام القرآن للجصاص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الخزانة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ابن هشام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حُورٌ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جرّها فإن العطف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وِلْدانٌ مُخَلَّدُونَ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اکواب وأباریق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لیس المعنی أنّ الولدان یطوفون علیهم بالحور،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علی جنات، وکأنّه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 فی جنَّاتٍ</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البحث عنه عند الکلام مع الفراء والطبری من هذه القراءة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ومنهم الفخر الرازیّ والخازن البغدادیّ فی تفسیریهما، وابن خالویه فی الحجّة، وغیرهم من أعلام الجمهور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اللغة للأزهری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أحمد فرید المزیدی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أحمد فرید المزیدی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اخری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اخری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أبرزهم وأجلّهم ابن هشام الأنصاریّ فی مبحث المجرورات من شرح الشذور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یخفی لطف هذه العبارة، فإنّ الذی لم یشتهر بالکذب لا یستلزم أن لا یکذب أصلاً فهو قدیکذب، غایته أنّه لم یعرف بذلک ولم یشتهر، وإذا کان نقل هذا الرجل المجهول حجّة وسبباً لصرف القرآن عن ظاهره وإخراج محکمه عن حکمه، فکیف لا یکون کلام ابن عبّاس حجّة للماسحین وهو حبر الأُمّة، والذی کان من العلم والفضل والصدق بمکان قلّما یبلغه غیره؟ ویا لیت الفارسیّ سمّی لنا ذاک الرجل حتّی ننظر فی شأنه وروایته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الفارسیّ أراد غمزاً فی کلام الغاسلین ولم یصرّح بذلک، لأنّ التقیة لم تتح له أکثر من ذلک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إعراب القرآن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عَدَمُ آلَّتْقدِیْر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إعراب القرآن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وذلک عند عرض رأی الشیخ الطوسیّ أبی جعفر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مناقشة کلام الفارسیّ أبی علیّ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الغریبین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أحمد فرید المزیدی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لانهن لا یُطاف بهن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وفاکهة ولحم 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 الفاکهة واللحم لا یطاف بهما لیس یُطاف إلّابالخمر وحدها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للعکبری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الخصائص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والخزانة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معانی القرآن للفرّاء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والإنصاف فی مسائل الخلاف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وشرح المعلّقات العشر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القصائد العشر للخطیب 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الأیقهان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الجرجیر البرّیّ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لها أطفال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الوادی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انظروا إلی حرص الحجّاج الثقفیّ وتشدّده فی تطبیق الشریعة، فی الوضوء الغسلی العثمانی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الخصوص، فهل عرفتم من سیرة الحجّاج وأمثاله حرصاً علی حفظ الشریعة والعمل بالکتاب وانتهاج السنّة غیر هذه المسألة وأمثالها مما أبدعه النهج الأمویّ الناصب لرسول اللّه صلی الله علیه و آله وسنّته؟ سؤال یثیر عقولنا باحثاً عن جواب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أَخْرِجْنَا مِنْ هذِهِ الْقَرْیَةِ الظَّالِمِ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المارة آنفاً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الألفیة وشروحها فی مبحث النعت من التوابع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للعکبری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الوصف أو النعت من التوابع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النعت والعطف بالحرف والتأکید والبیان والبدل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 بحال الموصوف، فهو تابع یدلّ علی معنی فی متبوعه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عالم جاءنی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والوصف فی هذا القسم إنّما یتبع متبوعه فی أربعة من عشرة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الإعراب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والنصب والجرّ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والتعریف والتنکیر، والإفراد، والتثنیة، والجمع، والتذکیر، والتأنیث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 بحال متعلّق الموصوف، وهو بهذا تابع یدلّ علی معنی فی متعلّق متبوعه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جاءنی رجل عالم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والوصف فی هذا القسم الثانی إنّما یتبع موصوفه فی الخمسة الأُوَل فقط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القریة الظالم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والخمسة هی حَرَکاتُ الإعراب الثلاث والتعریف والتنکیر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الانصاف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 وشرح المفصل لابن یعیش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الوضوء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والإنصاف فی مسائل الخلاف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الجواب عن رأی الأخفش وتضعیفه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والشَّاهِدُ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لمجاورته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تقدیراً، 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لتأخره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المعروف عند القائلین بالجر علی الجوار أنّه جُرَّ لمجاورته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فالمجاورة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ملاحقة حقیقیة، وتقدیریه کما فی هذا البیت، وقال شراح المعلقات ومن 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الجوار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وحقه الرفع، لأنّه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تذکرة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شرح المعلّقات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علیّ الفارسیّ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لیس علی الخفض بالجوار، بل جعل مزمّلاً صفة حقیقیّةً لبجادٍ،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أراد مزمّل فیه، ثمّ حذف حرف الجرّ فارتفع الضمیر واستتر فی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بالحروف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للاعشی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رفعه، لأنّه خبر واجب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واسم کان مضمر فیها، 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تقضِّی لُبانات وَیتأمَ سائمُ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هذه الروایة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وشرح المفصل لابن یعیش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فی الجواب عن الزجاج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ردّ ذلک مفصّلاً نقلاً عن أبی العلاء المعرّیّ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وناقشناه فی البحث مع الجصاص ویأتی عند عرض رأی القطب الراوندی فی هذه القراءة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الخزاة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حیان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مزملاً علی الجوار للبجاد، وهو فی المعنی نعت للکبیر، تغلیباً للجوار، وقال ابن هشام فی بعض تعالیقته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جاوز المخفوض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للمجاورة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المجاورة رُتبیَّة کانت أو لفظیة 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یجعل أبو علی هذا البیت من باب الجرِّ علی الجوار، بل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حقیقیة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أراد مزمل فیه، ثم حذف حرف الجرِّ فارتفع الضمیر، واستتر فی اسم المفعول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هذا البیت فی هذه القراء عند عرض رأی المحقق الحلی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عند الکلام مع الجصاص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الإستذکار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دار احیاء التراث العربی بیروت ط الاولی عام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عرض رأی الشیخ الطبرسیّ صاحب التفسیر فی هذه القراءة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مناقشة کلام الفارسیّ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ذکره فی عرض رأی الثعلبی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الرجز بلا نسبة،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لا یصحُّ أن یکون مفعولاً به، لأنّه لا یصحُّ أن یشترک مع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بعامل واحد،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الماء لا یُعلف وإنما یُسقی، فلابد من تقدیر عامل، والتقدیر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الشاعر ضمّن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الانصاف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وهمع الهوامع للسیوطی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التدقیق فی معنی آیة الوضوء لمجرد التعرف بالاستحسان البلاغی الّذی یبتهج به الأعرابُ فی اشعارهم واقوالهم، وانما التدقیق للوقوف علی الأحکام الإلهیة المنزلة فی کلامه العظیم للعمل بشرعه القویم، فإذا لم تحتفل العرب بذلک، فهو من کفرهم وکونهم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اجدر ان لا یعلموا حدود ما انزل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الفقه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رأی الواحدیّ النیسابوریّ آنفاً، وتکرّر الجواب غیر مرّةٍ بعبارات اخری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الحدیث عنهما فی عرض رأی الثعلبی، والجوینی آنفاً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الفقة </w:t>
      </w:r>
      <w:r>
        <w:rPr>
          <w:rFonts w:eastAsia="IRNazanin" w:cs="IRNazanin"/>
          <w:b w:val="false"/>
          <w:bCs w:val="false"/>
          <w:i w:val="false"/>
          <w:iCs w:val="false"/>
          <w:color w:val="333333"/>
          <w:sz w:val="20"/>
          <w:szCs w:val="20"/>
        </w:rPr>
        <w:t>470/356:1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زید بشرح الروض النضیر، والاعتصام بحبل اللّه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قواطع الأدلّة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الهامش الرابع ویأتی فی عرض کلام الشیخ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القراءة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مناقشة الجصّاص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عرض کلامه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البزدویّ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ما مضی عند عرض کلام الشافعی، والأزهری وابن عبدالبر ویأتی فیما بعد أیضاً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رأی الوهبی الإباضی، والنحاس، والجوینی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رأی أبی البقاء فی هذه القراءة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الغَزالة قریة من قری 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مخفّفة الزای، وإلیها ینسب أبو حامد محمّد الغزالیّ، والناس یشدّدون الراء خطأً، وقبُرهُ فی طوسٍ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وینسب الیه الیوم قبرٌ علیه قُبة سامقةٌ فی بغداد قرب قبر الشیخ عبدالقادر الجیلی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الصوفی الحنبلی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بصحیح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المنخول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المنخول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الشافیة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الزجاج فی معانی القرآن واعرابه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فی غیر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أخاف علیکم عذاب یوم ألیماً؛ لأن الألیم صفة للعذاب، وإنما وصف الیوم بالألم؛ لأنَّ الألم فیه یقع، والمعنی عذاب یومٍ مُؤْلِمٍ أی موجعٍ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الیوم بأنّه ألیم یستتبع أنواعاً من العذاب، مثل مشقة الیوم وشدّة حره، وإهانة الزبانیة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العذاب یصرف الذهن عادة إلی عذاب جهنم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منوهین بأنّ أَحَدَ تلامذتهِ المقلدین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المعافی بن زکریا النهراونی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الجریریُّ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کتابٌ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 علی الأرْجُلِ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ذَکَرَهُ ابن الندیم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ما قلناه عند عرض رأی الکیا الهرّاس الطبری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روض الجنان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نصّ علی البطلان من أعلام السنّة أبو شامة، وسیأتی عرض رأیه فی ذلک فی هذه القراءة، وقد تقدّم فی الجواب عن أبی علیّ الفارسیّ أیضاً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لابن العربی، المحصول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الهامش الرابع فی عرض کلام الفارسی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عرض کلام الواحدی والنیسابوری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عرضنا لکلام الأخفش والنّحاس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عرض کلام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وکلام السمعانی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إسحاق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علی الجوار لا یجوز فی کتاب اللّه، إنّما یجوزذلک فی 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اللغة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إیجاز البیان عن معانی القرآن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تهذیب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إیجاز البیان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البیتان فی خزانة الأدب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شرح الحماسة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ودیوان درید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فی قصیدة الفرزدق یمدح بها هشام ابن عبدالملک ویهجو جربرا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دیوان الفرزدق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طبقات مخول الشعراء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وضح البرهان فی مشکلات القرآن له بتحقیق صفوان عدنان داودی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دار القلم دمشق والدار الشامیة بیروت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بطلان روایات الغسل ما قلنا فی قراءة الجر عند الکلام مع الشافعی وبعده مع الفرّاء ومع الوهبی الإباضی والمواضع الاُخری، وما سنقوله فی النقاش مع التفتازانی، وفی قراءة النصب عند الکلام مع ابن زنجلة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فی بطلان دلیل التّحدید فی قراءة الجرّ عند الکلام مع أبی علیّ الفارسی وعند نقل کلام الطبرسیّ وفی قراءة النصب عند الکلام مع ابن خالویه وبعده الأزهری، وابن زنجلة، والسمعانی، وأجوبة المحقق الحلی 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الموضح فی وجوه القراءات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ویأتی فی قراءة النصب عند مناقشة کلام الطبری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 کلام الجصاص، والشیخ الطوسی، ویأتی عند عرضنا لکلام التفتازانی من هذه القراءة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المخاطبة مأخوذ من الخِطْبة، وکسر الباء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ردّذلک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 الأول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کلام أبی زید الوارد فی کلام الطبرسی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الاشکالات واضحة، والأجوبة کاملة فلا نحتاج أن نأتی بکلامه فی قراءة النّصب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أحادیث الخلاف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وهامشاً،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الأولی عام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رأی النحّاس أبی جعفر ونقده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 کلام ابن عبدالبر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ابن ماجة کتاب الجنائز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الجریر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تواضعت سور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أَنْثَ الفعل</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للاحوص کما فی جامع الشواهد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اجده فی دیوان الأحوص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شعر زهیر صنفه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والمضبوط ولا سابقی شیءٌ، إملاء ما من به الرّحمن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دیوان زهیر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ابن یعیش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الدر اللوامع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وقبله عند عرض کلام الجصاص، والسمرقندی، وابن زنجلة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عرض کلام الثعلبی، والواحدی، والجوینی، وأبی المظفّر السّمعانی، والکیا الهرّاس، وابن الجوزی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نقد کلام الثعلبیّ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إبراز المعانی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حلیة الوضوء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والبخاریّ بتر الروایة، یکفینا تقبّل قول نعیم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وردت فی تفسیر القرطبی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129:11</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الفاء المفردة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کأنّهم أئمة الکتاب ولیس الکتاب إمامهم، وقد نصّ علی ذلک أمیرالمؤمنین علیّ علیه السلام فی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 علی أحدهم المسألة فیحکم فیها برأیه، ثم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129:11</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المحرّر الوجیز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أرکان الإسلام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إنّما یفید الغسل لو کان عطفاً علی الوجوه والأیدی، وهو ممنوع لوجود الفصل بجملة أجنبیّة وهو لا یجوز، فالنصب لا یحتمل الغسل أبداً وإنّما یفید المسح فقط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البروج الآیتان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لزهیر بن أبی سلمی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جرّه لا عطفاً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لأجل صرف الإطلاق، ولو کان معطوفاً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 أن یکون 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العامل فی المعطوف هو العامل فی المعطوف علیه، ویلزم أن یکون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سوافی المور وسوافی القطر، ومراد الشاعر أن الذی غیّرَ هذه الدیار 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 التی تسفی علیها التراب، وثانیهما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وهذا المعنی لا یتأدَّی إلّابأن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لیس للمطر سوافٍ، فیکون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الانصاف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البغدادی فی الخزانة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هذا من الجرِّ علی الجوار؛ لأنّه لا یکون فی النسق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ووجهُهُ أنّ الریاح السوافی تُذری التراب فی الأرض وتنزل المطر من السحاب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اعتراف بأنّ الجرّ بالجوار ورد فی الضرورة والقرآن لا یحمل علیها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العکبری فی تبیانه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عطفاً علی شُوَاط، وبالجرِّ عطفاً علی نارٍ، والرفعَ أقوی فی المعنی؛ لأن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وهو الشواظ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القرطبی قول ابن عباس فی تفسیره </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الشواظ اللهب الذی لا دخان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الذی لا لهب فیه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العکبری فی تبیانه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للقرآن العظیم، وبالجرِّ للّوْحِ، معانی القرآن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ینظر کلام السّمعانی، والطبرسی، وابی البقا، من هذه القراءة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عرضنا لکلام ابن سیدة، وأیضاً راجع کلام الجصاص، وابن خالویه، والشیخ الطوسی، وأبی البقاء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کلام الشیخ الطوسی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البحث عن کلام أبی زید عند عرضنا لکلام النّحاس، والطبرسی، وابن الفرس الأندلسی، والسمعانی، والقرطبی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الکلام فی الآیة الکریمة عند عرض رأی الفارسی والشیخ الطوسی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ابن خالویه، والسمعانی، والبغوی، وأبی بکر بن العربی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فی کلام الأخفش، والنحاس، والطبرسی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الشذور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القرطبی وقد مرّ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 الثعلبی، والواحدی والجوینی، والکیا الهرّاس، وابن الجوزی، والسّمعانی، والقرطبی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 الواحدی، والطبرسی، وابن الفرس، وابن الجوزی، والسمعانی، والقرطبی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فیما تضمّنه الکشّاف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دار القلم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الحدیث علی ردِّا الزمخشری ص</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ألإستذکار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قول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سیفاً ورمحاً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ابن المنیر وهوامشه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سیّما فی ردّ أبی البقاء العکبریّ صاحب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مُجبْینَ عن البیت أیضاً بأن الواو للعطف،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المعیّة، والواو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واو المصاحبة، أو عاطفة علی إضمار فعل یلیق به، لأنّه لا یمکن عطفه علی ما قبله، لکون العامل فی المعطوف علیه لا یتسلّط علی المعطوف، إذ لا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علّفتها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وذکروا فیه ثلاثة أوجه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 السعدیّة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فی کلام الوهبی الإباضی، والطبری، ویأتی فی کلام ابن کثیر، والآلوسی فی هذه القراءة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من المثل قول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جحر ضبٍّ خربٍ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البیت قول امرئ القیس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ثبیراً فی عرانین وبله کبیر أُناس فی بجاد مزمّل</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للتبعیض، نحو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امْسَحُوا</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الهیثمیّ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الصبّاغ المالکیّفی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والشبلنجیّ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والقندوزیّ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129:11</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أثبتنا أنّ السنّة لم تجئ بالغسل کما یزعمون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مضی فی کلام الشافعی، والفراء، وهو الهوّاری، والوهبیّ،</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عن الجرّ بالجوار فعند نقلنا لکلام الزجّاج والرازیّ وأبی حیّان، وأمّا عن المسح علی الخفّین ففی عرضنا لرأی ابن الفرس الأندلسیّ عبدالمنعم، وأمّا عن الغسل الخفیف ففی ردّ الفارسیّ نقله عن أبی زید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ونحن نقول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الجوار مردود فی الآیة بما ردّ السّمین وبغیره من الدّلائل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کلامنا مع الزمخشریّ وأبی علی الفارسیّ وأبی شامة، وغیرهم ممن استلوا بالتحدید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زهیر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نقاشنا مع أبی البقاء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زهیر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نقاشنا مع أبی البقاء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محمد معوّض وآخرین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کلام الطبرس والقرطبی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بجاد مزمّل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 الجصاص وقد مرّ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عند عرضنا لکلام الشیخ الطوسی والمحقق الحلّی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رأی أبی البقاء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ضعّفه ابن الفرس الأندلسیّ، کما تقدّم فی عرض رأیه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عند عرض رأی ابن عبدالبر، والقرطبی، والفقیه یوسف، ویأتی فی قراءة الجر بالجوار عند عرض موقف ابن الأنباری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معطوف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والعطف علی الجار والمجرور</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التلویح علی التوضیح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إذا حمل المسح علی الغسل وأُرید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بالنسبة إلی الرؤوس،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بالنسبة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التلویح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تحمّس فی ردّه أیضاً أبو شامة، کما بیّنّاه عند عرضنا لرأیه المذکور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ذکر الشیء بلفظ غیره لوقوعه فی صحبة ذلک الغیر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القول فیه عند عرض کلام التفتازانی متناً وهامشاً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تنویر المقباس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الهامش الثانی عند عرض کلام أبی حیان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الوهبی الإباضی، والطبری، والزّجاج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الثانی فی ابتداء کلام أبی حیان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رأی البغوی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الأخفش ومواضع کثیرة من هذا الکتاب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نصّه فی هذا الکتاب عند الردّ علی الجصّاص؛ فراجع کلام الجصاص والتفتازانی وقد مرّ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یطلب ترجمته من الأعلام للزرکلی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الثمرات الیافعة والأحکام الواضحة القاطعة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الأولی 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مکتبة التراث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دراستنا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 مذهب الحقّ لا تعارض، لأنّها معطوفة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 ومحلّاً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أُجیب عن الجرّ بالجوار بوجوهٍ عدیدةٍ، وأظهرها کان فی کلام الزجّاج والرازیّ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الأخفش المارّ علیک من قبل أیضاً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صفحه</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نظم الدّرر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فی علم الکتاب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الدّمشقی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عادل أحمد عبدالموجود، وعلی محمد معوّص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آراء الأخفش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الایضاح للفضل بن شاذان بتحقق الدکتور محدّث الأرموی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طبعة جامعة طهران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نقلاً عن غنیة المتملّی فی شرح منیة المصلیّ المعروف عندهم بالشرح الحلبی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إبراهیم الحلبی الحنفی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تخریجه فی کلام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من رأی التفتازانی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تفصیل ذلک فی الردّ علی الجصّاص؛ فراجعه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بیانی جعلوه خارج المعرب من کلام الفصحاء، لبعد انتقال السامع من جمود العین إلی ما قصده من الفرح والسرور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العاملی فی 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 إلی آیات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الإنصاف لابن الأنباری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الکلیّات لأبی البقاء الکفوی </w:t>
      </w:r>
      <w:r>
        <w:rPr>
          <w:rFonts w:eastAsia="IRNazanin" w:cs="IRNazanin"/>
          <w:b w:val="false"/>
          <w:bCs w:val="false"/>
          <w:i w:val="false"/>
          <w:iCs w:val="false"/>
          <w:color w:val="333333"/>
          <w:sz w:val="20"/>
          <w:szCs w:val="20"/>
        </w:rPr>
        <w:t>1385:1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إتحاف الفضلاء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أحمد عزّ وعنایة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الصبّان علی شرح الأشمونی لألفیّة ابن مالک </w:t>
      </w:r>
      <w:r>
        <w:rPr>
          <w:rFonts w:eastAsia="IRNazanin" w:cs="IRNazanin"/>
          <w:b w:val="false"/>
          <w:bCs w:val="false"/>
          <w:i w:val="false"/>
          <w:iCs w:val="false"/>
          <w:color w:val="333333"/>
          <w:sz w:val="20"/>
          <w:szCs w:val="20"/>
        </w:rPr>
        <w:t>1269:1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المدید فی القرآن المجید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عمر أحمد الراوی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بیضون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 الثمنی فی تفسیر الکتاب المبین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الألفین الکویت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 الشیخ الطبرسی، وابن الفرس الأندلسی، وقد جاء ذکر أبی زید فی قراءة الجر عند عرض رأی النحاس، والطبرسی، ومحمود بن أبی الحسن النیسابوری، والقرطبی والمحقق الحلّی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شرح الشذور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الحجّة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البیضاوی، وقد مرّ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عند عرض کلام الأخفش، وقد 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قبیل هذا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فی کلام أبی البقاء المار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نقلاً عن الطوسیّ أبی جعفر فی التبیان عند عرض کلامه المار علیک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معارضة أبی البقاء؛ فراجع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روح المعانی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المطوّل والتبیان، مبحث الفصل والوصل من علم المعانی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المتملّی فی شرح صلاة المصلّی، شرح الشذور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شرح جمل الزجاجیّ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القرطبی الماضی أیضاً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مبحث الحقیقة والمجاز فی أقسام القرائن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للراعی النمیری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زجّجن الحواجب والعیونا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أن یتعدی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إلّابتأویله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 وفی هذه الحالة تکون الواو قد عطفت مفرداً علی مفرد، ویجوز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 بفعل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 نحوه، وفی هذه الحالة تکون الواو قد عطفت جملة علی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تذکرة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لخالد بن الطیفان،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حذف فیه العامل المعطوف مبقیاً معموله، والتقدیر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ویفقأ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ثعلب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قبیل هذا آنفاً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کتابنا وضوء النبیّ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صفحه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الباریء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ونحوه عن الشوکانی فی نیل الاوطار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أیضاً المسحة إلی علی بن جریر الطبری فی تفسیره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للنسائی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تفسیرالطبری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للثقفی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161:12:11</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الحمیدی</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مسح الرأس والقدمین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 ص، ش، د، ت، ن،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کلام هود الهواری، والوهبی الإباضی، والطبری، والعلّامة الحلّی، وابن کثیر، والفیروزآبادی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والمقداد السّیوری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الامالی للشیخ المفید المطبوع ضمن مجموعة مصنفاته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خبر الغارات للثقفی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أن محمد بن أبی بکر طلب من الإمام أمیر المؤمنین‌علی علیه السلام ان یکتب له شرائع الدین فکتب له علیه السلام، فکان عنده إلی ان ظهر علیه وقتل، فأخذ عمرو بن العاص کتاب علی إلی محمد بن أبی بکر وأرسله إلی معاویة، وکان معاویة یفتی علی طبقه، فقال له الولید ابن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تفتی بهذه الأحادیث وهی من کلام علی، مُرْ بها أن تحرق، فقال له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أتأمرنی أن أحرق علماً مثل هذا،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تراب لو قتل عثمان ثم أفتی لأخذنا عنه، ثم سکت هنیئة ونظر إلی جلسائه،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کتب علی بن أبی طالب، ولکنّا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من کتب أبی بکر الصدیق، کانت عند ابنه محمد، فنحن نقضی بها ونفتی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آراء علماء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ولقد ردّ تهجمه علی الشیعة السید رشید رضا فی تفسیره المنار، ویأتی کلامه بعد صفحات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کلام الطبری فی تفسیره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کتابنا منع تدوین الحدیث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کتاب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موسوعة الإمام شرف الدین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تاریخ بغداد للخطیب البغدادی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عنه من سوء المذهب وفسادالاعتقاد ما لم یثبت ثم ذکر نحوین، وانظر میزان الاعتدال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واللعن سبعین مرّة بالصباح والغداة جاء فی تهذیب التهذیب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تهذیب الکمال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الکاشف أنّه ناصبی، وکذا فی المغنی فی الضعفاء أیضاً، وقد تحامل علیه محقق الکتاب بشّار عوّاد فراجع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والعتب الجمیل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عدالة الرواة والشهود للمحطوری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فیوض العلّام للشوکانی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فتح القدیر له أیضاً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اشتمال السکنجبین علی الخلّ والسکّر ولا یصدق علیهما اسمه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مراح لبید لکشف معنی القرآن المجید للجاوی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امین الضنّاوی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 تفصیل کلامه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قراءة 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ویأتی الإشارة إلی کلامه فی قراءة النّصب أیضاً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والکلام لرشید رضا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عبده وتلمیذه السیّد رشید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الکریم الرحمن فی تفسیر کلام المنّان لابن ناصر آل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أبناء شریف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فی دیوانه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الخزانة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عند عرض کلام الفخرالرازی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والشاهد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 شواءٍ أو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المنصوب، لتوهّم الإضافة، کأنّه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منضج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شرح الأشمونی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فی کلام الأخفش الأوسط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نقد رأی البغدادیّ أبی البقاء صاحب الإعراب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الصبّان علی شرح الأشمونیّ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العینیّ بهامش الأشمونیّ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أجاب عنها باختصارٍ الشهید الثانی وقد تقدّم عند عرض رأیه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الفیة ابن مالک 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الفیة ابن مالک ص</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التحریر والتنویر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وفی طبعة اخری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زهرة التفاسیر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الاستاد المشارک بجامعة الإیمان، معاصر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جاسم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الاستاد المشارک للدراسات القرآنیة واللّغویة بجامعة المدینة المنورة، معاصر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فی توجیه القراءات العشر المتواترة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الکلیّات الأزهریة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القراءات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اسعد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الکریم وبیانه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الاستاد بقسم القرآن وعلومه بجامعة الإمام محمد بن سعود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القصیم، من المعاصرین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جامع البیان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الکشف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تلخیص العبارات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معالم التنزیل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للقرطبی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مجاز القرآن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اضواء البیان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اعراب القرآن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الفخرالرازی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جامع البیان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مشکل اعراب القرآن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الأحکام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للطبری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وتفسیر الصافی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الأحکام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مدارج الکمال فی نظم مختصر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الثّانیة عام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سلطنة عمان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الآثار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سلطنة عمان ط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کتاب النّیل وشفاء العلیل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سلطنة عمان ط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الضحّاک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وهامشاً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الحسن البصری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أحکام القرآن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کمال والمسح رخصة کمال، وأیهما شاء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شرح ابن عقیل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وسیأتی شرحه مفصلاً عند تعلیقنا علی رأی الجصاص فی قراءة النّصب وکذا راجع فیما مضی من کلام القرطبی، والآلوسی فی قراءة الجر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مواضع ذکره فی فهرست الشواهد الشعریة أخر الکتاب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 القرطبی، والآلوسی من قراءة الجر، وکلام الأخفش من قراءة النصب الذی مر قبل‌قلیل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وهب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أحمد 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معانی القراءات للأزهری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بتحقیق أحمد فرید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للفرزدق ولیس فی دیوانه انظر الخصائص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ومعاهد التنصیص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التعقید وهو أن لا یکون الکلام ظاهر الدلالة علی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الممدوح،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الناس حیُّ یُقاربه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یشبهه فی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مملکا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للممدوح ففصل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بأجنبی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فصل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ونعته،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بأجنبی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وقدّم المستثنی علی المستثنی منه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بغیر ضرورة ملجئةٍ إلی ذلک، لأنّ کلام اللّه عزّ وعلا منزهٌ عن ذلک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منافاة بین الزیادة وکونها لمعنیً مثل التبعیض فی الباء والاستغراق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نصّ علیه‌المحقق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فائدة الحرف الزائد فی کلام العرب إِمّا معنویة وإِمّا لفظیة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فالمعنویة أقلّها تأکید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الاستغراقیة والباء 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أن لا یکون زائدة إذا أفادت فائدة معنویة معنویة؟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سمیت زائدة لأنّه لا یتغیر بها أصل المعنی بل لا یزید بسببها إِلّا تأکید المعنی الثابت وتقویته فکأنها لم تفد شیئاً لما لم تغایر فائدتها العارضة الفائدة الحاصلة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الفائدة اللفظیة فهی تزیین اللفظ وکونه بزیادتها أفصح أو کون الکلمة والکلام بسببها مهیّأً لاستقامة وزن الشعر أو الحسن السجع أو غیر ذلک من الفوائذ اللفظیة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یجوز خلوها من الفوائد اللفظیة والمعنویة معاً وإِلّا لعدت عبثاً ولا یجوز ذلک فی کلام الفصحاء ولا سیما کلام الباری تعالی وأنبیائه وأئمة أهل البیت علیهم السلام وقد تجتمع الفائدتان فی حرفٍ وقد تفرد إِحداهما عن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نصّ علیه المحقق الرضی فی باب الحروف الزائدة من شرح الکافیة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هشام عند عده معانی الباء فی الباب الأول من المغنی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التبعیض أثبت ذلک الأصمعیّ والفارسیّ والقتبیّ وابن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والکوفیون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وَامْسَحُوا بِرُؤُوسِکُمْ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الطبرسی، والقرطبی، والآلوسی فی قراءة الجرّ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توضح ذلک فی الهامش قبل قلیل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السبعة فی القراءات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معانی القرآن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فی کلام الزرکشی والفیروزآبادی من قراءة الجرّ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یُجاب هذا الکلام بأن الاستیعاب کما یمکن بالغسل فهو ممکن بالمسح، الیس فیکم من یقول‌بالاستیعاب فی الراس وهو لیس إلّابالمسح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وآمّا الاستیعاب فی الأیدی فهو لأنّها یجب فیها الغسل فهذا فی الواقع اعتراض علی من قال بالاستیعاب فی الراس، وفیه المسح</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 الأخفش من قراءة الجرّ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المجلدات السّابقة من دراستنا هذه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وسوف نتحدث عن ذلک عند عرض آراء الشریف المرتضی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الآلوسی فی قراءة الجرّ ویأتی فی أبی شامة فی هذه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راجع کلام الجصّاص‌المار علیک آنفاً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والزّیادات للقیروانی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الغرب الإسلامی ط الأولی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الرجز لرؤبة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وبلد مغبرة ارجارؤه کأن لون أرضه سماؤه</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للقطامی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وشاهده هنا بلاغی،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یَکُ موقِفٌ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یحتمل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علی الطلب والرغبة،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تجعلی هذا الموقف آخر وَداعی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علی الدعاء،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جعل اللّه موقفک هذا آخر الوداع، ففیه حذف مضاف من الوداع، وقدّره بعضهم موقف 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مغنی البیب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وإنّ هذا النمط مسمّی فیما بیننا بالقلب، وهی شعبة من الإخراج لا علی مقتضی الظاهر، ولها شیوع فی التراکیب، وهی ممّا یورث الکلام ملاحة، ولا یشجّع علیها إلّاکمالُ البلاغة، وتأتی فی الکلام والأشعار والتنزیل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مواضع ذکره فی الکتاب من خلال فهرست الشواهد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کلام السمرقندی وابن زنجلة من هذه القراءة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ذکر مواضع التحدید فی مقدّمة الکتاب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رأی ابن زنجلة الذی مرّ آنفاً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رأی الوهبی والعلّامة الحلّی، والآلوسی من قراءة الجرّ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الکبیر فی فقه الشافعی، شرح مختصر المزنی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الطبری، والجصاص من هذه القراءة وقد مر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الآلوسی من قراءة الجر، وکلام الجصّاص من قراءة النّصب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کلام الزّجاج من هذه القراءة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الشافیة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کلام الزرکشی من قراءة الجر، وکلام الجصّاص من هذه القراءة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لجریر أو تأبط شرَّاً ولیس فی دیوانیهما، والشاهد فیه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بإضمار اسم فاعل، أو بإضمار فعل،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علی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شرح بن عقیل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لجریر فی دیوانه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والشاهد فیه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بإضمار فعل انظر الکتاب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شرح المفصل لابن یعیش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لِکُثَیِّرِ عَزَّةَ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ممطولٌ مُعَنّیً غریما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تنازع عاملان وهما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واحداً،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تنازع فیه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ممطول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خبرا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له، أو حال من ضمیره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شاهد آخر فی شطره الأول، حیث لم یعمل الأول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فوفی غریمه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اعمله لقال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فوفاه غریمه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شذوذ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شرح الاشمونی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لامرئ القیس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کفانی ولم اطلب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جاء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ولیس البیت من باب التنازع وإن تقدم فیه فعلان،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وتأخر عنهما معمول هو قلیل من المال، فلا یجوز ان یکون من باب التنازع، لأنّه لا یصح</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کافیة ابن الحاجب بشرح ابن 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الوسیط فی تفسیر القرآن المجید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البیتان لجریر ولیسا فی دیوانه،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عمر الجوادا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والقیاس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استدل به الکوفیون علی أن المنادی الموصوف یجوز فیه الفتح، سواء أکان الوصف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البصریون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کالمندوب، وحُذِفت الألف وهذا 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الفقه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الفقه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غیاث الاُمم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قواطع الأدلّة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البزدویّ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المنخول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عند عرض کلام الزرکشی والجصّاص من قراءة الجرّ، وکلام الشیخ الطوسی من هذه القراءة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ط الاولی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أبی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راجع فی البحث عن عدم جواز الفصل ما قلنا عند الکلام مع القرطبیّ، والبیضاوی، والآلوسی فی قراءة الجرّ ففیه 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مواضع البحث عنه کثیر فی قراءة الجر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فصل الجرّ عند أدلّة المحقّق الطبرسیّ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أشرنا إلی مواضع ذکره فی مقدّمة الکتاب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 کلام الثعلبی، وأبی المعالی الجوینی، والکیاهراس، والقرطبی من قراءة الجرّ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 کلام علی بن محمد القمّی من قراءة الجرّ، وکلام الجصّاص، والشیخ الطوسی، والبزدوی من قراءة النّصب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عرضنا لکلام الشیخ الطوسی من هذه القراءة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وضح البرهان فی مشکلات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صفوان عدنان داودی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قراءة الجرّ إلی کلامنا مع الواحدی النیسابوری متنا وهامشاً والکلام مع علاء الدین الشهیر بالخازن، وفی قراءة النصب عند ذکر آراء الشیخ الطّوسی والکلام مع ابن العربی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الموضع فی وجوه القراءات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حجّة أبی علی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اعراب النّحاس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حجة 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الکبیر فی شرح مختصر المزنی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سنّة الوضوء للماوردی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الاُولی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 کلام الشیخ الطوسی من قراءة النّصب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عند عرض کلام الشیخ الطوسی من قراءة النّصب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 کلام علی بن محمد القمّی فی قراءة الجرّ، والجصّاص، والشیخ الطوسی، والبزدوی، والطبرسی فی قراءة النصب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کلام ابن زنجلة الآتی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کلام الفارسی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القول فیه عند عرض کلام القرطبی فی قراءة الجرّ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إبراز المعانی من حرز الأمانی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إبراز المعانی من حرز الأمانی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 الآلوسی فی قراءة الجرّ، وکلام ابن خالویه فی قراءة النّصب ویأتی بعد قلیل عند عرض کلام القرطبی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ابراز المعانی من حرز الأمانی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جُمل الزّجاجی لابن عصفور الإشبیلی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الکافیة بشرح ابن 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القلم، 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اخری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شرح ابن عقیل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التنازع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وذکر العلّامة کل ذلک فی الرسالة السّعدیة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فی قراءة الجرّ عند ذکر اسمه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بیان وجه کون الباء زائدة للتبعیض فی الهامش الأول من کلام الزّجاج فراجع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الکلام فیها عند عرضنا لکلام الزّجاج فی قراءة النّصب فی الهامش الأوّل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المجلد الثالث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مناقشة مرویات ابن عباس سنداً ودلالة ونسبه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بالأولویّة هنا الأولویّة التعیینیّة کما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وأُولُوا الأَرْحَامِ بَعْضُهُمْ أَوْلَی بِبَعْضٍ فِی‌کِتَابِ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التفضیلیّة حتّی یکون العطف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 غیر أولیّ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التلویح علی التوضیح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قراءة الجرّ کلام الزّجاج الماتریدی، وابن زنجلة، وأبی المعالی الجوینی، والسمین الحلبی، ونووی الجاوی، والسّالمی، وفی قراءة النصب کلام النّسفی، ویأتی فی کلام الزرکشی، والشیخ البهائی من قراءة النّصب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الهامش الأوّل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تنویر المقیاس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سیما فی بحثنا لادلّة الطبریّ والرازی والقرطبی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فی علم الکتاب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رساله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القول فیه عند عرضنا لکلام القرطبی فی قراءة الجرّ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تفسیر الفخر الرازیّ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فإنّهم خالفوا رسول اللّه صلی الله علیه و آله وهو حیّ بین أظهرهم فکیف لم یخالفوه بعد وفاته؟ ومنه فعل عمر بن الخطّاب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بذلک البخاریّ وغیره، ثمّ أُحیلک علی کتاب النصّ والاجتهاد، فإنّک تقف فیه علی موارد مخالفة الصحابة لرسول اللّه صلی الله علیه و آله حیّاً ومیّتاً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الرأس محدود بباء التبعیض، فإن الرأس أیضاً ذو جهات والآیة حددت بعضه للمسح، ولذاشذ من قال باستیعاب مسحه کله من أهل السنة فضلاً عن الشیعة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الأصفی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إتحاف فضلاء البشر فی القراءات الأربعة عشر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الجملة المعترضة من الجمل التی لا محلّ لها من الإعراب، وهی المعترضة بین شیئین لإفادة الکلام تقویةً وتسدیداً أو تحسیناً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ومواطنها سبعة عشر کما ذکره ابن هشام، ولیس فیها ما قاله صاحب الاتحاف، وإلیک الان کلام ابن هشام فی مغنی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المواطن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الفعل والفاعل، کقول جویریة بن زید أو حویرثة بن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أدرکتنی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والحوادث 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أَسِنَّةُ قومٍ لا ضِعافٍ ولا عُزْلِراجع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الفعل والمفعول، کقول أبی النجم العجلیّ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وبُدِّلَتْ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والدهر ذو تبدّلٍ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هَیْفاً دَبُوراً بالصَّبَا والشَّمْأَلِوالثالث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المبتدأ والخبر، کقول معن بن أوس المزنیّ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والأیّام یَعثرن بالفتی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نوادِبُ لا یمللنه ونوائحُومنه الاعتراض بجملة الفعل الملغی فی أفعال القلوب،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وبجملة الاختصاص،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هند بنت طارق الأیادیّة أو هند بنت عقبة أُمّ معاویة لعنهما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نمشی علی النَّمارِقوالرابع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ما أصله المبتدأ والخبر، کقول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وإنّی لرامٍ نَظْرَةً قِبَلَ التی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شَطَّتْ نَواها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أَزُورُهاوذلک بتقدیر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وتقدیر الصلة محذوفة، 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 أقول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 أبی المنهال عوف بن مُحَلَّم الشیبانیّ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الثمانین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وبَلَّغْتَهَا قد أحوجَتْ سمعی إلی ترجمانْوالخامس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الشرط والجواب، نحو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بَدَّلْنا آیَةً مَکانَ 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بِما یُنَزِّلُ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إِنَّما أَنْتَ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لَمْ تَفْعَلُوا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 تَفْعَلُوا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القسم وجوابه، کقول النابغة الذبیانیّ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عمری علیّ بهیّنٍ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نطقَتْ بُطْلاً علَیّ الأقارِعُوقوله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بالحقّ لأملنّ وأقول الحقَّ، فانتصب الحقّ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إسقاط الخافض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محذوفاً والحقّ الثانی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واعترض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وقدّم معمولها للاختصاص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الموصوف والصفة، نحو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إِنَّهُ 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المشهدی القمّی مؤسسة النّشر الإسلامی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تفصیلها فی آخر باب قراءة الجرّ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الجوهر الثّمین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الکریم للسیّد عبداللّه الشّبر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الهجرة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 ط الثانیة بمراجعة الدکتور حامد حفی داود المصری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فتح القدیر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وفیوض العلّام له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جواهر الکلام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للکلباسی منشورات دار ومکتبة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مراح لبید للجاوی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کلامنا مع القرطبی فی قراءة الجرّ وکذا الفخرالرازی فی قراءة النّصب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کلامنا مع أبی علی الفارسی فی قراءة الجرّ ومع ابن خالویه فی قراءة النّصب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نقل آراء الحلّی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دار الفکر 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الجرّ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دراستنا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فی شرح المقنعة للشیّخ الطّوسی، والمقنعة للشیّخ المفید رحمهما اللّه تعالی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القاسمی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مناهل العرفان فی علوم القرآن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قراءة الجرّ عند الکلام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وأبی المظفرّ السمعانی، وابن عطیة الأندلسی، والفخرالرازی، والقرطبی، والعلّامة الحلّی، والسّمین الحلبی، والشهید الأوّل محمد بن مکی ویأتی بعد ذلک أیضاً مراراً فی هذه القراءة وفی قراءة النّصب والرفع والجرّ بالجوار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الکریم الرّحمن فی تفسیر کلام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بعض کلامه فی آخر باب قراءة الجرّ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البیان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التحریر والتنویر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زهرة التّفاسیر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المراغی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وطبعة دار إحیاء التراث العربی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الثانیة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الکاشف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المنیر فی العقیدة والشّریعة والمنهج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الأولی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للزّحیلی رئیس قسم الفقه الإسلامی ومذاهبه فی جامعة دمشق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أعنی وضوء النبی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137:48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والمناقب لابن شهرآشوب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الشّروق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الأستاد المشارک بجامعة الإیمان المعاصر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جاسم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إحیاء التّراث العربی بیروت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الخطیب المعاصر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القراءات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أسعد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المعاصرین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اعراب القرآن الکریم وبیانه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الارشاد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الإعراب المفصّل لکتاب اللّه المرتل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الإعراب المفصّل لکتاب اللّه المرتّل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الاستاد بکلیّة الشریعة والدراسات الإسلامیة مکة مکرّمة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الملک عبدالعزیز من المعاصرین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صفوة التّفاسیر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الاستاد بقسم القرآن وعلومه بجامعة محمد بن 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القصیم، من المعاصرین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سلیمان اللّاحم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العاصمة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فی توجیه القراءات العشر المتواتر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الأذنین مع الرّأس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الطهّور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قال أنظر الترغیب والتّرهیب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عرضنا لکلام أبی البقاء، وبیان الحق النیسابوری، والشنقیطی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نص الزمخشری کما سیأتی تباعاً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إیجاز البیان عن معانی القرآن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دار الغرب الإسلامی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أملاء ما من به الرحمن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أملاء ما من به الرحمن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وأملاء ما من به الرحمن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فی علم الکتاب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إتحاف الفضلاء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الأستاد المشارک بجامعة الإیمان معاصر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معجم القراءات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للخطیب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للکرباسی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العکبری فی تبیانه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البیت والکلام علیه عند عرضنا لکلام الأخفش فی قراءة النّصب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والکتاب لسیبویه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عند عرضنا لکلام ابن عبدالبّر، والقرطبی، والتفتازانی، والفقیه یوسف فی قراءة الجرّ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جرّه للمجاورة؛ أی المجاورة اسم مجرور والأصل أن ینصب، لأنّه نعت اسم منصوب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ذکره عند عرضنا لموقف سیبویه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عند عرضنا لکلام الآلوسی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عند عرضنا لکلام الثعلبی والجوینی، والکیاهراسی، والقرطبی فی قراءة الجر، وابن العربی فی قراءة النّصب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عند عرض کلام الأخفش فی قراءة النّصب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عند عرض کلام الخازن فی قراءة الجر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 کلام القرطبی فی قراءة الجر، وکلام ابن العربی فی قراءة النّصب ویأتی فی قراءة الجر بالجوار عند عرض رأی ابن الأنباری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التفصیل فیه عند عرض کلام الآلوسی فی قراءة الجرّ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المقاییس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الأفعال لابن قوطیة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الأفعال لابن القطاع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عند عرض کلام الجوینی فی قراءة النّصب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للحطیئة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فیه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نعتاً لمنصوب،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لمجاورته أحد المجرورین،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المضاف والمضاف إلیه تذکیراً وتأنیثاً؛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وما بعداها 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شرح ابن یعیش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معدّ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نصب دون علی العطف علی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تجد دون عدنان والداً ودون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لجُحْر، فکان حقّه الرَّفع، ولکن جرّ لمجاورته المجرور، فهو مرفوع، وعلامة‌رفعه ضمّة مقدّرة علی آخره منع منها اشتغال المحلّ بحرکة المجاورة، فحرکة المجاورة لیست حرکة بناءٍ ولا إعراب، وإنّما هی حرکة اجتلبت للمناسبة بین اللفظین المتجاورین، فلا تحتاج إلی عاملٍ، لأنّ الإتیان بها إنّما هو لمجرّد أمر استحسانیّ لفظیّ، لا تعلّق له بالمعنی علی ما قاله الدسوقی فی حاشیة المغنی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895:2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بیان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 الجحرُ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لضبٍّ جارٍ علی غیر من‌هو 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لأنّها صفة مشبّهة ومنه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وذلک لأنّ الصفة إنّما هی للضبّ وأُجریت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قاعدین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صفة لرجل جاریة علی غیر من هی له حاصل قول‌السیرافی فی جواب الإلزام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قاعدین فی المثال صفة لرجل، لأنّ المعطوف علی الصفة صفة وهی جاریة علی غیر من هی له، لأنّ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للأبوین ولم یبرز الضمیر فیها، وإلّا لقیل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قاعدین هما، فکما جاز عدم الإبراز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فلیجز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لاشتماله علی ضمیر الموصوف استلزاماً، فکأنّه جار علی من هو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المشتمل علی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الضّمیر فی أبواه للرجل، وضمیر قاعدین عائد علی الأبوین المشتمل علی ضمیر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فقاعدین مستلزم لضمیر الرّجل، فمحلّ تعیّن إبراز الضمیر فی الصّفة إذا جرت علی غیر من هی له إذا لم تکن محتویة علی ضمیر الموصوف استلزاماً وإلّا لم یجب الإبراز</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اخری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وفی طبعة اخری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شرح اللمحة البدریّة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الحکّام شرح غرر الأحکام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الکشّاف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المبتلی بالعذاب وهو الشخص</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الحکام شرح غرر الأحکام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قریباً عند عرضنا لکلام ابن هشام الأنصاری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وطبعة اخری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البهجة الوردیّة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 ذکره عند عرضنا لکلام الشیخ الطوسی، والمحقق الحلی فی قراءة الجرّ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ذکره قریباً عند عرضنا لکلام المحقق الرّضی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الصبّان علی شرح الأشمونی لالفیّة ابن مالک </w:t>
      </w:r>
      <w:r>
        <w:rPr>
          <w:rFonts w:eastAsia="IRNazanin" w:cs="IRNazanin"/>
          <w:b w:val="false"/>
          <w:bCs w:val="false"/>
          <w:i w:val="false"/>
          <w:iCs w:val="false"/>
          <w:color w:val="333333"/>
          <w:sz w:val="20"/>
          <w:szCs w:val="20"/>
        </w:rPr>
        <w:t>1269:1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کلام الصبّان وذویه فی قراءة الجرّ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عمر أحمد الرّاوی منشورات بیضون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الأستاد بقسم القرآن وعلومه بجامعة الإمام محمد بن سعود الإسلامیة، القصیم، من المعاصرین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الأحکام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37141</Words>
  <Characters>163005</Characters>
  <CharactersWithSpaces>198290</CharactersWithSpaces>
  <Paragraphs>2072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2026-08-19T18:58:48Z</dcterms:created>
  <dc:creator>ghaemiyeh.com</dc:creator>
  <dc:description/>
  <dc:language>en-US</dc:language>
  <cp:lastModifiedBy/>
  <dcterms:modified xsi:type="dcterms:W3CDTF">2026-08-19T22:29:01Z</dcterms:modified>
  <cp:revision>1</cp:revision>
  <dc:subject/>
  <dc:title>آیة الوضوء و اشکالیة الدلالة بین القراءة و النحو الماثور</dc:title>
</cp:coreProperties>
</file>

<file path=docProps/custom.xml><?xml version="1.0" encoding="utf-8"?>
<Properties xmlns="http://schemas.openxmlformats.org/officeDocument/2006/custom-properties" xmlns:vt="http://schemas.openxmlformats.org/officeDocument/2006/docPropsVTypes"/>
</file>