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علمی پژوهشی معرفت شناسی و حوزه های مرتبط شماره </w:t>
      </w:r>
      <w:r>
        <w:rPr/>
        <w:t>74</w:t>
      </w:r>
      <w:r>
        <w:rPr>
          <w:rtl w:val="true"/>
        </w:rPr>
        <w:t xml:space="preserve"> - </w:t>
      </w:r>
      <w:r>
        <w:rPr>
          <w:rtl w:val="true"/>
        </w:rPr>
        <w:t>سال نوزدهم</w:t>
      </w:r>
      <w:r>
        <w:rPr>
          <w:rtl w:val="true"/>
        </w:rPr>
        <w:t xml:space="preserve">- </w:t>
      </w:r>
      <w:r>
        <w:rPr>
          <w:rtl w:val="true"/>
        </w:rPr>
        <w:t xml:space="preserve">تابستان </w:t>
      </w:r>
      <w:r>
        <w:rPr/>
        <w:t>1397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92953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692955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692957_581953129">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4692959_581953129">
            <w:r>
              <w:rPr>
                <w:webHidden/>
                <w:rStyle w:val="IndexLink"/>
                <w:rtl w:val="true"/>
              </w:rPr>
              <w:t xml:space="preserve">بررسی انتقادی نگرة علم‌شناختی تفکیکی </w:t>
            </w:r>
            <w:r>
              <w:rPr>
                <w:rStyle w:val="IndexLink"/>
                <w:rtl w:val="true"/>
              </w:rPr>
              <w:t xml:space="preserve">/ </w:t>
            </w:r>
            <w:r>
              <w:rPr>
                <w:rStyle w:val="IndexLink"/>
                <w:rtl w:val="true"/>
              </w:rPr>
              <w:t>حمیدرضا شاکرین</w:t>
            </w:r>
            <w:r>
              <w:rPr>
                <w:rStyle w:val="IndexLink"/>
                <w:rtl w:val="true"/>
              </w:rPr>
              <w:tab/>
            </w:r>
            <w:r>
              <w:rPr>
                <w:rStyle w:val="IndexLink"/>
              </w:rPr>
              <w:t>11</w:t>
            </w:r>
          </w:hyperlink>
        </w:p>
        <w:p>
          <w:pPr>
            <w:pStyle w:val="Contents3"/>
            <w:tabs>
              <w:tab w:val="clear" w:pos="8459"/>
              <w:tab w:val="right" w:pos="9026" w:leader="dot"/>
            </w:tabs>
            <w:rPr/>
          </w:pPr>
          <w:hyperlink w:anchor="__RefHeading___Toc4692961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4692963_581953129">
            <w:r>
              <w:rPr>
                <w:webHidden/>
                <w:rStyle w:val="IndexLink"/>
                <w:rtl w:val="true"/>
              </w:rPr>
              <w:t>چکیده</w:t>
            </w:r>
            <w:r>
              <w:rPr>
                <w:rStyle w:val="IndexLink"/>
                <w:rtl w:val="true"/>
              </w:rPr>
              <w:tab/>
            </w:r>
            <w:r>
              <w:rPr>
                <w:rStyle w:val="IndexLink"/>
              </w:rPr>
              <w:t>11</w:t>
            </w:r>
          </w:hyperlink>
        </w:p>
        <w:p>
          <w:pPr>
            <w:pStyle w:val="Contents3"/>
            <w:tabs>
              <w:tab w:val="clear" w:pos="8459"/>
              <w:tab w:val="right" w:pos="9026" w:leader="dot"/>
            </w:tabs>
            <w:rPr/>
          </w:pPr>
          <w:hyperlink w:anchor="__RefHeading___Toc4692965_581953129">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4692967_581953129">
            <w:r>
              <w:rPr>
                <w:webHidden/>
                <w:rStyle w:val="IndexLink"/>
                <w:rtl w:val="true"/>
              </w:rPr>
              <w:t>الف</w:t>
            </w:r>
            <w:r>
              <w:rPr>
                <w:rStyle w:val="IndexLink"/>
                <w:rtl w:val="true"/>
              </w:rPr>
              <w:t xml:space="preserve">) </w:t>
            </w:r>
            <w:r>
              <w:rPr>
                <w:rStyle w:val="IndexLink"/>
                <w:rtl w:val="true"/>
              </w:rPr>
              <w:t>پیشینۀ بحث</w:t>
            </w:r>
            <w:r>
              <w:rPr>
                <w:rStyle w:val="IndexLink"/>
                <w:rtl w:val="true"/>
              </w:rPr>
              <w:tab/>
            </w:r>
            <w:r>
              <w:rPr>
                <w:rStyle w:val="IndexLink"/>
              </w:rPr>
              <w:t>13</w:t>
            </w:r>
          </w:hyperlink>
        </w:p>
        <w:p>
          <w:pPr>
            <w:pStyle w:val="Contents3"/>
            <w:tabs>
              <w:tab w:val="clear" w:pos="8459"/>
              <w:tab w:val="right" w:pos="9026" w:leader="dot"/>
            </w:tabs>
            <w:rPr/>
          </w:pPr>
          <w:hyperlink w:anchor="__RefHeading___Toc4692969_581953129">
            <w:r>
              <w:rPr>
                <w:webHidden/>
                <w:rStyle w:val="IndexLink"/>
                <w:rtl w:val="true"/>
              </w:rPr>
              <w:t>ب</w:t>
            </w:r>
            <w:r>
              <w:rPr>
                <w:rStyle w:val="IndexLink"/>
                <w:rtl w:val="true"/>
              </w:rPr>
              <w:t xml:space="preserve">) </w:t>
            </w:r>
            <w:r>
              <w:rPr>
                <w:rStyle w:val="IndexLink"/>
                <w:rtl w:val="true"/>
              </w:rPr>
              <w:t>چیستی علم</w:t>
            </w:r>
            <w:r>
              <w:rPr>
                <w:rStyle w:val="IndexLink"/>
                <w:rtl w:val="true"/>
              </w:rPr>
              <w:tab/>
            </w:r>
            <w:r>
              <w:rPr>
                <w:rStyle w:val="IndexLink"/>
              </w:rPr>
              <w:t>13</w:t>
            </w:r>
          </w:hyperlink>
        </w:p>
        <w:p>
          <w:pPr>
            <w:pStyle w:val="Contents3"/>
            <w:tabs>
              <w:tab w:val="clear" w:pos="8459"/>
              <w:tab w:val="right" w:pos="9026" w:leader="dot"/>
            </w:tabs>
            <w:rPr/>
          </w:pPr>
          <w:hyperlink w:anchor="__RefHeading___Toc4692971_581953129">
            <w:r>
              <w:rPr>
                <w:webHidden/>
                <w:rStyle w:val="IndexLink"/>
                <w:rtl w:val="true"/>
              </w:rPr>
              <w:t>ج</w:t>
            </w:r>
            <w:r>
              <w:rPr>
                <w:rStyle w:val="IndexLink"/>
                <w:rtl w:val="true"/>
              </w:rPr>
              <w:t xml:space="preserve">) </w:t>
            </w:r>
            <w:r>
              <w:rPr>
                <w:rStyle w:val="IndexLink"/>
                <w:rtl w:val="true"/>
              </w:rPr>
              <w:t>جدایی علم از نفس و دلایل آن</w:t>
            </w:r>
            <w:r>
              <w:rPr>
                <w:rStyle w:val="IndexLink"/>
                <w:rtl w:val="true"/>
              </w:rPr>
              <w:tab/>
            </w:r>
            <w:r>
              <w:rPr>
                <w:rStyle w:val="IndexLink"/>
              </w:rPr>
              <w:t>14</w:t>
            </w:r>
          </w:hyperlink>
        </w:p>
        <w:p>
          <w:pPr>
            <w:pStyle w:val="Contents3"/>
            <w:tabs>
              <w:tab w:val="clear" w:pos="8459"/>
              <w:tab w:val="right" w:pos="9026" w:leader="dot"/>
            </w:tabs>
            <w:rPr/>
          </w:pPr>
          <w:hyperlink w:anchor="__RefHeading___Toc4692973_581953129">
            <w:r>
              <w:rPr>
                <w:webHidden/>
                <w:rStyle w:val="IndexLink"/>
                <w:rtl w:val="true"/>
              </w:rPr>
              <w:t>د</w:t>
            </w:r>
            <w:r>
              <w:rPr>
                <w:rStyle w:val="IndexLink"/>
                <w:rtl w:val="true"/>
              </w:rPr>
              <w:t xml:space="preserve">) </w:t>
            </w:r>
            <w:r>
              <w:rPr>
                <w:rStyle w:val="IndexLink"/>
                <w:rtl w:val="true"/>
              </w:rPr>
              <w:t>ارزش علم</w:t>
            </w:r>
            <w:r>
              <w:rPr>
                <w:rStyle w:val="IndexLink"/>
                <w:rtl w:val="true"/>
              </w:rPr>
              <w:tab/>
            </w:r>
            <w:r>
              <w:rPr>
                <w:rStyle w:val="IndexLink"/>
              </w:rPr>
              <w:t>16</w:t>
            </w:r>
          </w:hyperlink>
        </w:p>
        <w:p>
          <w:pPr>
            <w:pStyle w:val="Contents3"/>
            <w:tabs>
              <w:tab w:val="clear" w:pos="8459"/>
              <w:tab w:val="right" w:pos="9026" w:leader="dot"/>
            </w:tabs>
            <w:rPr/>
          </w:pPr>
          <w:hyperlink w:anchor="__RefHeading___Toc4692975_581953129">
            <w:r>
              <w:rPr>
                <w:webHidden/>
                <w:rStyle w:val="IndexLink"/>
                <w:rtl w:val="true"/>
              </w:rPr>
              <w:t>ه</w:t>
            </w:r>
            <w:r>
              <w:rPr>
                <w:rStyle w:val="IndexLink"/>
                <w:rtl w:val="true"/>
              </w:rPr>
              <w:t xml:space="preserve">) </w:t>
            </w:r>
            <w:r>
              <w:rPr>
                <w:rStyle w:val="IndexLink"/>
                <w:rtl w:val="true"/>
              </w:rPr>
              <w:t>روش به‌دست‌آوردن علم</w:t>
            </w:r>
            <w:r>
              <w:rPr>
                <w:rStyle w:val="IndexLink"/>
                <w:rtl w:val="true"/>
              </w:rPr>
              <w:tab/>
            </w:r>
            <w:r>
              <w:rPr>
                <w:rStyle w:val="IndexLink"/>
              </w:rPr>
              <w:t>17</w:t>
            </w:r>
          </w:hyperlink>
        </w:p>
        <w:p>
          <w:pPr>
            <w:pStyle w:val="Contents3"/>
            <w:tabs>
              <w:tab w:val="clear" w:pos="8459"/>
              <w:tab w:val="right" w:pos="9026" w:leader="dot"/>
            </w:tabs>
            <w:rPr/>
          </w:pPr>
          <w:hyperlink w:anchor="__RefHeading___Toc4692977_581953129">
            <w:r>
              <w:rPr>
                <w:webHidden/>
                <w:rStyle w:val="IndexLink"/>
                <w:rtl w:val="true"/>
              </w:rPr>
              <w:t>و</w:t>
            </w:r>
            <w:r>
              <w:rPr>
                <w:rStyle w:val="IndexLink"/>
                <w:rtl w:val="true"/>
              </w:rPr>
              <w:t xml:space="preserve">) </w:t>
            </w:r>
            <w:r>
              <w:rPr>
                <w:rStyle w:val="IndexLink"/>
                <w:rtl w:val="true"/>
              </w:rPr>
              <w:t>بررسی و ارزیابی</w:t>
            </w:r>
            <w:r>
              <w:rPr>
                <w:rStyle w:val="IndexLink"/>
                <w:rtl w:val="true"/>
              </w:rPr>
              <w:tab/>
            </w:r>
            <w:r>
              <w:rPr>
                <w:rStyle w:val="IndexLink"/>
              </w:rPr>
              <w:t>18</w:t>
            </w:r>
          </w:hyperlink>
        </w:p>
        <w:p>
          <w:pPr>
            <w:pStyle w:val="Contents4"/>
            <w:tabs>
              <w:tab w:val="clear" w:pos="8176"/>
              <w:tab w:val="right" w:pos="9026" w:leader="dot"/>
            </w:tabs>
            <w:rPr/>
          </w:pPr>
          <w:hyperlink w:anchor="__RefHeading___Toc4692979_581953129">
            <w:r>
              <w:rPr>
                <w:webHidden/>
                <w:rStyle w:val="IndexLink"/>
              </w:rPr>
              <w:t>1</w:t>
            </w:r>
            <w:r>
              <w:rPr>
                <w:rStyle w:val="IndexLink"/>
                <w:rtl w:val="true"/>
              </w:rPr>
              <w:t xml:space="preserve">. </w:t>
            </w:r>
            <w:r>
              <w:rPr>
                <w:rStyle w:val="IndexLink"/>
                <w:rtl w:val="true"/>
              </w:rPr>
              <w:t>نقد اصل مباینت</w:t>
            </w:r>
            <w:r>
              <w:rPr>
                <w:rStyle w:val="IndexLink"/>
                <w:rtl w:val="true"/>
              </w:rPr>
              <w:tab/>
            </w:r>
            <w:r>
              <w:rPr>
                <w:rStyle w:val="IndexLink"/>
              </w:rPr>
              <w:t>18</w:t>
            </w:r>
          </w:hyperlink>
        </w:p>
        <w:p>
          <w:pPr>
            <w:pStyle w:val="Contents4"/>
            <w:tabs>
              <w:tab w:val="clear" w:pos="8176"/>
              <w:tab w:val="right" w:pos="9026" w:leader="dot"/>
            </w:tabs>
            <w:rPr/>
          </w:pPr>
          <w:hyperlink w:anchor="__RefHeading___Toc4692981_581953129">
            <w:r>
              <w:rPr>
                <w:webHidden/>
                <w:rStyle w:val="IndexLink"/>
              </w:rPr>
              <w:t>2</w:t>
            </w:r>
            <w:r>
              <w:rPr>
                <w:rStyle w:val="IndexLink"/>
                <w:rtl w:val="true"/>
              </w:rPr>
              <w:t xml:space="preserve">. </w:t>
            </w:r>
            <w:r>
              <w:rPr>
                <w:rStyle w:val="IndexLink"/>
                <w:rtl w:val="true"/>
              </w:rPr>
              <w:t>نقد دلیل مباینت</w:t>
            </w:r>
            <w:r>
              <w:rPr>
                <w:rStyle w:val="IndexLink"/>
                <w:rtl w:val="true"/>
              </w:rPr>
              <w:tab/>
            </w:r>
            <w:r>
              <w:rPr>
                <w:rStyle w:val="IndexLink"/>
              </w:rPr>
              <w:t>24</w:t>
            </w:r>
          </w:hyperlink>
        </w:p>
        <w:p>
          <w:pPr>
            <w:pStyle w:val="Contents4"/>
            <w:tabs>
              <w:tab w:val="clear" w:pos="8176"/>
              <w:tab w:val="right" w:pos="9026" w:leader="dot"/>
            </w:tabs>
            <w:rPr/>
          </w:pPr>
          <w:hyperlink w:anchor="__RefHeading___Toc4692983_581953129">
            <w:r>
              <w:rPr>
                <w:webHidden/>
                <w:rStyle w:val="IndexLink"/>
              </w:rPr>
              <w:t>3</w:t>
            </w:r>
            <w:r>
              <w:rPr>
                <w:rStyle w:val="IndexLink"/>
                <w:rtl w:val="true"/>
              </w:rPr>
              <w:t xml:space="preserve">. </w:t>
            </w:r>
            <w:r>
              <w:rPr>
                <w:rStyle w:val="IndexLink"/>
                <w:rtl w:val="true"/>
              </w:rPr>
              <w:t>نقد روش</w:t>
            </w:r>
            <w:r>
              <w:rPr>
                <w:rStyle w:val="IndexLink"/>
                <w:rtl w:val="true"/>
              </w:rPr>
              <w:softHyphen/>
            </w:r>
            <w:r>
              <w:rPr>
                <w:rStyle w:val="IndexLink"/>
                <w:rtl w:val="true"/>
              </w:rPr>
              <w:t>شناختی</w:t>
            </w:r>
            <w:r>
              <w:rPr>
                <w:rStyle w:val="IndexLink"/>
                <w:rtl w:val="true"/>
              </w:rPr>
              <w:tab/>
            </w:r>
            <w:r>
              <w:rPr>
                <w:rStyle w:val="IndexLink"/>
              </w:rPr>
              <w:t>25</w:t>
            </w:r>
          </w:hyperlink>
        </w:p>
        <w:p>
          <w:pPr>
            <w:pStyle w:val="Contents3"/>
            <w:tabs>
              <w:tab w:val="clear" w:pos="8459"/>
              <w:tab w:val="right" w:pos="9026" w:leader="dot"/>
            </w:tabs>
            <w:rPr/>
          </w:pPr>
          <w:hyperlink w:anchor="__RefHeading___Toc4692985_581953129">
            <w:r>
              <w:rPr>
                <w:webHidden/>
                <w:rStyle w:val="IndexLink"/>
                <w:rtl w:val="true"/>
              </w:rPr>
              <w:t>نتیجه</w:t>
            </w:r>
            <w:r>
              <w:rPr>
                <w:rStyle w:val="IndexLink"/>
                <w:rtl w:val="true"/>
              </w:rPr>
              <w:softHyphen/>
            </w:r>
            <w:r>
              <w:rPr>
                <w:rStyle w:val="IndexLink"/>
                <w:rtl w:val="true"/>
              </w:rPr>
              <w:t>گیری</w:t>
            </w:r>
            <w:r>
              <w:rPr>
                <w:rStyle w:val="IndexLink"/>
                <w:rtl w:val="true"/>
              </w:rPr>
              <w:tab/>
            </w:r>
            <w:r>
              <w:rPr>
                <w:rStyle w:val="IndexLink"/>
              </w:rPr>
              <w:t>27</w:t>
            </w:r>
          </w:hyperlink>
        </w:p>
        <w:p>
          <w:pPr>
            <w:pStyle w:val="Contents3"/>
            <w:tabs>
              <w:tab w:val="clear" w:pos="8459"/>
              <w:tab w:val="right" w:pos="9026" w:leader="dot"/>
            </w:tabs>
            <w:rPr/>
          </w:pPr>
          <w:hyperlink w:anchor="__RefHeading___Toc4692987_581953129">
            <w:r>
              <w:rPr>
                <w:webHidden/>
                <w:rStyle w:val="IndexLink"/>
                <w:rtl w:val="true"/>
              </w:rPr>
              <w:t>منابع و مآخذ</w:t>
            </w:r>
            <w:r>
              <w:rPr>
                <w:rStyle w:val="IndexLink"/>
                <w:rtl w:val="true"/>
              </w:rPr>
              <w:tab/>
            </w:r>
            <w:r>
              <w:rPr>
                <w:rStyle w:val="IndexLink"/>
              </w:rPr>
              <w:t>28</w:t>
            </w:r>
          </w:hyperlink>
        </w:p>
        <w:p>
          <w:pPr>
            <w:pStyle w:val="Contents2"/>
            <w:tabs>
              <w:tab w:val="clear" w:pos="8743"/>
              <w:tab w:val="right" w:pos="9026" w:leader="dot"/>
            </w:tabs>
            <w:rPr/>
          </w:pPr>
          <w:hyperlink w:anchor="__RefHeading___Toc4692989_581953129">
            <w:r>
              <w:rPr>
                <w:webHidden/>
                <w:rStyle w:val="IndexLink"/>
                <w:rtl w:val="true"/>
              </w:rPr>
              <w:t xml:space="preserve">تحلیل انتقادی دلایل قائلان به مادیت ادراک، با نگاه به مبانی حکمت متعالیه </w:t>
            </w:r>
            <w:r>
              <w:rPr>
                <w:rStyle w:val="IndexLink"/>
                <w:rtl w:val="true"/>
              </w:rPr>
              <w:t xml:space="preserve">/ </w:t>
            </w:r>
            <w:r>
              <w:rPr>
                <w:rStyle w:val="IndexLink"/>
                <w:rtl w:val="true"/>
              </w:rPr>
              <w:t>محمد فروغی، هادی وکیلی، اعظم قاسمی</w:t>
            </w:r>
            <w:r>
              <w:rPr>
                <w:rStyle w:val="IndexLink"/>
                <w:rtl w:val="true"/>
              </w:rPr>
              <w:tab/>
            </w:r>
            <w:r>
              <w:rPr>
                <w:rStyle w:val="IndexLink"/>
              </w:rPr>
              <w:t>31</w:t>
            </w:r>
          </w:hyperlink>
        </w:p>
        <w:p>
          <w:pPr>
            <w:pStyle w:val="Contents3"/>
            <w:tabs>
              <w:tab w:val="clear" w:pos="8459"/>
              <w:tab w:val="right" w:pos="9026" w:leader="dot"/>
            </w:tabs>
            <w:rPr/>
          </w:pPr>
          <w:hyperlink w:anchor="__RefHeading___Toc4692991_58195312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4692993_581953129">
            <w:r>
              <w:rPr>
                <w:webHidden/>
                <w:rStyle w:val="IndexLink"/>
                <w:rtl w:val="true"/>
              </w:rPr>
              <w:t>چکیده</w:t>
            </w:r>
            <w:r>
              <w:rPr>
                <w:rStyle w:val="IndexLink"/>
                <w:rtl w:val="true"/>
              </w:rPr>
              <w:tab/>
            </w:r>
            <w:r>
              <w:rPr>
                <w:rStyle w:val="IndexLink"/>
              </w:rPr>
              <w:t>31</w:t>
            </w:r>
          </w:hyperlink>
        </w:p>
        <w:p>
          <w:pPr>
            <w:pStyle w:val="Contents3"/>
            <w:tabs>
              <w:tab w:val="clear" w:pos="8459"/>
              <w:tab w:val="right" w:pos="9026" w:leader="dot"/>
            </w:tabs>
            <w:rPr/>
          </w:pPr>
          <w:hyperlink w:anchor="__RefHeading___Toc4692995_581953129">
            <w:r>
              <w:rPr>
                <w:webHidden/>
                <w:rStyle w:val="IndexLink"/>
                <w:rtl w:val="true"/>
              </w:rPr>
              <w:t>مقدمه</w:t>
            </w:r>
            <w:r>
              <w:rPr>
                <w:rStyle w:val="IndexLink"/>
                <w:rtl w:val="true"/>
              </w:rPr>
              <w:tab/>
            </w:r>
            <w:r>
              <w:rPr>
                <w:rStyle w:val="IndexLink"/>
              </w:rPr>
              <w:t>32</w:t>
            </w:r>
          </w:hyperlink>
        </w:p>
        <w:p>
          <w:pPr>
            <w:pStyle w:val="Contents3"/>
            <w:tabs>
              <w:tab w:val="clear" w:pos="8459"/>
              <w:tab w:val="right" w:pos="9026" w:leader="dot"/>
            </w:tabs>
            <w:rPr/>
          </w:pPr>
          <w:hyperlink w:anchor="__RefHeading___Toc4692997_581953129">
            <w:r>
              <w:rPr>
                <w:webHidden/>
                <w:rStyle w:val="IndexLink"/>
                <w:rtl w:val="true"/>
              </w:rPr>
              <w:t>الف</w:t>
            </w:r>
            <w:r>
              <w:rPr>
                <w:rStyle w:val="IndexLink"/>
                <w:rtl w:val="true"/>
              </w:rPr>
              <w:t xml:space="preserve">) </w:t>
            </w:r>
            <w:r>
              <w:rPr>
                <w:rStyle w:val="IndexLink"/>
                <w:rtl w:val="true"/>
              </w:rPr>
              <w:t>براهین علیه دوگانه‌انگاری</w:t>
            </w:r>
            <w:r>
              <w:rPr>
                <w:rStyle w:val="IndexLink"/>
                <w:rtl w:val="true"/>
              </w:rPr>
              <w:tab/>
            </w:r>
            <w:r>
              <w:rPr>
                <w:rStyle w:val="IndexLink"/>
              </w:rPr>
              <w:t>33</w:t>
            </w:r>
          </w:hyperlink>
        </w:p>
        <w:p>
          <w:pPr>
            <w:pStyle w:val="Contents4"/>
            <w:tabs>
              <w:tab w:val="clear" w:pos="8176"/>
              <w:tab w:val="right" w:pos="9026" w:leader="dot"/>
            </w:tabs>
            <w:rPr/>
          </w:pPr>
          <w:hyperlink w:anchor="__RefHeading___Toc4692999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4693001_581953129">
            <w:r>
              <w:rPr>
                <w:webHidden/>
                <w:rStyle w:val="IndexLink"/>
              </w:rPr>
              <w:t>1</w:t>
            </w:r>
            <w:r>
              <w:rPr>
                <w:rStyle w:val="IndexLink"/>
                <w:rtl w:val="true"/>
              </w:rPr>
              <w:t xml:space="preserve">. </w:t>
            </w:r>
            <w:r>
              <w:rPr>
                <w:rStyle w:val="IndexLink"/>
                <w:rtl w:val="true"/>
              </w:rPr>
              <w:t>برهان سادگی دیدگاه مادی</w:t>
            </w:r>
            <w:r>
              <w:rPr>
                <w:rStyle w:val="IndexLink"/>
                <w:rtl w:val="true"/>
              </w:rPr>
              <w:softHyphen/>
            </w:r>
            <w:r>
              <w:rPr>
                <w:rStyle w:val="IndexLink"/>
                <w:rtl w:val="true"/>
              </w:rPr>
              <w:t xml:space="preserve">انگارانه </w:t>
            </w:r>
            <w:r>
              <w:rPr>
                <w:rStyle w:val="IndexLink"/>
                <w:rtl w:val="true"/>
              </w:rPr>
              <w:t>(</w:t>
            </w:r>
            <w:r>
              <w:rPr>
                <w:rStyle w:val="IndexLink"/>
              </w:rPr>
              <w:t>Simplicity Argument</w:t>
            </w:r>
            <w:r>
              <w:rPr>
                <w:rStyle w:val="IndexLink"/>
                <w:rtl w:val="true"/>
              </w:rPr>
              <w:t>)</w:t>
              <w:tab/>
            </w:r>
            <w:r>
              <w:rPr>
                <w:rStyle w:val="IndexLink"/>
              </w:rPr>
              <w:t>33</w:t>
            </w:r>
          </w:hyperlink>
        </w:p>
        <w:p>
          <w:pPr>
            <w:pStyle w:val="Contents4"/>
            <w:tabs>
              <w:tab w:val="clear" w:pos="8176"/>
              <w:tab w:val="right" w:pos="9026" w:leader="dot"/>
            </w:tabs>
            <w:rPr/>
          </w:pPr>
          <w:hyperlink w:anchor="__RefHeading___Toc4693003_581953129">
            <w:r>
              <w:rPr>
                <w:webHidden/>
                <w:rStyle w:val="IndexLink"/>
              </w:rPr>
              <w:t>2</w:t>
            </w:r>
            <w:r>
              <w:rPr>
                <w:rStyle w:val="IndexLink"/>
                <w:rtl w:val="true"/>
              </w:rPr>
              <w:t xml:space="preserve">. </w:t>
            </w:r>
            <w:r>
              <w:rPr>
                <w:rStyle w:val="IndexLink"/>
                <w:rtl w:val="true"/>
              </w:rPr>
              <w:t xml:space="preserve">برهان ناتوانی تبیین دیدگاه دوگانه‌انگاری </w:t>
            </w:r>
            <w:r>
              <w:rPr>
                <w:rStyle w:val="IndexLink"/>
                <w:rtl w:val="true"/>
              </w:rPr>
              <w:t>(</w:t>
            </w:r>
            <w:r>
              <w:rPr>
                <w:rStyle w:val="IndexLink"/>
              </w:rPr>
              <w:t>Explanatory Impotence</w:t>
            </w:r>
            <w:r>
              <w:rPr>
                <w:rStyle w:val="IndexLink"/>
                <w:rtl w:val="true"/>
              </w:rPr>
              <w:t>)</w:t>
              <w:tab/>
            </w:r>
            <w:r>
              <w:rPr>
                <w:rStyle w:val="IndexLink"/>
              </w:rPr>
              <w:t>33</w:t>
            </w:r>
          </w:hyperlink>
        </w:p>
        <w:p>
          <w:pPr>
            <w:pStyle w:val="Contents4"/>
            <w:tabs>
              <w:tab w:val="clear" w:pos="8176"/>
              <w:tab w:val="right" w:pos="9026" w:leader="dot"/>
            </w:tabs>
            <w:rPr/>
          </w:pPr>
          <w:hyperlink w:anchor="__RefHeading___Toc4693005_581953129">
            <w:r>
              <w:rPr>
                <w:webHidden/>
                <w:rStyle w:val="IndexLink"/>
              </w:rPr>
              <w:t>3</w:t>
            </w:r>
            <w:r>
              <w:rPr>
                <w:rStyle w:val="IndexLink"/>
                <w:rtl w:val="true"/>
              </w:rPr>
              <w:t xml:space="preserve">. </w:t>
            </w:r>
            <w:r>
              <w:rPr>
                <w:rStyle w:val="IndexLink"/>
                <w:rtl w:val="true"/>
              </w:rPr>
              <w:t>برهان وابستگی عصبی</w:t>
            </w:r>
            <w:r>
              <w:rPr>
                <w:rStyle w:val="IndexLink"/>
                <w:rtl w:val="true"/>
              </w:rPr>
              <w:tab/>
            </w:r>
            <w:r>
              <w:rPr>
                <w:rStyle w:val="IndexLink"/>
              </w:rPr>
              <w:t>34</w:t>
            </w:r>
          </w:hyperlink>
        </w:p>
        <w:p>
          <w:pPr>
            <w:pStyle w:val="Contents4"/>
            <w:tabs>
              <w:tab w:val="clear" w:pos="8176"/>
              <w:tab w:val="right" w:pos="9026" w:leader="dot"/>
            </w:tabs>
            <w:rPr/>
          </w:pPr>
          <w:hyperlink w:anchor="__RefHeading___Toc4693007_581953129">
            <w:r>
              <w:rPr>
                <w:webHidden/>
                <w:rStyle w:val="IndexLink"/>
              </w:rPr>
              <w:t>4</w:t>
            </w:r>
            <w:r>
              <w:rPr>
                <w:rStyle w:val="IndexLink"/>
                <w:rtl w:val="true"/>
              </w:rPr>
              <w:t xml:space="preserve">. </w:t>
            </w:r>
            <w:r>
              <w:rPr>
                <w:rStyle w:val="IndexLink"/>
                <w:rtl w:val="true"/>
              </w:rPr>
              <w:t xml:space="preserve">برهان تاریخ تکاملی </w:t>
            </w:r>
            <w:r>
              <w:rPr>
                <w:rStyle w:val="IndexLink"/>
                <w:rtl w:val="true"/>
              </w:rPr>
              <w:t>(</w:t>
            </w:r>
            <w:r>
              <w:rPr>
                <w:rStyle w:val="IndexLink"/>
              </w:rPr>
              <w:t>Evolutionary History</w:t>
            </w:r>
            <w:r>
              <w:rPr>
                <w:rStyle w:val="IndexLink"/>
                <w:rtl w:val="true"/>
              </w:rPr>
              <w:t>)</w:t>
              <w:tab/>
            </w:r>
            <w:r>
              <w:rPr>
                <w:rStyle w:val="IndexLink"/>
              </w:rPr>
              <w:t>35</w:t>
            </w:r>
          </w:hyperlink>
        </w:p>
        <w:p>
          <w:pPr>
            <w:pStyle w:val="Contents4"/>
            <w:tabs>
              <w:tab w:val="clear" w:pos="8176"/>
              <w:tab w:val="right" w:pos="9026" w:leader="dot"/>
            </w:tabs>
            <w:rPr/>
          </w:pPr>
          <w:hyperlink w:anchor="__RefHeading___Toc4693009_581953129">
            <w:r>
              <w:rPr>
                <w:webHidden/>
                <w:rStyle w:val="IndexLink"/>
              </w:rPr>
              <w:t>5</w:t>
            </w:r>
            <w:r>
              <w:rPr>
                <w:rStyle w:val="IndexLink"/>
                <w:rtl w:val="true"/>
              </w:rPr>
              <w:t xml:space="preserve">. </w:t>
            </w:r>
            <w:r>
              <w:rPr>
                <w:rStyle w:val="IndexLink"/>
                <w:rtl w:val="true"/>
              </w:rPr>
              <w:t>برهان تأثیر روان</w:t>
            </w:r>
            <w:r>
              <w:rPr>
                <w:rStyle w:val="IndexLink"/>
                <w:rtl w:val="true"/>
              </w:rPr>
              <w:softHyphen/>
            </w:r>
            <w:r>
              <w:rPr>
                <w:rStyle w:val="IndexLink"/>
                <w:rtl w:val="true"/>
              </w:rPr>
              <w:t>گردان</w:t>
            </w:r>
            <w:r>
              <w:rPr>
                <w:rStyle w:val="IndexLink"/>
                <w:rtl w:val="true"/>
              </w:rPr>
              <w:softHyphen/>
            </w:r>
            <w:r>
              <w:rPr>
                <w:rStyle w:val="IndexLink"/>
                <w:rtl w:val="true"/>
              </w:rPr>
              <w:t xml:space="preserve">ها بر آگاهی </w:t>
            </w:r>
            <w:r>
              <w:rPr>
                <w:rStyle w:val="IndexLink"/>
                <w:rtl w:val="true"/>
              </w:rPr>
              <w:t>(</w:t>
            </w:r>
            <w:r>
              <w:rPr>
                <w:rStyle w:val="IndexLink"/>
              </w:rPr>
              <w:t>Drugs and Consciousness Argument</w:t>
            </w:r>
            <w:r>
              <w:rPr>
                <w:rStyle w:val="IndexLink"/>
                <w:rtl w:val="true"/>
              </w:rPr>
              <w:t>)</w:t>
              <w:tab/>
            </w:r>
            <w:r>
              <w:rPr>
                <w:rStyle w:val="IndexLink"/>
              </w:rPr>
              <w:t>36</w:t>
            </w:r>
          </w:hyperlink>
        </w:p>
        <w:p>
          <w:pPr>
            <w:pStyle w:val="Contents4"/>
            <w:tabs>
              <w:tab w:val="clear" w:pos="8176"/>
              <w:tab w:val="right" w:pos="9026" w:leader="dot"/>
            </w:tabs>
            <w:rPr/>
          </w:pPr>
          <w:hyperlink w:anchor="__RefHeading___Toc4693011_581953129">
            <w:r>
              <w:rPr>
                <w:webHidden/>
                <w:rStyle w:val="IndexLink"/>
              </w:rPr>
              <w:t>6</w:t>
            </w:r>
            <w:r>
              <w:rPr>
                <w:rStyle w:val="IndexLink"/>
                <w:rtl w:val="true"/>
              </w:rPr>
              <w:t xml:space="preserve">. </w:t>
            </w:r>
            <w:r>
              <w:rPr>
                <w:rStyle w:val="IndexLink"/>
                <w:rtl w:val="true"/>
              </w:rPr>
              <w:t xml:space="preserve">برهان مغز دوپاره </w:t>
            </w:r>
            <w:r>
              <w:rPr>
                <w:rStyle w:val="IndexLink"/>
                <w:rtl w:val="true"/>
              </w:rPr>
              <w:t>(</w:t>
            </w:r>
            <w:r>
              <w:rPr>
                <w:rStyle w:val="IndexLink"/>
              </w:rPr>
              <w:t>Split Brain</w:t>
            </w:r>
            <w:r>
              <w:rPr>
                <w:rStyle w:val="IndexLink"/>
                <w:rtl w:val="true"/>
              </w:rPr>
              <w:t>)</w:t>
              <w:tab/>
            </w:r>
            <w:r>
              <w:rPr>
                <w:rStyle w:val="IndexLink"/>
              </w:rPr>
              <w:t>37</w:t>
            </w:r>
          </w:hyperlink>
        </w:p>
        <w:p>
          <w:pPr>
            <w:pStyle w:val="Contents3"/>
            <w:tabs>
              <w:tab w:val="clear" w:pos="8459"/>
              <w:tab w:val="right" w:pos="9026" w:leader="dot"/>
            </w:tabs>
            <w:rPr/>
          </w:pPr>
          <w:hyperlink w:anchor="__RefHeading___Toc4693013_581953129">
            <w:r>
              <w:rPr>
                <w:webHidden/>
                <w:rStyle w:val="IndexLink"/>
                <w:rtl w:val="true"/>
              </w:rPr>
              <w:t>ب</w:t>
            </w:r>
            <w:r>
              <w:rPr>
                <w:rStyle w:val="IndexLink"/>
                <w:rtl w:val="true"/>
              </w:rPr>
              <w:t xml:space="preserve">) </w:t>
            </w:r>
            <w:r>
              <w:rPr>
                <w:rStyle w:val="IndexLink"/>
                <w:rtl w:val="true"/>
              </w:rPr>
              <w:t>نظریات مادی</w:t>
            </w:r>
            <w:r>
              <w:rPr>
                <w:rStyle w:val="IndexLink"/>
                <w:rtl w:val="true"/>
              </w:rPr>
              <w:softHyphen/>
            </w:r>
            <w:r>
              <w:rPr>
                <w:rStyle w:val="IndexLink"/>
                <w:rtl w:val="true"/>
              </w:rPr>
              <w:t xml:space="preserve">انگارانه </w:t>
            </w:r>
            <w:r>
              <w:rPr>
                <w:rStyle w:val="IndexLink"/>
                <w:rtl w:val="true"/>
              </w:rPr>
              <w:t>(</w:t>
            </w:r>
            <w:r>
              <w:rPr>
                <w:rStyle w:val="IndexLink"/>
              </w:rPr>
              <w:t>Physicalist Theories of Mind</w:t>
            </w:r>
            <w:r>
              <w:rPr>
                <w:rStyle w:val="IndexLink"/>
                <w:rtl w:val="true"/>
              </w:rPr>
              <w:t>)</w:t>
              <w:tab/>
            </w:r>
            <w:r>
              <w:rPr>
                <w:rStyle w:val="IndexLink"/>
              </w:rPr>
              <w:t>39</w:t>
            </w:r>
          </w:hyperlink>
        </w:p>
        <w:p>
          <w:pPr>
            <w:pStyle w:val="Contents4"/>
            <w:tabs>
              <w:tab w:val="clear" w:pos="8176"/>
              <w:tab w:val="right" w:pos="9026" w:leader="dot"/>
            </w:tabs>
            <w:rPr/>
          </w:pPr>
          <w:hyperlink w:anchor="__RefHeading___Toc4693015_581953129">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4693017_581953129">
            <w:r>
              <w:rPr>
                <w:webHidden/>
                <w:rStyle w:val="IndexLink"/>
              </w:rPr>
              <w:t>1</w:t>
            </w:r>
            <w:r>
              <w:rPr>
                <w:rStyle w:val="IndexLink"/>
                <w:rtl w:val="true"/>
              </w:rPr>
              <w:t xml:space="preserve">. </w:t>
            </w:r>
            <w:r>
              <w:rPr>
                <w:rStyle w:val="IndexLink"/>
                <w:rtl w:val="true"/>
              </w:rPr>
              <w:t xml:space="preserve">رفتارگرایی فلسفی </w:t>
            </w:r>
            <w:r>
              <w:rPr>
                <w:rStyle w:val="IndexLink"/>
                <w:rtl w:val="true"/>
              </w:rPr>
              <w:t>(</w:t>
            </w:r>
            <w:r>
              <w:rPr>
                <w:rStyle w:val="IndexLink"/>
              </w:rPr>
              <w:t>Philosophical Behaviorism</w:t>
            </w:r>
            <w:r>
              <w:rPr>
                <w:rStyle w:val="IndexLink"/>
                <w:rtl w:val="true"/>
              </w:rPr>
              <w:t>)</w:t>
              <w:tab/>
            </w:r>
            <w:r>
              <w:rPr>
                <w:rStyle w:val="IndexLink"/>
              </w:rPr>
              <w:t>40</w:t>
            </w:r>
          </w:hyperlink>
        </w:p>
        <w:p>
          <w:pPr>
            <w:pStyle w:val="Contents4"/>
            <w:tabs>
              <w:tab w:val="clear" w:pos="8176"/>
              <w:tab w:val="right" w:pos="9026" w:leader="dot"/>
            </w:tabs>
            <w:rPr/>
          </w:pPr>
          <w:hyperlink w:anchor="__RefHeading___Toc4693019_581953129">
            <w:r>
              <w:rPr>
                <w:webHidden/>
                <w:rStyle w:val="IndexLink"/>
              </w:rPr>
              <w:t>2</w:t>
            </w:r>
            <w:r>
              <w:rPr>
                <w:rStyle w:val="IndexLink"/>
                <w:rtl w:val="true"/>
              </w:rPr>
              <w:t xml:space="preserve">. </w:t>
            </w:r>
            <w:r>
              <w:rPr>
                <w:rStyle w:val="IndexLink"/>
                <w:rtl w:val="true"/>
              </w:rPr>
              <w:t>ماتریالیسم تحویل</w:t>
            </w:r>
            <w:r>
              <w:rPr>
                <w:rStyle w:val="IndexLink"/>
                <w:rtl w:val="true"/>
              </w:rPr>
              <w:softHyphen/>
            </w:r>
            <w:r>
              <w:rPr>
                <w:rStyle w:val="IndexLink"/>
                <w:rtl w:val="true"/>
              </w:rPr>
              <w:t>گرا</w:t>
            </w:r>
            <w:r>
              <w:rPr>
                <w:rStyle w:val="IndexLink"/>
                <w:rtl w:val="true"/>
              </w:rPr>
              <w:tab/>
            </w:r>
            <w:r>
              <w:rPr>
                <w:rStyle w:val="IndexLink"/>
              </w:rPr>
              <w:t>40</w:t>
            </w:r>
          </w:hyperlink>
        </w:p>
        <w:p>
          <w:pPr>
            <w:pStyle w:val="Contents4"/>
            <w:tabs>
              <w:tab w:val="clear" w:pos="8176"/>
              <w:tab w:val="right" w:pos="9026" w:leader="dot"/>
            </w:tabs>
            <w:rPr/>
          </w:pPr>
          <w:hyperlink w:anchor="__RefHeading___Toc4693021_581953129">
            <w:r>
              <w:rPr>
                <w:webHidden/>
                <w:rStyle w:val="IndexLink"/>
              </w:rPr>
              <w:t>3</w:t>
            </w:r>
            <w:r>
              <w:rPr>
                <w:rStyle w:val="IndexLink"/>
                <w:rtl w:val="true"/>
              </w:rPr>
              <w:t xml:space="preserve">. </w:t>
            </w:r>
            <w:r>
              <w:rPr>
                <w:rStyle w:val="IndexLink"/>
                <w:rtl w:val="true"/>
              </w:rPr>
              <w:t>استدلال</w:t>
            </w:r>
            <w:r>
              <w:rPr>
                <w:rStyle w:val="IndexLink"/>
                <w:rtl w:val="true"/>
              </w:rPr>
              <w:softHyphen/>
            </w:r>
            <w:r>
              <w:rPr>
                <w:rStyle w:val="IndexLink"/>
                <w:rtl w:val="true"/>
              </w:rPr>
              <w:t>های ضد دیدگاه این</w:t>
            </w:r>
            <w:r>
              <w:rPr>
                <w:rStyle w:val="IndexLink"/>
                <w:rtl w:val="true"/>
              </w:rPr>
              <w:softHyphen/>
            </w:r>
            <w:r>
              <w:rPr>
                <w:rStyle w:val="IndexLink"/>
                <w:rtl w:val="true"/>
              </w:rPr>
              <w:t>همانی</w:t>
            </w:r>
            <w:r>
              <w:rPr>
                <w:rStyle w:val="IndexLink"/>
                <w:rtl w:val="true"/>
              </w:rPr>
              <w:tab/>
            </w:r>
            <w:r>
              <w:rPr>
                <w:rStyle w:val="IndexLink"/>
              </w:rPr>
              <w:t>41</w:t>
            </w:r>
          </w:hyperlink>
        </w:p>
        <w:p>
          <w:pPr>
            <w:pStyle w:val="Contents4"/>
            <w:tabs>
              <w:tab w:val="clear" w:pos="8176"/>
              <w:tab w:val="right" w:pos="9026" w:leader="dot"/>
            </w:tabs>
            <w:rPr/>
          </w:pPr>
          <w:hyperlink w:anchor="__RefHeading___Toc4693023_581953129">
            <w:r>
              <w:rPr>
                <w:webHidden/>
                <w:rStyle w:val="IndexLink"/>
              </w:rPr>
              <w:t>4</w:t>
            </w:r>
            <w:r>
              <w:rPr>
                <w:rStyle w:val="IndexLink"/>
                <w:rtl w:val="true"/>
              </w:rPr>
              <w:t xml:space="preserve">. </w:t>
            </w:r>
            <w:r>
              <w:rPr>
                <w:rStyle w:val="IndexLink"/>
                <w:rtl w:val="true"/>
              </w:rPr>
              <w:t>کارکردگرایی</w:t>
            </w:r>
            <w:r>
              <w:rPr>
                <w:rStyle w:val="IndexLink"/>
                <w:rtl w:val="true"/>
              </w:rPr>
              <w:tab/>
            </w:r>
            <w:r>
              <w:rPr>
                <w:rStyle w:val="IndexLink"/>
              </w:rPr>
              <w:t>41</w:t>
            </w:r>
          </w:hyperlink>
        </w:p>
        <w:p>
          <w:pPr>
            <w:pStyle w:val="Contents4"/>
            <w:tabs>
              <w:tab w:val="clear" w:pos="8176"/>
              <w:tab w:val="right" w:pos="9026" w:leader="dot"/>
            </w:tabs>
            <w:rPr/>
          </w:pPr>
          <w:hyperlink w:anchor="__RefHeading___Toc4693025_581953129">
            <w:r>
              <w:rPr>
                <w:webHidden/>
                <w:rStyle w:val="IndexLink"/>
              </w:rPr>
              <w:t>5</w:t>
            </w:r>
            <w:r>
              <w:rPr>
                <w:rStyle w:val="IndexLink"/>
                <w:rtl w:val="true"/>
              </w:rPr>
              <w:t xml:space="preserve">. </w:t>
            </w:r>
            <w:r>
              <w:rPr>
                <w:rStyle w:val="IndexLink"/>
                <w:rtl w:val="true"/>
              </w:rPr>
              <w:t>ماتریالیسم حذف</w:t>
            </w:r>
            <w:r>
              <w:rPr>
                <w:rStyle w:val="IndexLink"/>
                <w:rtl w:val="true"/>
              </w:rPr>
              <w:softHyphen/>
            </w:r>
            <w:r>
              <w:rPr>
                <w:rStyle w:val="IndexLink"/>
                <w:rtl w:val="true"/>
              </w:rPr>
              <w:t xml:space="preserve">گرا </w:t>
            </w:r>
            <w:r>
              <w:rPr>
                <w:rStyle w:val="IndexLink"/>
                <w:rtl w:val="true"/>
              </w:rPr>
              <w:t>(</w:t>
            </w:r>
            <w:r>
              <w:rPr>
                <w:rStyle w:val="IndexLink"/>
              </w:rPr>
              <w:t>Eliminative Materialism</w:t>
            </w:r>
            <w:r>
              <w:rPr>
                <w:rStyle w:val="IndexLink"/>
                <w:rtl w:val="true"/>
              </w:rPr>
              <w:t>)</w:t>
              <w:tab/>
            </w:r>
            <w:r>
              <w:rPr>
                <w:rStyle w:val="IndexLink"/>
              </w:rPr>
              <w:t>42</w:t>
            </w:r>
          </w:hyperlink>
        </w:p>
        <w:p>
          <w:pPr>
            <w:pStyle w:val="Contents4"/>
            <w:tabs>
              <w:tab w:val="clear" w:pos="8176"/>
              <w:tab w:val="right" w:pos="9026" w:leader="dot"/>
            </w:tabs>
            <w:rPr/>
          </w:pPr>
          <w:hyperlink w:anchor="__RefHeading___Toc4693027_581953129">
            <w:r>
              <w:rPr>
                <w:webHidden/>
                <w:rStyle w:val="IndexLink"/>
              </w:rPr>
              <w:t>6</w:t>
            </w:r>
            <w:r>
              <w:rPr>
                <w:rStyle w:val="IndexLink"/>
                <w:rtl w:val="true"/>
              </w:rPr>
              <w:t xml:space="preserve">. </w:t>
            </w:r>
            <w:r>
              <w:rPr>
                <w:rStyle w:val="IndexLink"/>
                <w:rtl w:val="true"/>
              </w:rPr>
              <w:t>استدلال</w:t>
            </w:r>
            <w:r>
              <w:rPr>
                <w:rStyle w:val="IndexLink"/>
                <w:rtl w:val="true"/>
              </w:rPr>
              <w:softHyphen/>
            </w:r>
            <w:r>
              <w:rPr>
                <w:rStyle w:val="IndexLink"/>
                <w:rtl w:val="true"/>
              </w:rPr>
              <w:t>های ضد دیدگاه ماتریالیسم حذف</w:t>
            </w:r>
            <w:r>
              <w:rPr>
                <w:rStyle w:val="IndexLink"/>
                <w:rtl w:val="true"/>
              </w:rPr>
              <w:softHyphen/>
            </w:r>
            <w:r>
              <w:rPr>
                <w:rStyle w:val="IndexLink"/>
                <w:rtl w:val="true"/>
              </w:rPr>
              <w:t>گرا</w:t>
            </w:r>
            <w:r>
              <w:rPr>
                <w:rStyle w:val="IndexLink"/>
                <w:rtl w:val="true"/>
              </w:rPr>
              <w:tab/>
            </w:r>
            <w:r>
              <w:rPr>
                <w:rStyle w:val="IndexLink"/>
              </w:rPr>
              <w:t>43</w:t>
            </w:r>
          </w:hyperlink>
        </w:p>
        <w:p>
          <w:pPr>
            <w:pStyle w:val="Contents3"/>
            <w:tabs>
              <w:tab w:val="clear" w:pos="8459"/>
              <w:tab w:val="right" w:pos="9026" w:leader="dot"/>
            </w:tabs>
            <w:rPr/>
          </w:pPr>
          <w:hyperlink w:anchor="__RefHeading___Toc4693029_581953129">
            <w:r>
              <w:rPr>
                <w:webHidden/>
                <w:rStyle w:val="IndexLink"/>
                <w:rtl w:val="true"/>
              </w:rPr>
              <w:t>ج</w:t>
            </w:r>
            <w:r>
              <w:rPr>
                <w:rStyle w:val="IndexLink"/>
                <w:rtl w:val="true"/>
              </w:rPr>
              <w:t xml:space="preserve">) </w:t>
            </w:r>
            <w:r>
              <w:rPr>
                <w:rStyle w:val="IndexLink"/>
                <w:rtl w:val="true"/>
              </w:rPr>
              <w:t>بیان اصول کلی به‌کاررفته در استدلال</w:t>
            </w:r>
            <w:r>
              <w:rPr>
                <w:rStyle w:val="IndexLink"/>
                <w:rtl w:val="true"/>
              </w:rPr>
              <w:softHyphen/>
            </w:r>
            <w:r>
              <w:rPr>
                <w:rStyle w:val="IndexLink"/>
                <w:rtl w:val="true"/>
              </w:rPr>
              <w:t>ها</w:t>
            </w:r>
            <w:r>
              <w:rPr>
                <w:rStyle w:val="IndexLink"/>
                <w:rtl w:val="true"/>
              </w:rPr>
              <w:tab/>
            </w:r>
            <w:r>
              <w:rPr>
                <w:rStyle w:val="IndexLink"/>
              </w:rPr>
              <w:t>43</w:t>
            </w:r>
          </w:hyperlink>
        </w:p>
        <w:p>
          <w:pPr>
            <w:pStyle w:val="Contents3"/>
            <w:tabs>
              <w:tab w:val="clear" w:pos="8459"/>
              <w:tab w:val="right" w:pos="9026" w:leader="dot"/>
            </w:tabs>
            <w:rPr/>
          </w:pPr>
          <w:hyperlink w:anchor="__RefHeading___Toc4693031_581953129">
            <w:r>
              <w:rPr>
                <w:webHidden/>
                <w:rStyle w:val="IndexLink"/>
                <w:rtl w:val="true"/>
              </w:rPr>
              <w:t>د</w:t>
            </w:r>
            <w:r>
              <w:rPr>
                <w:rStyle w:val="IndexLink"/>
                <w:rtl w:val="true"/>
              </w:rPr>
              <w:t xml:space="preserve">) </w:t>
            </w:r>
            <w:r>
              <w:rPr>
                <w:rStyle w:val="IndexLink"/>
                <w:rtl w:val="true"/>
              </w:rPr>
              <w:t>تحلیل استدلال</w:t>
            </w:r>
            <w:r>
              <w:rPr>
                <w:rStyle w:val="IndexLink"/>
                <w:rtl w:val="true"/>
              </w:rPr>
              <w:softHyphen/>
            </w:r>
            <w:r>
              <w:rPr>
                <w:rStyle w:val="IndexLink"/>
                <w:rtl w:val="true"/>
              </w:rPr>
              <w:t>ها</w:t>
            </w:r>
            <w:r>
              <w:rPr>
                <w:rStyle w:val="IndexLink"/>
                <w:rtl w:val="true"/>
              </w:rPr>
              <w:tab/>
            </w:r>
            <w:r>
              <w:rPr>
                <w:rStyle w:val="IndexLink"/>
              </w:rPr>
              <w:t>44</w:t>
            </w:r>
          </w:hyperlink>
        </w:p>
        <w:p>
          <w:pPr>
            <w:pStyle w:val="Contents4"/>
            <w:tabs>
              <w:tab w:val="clear" w:pos="8176"/>
              <w:tab w:val="right" w:pos="9026" w:leader="dot"/>
            </w:tabs>
            <w:rPr/>
          </w:pPr>
          <w:hyperlink w:anchor="__RefHeading___Toc4693033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4693035_581953129">
            <w:r>
              <w:rPr>
                <w:webHidden/>
                <w:rStyle w:val="IndexLink"/>
              </w:rPr>
              <w:t>1</w:t>
            </w:r>
            <w:r>
              <w:rPr>
                <w:rStyle w:val="IndexLink"/>
                <w:rtl w:val="true"/>
              </w:rPr>
              <w:t xml:space="preserve">. </w:t>
            </w:r>
            <w:r>
              <w:rPr>
                <w:rStyle w:val="IndexLink"/>
                <w:rtl w:val="true"/>
              </w:rPr>
              <w:t>تحلیل برهان سادگی دیدگاه مادی</w:t>
            </w:r>
            <w:r>
              <w:rPr>
                <w:rStyle w:val="IndexLink"/>
                <w:rtl w:val="true"/>
              </w:rPr>
              <w:softHyphen/>
            </w:r>
            <w:r>
              <w:rPr>
                <w:rStyle w:val="IndexLink"/>
                <w:rtl w:val="true"/>
              </w:rPr>
              <w:t>انگارانه</w:t>
            </w:r>
            <w:r>
              <w:rPr>
                <w:rStyle w:val="IndexLink"/>
                <w:rtl w:val="true"/>
              </w:rPr>
              <w:tab/>
            </w:r>
            <w:r>
              <w:rPr>
                <w:rStyle w:val="IndexLink"/>
              </w:rPr>
              <w:t>44</w:t>
            </w:r>
          </w:hyperlink>
        </w:p>
        <w:p>
          <w:pPr>
            <w:pStyle w:val="Contents4"/>
            <w:tabs>
              <w:tab w:val="clear" w:pos="8176"/>
              <w:tab w:val="right" w:pos="9026" w:leader="dot"/>
            </w:tabs>
            <w:rPr/>
          </w:pPr>
          <w:hyperlink w:anchor="__RefHeading___Toc4693037_581953129">
            <w:r>
              <w:rPr>
                <w:webHidden/>
                <w:rStyle w:val="IndexLink"/>
              </w:rPr>
              <w:t>2</w:t>
            </w:r>
            <w:r>
              <w:rPr>
                <w:rStyle w:val="IndexLink"/>
                <w:rtl w:val="true"/>
              </w:rPr>
              <w:t xml:space="preserve">. </w:t>
            </w:r>
            <w:r>
              <w:rPr>
                <w:rStyle w:val="IndexLink"/>
                <w:rtl w:val="true"/>
              </w:rPr>
              <w:t>تحلیل برهان ناتوانی تبیین دیدگاه دوگانه‌انگاری</w:t>
            </w:r>
            <w:r>
              <w:rPr>
                <w:rStyle w:val="IndexLink"/>
                <w:rtl w:val="true"/>
              </w:rPr>
              <w:tab/>
            </w:r>
            <w:r>
              <w:rPr>
                <w:rStyle w:val="IndexLink"/>
              </w:rPr>
              <w:t>45</w:t>
            </w:r>
          </w:hyperlink>
        </w:p>
        <w:p>
          <w:pPr>
            <w:pStyle w:val="Contents4"/>
            <w:tabs>
              <w:tab w:val="clear" w:pos="8176"/>
              <w:tab w:val="right" w:pos="9026" w:leader="dot"/>
            </w:tabs>
            <w:rPr/>
          </w:pPr>
          <w:hyperlink w:anchor="__RefHeading___Toc4693039_581953129">
            <w:r>
              <w:rPr>
                <w:webHidden/>
                <w:rStyle w:val="IndexLink"/>
              </w:rPr>
              <w:t>3</w:t>
            </w:r>
            <w:r>
              <w:rPr>
                <w:rStyle w:val="IndexLink"/>
                <w:rtl w:val="true"/>
              </w:rPr>
              <w:t xml:space="preserve">. </w:t>
            </w:r>
            <w:r>
              <w:rPr>
                <w:rStyle w:val="IndexLink"/>
                <w:rtl w:val="true"/>
              </w:rPr>
              <w:t>دفع یک اشکال در خصوص اِعداد</w:t>
            </w:r>
            <w:r>
              <w:rPr>
                <w:rStyle w:val="IndexLink"/>
                <w:rtl w:val="true"/>
              </w:rPr>
              <w:tab/>
            </w:r>
            <w:r>
              <w:rPr>
                <w:rStyle w:val="IndexLink"/>
              </w:rPr>
              <w:t>46</w:t>
            </w:r>
          </w:hyperlink>
        </w:p>
        <w:p>
          <w:pPr>
            <w:pStyle w:val="Contents4"/>
            <w:tabs>
              <w:tab w:val="clear" w:pos="8176"/>
              <w:tab w:val="right" w:pos="9026" w:leader="dot"/>
            </w:tabs>
            <w:rPr/>
          </w:pPr>
          <w:hyperlink w:anchor="__RefHeading___Toc4693041_581953129">
            <w:r>
              <w:rPr>
                <w:webHidden/>
                <w:rStyle w:val="IndexLink"/>
              </w:rPr>
              <w:t>4</w:t>
            </w:r>
            <w:r>
              <w:rPr>
                <w:rStyle w:val="IndexLink"/>
                <w:rtl w:val="true"/>
              </w:rPr>
              <w:t xml:space="preserve">. </w:t>
            </w:r>
            <w:r>
              <w:rPr>
                <w:rStyle w:val="IndexLink"/>
                <w:rtl w:val="true"/>
              </w:rPr>
              <w:t>تحلیل برهان تاریخ تکاملی و برهان وابستگی عصبی</w:t>
            </w:r>
            <w:r>
              <w:rPr>
                <w:rStyle w:val="IndexLink"/>
                <w:rtl w:val="true"/>
              </w:rPr>
              <w:tab/>
            </w:r>
            <w:r>
              <w:rPr>
                <w:rStyle w:val="IndexLink"/>
              </w:rPr>
              <w:t>48</w:t>
            </w:r>
          </w:hyperlink>
        </w:p>
        <w:p>
          <w:pPr>
            <w:pStyle w:val="Contents4"/>
            <w:tabs>
              <w:tab w:val="clear" w:pos="8176"/>
              <w:tab w:val="right" w:pos="9026" w:leader="dot"/>
            </w:tabs>
            <w:rPr/>
          </w:pPr>
          <w:hyperlink w:anchor="__RefHeading___Toc4693043_581953129">
            <w:r>
              <w:rPr>
                <w:webHidden/>
                <w:rStyle w:val="IndexLink"/>
              </w:rPr>
              <w:t>4</w:t>
            </w:r>
            <w:r>
              <w:rPr>
                <w:rStyle w:val="IndexLink"/>
                <w:rtl w:val="true"/>
              </w:rPr>
              <w:t xml:space="preserve">. </w:t>
            </w:r>
            <w:r>
              <w:rPr>
                <w:rStyle w:val="IndexLink"/>
                <w:rtl w:val="true"/>
              </w:rPr>
              <w:t>تحلیل برهان تأثیر روان</w:t>
            </w:r>
            <w:r>
              <w:rPr>
                <w:rStyle w:val="IndexLink"/>
                <w:rtl w:val="true"/>
              </w:rPr>
              <w:softHyphen/>
            </w:r>
            <w:r>
              <w:rPr>
                <w:rStyle w:val="IndexLink"/>
                <w:rtl w:val="true"/>
              </w:rPr>
              <w:t>گردان</w:t>
            </w:r>
            <w:r>
              <w:rPr>
                <w:rStyle w:val="IndexLink"/>
                <w:rtl w:val="true"/>
              </w:rPr>
              <w:softHyphen/>
            </w:r>
            <w:r>
              <w:rPr>
                <w:rStyle w:val="IndexLink"/>
                <w:rtl w:val="true"/>
              </w:rPr>
              <w:t>ها بر آگاهی و برهان مغز دوپاره</w:t>
            </w:r>
            <w:r>
              <w:rPr>
                <w:rStyle w:val="IndexLink"/>
                <w:rtl w:val="true"/>
              </w:rPr>
              <w:tab/>
            </w:r>
            <w:r>
              <w:rPr>
                <w:rStyle w:val="IndexLink"/>
              </w:rPr>
              <w:t>49</w:t>
            </w:r>
          </w:hyperlink>
        </w:p>
        <w:p>
          <w:pPr>
            <w:pStyle w:val="Contents4"/>
            <w:tabs>
              <w:tab w:val="clear" w:pos="8176"/>
              <w:tab w:val="right" w:pos="9026" w:leader="dot"/>
            </w:tabs>
            <w:rPr/>
          </w:pPr>
          <w:hyperlink w:anchor="__RefHeading___Toc4693045_581953129">
            <w:r>
              <w:rPr>
                <w:webHidden/>
                <w:rStyle w:val="IndexLink"/>
              </w:rPr>
              <w:t>5</w:t>
            </w:r>
            <w:r>
              <w:rPr>
                <w:rStyle w:val="IndexLink"/>
                <w:rtl w:val="true"/>
              </w:rPr>
              <w:t xml:space="preserve">. </w:t>
            </w:r>
            <w:r>
              <w:rPr>
                <w:rStyle w:val="IndexLink"/>
                <w:rtl w:val="true"/>
              </w:rPr>
              <w:t>تحلیل دلیل مغز دوپاره</w:t>
            </w:r>
            <w:r>
              <w:rPr>
                <w:rStyle w:val="IndexLink"/>
                <w:rtl w:val="true"/>
              </w:rPr>
              <w:tab/>
            </w:r>
            <w:r>
              <w:rPr>
                <w:rStyle w:val="IndexLink"/>
              </w:rPr>
              <w:t>51</w:t>
            </w:r>
          </w:hyperlink>
        </w:p>
        <w:p>
          <w:pPr>
            <w:pStyle w:val="Contents3"/>
            <w:tabs>
              <w:tab w:val="clear" w:pos="8459"/>
              <w:tab w:val="right" w:pos="9026" w:leader="dot"/>
            </w:tabs>
            <w:rPr/>
          </w:pPr>
          <w:hyperlink w:anchor="__RefHeading___Toc4693047_581953129">
            <w:r>
              <w:rPr>
                <w:webHidden/>
                <w:rStyle w:val="IndexLink"/>
                <w:rtl w:val="true"/>
              </w:rPr>
              <w:t>نتیجه‌گیری</w:t>
            </w:r>
            <w:r>
              <w:rPr>
                <w:rStyle w:val="IndexLink"/>
                <w:rtl w:val="true"/>
              </w:rPr>
              <w:tab/>
            </w:r>
            <w:r>
              <w:rPr>
                <w:rStyle w:val="IndexLink"/>
              </w:rPr>
              <w:t>52</w:t>
            </w:r>
          </w:hyperlink>
        </w:p>
        <w:p>
          <w:pPr>
            <w:pStyle w:val="Contents3"/>
            <w:tabs>
              <w:tab w:val="clear" w:pos="8459"/>
              <w:tab w:val="right" w:pos="9026" w:leader="dot"/>
            </w:tabs>
            <w:rPr/>
          </w:pPr>
          <w:hyperlink w:anchor="__RefHeading___Toc4693049_581953129">
            <w:r>
              <w:rPr>
                <w:webHidden/>
                <w:rStyle w:val="IndexLink"/>
                <w:rtl w:val="true"/>
              </w:rPr>
              <w:t>منابع و مآخذ</w:t>
            </w:r>
            <w:r>
              <w:rPr>
                <w:rStyle w:val="IndexLink"/>
                <w:rtl w:val="true"/>
              </w:rPr>
              <w:tab/>
            </w:r>
            <w:r>
              <w:rPr>
                <w:rStyle w:val="IndexLink"/>
              </w:rPr>
              <w:t>54</w:t>
            </w:r>
          </w:hyperlink>
        </w:p>
        <w:p>
          <w:pPr>
            <w:pStyle w:val="Contents2"/>
            <w:tabs>
              <w:tab w:val="clear" w:pos="8743"/>
              <w:tab w:val="right" w:pos="9026" w:leader="dot"/>
            </w:tabs>
            <w:rPr/>
          </w:pPr>
          <w:hyperlink w:anchor="__RefHeading___Toc4693051_581953129">
            <w:r>
              <w:rPr>
                <w:webHidden/>
                <w:rStyle w:val="IndexLink"/>
                <w:rtl w:val="true"/>
              </w:rPr>
              <w:t xml:space="preserve">ذات‌گرایی جدید در فلسفۀ علم معاصر </w:t>
            </w:r>
            <w:r>
              <w:rPr>
                <w:rStyle w:val="IndexLink"/>
                <w:rtl w:val="true"/>
              </w:rPr>
              <w:t>(</w:t>
            </w:r>
            <w:r>
              <w:rPr>
                <w:rStyle w:val="IndexLink"/>
                <w:rtl w:val="true"/>
              </w:rPr>
              <w:t>جریانی مهم، اما ناآشنا در ایران معاصر</w:t>
            </w:r>
            <w:r>
              <w:rPr>
                <w:rStyle w:val="IndexLink"/>
                <w:rtl w:val="true"/>
              </w:rPr>
              <w:t xml:space="preserve">) / </w:t>
            </w:r>
            <w:r>
              <w:rPr>
                <w:rStyle w:val="IndexLink"/>
                <w:rtl w:val="true"/>
              </w:rPr>
              <w:t>ابراهیم دادجو</w:t>
            </w:r>
            <w:r>
              <w:rPr>
                <w:rStyle w:val="IndexLink"/>
                <w:rtl w:val="true"/>
              </w:rPr>
              <w:tab/>
            </w:r>
            <w:r>
              <w:rPr>
                <w:rStyle w:val="IndexLink"/>
              </w:rPr>
              <w:t>57</w:t>
            </w:r>
          </w:hyperlink>
        </w:p>
        <w:p>
          <w:pPr>
            <w:pStyle w:val="Contents3"/>
            <w:tabs>
              <w:tab w:val="clear" w:pos="8459"/>
              <w:tab w:val="right" w:pos="9026" w:leader="dot"/>
            </w:tabs>
            <w:rPr/>
          </w:pPr>
          <w:hyperlink w:anchor="__RefHeading___Toc4693053_58195312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4693055_581953129">
            <w:r>
              <w:rPr>
                <w:webHidden/>
                <w:rStyle w:val="IndexLink"/>
                <w:rtl w:val="true"/>
              </w:rPr>
              <w:t>چکیده</w:t>
            </w:r>
            <w:r>
              <w:rPr>
                <w:rStyle w:val="IndexLink"/>
                <w:rtl w:val="true"/>
              </w:rPr>
              <w:tab/>
            </w:r>
            <w:r>
              <w:rPr>
                <w:rStyle w:val="IndexLink"/>
              </w:rPr>
              <w:t>57</w:t>
            </w:r>
          </w:hyperlink>
        </w:p>
        <w:p>
          <w:pPr>
            <w:pStyle w:val="Contents3"/>
            <w:tabs>
              <w:tab w:val="clear" w:pos="8459"/>
              <w:tab w:val="right" w:pos="9026" w:leader="dot"/>
            </w:tabs>
            <w:rPr/>
          </w:pPr>
          <w:hyperlink w:anchor="__RefHeading___Toc4693057_581953129">
            <w:r>
              <w:rPr>
                <w:webHidden/>
                <w:rStyle w:val="IndexLink"/>
                <w:rtl w:val="true"/>
              </w:rPr>
              <w:t>مقدمه</w:t>
            </w:r>
            <w:r>
              <w:rPr>
                <w:rStyle w:val="IndexLink"/>
                <w:rtl w:val="true"/>
              </w:rPr>
              <w:tab/>
            </w:r>
            <w:r>
              <w:rPr>
                <w:rStyle w:val="IndexLink"/>
              </w:rPr>
              <w:t>58</w:t>
            </w:r>
          </w:hyperlink>
        </w:p>
        <w:p>
          <w:pPr>
            <w:pStyle w:val="Contents3"/>
            <w:tabs>
              <w:tab w:val="clear" w:pos="8459"/>
              <w:tab w:val="right" w:pos="9026" w:leader="dot"/>
            </w:tabs>
            <w:rPr/>
          </w:pPr>
          <w:hyperlink w:anchor="__RefHeading___Toc4693059_581953129">
            <w:r>
              <w:rPr>
                <w:webHidden/>
                <w:rStyle w:val="IndexLink"/>
                <w:rtl w:val="true"/>
              </w:rPr>
              <w:t>الف</w:t>
            </w:r>
            <w:r>
              <w:rPr>
                <w:rStyle w:val="IndexLink"/>
                <w:rtl w:val="true"/>
              </w:rPr>
              <w:t xml:space="preserve">) </w:t>
            </w:r>
            <w:r>
              <w:rPr>
                <w:rStyle w:val="IndexLink"/>
                <w:rtl w:val="true"/>
              </w:rPr>
              <w:t>ذات‌گرایی قدیم</w:t>
            </w:r>
            <w:r>
              <w:rPr>
                <w:rStyle w:val="IndexLink"/>
                <w:rtl w:val="true"/>
              </w:rPr>
              <w:tab/>
            </w:r>
            <w:r>
              <w:rPr>
                <w:rStyle w:val="IndexLink"/>
              </w:rPr>
              <w:t>60</w:t>
            </w:r>
          </w:hyperlink>
        </w:p>
        <w:p>
          <w:pPr>
            <w:pStyle w:val="Contents3"/>
            <w:tabs>
              <w:tab w:val="clear" w:pos="8459"/>
              <w:tab w:val="right" w:pos="9026" w:leader="dot"/>
            </w:tabs>
            <w:rPr/>
          </w:pPr>
          <w:hyperlink w:anchor="__RefHeading___Toc4693061_581953129">
            <w:r>
              <w:rPr>
                <w:webHidden/>
                <w:rStyle w:val="IndexLink"/>
                <w:rtl w:val="true"/>
              </w:rPr>
              <w:t>ب</w:t>
            </w:r>
            <w:r>
              <w:rPr>
                <w:rStyle w:val="IndexLink"/>
                <w:rtl w:val="true"/>
              </w:rPr>
              <w:t xml:space="preserve">) </w:t>
            </w:r>
            <w:r>
              <w:rPr>
                <w:rStyle w:val="IndexLink"/>
                <w:rtl w:val="true"/>
              </w:rPr>
              <w:t>ضد ذات‌گرایی</w:t>
            </w:r>
            <w:r>
              <w:rPr>
                <w:rStyle w:val="IndexLink"/>
                <w:rtl w:val="true"/>
              </w:rPr>
              <w:tab/>
            </w:r>
            <w:r>
              <w:rPr>
                <w:rStyle w:val="IndexLink"/>
              </w:rPr>
              <w:t>62</w:t>
            </w:r>
          </w:hyperlink>
        </w:p>
        <w:p>
          <w:pPr>
            <w:pStyle w:val="Contents3"/>
            <w:tabs>
              <w:tab w:val="clear" w:pos="8459"/>
              <w:tab w:val="right" w:pos="9026" w:leader="dot"/>
            </w:tabs>
            <w:rPr/>
          </w:pPr>
          <w:hyperlink w:anchor="__RefHeading___Toc4693063_581953129">
            <w:r>
              <w:rPr>
                <w:webHidden/>
                <w:rStyle w:val="IndexLink"/>
                <w:rtl w:val="true"/>
              </w:rPr>
              <w:t>ج</w:t>
            </w:r>
            <w:r>
              <w:rPr>
                <w:rStyle w:val="IndexLink"/>
                <w:rtl w:val="true"/>
              </w:rPr>
              <w:t xml:space="preserve">) </w:t>
            </w:r>
            <w:r>
              <w:rPr>
                <w:rStyle w:val="IndexLink"/>
                <w:rtl w:val="true"/>
              </w:rPr>
              <w:t>ذات‌گرایی جدید</w:t>
            </w:r>
            <w:r>
              <w:rPr>
                <w:rStyle w:val="IndexLink"/>
                <w:rtl w:val="true"/>
              </w:rPr>
              <w:tab/>
            </w:r>
            <w:r>
              <w:rPr>
                <w:rStyle w:val="IndexLink"/>
              </w:rPr>
              <w:t>68</w:t>
            </w:r>
          </w:hyperlink>
        </w:p>
        <w:p>
          <w:pPr>
            <w:pStyle w:val="Contents3"/>
            <w:tabs>
              <w:tab w:val="clear" w:pos="8459"/>
              <w:tab w:val="right" w:pos="9026" w:leader="dot"/>
            </w:tabs>
            <w:rPr/>
          </w:pPr>
          <w:hyperlink w:anchor="__RefHeading___Toc4693065_581953129">
            <w:r>
              <w:rPr>
                <w:webHidden/>
                <w:rStyle w:val="IndexLink"/>
                <w:rtl w:val="true"/>
              </w:rPr>
              <w:t>د</w:t>
            </w:r>
            <w:r>
              <w:rPr>
                <w:rStyle w:val="IndexLink"/>
                <w:rtl w:val="true"/>
              </w:rPr>
              <w:t xml:space="preserve">) </w:t>
            </w:r>
            <w:r>
              <w:rPr>
                <w:rStyle w:val="IndexLink"/>
                <w:rtl w:val="true"/>
              </w:rPr>
              <w:t>نقادی وضعیت کنونی ایران معاصر</w:t>
            </w:r>
            <w:r>
              <w:rPr>
                <w:rStyle w:val="IndexLink"/>
                <w:rtl w:val="true"/>
              </w:rPr>
              <w:tab/>
            </w:r>
            <w:r>
              <w:rPr>
                <w:rStyle w:val="IndexLink"/>
              </w:rPr>
              <w:t>71</w:t>
            </w:r>
          </w:hyperlink>
        </w:p>
        <w:p>
          <w:pPr>
            <w:pStyle w:val="Contents3"/>
            <w:tabs>
              <w:tab w:val="clear" w:pos="8459"/>
              <w:tab w:val="right" w:pos="9026" w:leader="dot"/>
            </w:tabs>
            <w:rPr/>
          </w:pPr>
          <w:hyperlink w:anchor="__RefHeading___Toc4693067_581953129">
            <w:r>
              <w:rPr>
                <w:webHidden/>
                <w:rStyle w:val="IndexLink"/>
                <w:rtl w:val="true"/>
              </w:rPr>
              <w:t>ه</w:t>
            </w:r>
            <w:r>
              <w:rPr>
                <w:rStyle w:val="IndexLink"/>
                <w:rtl w:val="true"/>
              </w:rPr>
              <w:t xml:space="preserve">) </w:t>
            </w:r>
            <w:r>
              <w:rPr>
                <w:rStyle w:val="IndexLink"/>
                <w:rtl w:val="true"/>
              </w:rPr>
              <w:t>نقادی ذات‌گرایی نوین</w:t>
            </w:r>
            <w:r>
              <w:rPr>
                <w:rStyle w:val="IndexLink"/>
                <w:rtl w:val="true"/>
              </w:rPr>
              <w:tab/>
            </w:r>
            <w:r>
              <w:rPr>
                <w:rStyle w:val="IndexLink"/>
              </w:rPr>
              <w:t>77</w:t>
            </w:r>
          </w:hyperlink>
        </w:p>
        <w:p>
          <w:pPr>
            <w:pStyle w:val="Contents4"/>
            <w:tabs>
              <w:tab w:val="clear" w:pos="8176"/>
              <w:tab w:val="right" w:pos="9026" w:leader="dot"/>
            </w:tabs>
            <w:rPr/>
          </w:pPr>
          <w:hyperlink w:anchor="__RefHeading___Toc4693069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693071_581953129">
            <w:r>
              <w:rPr>
                <w:webHidden/>
                <w:rStyle w:val="IndexLink"/>
              </w:rPr>
              <w:t>1</w:t>
            </w:r>
            <w:r>
              <w:rPr>
                <w:rStyle w:val="IndexLink"/>
                <w:rtl w:val="true"/>
              </w:rPr>
              <w:t xml:space="preserve">. </w:t>
            </w:r>
            <w:r>
              <w:rPr>
                <w:rStyle w:val="IndexLink"/>
                <w:rtl w:val="true"/>
              </w:rPr>
              <w:t>توانایی استقرا بر کشف واقع</w:t>
            </w:r>
            <w:r>
              <w:rPr>
                <w:rStyle w:val="IndexLink"/>
                <w:rtl w:val="true"/>
              </w:rPr>
              <w:tab/>
            </w:r>
            <w:r>
              <w:rPr>
                <w:rStyle w:val="IndexLink"/>
              </w:rPr>
              <w:t>77</w:t>
            </w:r>
          </w:hyperlink>
        </w:p>
        <w:p>
          <w:pPr>
            <w:pStyle w:val="Contents4"/>
            <w:tabs>
              <w:tab w:val="clear" w:pos="8176"/>
              <w:tab w:val="right" w:pos="9026" w:leader="dot"/>
            </w:tabs>
            <w:rPr/>
          </w:pPr>
          <w:hyperlink w:anchor="__RefHeading___Toc4693073_581953129">
            <w:r>
              <w:rPr>
                <w:webHidden/>
                <w:rStyle w:val="IndexLink"/>
              </w:rPr>
              <w:t>2</w:t>
            </w:r>
            <w:r>
              <w:rPr>
                <w:rStyle w:val="IndexLink"/>
                <w:rtl w:val="true"/>
              </w:rPr>
              <w:t xml:space="preserve">. </w:t>
            </w:r>
            <w:r>
              <w:rPr>
                <w:rStyle w:val="IndexLink"/>
                <w:rtl w:val="true"/>
              </w:rPr>
              <w:t>عدم مانعیت تأثیر عوامل غیرمعرفتی بر معرفت از کشف واقع</w:t>
            </w:r>
            <w:r>
              <w:rPr>
                <w:rStyle w:val="IndexLink"/>
                <w:rtl w:val="true"/>
              </w:rPr>
              <w:tab/>
            </w:r>
            <w:r>
              <w:rPr>
                <w:rStyle w:val="IndexLink"/>
              </w:rPr>
              <w:t>79</w:t>
            </w:r>
          </w:hyperlink>
        </w:p>
        <w:p>
          <w:pPr>
            <w:pStyle w:val="Contents4"/>
            <w:tabs>
              <w:tab w:val="clear" w:pos="8176"/>
              <w:tab w:val="right" w:pos="9026" w:leader="dot"/>
            </w:tabs>
            <w:rPr/>
          </w:pPr>
          <w:hyperlink w:anchor="__RefHeading___Toc4693075_581953129">
            <w:r>
              <w:rPr>
                <w:webHidden/>
                <w:rStyle w:val="IndexLink"/>
              </w:rPr>
              <w:t>3</w:t>
            </w:r>
            <w:r>
              <w:rPr>
                <w:rStyle w:val="IndexLink"/>
                <w:rtl w:val="true"/>
              </w:rPr>
              <w:t xml:space="preserve">. </w:t>
            </w:r>
            <w:r>
              <w:rPr>
                <w:rStyle w:val="IndexLink"/>
                <w:rtl w:val="true"/>
              </w:rPr>
              <w:t>عدم مانعیت تغییر نظریه‌ها از کشف واقع</w:t>
            </w:r>
            <w:r>
              <w:rPr>
                <w:rStyle w:val="IndexLink"/>
                <w:rtl w:val="true"/>
              </w:rPr>
              <w:tab/>
            </w:r>
            <w:r>
              <w:rPr>
                <w:rStyle w:val="IndexLink"/>
              </w:rPr>
              <w:t>80</w:t>
            </w:r>
          </w:hyperlink>
        </w:p>
        <w:p>
          <w:pPr>
            <w:pStyle w:val="Contents4"/>
            <w:tabs>
              <w:tab w:val="clear" w:pos="8176"/>
              <w:tab w:val="right" w:pos="9026" w:leader="dot"/>
            </w:tabs>
            <w:rPr/>
          </w:pPr>
          <w:hyperlink w:anchor="__RefHeading___Toc4693077_581953129">
            <w:r>
              <w:rPr>
                <w:webHidden/>
                <w:rStyle w:val="IndexLink"/>
              </w:rPr>
              <w:t>4</w:t>
            </w:r>
            <w:r>
              <w:rPr>
                <w:rStyle w:val="IndexLink"/>
                <w:rtl w:val="true"/>
              </w:rPr>
              <w:t xml:space="preserve">. </w:t>
            </w:r>
            <w:r>
              <w:rPr>
                <w:rStyle w:val="IndexLink"/>
                <w:rtl w:val="true"/>
              </w:rPr>
              <w:t xml:space="preserve">خطا در ارائۀ </w:t>
            </w:r>
            <w:r>
              <w:rPr>
                <w:rStyle w:val="IndexLink"/>
                <w:rtl w:val="true"/>
              </w:rPr>
              <w:t>«</w:t>
            </w:r>
            <w:r>
              <w:rPr>
                <w:rStyle w:val="IndexLink"/>
                <w:rtl w:val="true"/>
              </w:rPr>
              <w:t>روش علم</w:t>
            </w:r>
            <w:r>
              <w:rPr>
                <w:rStyle w:val="IndexLink"/>
                <w:rtl w:val="true"/>
              </w:rPr>
              <w:t>»</w:t>
              <w:tab/>
            </w:r>
            <w:r>
              <w:rPr>
                <w:rStyle w:val="IndexLink"/>
              </w:rPr>
              <w:t>82</w:t>
            </w:r>
          </w:hyperlink>
        </w:p>
        <w:p>
          <w:pPr>
            <w:pStyle w:val="Contents4"/>
            <w:tabs>
              <w:tab w:val="clear" w:pos="8176"/>
              <w:tab w:val="right" w:pos="9026" w:leader="dot"/>
            </w:tabs>
            <w:rPr/>
          </w:pPr>
          <w:hyperlink w:anchor="__RefHeading___Toc4693079_581953129">
            <w:r>
              <w:rPr>
                <w:webHidden/>
                <w:rStyle w:val="IndexLink"/>
              </w:rPr>
              <w:t>5</w:t>
            </w:r>
            <w:r>
              <w:rPr>
                <w:rStyle w:val="IndexLink"/>
                <w:rtl w:val="true"/>
              </w:rPr>
              <w:t xml:space="preserve">. </w:t>
            </w:r>
            <w:r>
              <w:rPr>
                <w:rStyle w:val="IndexLink"/>
                <w:rtl w:val="true"/>
              </w:rPr>
              <w:t xml:space="preserve">خطای در بسط روش </w:t>
            </w:r>
            <w:r>
              <w:rPr>
                <w:rStyle w:val="IndexLink"/>
                <w:rtl w:val="true"/>
              </w:rPr>
              <w:t>«</w:t>
            </w:r>
            <w:r>
              <w:rPr>
                <w:rStyle w:val="IndexLink"/>
                <w:rtl w:val="true"/>
              </w:rPr>
              <w:t>استنتاج از راه بهترین تبیین</w:t>
            </w:r>
            <w:r>
              <w:rPr>
                <w:rStyle w:val="IndexLink"/>
                <w:rtl w:val="true"/>
              </w:rPr>
              <w:t xml:space="preserve">» </w:t>
            </w:r>
            <w:r>
              <w:rPr>
                <w:rStyle w:val="IndexLink"/>
                <w:rtl w:val="true"/>
              </w:rPr>
              <w:t>به همۀ علوم</w:t>
            </w:r>
            <w:r>
              <w:rPr>
                <w:rStyle w:val="IndexLink"/>
                <w:rtl w:val="true"/>
              </w:rPr>
              <w:tab/>
            </w:r>
            <w:r>
              <w:rPr>
                <w:rStyle w:val="IndexLink"/>
              </w:rPr>
              <w:t>82</w:t>
            </w:r>
          </w:hyperlink>
        </w:p>
        <w:p>
          <w:pPr>
            <w:pStyle w:val="Contents3"/>
            <w:tabs>
              <w:tab w:val="clear" w:pos="8459"/>
              <w:tab w:val="right" w:pos="9026" w:leader="dot"/>
            </w:tabs>
            <w:rPr/>
          </w:pPr>
          <w:hyperlink w:anchor="__RefHeading___Toc4693081_581953129">
            <w:r>
              <w:rPr>
                <w:webHidden/>
                <w:rStyle w:val="IndexLink"/>
                <w:rtl w:val="true"/>
              </w:rPr>
              <w:t>نتیجه‌گیری</w:t>
            </w:r>
            <w:r>
              <w:rPr>
                <w:rStyle w:val="IndexLink"/>
                <w:rtl w:val="true"/>
              </w:rPr>
              <w:tab/>
            </w:r>
            <w:r>
              <w:rPr>
                <w:rStyle w:val="IndexLink"/>
              </w:rPr>
              <w:t>83</w:t>
            </w:r>
          </w:hyperlink>
        </w:p>
        <w:p>
          <w:pPr>
            <w:pStyle w:val="Contents3"/>
            <w:tabs>
              <w:tab w:val="clear" w:pos="8459"/>
              <w:tab w:val="right" w:pos="9026" w:leader="dot"/>
            </w:tabs>
            <w:rPr/>
          </w:pPr>
          <w:hyperlink w:anchor="__RefHeading___Toc4693083_581953129">
            <w:r>
              <w:rPr>
                <w:webHidden/>
                <w:rStyle w:val="IndexLink"/>
                <w:rtl w:val="true"/>
              </w:rPr>
              <w:t>منابع و مآخذ</w:t>
            </w:r>
            <w:r>
              <w:rPr>
                <w:rStyle w:val="IndexLink"/>
                <w:rtl w:val="true"/>
              </w:rPr>
              <w:tab/>
            </w:r>
            <w:r>
              <w:rPr>
                <w:rStyle w:val="IndexLink"/>
              </w:rPr>
              <w:t>84</w:t>
            </w:r>
          </w:hyperlink>
        </w:p>
        <w:p>
          <w:pPr>
            <w:pStyle w:val="Contents3"/>
            <w:tabs>
              <w:tab w:val="clear" w:pos="8459"/>
              <w:tab w:val="right" w:pos="9026" w:leader="dot"/>
            </w:tabs>
            <w:rPr/>
          </w:pPr>
          <w:hyperlink w:anchor="__RefHeading___Toc4693085_581953129">
            <w:r>
              <w:rPr>
                <w:webHidden/>
                <w:rStyle w:val="IndexLink"/>
                <w:rtl w:val="true"/>
              </w:rPr>
              <w:t>منابع برای مطالعه و پژوهش بیشتر</w:t>
            </w:r>
            <w:r>
              <w:rPr>
                <w:rStyle w:val="IndexLink"/>
                <w:rtl w:val="true"/>
              </w:rPr>
              <w:tab/>
            </w:r>
            <w:r>
              <w:rPr>
                <w:rStyle w:val="IndexLink"/>
              </w:rPr>
              <w:t>86</w:t>
            </w:r>
          </w:hyperlink>
        </w:p>
        <w:p>
          <w:pPr>
            <w:pStyle w:val="Contents2"/>
            <w:tabs>
              <w:tab w:val="clear" w:pos="8743"/>
              <w:tab w:val="right" w:pos="9026" w:leader="dot"/>
            </w:tabs>
            <w:rPr/>
          </w:pPr>
          <w:hyperlink w:anchor="__RefHeading___Toc4693087_581953129">
            <w:r>
              <w:rPr>
                <w:webHidden/>
                <w:rStyle w:val="IndexLink"/>
                <w:rtl w:val="true"/>
              </w:rPr>
              <w:t xml:space="preserve">دفاع از واقع‌گرایی هستی‌شناختی بدون التزام به واقع‌گرایی معرفت‌شناختی </w:t>
            </w:r>
            <w:r>
              <w:rPr>
                <w:rStyle w:val="IndexLink"/>
                <w:rtl w:val="true"/>
              </w:rPr>
              <w:t xml:space="preserve">/ </w:t>
            </w:r>
            <w:r>
              <w:rPr>
                <w:rStyle w:val="IndexLink"/>
                <w:rtl w:val="true"/>
              </w:rPr>
              <w:t>جهانگیر موذن‌زاده، میر‌سعید موسوی کریمی</w:t>
            </w:r>
            <w:r>
              <w:rPr>
                <w:rStyle w:val="IndexLink"/>
                <w:rtl w:val="true"/>
              </w:rPr>
              <w:tab/>
            </w:r>
            <w:r>
              <w:rPr>
                <w:rStyle w:val="IndexLink"/>
              </w:rPr>
              <w:t>90</w:t>
            </w:r>
          </w:hyperlink>
        </w:p>
        <w:p>
          <w:pPr>
            <w:pStyle w:val="Contents3"/>
            <w:tabs>
              <w:tab w:val="clear" w:pos="8459"/>
              <w:tab w:val="right" w:pos="9026" w:leader="dot"/>
            </w:tabs>
            <w:rPr/>
          </w:pPr>
          <w:hyperlink w:anchor="__RefHeading___Toc4693089_58195312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4693091_581953129">
            <w:r>
              <w:rPr>
                <w:webHidden/>
                <w:rStyle w:val="IndexLink"/>
                <w:rtl w:val="true"/>
              </w:rPr>
              <w:t>چکیده</w:t>
            </w:r>
            <w:r>
              <w:rPr>
                <w:rStyle w:val="IndexLink"/>
                <w:rtl w:val="true"/>
              </w:rPr>
              <w:tab/>
            </w:r>
            <w:r>
              <w:rPr>
                <w:rStyle w:val="IndexLink"/>
              </w:rPr>
              <w:t>90</w:t>
            </w:r>
          </w:hyperlink>
        </w:p>
        <w:p>
          <w:pPr>
            <w:pStyle w:val="Contents3"/>
            <w:tabs>
              <w:tab w:val="clear" w:pos="8459"/>
              <w:tab w:val="right" w:pos="9026" w:leader="dot"/>
            </w:tabs>
            <w:rPr/>
          </w:pPr>
          <w:hyperlink w:anchor="__RefHeading___Toc4693093_581953129">
            <w:r>
              <w:rPr>
                <w:webHidden/>
                <w:rStyle w:val="IndexLink"/>
                <w:rtl w:val="true"/>
              </w:rPr>
              <w:t>مقدمه</w:t>
            </w:r>
            <w:r>
              <w:rPr>
                <w:rStyle w:val="IndexLink"/>
                <w:rtl w:val="true"/>
              </w:rPr>
              <w:tab/>
            </w:r>
            <w:r>
              <w:rPr>
                <w:rStyle w:val="IndexLink"/>
              </w:rPr>
              <w:t>91</w:t>
            </w:r>
          </w:hyperlink>
        </w:p>
        <w:p>
          <w:pPr>
            <w:pStyle w:val="Contents3"/>
            <w:tabs>
              <w:tab w:val="clear" w:pos="8459"/>
              <w:tab w:val="right" w:pos="9026" w:leader="dot"/>
            </w:tabs>
            <w:rPr/>
          </w:pPr>
          <w:hyperlink w:anchor="__RefHeading___Toc4693095_581953129">
            <w:r>
              <w:rPr>
                <w:webHidden/>
                <w:rStyle w:val="IndexLink"/>
                <w:rtl w:val="true"/>
              </w:rPr>
              <w:t>الف</w:t>
            </w:r>
            <w:r>
              <w:rPr>
                <w:rStyle w:val="IndexLink"/>
                <w:rtl w:val="true"/>
              </w:rPr>
              <w:t xml:space="preserve">) </w:t>
            </w:r>
            <w:r>
              <w:rPr>
                <w:rStyle w:val="IndexLink"/>
                <w:rtl w:val="true"/>
              </w:rPr>
              <w:t>معرفی تجربه‌گرایی برساختی ون فراسن</w:t>
            </w:r>
            <w:r>
              <w:rPr>
                <w:rStyle w:val="IndexLink"/>
                <w:rtl w:val="true"/>
              </w:rPr>
              <w:tab/>
            </w:r>
            <w:r>
              <w:rPr>
                <w:rStyle w:val="IndexLink"/>
              </w:rPr>
              <w:t>93</w:t>
            </w:r>
          </w:hyperlink>
        </w:p>
        <w:p>
          <w:pPr>
            <w:pStyle w:val="Contents3"/>
            <w:tabs>
              <w:tab w:val="clear" w:pos="8459"/>
              <w:tab w:val="right" w:pos="9026" w:leader="dot"/>
            </w:tabs>
            <w:rPr/>
          </w:pPr>
          <w:hyperlink w:anchor="__RefHeading___Toc4693097_581953129">
            <w:r>
              <w:rPr>
                <w:webHidden/>
                <w:rStyle w:val="IndexLink"/>
                <w:rtl w:val="true"/>
              </w:rPr>
              <w:t>ب</w:t>
            </w:r>
            <w:r>
              <w:rPr>
                <w:rStyle w:val="IndexLink"/>
                <w:rtl w:val="true"/>
              </w:rPr>
              <w:t xml:space="preserve">) </w:t>
            </w:r>
            <w:r>
              <w:rPr>
                <w:rStyle w:val="IndexLink"/>
                <w:rtl w:val="true"/>
              </w:rPr>
              <w:t>تمایز مشاهده‌پذیر و مشاهده‌ناپذیر از نگاه ون فراسن</w:t>
            </w:r>
            <w:r>
              <w:rPr>
                <w:rStyle w:val="IndexLink"/>
                <w:rtl w:val="true"/>
              </w:rPr>
              <w:tab/>
            </w:r>
            <w:r>
              <w:rPr>
                <w:rStyle w:val="IndexLink"/>
              </w:rPr>
              <w:t>96</w:t>
            </w:r>
          </w:hyperlink>
        </w:p>
        <w:p>
          <w:pPr>
            <w:pStyle w:val="Contents3"/>
            <w:tabs>
              <w:tab w:val="clear" w:pos="8459"/>
              <w:tab w:val="right" w:pos="9026" w:leader="dot"/>
            </w:tabs>
            <w:rPr/>
          </w:pPr>
          <w:hyperlink w:anchor="__RefHeading___Toc4693099_581953129">
            <w:r>
              <w:rPr>
                <w:webHidden/>
                <w:rStyle w:val="IndexLink"/>
                <w:rtl w:val="true"/>
              </w:rPr>
              <w:t>ج</w:t>
            </w:r>
            <w:r>
              <w:rPr>
                <w:rStyle w:val="IndexLink"/>
                <w:rtl w:val="true"/>
              </w:rPr>
              <w:t xml:space="preserve">) </w:t>
            </w:r>
            <w:r>
              <w:rPr>
                <w:rStyle w:val="IndexLink"/>
                <w:rtl w:val="true"/>
              </w:rPr>
              <w:t>انتقادها علیه تمایز مشاهده‌پذیر و مشاهده‌ناپذیر</w:t>
            </w:r>
            <w:r>
              <w:rPr>
                <w:rStyle w:val="IndexLink"/>
                <w:rtl w:val="true"/>
              </w:rPr>
              <w:tab/>
            </w:r>
            <w:r>
              <w:rPr>
                <w:rStyle w:val="IndexLink"/>
              </w:rPr>
              <w:t>97</w:t>
            </w:r>
          </w:hyperlink>
        </w:p>
        <w:p>
          <w:pPr>
            <w:pStyle w:val="Contents4"/>
            <w:tabs>
              <w:tab w:val="clear" w:pos="8176"/>
              <w:tab w:val="right" w:pos="9026" w:leader="dot"/>
            </w:tabs>
            <w:rPr/>
          </w:pPr>
          <w:hyperlink w:anchor="__RefHeading___Toc4693101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4693103_581953129">
            <w:r>
              <w:rPr>
                <w:webHidden/>
                <w:rStyle w:val="IndexLink"/>
              </w:rPr>
              <w:t>1</w:t>
            </w:r>
            <w:r>
              <w:rPr>
                <w:rStyle w:val="IndexLink"/>
                <w:rtl w:val="true"/>
              </w:rPr>
              <w:t xml:space="preserve">. </w:t>
            </w:r>
            <w:r>
              <w:rPr>
                <w:rStyle w:val="IndexLink"/>
                <w:rtl w:val="true"/>
              </w:rPr>
              <w:t>انتقاد ناسازگاری</w:t>
            </w:r>
            <w:r>
              <w:rPr>
                <w:rStyle w:val="IndexLink"/>
                <w:rtl w:val="true"/>
              </w:rPr>
              <w:tab/>
            </w:r>
            <w:r>
              <w:rPr>
                <w:rStyle w:val="IndexLink"/>
              </w:rPr>
              <w:t>98</w:t>
            </w:r>
          </w:hyperlink>
        </w:p>
        <w:p>
          <w:pPr>
            <w:pStyle w:val="Contents4"/>
            <w:tabs>
              <w:tab w:val="clear" w:pos="8176"/>
              <w:tab w:val="right" w:pos="9026" w:leader="dot"/>
            </w:tabs>
            <w:rPr/>
          </w:pPr>
          <w:hyperlink w:anchor="__RefHeading___Toc4693105_581953129">
            <w:r>
              <w:rPr>
                <w:webHidden/>
                <w:rStyle w:val="IndexLink"/>
              </w:rPr>
              <w:t>2</w:t>
            </w:r>
            <w:r>
              <w:rPr>
                <w:rStyle w:val="IndexLink"/>
                <w:rtl w:val="true"/>
              </w:rPr>
              <w:t xml:space="preserve">. </w:t>
            </w:r>
            <w:r>
              <w:rPr>
                <w:rStyle w:val="IndexLink"/>
                <w:rtl w:val="true"/>
              </w:rPr>
              <w:t>پاسخ به انتقاد ناسازگاری</w:t>
            </w:r>
            <w:r>
              <w:rPr>
                <w:rStyle w:val="IndexLink"/>
                <w:rtl w:val="true"/>
              </w:rPr>
              <w:tab/>
            </w:r>
            <w:r>
              <w:rPr>
                <w:rStyle w:val="IndexLink"/>
              </w:rPr>
              <w:t>98</w:t>
            </w:r>
          </w:hyperlink>
        </w:p>
        <w:p>
          <w:pPr>
            <w:pStyle w:val="Contents4"/>
            <w:tabs>
              <w:tab w:val="clear" w:pos="8176"/>
              <w:tab w:val="right" w:pos="9026" w:leader="dot"/>
            </w:tabs>
            <w:rPr/>
          </w:pPr>
          <w:hyperlink w:anchor="__RefHeading___Toc4693107_581953129">
            <w:r>
              <w:rPr>
                <w:webHidden/>
                <w:rStyle w:val="IndexLink"/>
              </w:rPr>
              <w:t>3</w:t>
            </w:r>
            <w:r>
              <w:rPr>
                <w:rStyle w:val="IndexLink"/>
                <w:rtl w:val="true"/>
              </w:rPr>
              <w:t xml:space="preserve">. </w:t>
            </w:r>
            <w:r>
              <w:rPr>
                <w:rStyle w:val="IndexLink"/>
                <w:rtl w:val="true"/>
              </w:rPr>
              <w:t>انتقاد جامعۀ معرفتی</w:t>
            </w:r>
            <w:r>
              <w:rPr>
                <w:rStyle w:val="IndexLink"/>
                <w:rtl w:val="true"/>
              </w:rPr>
              <w:tab/>
            </w:r>
            <w:r>
              <w:rPr>
                <w:rStyle w:val="IndexLink"/>
              </w:rPr>
              <w:t>99</w:t>
            </w:r>
          </w:hyperlink>
        </w:p>
        <w:p>
          <w:pPr>
            <w:pStyle w:val="Contents4"/>
            <w:tabs>
              <w:tab w:val="clear" w:pos="8176"/>
              <w:tab w:val="right" w:pos="9026" w:leader="dot"/>
            </w:tabs>
            <w:rPr/>
          </w:pPr>
          <w:hyperlink w:anchor="__RefHeading___Toc4693109_581953129">
            <w:r>
              <w:rPr>
                <w:webHidden/>
                <w:rStyle w:val="IndexLink"/>
              </w:rPr>
              <w:t>4</w:t>
            </w:r>
            <w:r>
              <w:rPr>
                <w:rStyle w:val="IndexLink"/>
                <w:rtl w:val="true"/>
              </w:rPr>
              <w:t xml:space="preserve">. </w:t>
            </w:r>
            <w:r>
              <w:rPr>
                <w:rStyle w:val="IndexLink"/>
                <w:rtl w:val="true"/>
              </w:rPr>
              <w:t>پاسخ به انتقاد جامعۀ معرفتی</w:t>
            </w:r>
            <w:r>
              <w:rPr>
                <w:rStyle w:val="IndexLink"/>
                <w:rtl w:val="true"/>
              </w:rPr>
              <w:tab/>
            </w:r>
            <w:r>
              <w:rPr>
                <w:rStyle w:val="IndexLink"/>
              </w:rPr>
              <w:t>100</w:t>
            </w:r>
          </w:hyperlink>
        </w:p>
        <w:p>
          <w:pPr>
            <w:pStyle w:val="Contents4"/>
            <w:tabs>
              <w:tab w:val="clear" w:pos="8176"/>
              <w:tab w:val="right" w:pos="9026" w:leader="dot"/>
            </w:tabs>
            <w:rPr/>
          </w:pPr>
          <w:hyperlink w:anchor="__RefHeading___Toc4693111_581953129">
            <w:r>
              <w:rPr>
                <w:webHidden/>
                <w:rStyle w:val="IndexLink"/>
              </w:rPr>
              <w:t>5</w:t>
            </w:r>
            <w:r>
              <w:rPr>
                <w:rStyle w:val="IndexLink"/>
                <w:rtl w:val="true"/>
              </w:rPr>
              <w:t xml:space="preserve">. </w:t>
            </w:r>
            <w:r>
              <w:rPr>
                <w:rStyle w:val="IndexLink"/>
                <w:rtl w:val="true"/>
              </w:rPr>
              <w:t>انتقاد علی‌الاصول مشاهده‌نا‌پذیر</w:t>
            </w:r>
            <w:r>
              <w:rPr>
                <w:rStyle w:val="IndexLink"/>
                <w:rtl w:val="true"/>
              </w:rPr>
              <w:tab/>
            </w:r>
            <w:r>
              <w:rPr>
                <w:rStyle w:val="IndexLink"/>
              </w:rPr>
              <w:t>101</w:t>
            </w:r>
          </w:hyperlink>
        </w:p>
        <w:p>
          <w:pPr>
            <w:pStyle w:val="Contents4"/>
            <w:tabs>
              <w:tab w:val="clear" w:pos="8176"/>
              <w:tab w:val="right" w:pos="9026" w:leader="dot"/>
            </w:tabs>
            <w:rPr/>
          </w:pPr>
          <w:hyperlink w:anchor="__RefHeading___Toc4693113_581953129">
            <w:r>
              <w:rPr>
                <w:webHidden/>
                <w:rStyle w:val="IndexLink"/>
              </w:rPr>
              <w:t>6</w:t>
            </w:r>
            <w:r>
              <w:rPr>
                <w:rStyle w:val="IndexLink"/>
                <w:rtl w:val="true"/>
              </w:rPr>
              <w:t xml:space="preserve">. </w:t>
            </w:r>
            <w:r>
              <w:rPr>
                <w:rStyle w:val="IndexLink"/>
                <w:rtl w:val="true"/>
              </w:rPr>
              <w:t>پاسخ به انتقاد علی‌الاصول مشاهده‌ناپذیر</w:t>
            </w:r>
            <w:r>
              <w:rPr>
                <w:rStyle w:val="IndexLink"/>
                <w:rtl w:val="true"/>
              </w:rPr>
              <w:tab/>
            </w:r>
            <w:r>
              <w:rPr>
                <w:rStyle w:val="IndexLink"/>
              </w:rPr>
              <w:t>102</w:t>
            </w:r>
          </w:hyperlink>
        </w:p>
        <w:p>
          <w:pPr>
            <w:pStyle w:val="Contents3"/>
            <w:tabs>
              <w:tab w:val="clear" w:pos="8459"/>
              <w:tab w:val="right" w:pos="9026" w:leader="dot"/>
            </w:tabs>
            <w:rPr/>
          </w:pPr>
          <w:hyperlink w:anchor="__RefHeading___Toc4693115_581953129">
            <w:r>
              <w:rPr>
                <w:webHidden/>
                <w:rStyle w:val="IndexLink"/>
                <w:rtl w:val="true"/>
              </w:rPr>
              <w:t>د</w:t>
            </w:r>
            <w:r>
              <w:rPr>
                <w:rStyle w:val="IndexLink"/>
                <w:rtl w:val="true"/>
              </w:rPr>
              <w:t xml:space="preserve">) </w:t>
            </w:r>
            <w:r>
              <w:rPr>
                <w:rStyle w:val="IndexLink"/>
                <w:rtl w:val="true"/>
              </w:rPr>
              <w:t>حفظ واقع‌گرایی هستی‌شناختی بدون التزام به واقع‌گرایی معرفت‌شناختی</w:t>
            </w:r>
            <w:r>
              <w:rPr>
                <w:rStyle w:val="IndexLink"/>
                <w:rtl w:val="true"/>
              </w:rPr>
              <w:tab/>
            </w:r>
            <w:r>
              <w:rPr>
                <w:rStyle w:val="IndexLink"/>
              </w:rPr>
              <w:t>103</w:t>
            </w:r>
          </w:hyperlink>
        </w:p>
        <w:p>
          <w:pPr>
            <w:pStyle w:val="Contents4"/>
            <w:tabs>
              <w:tab w:val="clear" w:pos="8176"/>
              <w:tab w:val="right" w:pos="9026" w:leader="dot"/>
            </w:tabs>
            <w:rPr/>
          </w:pPr>
          <w:hyperlink w:anchor="__RefHeading___Toc4693117_58195312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693119_581953129">
            <w:r>
              <w:rPr>
                <w:webHidden/>
                <w:rStyle w:val="IndexLink"/>
              </w:rPr>
              <w:t>1</w:t>
            </w:r>
            <w:r>
              <w:rPr>
                <w:rStyle w:val="IndexLink"/>
                <w:rtl w:val="true"/>
              </w:rPr>
              <w:t xml:space="preserve">. </w:t>
            </w:r>
            <w:r>
              <w:rPr>
                <w:rStyle w:val="IndexLink"/>
                <w:rtl w:val="true"/>
              </w:rPr>
              <w:t xml:space="preserve">دیدگاه کانت دربارۀ محمول </w:t>
            </w:r>
            <w:r>
              <w:rPr>
                <w:rStyle w:val="IndexLink"/>
                <w:rtl w:val="true"/>
              </w:rPr>
              <w:t>«</w:t>
            </w:r>
            <w:r>
              <w:rPr>
                <w:rStyle w:val="IndexLink"/>
                <w:rtl w:val="true"/>
              </w:rPr>
              <w:t>وجودداشتن</w:t>
            </w:r>
            <w:r>
              <w:rPr>
                <w:rStyle w:val="IndexLink"/>
                <w:rtl w:val="true"/>
              </w:rPr>
              <w:t>»</w:t>
              <w:tab/>
            </w:r>
            <w:r>
              <w:rPr>
                <w:rStyle w:val="IndexLink"/>
              </w:rPr>
              <w:t>105</w:t>
            </w:r>
          </w:hyperlink>
        </w:p>
        <w:p>
          <w:pPr>
            <w:pStyle w:val="Contents4"/>
            <w:tabs>
              <w:tab w:val="clear" w:pos="8176"/>
              <w:tab w:val="right" w:pos="9026" w:leader="dot"/>
            </w:tabs>
            <w:rPr/>
          </w:pPr>
          <w:hyperlink w:anchor="__RefHeading___Toc4693121_581953129">
            <w:r>
              <w:rPr>
                <w:webHidden/>
                <w:rStyle w:val="IndexLink"/>
              </w:rPr>
              <w:t>2</w:t>
            </w:r>
            <w:r>
              <w:rPr>
                <w:rStyle w:val="IndexLink"/>
                <w:rtl w:val="true"/>
              </w:rPr>
              <w:t xml:space="preserve">. </w:t>
            </w:r>
            <w:r>
              <w:rPr>
                <w:rStyle w:val="IndexLink"/>
                <w:rtl w:val="true"/>
              </w:rPr>
              <w:t>رویکرد فرگه</w:t>
            </w:r>
            <w:r>
              <w:rPr>
                <w:rStyle w:val="IndexLink"/>
                <w:rtl w:val="true"/>
              </w:rPr>
              <w:t xml:space="preserve">- </w:t>
            </w:r>
            <w:r>
              <w:rPr>
                <w:rStyle w:val="IndexLink"/>
                <w:rtl w:val="true"/>
              </w:rPr>
              <w:t>راسل به وجود در سنت فلسفۀ تحلیلی</w:t>
            </w:r>
            <w:r>
              <w:rPr>
                <w:rStyle w:val="IndexLink"/>
                <w:rtl w:val="true"/>
              </w:rPr>
              <w:tab/>
            </w:r>
            <w:r>
              <w:rPr>
                <w:rStyle w:val="IndexLink"/>
              </w:rPr>
              <w:t>106</w:t>
            </w:r>
          </w:hyperlink>
        </w:p>
        <w:p>
          <w:pPr>
            <w:pStyle w:val="Contents4"/>
            <w:tabs>
              <w:tab w:val="clear" w:pos="8176"/>
              <w:tab w:val="right" w:pos="9026" w:leader="dot"/>
            </w:tabs>
            <w:rPr/>
          </w:pPr>
          <w:hyperlink w:anchor="__RefHeading___Toc4693123_581953129">
            <w:r>
              <w:rPr>
                <w:webHidden/>
                <w:rStyle w:val="IndexLink"/>
              </w:rPr>
              <w:t>3</w:t>
            </w:r>
            <w:r>
              <w:rPr>
                <w:rStyle w:val="IndexLink"/>
                <w:rtl w:val="true"/>
              </w:rPr>
              <w:t xml:space="preserve">. </w:t>
            </w:r>
            <w:r>
              <w:rPr>
                <w:rStyle w:val="IndexLink"/>
                <w:rtl w:val="true"/>
              </w:rPr>
              <w:t>رویکرد به وجود در سنت فلسفۀ اسلامی</w:t>
            </w:r>
            <w:r>
              <w:rPr>
                <w:rStyle w:val="IndexLink"/>
                <w:rtl w:val="true"/>
              </w:rPr>
              <w:tab/>
            </w:r>
            <w:r>
              <w:rPr>
                <w:rStyle w:val="IndexLink"/>
              </w:rPr>
              <w:t>107</w:t>
            </w:r>
          </w:hyperlink>
        </w:p>
        <w:p>
          <w:pPr>
            <w:pStyle w:val="Contents5"/>
            <w:tabs>
              <w:tab w:val="clear" w:pos="7892"/>
              <w:tab w:val="right" w:pos="9026" w:leader="dot"/>
            </w:tabs>
            <w:rPr/>
          </w:pPr>
          <w:hyperlink w:anchor="__RefHeading___Toc4693125_581953129">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4693127_581953129">
            <w:r>
              <w:rPr>
                <w:webHidden/>
                <w:rStyle w:val="IndexLink"/>
              </w:rPr>
              <w:t>1-3</w:t>
            </w:r>
            <w:r>
              <w:rPr>
                <w:rStyle w:val="IndexLink"/>
                <w:rtl w:val="true"/>
              </w:rPr>
              <w:t xml:space="preserve">. </w:t>
            </w:r>
            <w:r>
              <w:rPr>
                <w:rStyle w:val="IndexLink"/>
                <w:rtl w:val="true"/>
              </w:rPr>
              <w:t>ماهیت</w:t>
            </w:r>
            <w:r>
              <w:rPr>
                <w:rStyle w:val="IndexLink"/>
                <w:rtl w:val="true"/>
              </w:rPr>
              <w:tab/>
            </w:r>
            <w:r>
              <w:rPr>
                <w:rStyle w:val="IndexLink"/>
              </w:rPr>
              <w:t>108</w:t>
            </w:r>
          </w:hyperlink>
        </w:p>
        <w:p>
          <w:pPr>
            <w:pStyle w:val="Contents5"/>
            <w:tabs>
              <w:tab w:val="clear" w:pos="7892"/>
              <w:tab w:val="right" w:pos="9026" w:leader="dot"/>
            </w:tabs>
            <w:rPr/>
          </w:pPr>
          <w:hyperlink w:anchor="__RefHeading___Toc4693129_581953129">
            <w:r>
              <w:rPr>
                <w:webHidden/>
                <w:rStyle w:val="IndexLink"/>
              </w:rPr>
              <w:t>2-3</w:t>
            </w:r>
            <w:r>
              <w:rPr>
                <w:rStyle w:val="IndexLink"/>
                <w:rtl w:val="true"/>
              </w:rPr>
              <w:t xml:space="preserve">. </w:t>
            </w:r>
            <w:r>
              <w:rPr>
                <w:rStyle w:val="IndexLink"/>
                <w:rtl w:val="true"/>
              </w:rPr>
              <w:t>وجود</w:t>
            </w:r>
            <w:r>
              <w:rPr>
                <w:rStyle w:val="IndexLink"/>
                <w:rtl w:val="true"/>
              </w:rPr>
              <w:tab/>
            </w:r>
            <w:r>
              <w:rPr>
                <w:rStyle w:val="IndexLink"/>
              </w:rPr>
              <w:t>109</w:t>
            </w:r>
          </w:hyperlink>
        </w:p>
        <w:p>
          <w:pPr>
            <w:pStyle w:val="Contents5"/>
            <w:tabs>
              <w:tab w:val="clear" w:pos="7892"/>
              <w:tab w:val="right" w:pos="9026" w:leader="dot"/>
            </w:tabs>
            <w:rPr/>
          </w:pPr>
          <w:hyperlink w:anchor="__RefHeading___Toc4693131_581953129">
            <w:r>
              <w:rPr>
                <w:webHidden/>
                <w:rStyle w:val="IndexLink"/>
              </w:rPr>
              <w:t>3-3</w:t>
            </w:r>
            <w:r>
              <w:rPr>
                <w:rStyle w:val="IndexLink"/>
                <w:rtl w:val="true"/>
              </w:rPr>
              <w:t xml:space="preserve">. </w:t>
            </w:r>
            <w:r>
              <w:rPr>
                <w:rStyle w:val="IndexLink"/>
                <w:rtl w:val="true"/>
              </w:rPr>
              <w:t>ارتباط بین وجود و ماهیت</w:t>
            </w:r>
            <w:r>
              <w:rPr>
                <w:rStyle w:val="IndexLink"/>
                <w:rtl w:val="true"/>
              </w:rPr>
              <w:tab/>
            </w:r>
            <w:r>
              <w:rPr>
                <w:rStyle w:val="IndexLink"/>
              </w:rPr>
              <w:t>109</w:t>
            </w:r>
          </w:hyperlink>
        </w:p>
        <w:p>
          <w:pPr>
            <w:pStyle w:val="Contents4"/>
            <w:tabs>
              <w:tab w:val="clear" w:pos="8176"/>
              <w:tab w:val="right" w:pos="9026" w:leader="dot"/>
            </w:tabs>
            <w:rPr/>
          </w:pPr>
          <w:hyperlink w:anchor="__RefHeading___Toc4693133_581953129">
            <w:r>
              <w:rPr>
                <w:webHidden/>
                <w:rStyle w:val="IndexLink"/>
              </w:rPr>
              <w:t>4</w:t>
            </w:r>
            <w:r>
              <w:rPr>
                <w:rStyle w:val="IndexLink"/>
                <w:rtl w:val="true"/>
              </w:rPr>
              <w:t xml:space="preserve">. </w:t>
            </w:r>
            <w:r>
              <w:rPr>
                <w:rStyle w:val="IndexLink"/>
                <w:rtl w:val="true"/>
              </w:rPr>
              <w:t>وجود در حکمت متعالیۀ ملاصدرا</w:t>
            </w:r>
            <w:r>
              <w:rPr>
                <w:rStyle w:val="IndexLink"/>
                <w:rtl w:val="true"/>
              </w:rPr>
              <w:tab/>
            </w:r>
            <w:r>
              <w:rPr>
                <w:rStyle w:val="IndexLink"/>
              </w:rPr>
              <w:t>111</w:t>
            </w:r>
          </w:hyperlink>
        </w:p>
        <w:p>
          <w:pPr>
            <w:pStyle w:val="Contents4"/>
            <w:tabs>
              <w:tab w:val="clear" w:pos="8176"/>
              <w:tab w:val="right" w:pos="9026" w:leader="dot"/>
            </w:tabs>
            <w:rPr/>
          </w:pPr>
          <w:hyperlink w:anchor="__RefHeading___Toc4693135_581953129">
            <w:r>
              <w:rPr>
                <w:webHidden/>
                <w:rStyle w:val="IndexLink"/>
              </w:rPr>
              <w:t>5</w:t>
            </w:r>
            <w:r>
              <w:rPr>
                <w:rStyle w:val="IndexLink"/>
                <w:rtl w:val="true"/>
              </w:rPr>
              <w:t xml:space="preserve">. </w:t>
            </w:r>
            <w:r>
              <w:rPr>
                <w:rStyle w:val="IndexLink"/>
                <w:rtl w:val="true"/>
              </w:rPr>
              <w:t>واقع‌گرایی هستی‌شناختی و تجربه‌گرایی برساختی</w:t>
            </w:r>
            <w:r>
              <w:rPr>
                <w:rStyle w:val="IndexLink"/>
                <w:rtl w:val="true"/>
              </w:rPr>
              <w:tab/>
            </w:r>
            <w:r>
              <w:rPr>
                <w:rStyle w:val="IndexLink"/>
              </w:rPr>
              <w:t>112</w:t>
            </w:r>
          </w:hyperlink>
        </w:p>
        <w:p>
          <w:pPr>
            <w:pStyle w:val="Contents3"/>
            <w:tabs>
              <w:tab w:val="clear" w:pos="8459"/>
              <w:tab w:val="right" w:pos="9026" w:leader="dot"/>
            </w:tabs>
            <w:rPr/>
          </w:pPr>
          <w:hyperlink w:anchor="__RefHeading___Toc4693137_581953129">
            <w:r>
              <w:rPr>
                <w:webHidden/>
                <w:rStyle w:val="IndexLink"/>
                <w:rtl w:val="true"/>
              </w:rPr>
              <w:t>نتیجه‌گیری</w:t>
            </w:r>
            <w:r>
              <w:rPr>
                <w:rStyle w:val="IndexLink"/>
                <w:rtl w:val="true"/>
              </w:rPr>
              <w:tab/>
            </w:r>
            <w:r>
              <w:rPr>
                <w:rStyle w:val="IndexLink"/>
              </w:rPr>
              <w:t>114</w:t>
            </w:r>
          </w:hyperlink>
        </w:p>
        <w:p>
          <w:pPr>
            <w:pStyle w:val="Contents3"/>
            <w:tabs>
              <w:tab w:val="clear" w:pos="8459"/>
              <w:tab w:val="right" w:pos="9026" w:leader="dot"/>
            </w:tabs>
            <w:rPr/>
          </w:pPr>
          <w:hyperlink w:anchor="__RefHeading___Toc4693139_581953129">
            <w:r>
              <w:rPr>
                <w:webHidden/>
                <w:rStyle w:val="IndexLink"/>
                <w:rtl w:val="true"/>
              </w:rPr>
              <w:t>منابع و مآخذ</w:t>
            </w:r>
            <w:r>
              <w:rPr>
                <w:rStyle w:val="IndexLink"/>
                <w:rtl w:val="true"/>
              </w:rPr>
              <w:tab/>
            </w:r>
            <w:r>
              <w:rPr>
                <w:rStyle w:val="IndexLink"/>
              </w:rPr>
              <w:t>117</w:t>
            </w:r>
          </w:hyperlink>
        </w:p>
        <w:p>
          <w:pPr>
            <w:pStyle w:val="Contents2"/>
            <w:tabs>
              <w:tab w:val="clear" w:pos="8743"/>
              <w:tab w:val="right" w:pos="9026" w:leader="dot"/>
            </w:tabs>
            <w:rPr/>
          </w:pPr>
          <w:hyperlink w:anchor="__RefHeading___Toc4693141_581953129">
            <w:r>
              <w:rPr>
                <w:webHidden/>
                <w:rStyle w:val="IndexLink"/>
                <w:rtl w:val="true"/>
              </w:rPr>
              <w:t xml:space="preserve">نسبت میان بازی‌های زبانی، صورت‌های زندگی و حیات اجتماعی انسان در ویتگنشتاین متأخر </w:t>
            </w:r>
            <w:r>
              <w:rPr>
                <w:rStyle w:val="IndexLink"/>
                <w:rtl w:val="true"/>
              </w:rPr>
              <w:t xml:space="preserve">/ </w:t>
            </w:r>
            <w:r>
              <w:rPr>
                <w:rStyle w:val="IndexLink"/>
                <w:rtl w:val="true"/>
              </w:rPr>
              <w:t>مهدی دهاقین، عبدالرزاق حسامی‌فر، سیدمسعود سیف، محمدحسن حیدری</w:t>
            </w:r>
            <w:r>
              <w:rPr>
                <w:rStyle w:val="IndexLink"/>
                <w:rtl w:val="true"/>
              </w:rPr>
              <w:tab/>
            </w:r>
            <w:r>
              <w:rPr>
                <w:rStyle w:val="IndexLink"/>
              </w:rPr>
              <w:t>120</w:t>
            </w:r>
          </w:hyperlink>
        </w:p>
        <w:p>
          <w:pPr>
            <w:pStyle w:val="Contents3"/>
            <w:tabs>
              <w:tab w:val="clear" w:pos="8459"/>
              <w:tab w:val="right" w:pos="9026" w:leader="dot"/>
            </w:tabs>
            <w:rPr/>
          </w:pPr>
          <w:hyperlink w:anchor="__RefHeading___Toc4693143_58195312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4693145_581953129">
            <w:r>
              <w:rPr>
                <w:webHidden/>
                <w:rStyle w:val="IndexLink"/>
                <w:rtl w:val="true"/>
              </w:rPr>
              <w:t>چکیده</w:t>
            </w:r>
            <w:r>
              <w:rPr>
                <w:rStyle w:val="IndexLink"/>
                <w:rtl w:val="true"/>
              </w:rPr>
              <w:tab/>
            </w:r>
            <w:r>
              <w:rPr>
                <w:rStyle w:val="IndexLink"/>
              </w:rPr>
              <w:t>120</w:t>
            </w:r>
          </w:hyperlink>
        </w:p>
        <w:p>
          <w:pPr>
            <w:pStyle w:val="Contents3"/>
            <w:tabs>
              <w:tab w:val="clear" w:pos="8459"/>
              <w:tab w:val="right" w:pos="9026" w:leader="dot"/>
            </w:tabs>
            <w:rPr/>
          </w:pPr>
          <w:hyperlink w:anchor="__RefHeading___Toc4693147_581953129">
            <w:r>
              <w:rPr>
                <w:webHidden/>
                <w:rStyle w:val="IndexLink"/>
                <w:rtl w:val="true"/>
              </w:rPr>
              <w:t>مقدمه</w:t>
            </w:r>
            <w:r>
              <w:rPr>
                <w:rStyle w:val="IndexLink"/>
                <w:rtl w:val="true"/>
              </w:rPr>
              <w:tab/>
            </w:r>
            <w:r>
              <w:rPr>
                <w:rStyle w:val="IndexLink"/>
              </w:rPr>
              <w:t>121</w:t>
            </w:r>
          </w:hyperlink>
        </w:p>
        <w:p>
          <w:pPr>
            <w:pStyle w:val="Contents3"/>
            <w:tabs>
              <w:tab w:val="clear" w:pos="8459"/>
              <w:tab w:val="right" w:pos="9026" w:leader="dot"/>
            </w:tabs>
            <w:rPr/>
          </w:pPr>
          <w:hyperlink w:anchor="__RefHeading___Toc4693149_581953129">
            <w:r>
              <w:rPr>
                <w:webHidden/>
                <w:rStyle w:val="IndexLink"/>
                <w:rtl w:val="true"/>
              </w:rPr>
              <w:t>الف</w:t>
            </w:r>
            <w:r>
              <w:rPr>
                <w:rStyle w:val="IndexLink"/>
                <w:rtl w:val="true"/>
              </w:rPr>
              <w:t xml:space="preserve">) </w:t>
            </w:r>
            <w:r>
              <w:rPr>
                <w:rStyle w:val="IndexLink"/>
                <w:rtl w:val="true"/>
              </w:rPr>
              <w:t>صورت زندگی</w:t>
            </w:r>
            <w:r>
              <w:rPr>
                <w:rStyle w:val="IndexLink"/>
                <w:rtl w:val="true"/>
              </w:rPr>
              <w:tab/>
            </w:r>
            <w:r>
              <w:rPr>
                <w:rStyle w:val="IndexLink"/>
              </w:rPr>
              <w:t>121</w:t>
            </w:r>
          </w:hyperlink>
        </w:p>
        <w:p>
          <w:pPr>
            <w:pStyle w:val="Contents3"/>
            <w:tabs>
              <w:tab w:val="clear" w:pos="8459"/>
              <w:tab w:val="right" w:pos="9026" w:leader="dot"/>
            </w:tabs>
            <w:rPr/>
          </w:pPr>
          <w:hyperlink w:anchor="__RefHeading___Toc4693151_581953129">
            <w:r>
              <w:rPr>
                <w:webHidden/>
                <w:rStyle w:val="IndexLink"/>
                <w:rtl w:val="true"/>
              </w:rPr>
              <w:t>ب</w:t>
            </w:r>
            <w:r>
              <w:rPr>
                <w:rStyle w:val="IndexLink"/>
                <w:rtl w:val="true"/>
              </w:rPr>
              <w:t xml:space="preserve">) </w:t>
            </w:r>
            <w:r>
              <w:rPr>
                <w:rStyle w:val="IndexLink"/>
                <w:rtl w:val="true"/>
              </w:rPr>
              <w:t>زبان و جهان</w:t>
            </w:r>
            <w:r>
              <w:rPr>
                <w:rStyle w:val="IndexLink"/>
                <w:rtl w:val="true"/>
              </w:rPr>
              <w:tab/>
            </w:r>
            <w:r>
              <w:rPr>
                <w:rStyle w:val="IndexLink"/>
              </w:rPr>
              <w:t>126</w:t>
            </w:r>
          </w:hyperlink>
        </w:p>
        <w:p>
          <w:pPr>
            <w:pStyle w:val="Contents3"/>
            <w:tabs>
              <w:tab w:val="clear" w:pos="8459"/>
              <w:tab w:val="right" w:pos="9026" w:leader="dot"/>
            </w:tabs>
            <w:rPr/>
          </w:pPr>
          <w:hyperlink w:anchor="__RefHeading___Toc4693153_581953129">
            <w:r>
              <w:rPr>
                <w:webHidden/>
                <w:rStyle w:val="IndexLink"/>
                <w:rtl w:val="true"/>
              </w:rPr>
              <w:t>ج</w:t>
            </w:r>
            <w:r>
              <w:rPr>
                <w:rStyle w:val="IndexLink"/>
                <w:rtl w:val="true"/>
              </w:rPr>
              <w:t xml:space="preserve">) </w:t>
            </w:r>
            <w:r>
              <w:rPr>
                <w:rStyle w:val="IndexLink"/>
                <w:rtl w:val="true"/>
              </w:rPr>
              <w:t>بازی‌های زبانی و زندگی واژه‌ها</w:t>
            </w:r>
            <w:r>
              <w:rPr>
                <w:rStyle w:val="IndexLink"/>
                <w:rtl w:val="true"/>
              </w:rPr>
              <w:tab/>
            </w:r>
            <w:r>
              <w:rPr>
                <w:rStyle w:val="IndexLink"/>
              </w:rPr>
              <w:t>129</w:t>
            </w:r>
          </w:hyperlink>
        </w:p>
        <w:p>
          <w:pPr>
            <w:pStyle w:val="Contents3"/>
            <w:tabs>
              <w:tab w:val="clear" w:pos="8459"/>
              <w:tab w:val="right" w:pos="9026" w:leader="dot"/>
            </w:tabs>
            <w:rPr/>
          </w:pPr>
          <w:hyperlink w:anchor="__RefHeading___Toc4693155_581953129">
            <w:r>
              <w:rPr>
                <w:webHidden/>
                <w:rStyle w:val="IndexLink"/>
                <w:rtl w:val="true"/>
              </w:rPr>
              <w:t>د</w:t>
            </w:r>
            <w:r>
              <w:rPr>
                <w:rStyle w:val="IndexLink"/>
                <w:rtl w:val="true"/>
              </w:rPr>
              <w:t xml:space="preserve">) </w:t>
            </w:r>
            <w:r>
              <w:rPr>
                <w:rStyle w:val="IndexLink"/>
                <w:rtl w:val="true"/>
              </w:rPr>
              <w:t>تاریخ طبیعی و فرهنگ</w:t>
            </w:r>
            <w:r>
              <w:rPr>
                <w:rStyle w:val="IndexLink"/>
                <w:rtl w:val="true"/>
              </w:rPr>
              <w:tab/>
            </w:r>
            <w:r>
              <w:rPr>
                <w:rStyle w:val="IndexLink"/>
              </w:rPr>
              <w:t>131</w:t>
            </w:r>
          </w:hyperlink>
        </w:p>
        <w:p>
          <w:pPr>
            <w:pStyle w:val="Contents3"/>
            <w:tabs>
              <w:tab w:val="clear" w:pos="8459"/>
              <w:tab w:val="right" w:pos="9026" w:leader="dot"/>
            </w:tabs>
            <w:rPr/>
          </w:pPr>
          <w:hyperlink w:anchor="__RefHeading___Toc4693157_581953129">
            <w:r>
              <w:rPr>
                <w:webHidden/>
                <w:rStyle w:val="IndexLink"/>
                <w:rtl w:val="true"/>
              </w:rPr>
              <w:t>ه</w:t>
            </w:r>
            <w:r>
              <w:rPr>
                <w:rStyle w:val="IndexLink"/>
                <w:rtl w:val="true"/>
              </w:rPr>
              <w:t xml:space="preserve">) </w:t>
            </w:r>
            <w:r>
              <w:rPr>
                <w:rStyle w:val="IndexLink"/>
                <w:rtl w:val="true"/>
              </w:rPr>
              <w:t>وجه توصیفی و نه تبیینی صورت زندگی</w:t>
            </w:r>
            <w:r>
              <w:rPr>
                <w:rStyle w:val="IndexLink"/>
                <w:rtl w:val="true"/>
              </w:rPr>
              <w:tab/>
            </w:r>
            <w:r>
              <w:rPr>
                <w:rStyle w:val="IndexLink"/>
              </w:rPr>
              <w:t>137</w:t>
            </w:r>
          </w:hyperlink>
        </w:p>
        <w:p>
          <w:pPr>
            <w:pStyle w:val="Contents3"/>
            <w:tabs>
              <w:tab w:val="clear" w:pos="8459"/>
              <w:tab w:val="right" w:pos="9026" w:leader="dot"/>
            </w:tabs>
            <w:rPr/>
          </w:pPr>
          <w:hyperlink w:anchor="__RefHeading___Toc4693159_581953129">
            <w:r>
              <w:rPr>
                <w:webHidden/>
                <w:rStyle w:val="IndexLink"/>
                <w:rtl w:val="true"/>
              </w:rPr>
              <w:t>نتیجه‌گیری</w:t>
            </w:r>
            <w:r>
              <w:rPr>
                <w:rStyle w:val="IndexLink"/>
                <w:rtl w:val="true"/>
              </w:rPr>
              <w:tab/>
            </w:r>
            <w:r>
              <w:rPr>
                <w:rStyle w:val="IndexLink"/>
              </w:rPr>
              <w:t>139</w:t>
            </w:r>
          </w:hyperlink>
        </w:p>
        <w:p>
          <w:pPr>
            <w:pStyle w:val="Contents3"/>
            <w:tabs>
              <w:tab w:val="clear" w:pos="8459"/>
              <w:tab w:val="right" w:pos="9026" w:leader="dot"/>
            </w:tabs>
            <w:rPr/>
          </w:pPr>
          <w:hyperlink w:anchor="__RefHeading___Toc4693161_581953129">
            <w:r>
              <w:rPr>
                <w:webHidden/>
                <w:rStyle w:val="IndexLink"/>
                <w:rtl w:val="true"/>
              </w:rPr>
              <w:t>منابع و مآخذ</w:t>
            </w:r>
            <w:r>
              <w:rPr>
                <w:rStyle w:val="IndexLink"/>
                <w:rtl w:val="true"/>
              </w:rPr>
              <w:tab/>
            </w:r>
            <w:r>
              <w:rPr>
                <w:rStyle w:val="IndexLink"/>
              </w:rPr>
              <w:t>142</w:t>
            </w:r>
          </w:hyperlink>
        </w:p>
        <w:p>
          <w:pPr>
            <w:pStyle w:val="Contents2"/>
            <w:tabs>
              <w:tab w:val="clear" w:pos="8743"/>
              <w:tab w:val="right" w:pos="9026" w:leader="dot"/>
            </w:tabs>
            <w:rPr/>
          </w:pPr>
          <w:hyperlink w:anchor="__RefHeading___Toc4693163_581953129">
            <w:r>
              <w:rPr>
                <w:webHidden/>
                <w:rStyle w:val="IndexLink"/>
                <w:rtl w:val="true"/>
              </w:rPr>
              <w:t xml:space="preserve">مبناگرایی در تقلیل‌گرایی اخلاقی طبیعت‌گرا </w:t>
            </w:r>
            <w:r>
              <w:rPr>
                <w:rStyle w:val="IndexLink"/>
                <w:rtl w:val="true"/>
              </w:rPr>
              <w:t xml:space="preserve">/ </w:t>
            </w:r>
            <w:r>
              <w:rPr>
                <w:rStyle w:val="IndexLink"/>
                <w:rtl w:val="true"/>
              </w:rPr>
              <w:t>بهروز محمدی‌منفرد</w:t>
            </w:r>
            <w:r>
              <w:rPr>
                <w:rStyle w:val="IndexLink"/>
                <w:rtl w:val="true"/>
              </w:rPr>
              <w:tab/>
            </w:r>
            <w:r>
              <w:rPr>
                <w:rStyle w:val="IndexLink"/>
              </w:rPr>
              <w:t>144</w:t>
            </w:r>
          </w:hyperlink>
        </w:p>
        <w:p>
          <w:pPr>
            <w:pStyle w:val="Contents3"/>
            <w:tabs>
              <w:tab w:val="clear" w:pos="8459"/>
              <w:tab w:val="right" w:pos="9026" w:leader="dot"/>
            </w:tabs>
            <w:rPr/>
          </w:pPr>
          <w:hyperlink w:anchor="__RefHeading___Toc4693165_581953129">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693167_581953129">
            <w:r>
              <w:rPr>
                <w:webHidden/>
                <w:rStyle w:val="IndexLink"/>
                <w:rtl w:val="true"/>
              </w:rPr>
              <w:t>چکیده</w:t>
            </w:r>
            <w:r>
              <w:rPr>
                <w:rStyle w:val="IndexLink"/>
                <w:rtl w:val="true"/>
              </w:rPr>
              <w:tab/>
            </w:r>
            <w:r>
              <w:rPr>
                <w:rStyle w:val="IndexLink"/>
              </w:rPr>
              <w:t>144</w:t>
            </w:r>
          </w:hyperlink>
        </w:p>
        <w:p>
          <w:pPr>
            <w:pStyle w:val="Contents3"/>
            <w:tabs>
              <w:tab w:val="clear" w:pos="8459"/>
              <w:tab w:val="right" w:pos="9026" w:leader="dot"/>
            </w:tabs>
            <w:rPr/>
          </w:pPr>
          <w:hyperlink w:anchor="__RefHeading___Toc4693169_581953129">
            <w:r>
              <w:rPr>
                <w:webHidden/>
                <w:rStyle w:val="IndexLink"/>
                <w:rtl w:val="true"/>
              </w:rPr>
              <w:t>مقدمه</w:t>
            </w:r>
            <w:r>
              <w:rPr>
                <w:rStyle w:val="IndexLink"/>
                <w:rtl w:val="true"/>
              </w:rPr>
              <w:tab/>
            </w:r>
            <w:r>
              <w:rPr>
                <w:rStyle w:val="IndexLink"/>
              </w:rPr>
              <w:t>145</w:t>
            </w:r>
          </w:hyperlink>
        </w:p>
        <w:p>
          <w:pPr>
            <w:pStyle w:val="Contents3"/>
            <w:tabs>
              <w:tab w:val="clear" w:pos="8459"/>
              <w:tab w:val="right" w:pos="9026" w:leader="dot"/>
            </w:tabs>
            <w:rPr/>
          </w:pPr>
          <w:hyperlink w:anchor="__RefHeading___Toc4693171_581953129">
            <w:r>
              <w:rPr>
                <w:webHidden/>
                <w:rStyle w:val="IndexLink"/>
                <w:rtl w:val="true"/>
              </w:rPr>
              <w:t>الف</w:t>
            </w:r>
            <w:r>
              <w:rPr>
                <w:rStyle w:val="IndexLink"/>
                <w:rtl w:val="true"/>
              </w:rPr>
              <w:t xml:space="preserve">) </w:t>
            </w:r>
            <w:r>
              <w:rPr>
                <w:rStyle w:val="IndexLink"/>
                <w:rtl w:val="true"/>
              </w:rPr>
              <w:t>مراد از مبناگرایی در تقلیل</w:t>
            </w:r>
            <w:r>
              <w:rPr>
                <w:rStyle w:val="IndexLink"/>
                <w:rtl w:val="true"/>
              </w:rPr>
              <w:softHyphen/>
            </w:r>
            <w:r>
              <w:rPr>
                <w:rStyle w:val="IndexLink"/>
                <w:rtl w:val="true"/>
              </w:rPr>
              <w:t>گرایی اخلاقی طبیعت</w:t>
            </w:r>
            <w:r>
              <w:rPr>
                <w:rStyle w:val="IndexLink"/>
                <w:rtl w:val="true"/>
              </w:rPr>
              <w:softHyphen/>
            </w:r>
            <w:r>
              <w:rPr>
                <w:rStyle w:val="IndexLink"/>
                <w:rtl w:val="true"/>
              </w:rPr>
              <w:t>گرا</w:t>
            </w:r>
            <w:r>
              <w:rPr>
                <w:rStyle w:val="IndexLink"/>
                <w:rtl w:val="true"/>
              </w:rPr>
              <w:tab/>
            </w:r>
            <w:r>
              <w:rPr>
                <w:rStyle w:val="IndexLink"/>
              </w:rPr>
              <w:t>148</w:t>
            </w:r>
          </w:hyperlink>
        </w:p>
        <w:p>
          <w:pPr>
            <w:pStyle w:val="Contents3"/>
            <w:tabs>
              <w:tab w:val="clear" w:pos="8459"/>
              <w:tab w:val="right" w:pos="9026" w:leader="dot"/>
            </w:tabs>
            <w:rPr/>
          </w:pPr>
          <w:hyperlink w:anchor="__RefHeading___Toc4693173_581953129">
            <w:r>
              <w:rPr>
                <w:webHidden/>
                <w:rStyle w:val="IndexLink"/>
                <w:rtl w:val="true"/>
              </w:rPr>
              <w:t>ب</w:t>
            </w:r>
            <w:r>
              <w:rPr>
                <w:rStyle w:val="IndexLink"/>
                <w:rtl w:val="true"/>
              </w:rPr>
              <w:t xml:space="preserve">) </w:t>
            </w:r>
            <w:r>
              <w:rPr>
                <w:rStyle w:val="IndexLink"/>
                <w:rtl w:val="true"/>
              </w:rPr>
              <w:t>چالش توجیه باور در تقلیل</w:t>
            </w:r>
            <w:r>
              <w:rPr>
                <w:rStyle w:val="IndexLink"/>
                <w:rtl w:val="true"/>
              </w:rPr>
              <w:softHyphen/>
            </w:r>
            <w:r>
              <w:rPr>
                <w:rStyle w:val="IndexLink"/>
                <w:rtl w:val="true"/>
              </w:rPr>
              <w:t>گرایی اخلاقی طبیعت</w:t>
            </w:r>
            <w:r>
              <w:rPr>
                <w:rStyle w:val="IndexLink"/>
                <w:rtl w:val="true"/>
              </w:rPr>
              <w:softHyphen/>
            </w:r>
            <w:r>
              <w:rPr>
                <w:rStyle w:val="IndexLink"/>
                <w:rtl w:val="true"/>
              </w:rPr>
              <w:t>گرا</w:t>
            </w:r>
            <w:r>
              <w:rPr>
                <w:rStyle w:val="IndexLink"/>
                <w:rtl w:val="true"/>
              </w:rPr>
              <w:tab/>
            </w:r>
            <w:r>
              <w:rPr>
                <w:rStyle w:val="IndexLink"/>
              </w:rPr>
              <w:t>153</w:t>
            </w:r>
          </w:hyperlink>
        </w:p>
        <w:p>
          <w:pPr>
            <w:pStyle w:val="Contents3"/>
            <w:tabs>
              <w:tab w:val="clear" w:pos="8459"/>
              <w:tab w:val="right" w:pos="9026" w:leader="dot"/>
            </w:tabs>
            <w:rPr/>
          </w:pPr>
          <w:hyperlink w:anchor="__RefHeading___Toc4693175_581953129">
            <w:r>
              <w:rPr>
                <w:webHidden/>
                <w:rStyle w:val="IndexLink"/>
                <w:rtl w:val="true"/>
              </w:rPr>
              <w:t>نتیجه‌گیری</w:t>
            </w:r>
            <w:r>
              <w:rPr>
                <w:rStyle w:val="IndexLink"/>
                <w:rtl w:val="true"/>
              </w:rPr>
              <w:tab/>
            </w:r>
            <w:r>
              <w:rPr>
                <w:rStyle w:val="IndexLink"/>
              </w:rPr>
              <w:t>160</w:t>
            </w:r>
          </w:hyperlink>
        </w:p>
        <w:p>
          <w:pPr>
            <w:pStyle w:val="Contents3"/>
            <w:tabs>
              <w:tab w:val="clear" w:pos="8459"/>
              <w:tab w:val="right" w:pos="9026" w:leader="dot"/>
            </w:tabs>
            <w:rPr/>
          </w:pPr>
          <w:hyperlink w:anchor="__RefHeading___Toc4693177_581953129">
            <w:r>
              <w:rPr>
                <w:webHidden/>
                <w:rStyle w:val="IndexLink"/>
                <w:rtl w:val="true"/>
              </w:rPr>
              <w:t>منابع و مآخذ</w:t>
            </w:r>
            <w:r>
              <w:rPr>
                <w:rStyle w:val="IndexLink"/>
                <w:rtl w:val="true"/>
              </w:rPr>
              <w:tab/>
            </w:r>
            <w:r>
              <w:rPr>
                <w:rStyle w:val="IndexLink"/>
              </w:rPr>
              <w:t>162</w:t>
            </w:r>
          </w:hyperlink>
        </w:p>
        <w:p>
          <w:pPr>
            <w:pStyle w:val="Contents2"/>
            <w:tabs>
              <w:tab w:val="clear" w:pos="8743"/>
              <w:tab w:val="right" w:pos="9026" w:leader="dot"/>
            </w:tabs>
            <w:rPr/>
          </w:pPr>
          <w:hyperlink w:anchor="__RefHeading___Toc4693179_581953129">
            <w:r>
              <w:rPr>
                <w:webHidden/>
                <w:rStyle w:val="IndexLink"/>
                <w:rtl w:val="true"/>
              </w:rPr>
              <w:t xml:space="preserve">شبکۀ شعاعی معنای ایمان از دیدگاه اندیشمندان اسلامی </w:t>
            </w:r>
            <w:r>
              <w:rPr>
                <w:rStyle w:val="IndexLink"/>
                <w:rtl w:val="true"/>
              </w:rPr>
              <w:t xml:space="preserve">/ </w:t>
            </w:r>
            <w:r>
              <w:rPr>
                <w:rStyle w:val="IndexLink"/>
                <w:rtl w:val="true"/>
              </w:rPr>
              <w:t>علیرضا قائمی‌نیا، شعبان نصرتی، سولماز ایرانی</w:t>
            </w:r>
            <w:r>
              <w:rPr>
                <w:rStyle w:val="IndexLink"/>
                <w:rtl w:val="true"/>
              </w:rPr>
              <w:tab/>
            </w:r>
            <w:r>
              <w:rPr>
                <w:rStyle w:val="IndexLink"/>
              </w:rPr>
              <w:t>164</w:t>
            </w:r>
          </w:hyperlink>
        </w:p>
        <w:p>
          <w:pPr>
            <w:pStyle w:val="Contents3"/>
            <w:tabs>
              <w:tab w:val="clear" w:pos="8459"/>
              <w:tab w:val="right" w:pos="9026" w:leader="dot"/>
            </w:tabs>
            <w:rPr/>
          </w:pPr>
          <w:hyperlink w:anchor="__RefHeading___Toc4693181_58195312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4693183_581953129">
            <w:r>
              <w:rPr>
                <w:webHidden/>
                <w:rStyle w:val="IndexLink"/>
                <w:rtl w:val="true"/>
              </w:rPr>
              <w:t>چکیده</w:t>
            </w:r>
            <w:r>
              <w:rPr>
                <w:rStyle w:val="IndexLink"/>
                <w:rtl w:val="true"/>
              </w:rPr>
              <w:tab/>
            </w:r>
            <w:r>
              <w:rPr>
                <w:rStyle w:val="IndexLink"/>
              </w:rPr>
              <w:t>164</w:t>
            </w:r>
          </w:hyperlink>
        </w:p>
        <w:p>
          <w:pPr>
            <w:pStyle w:val="Contents3"/>
            <w:tabs>
              <w:tab w:val="clear" w:pos="8459"/>
              <w:tab w:val="right" w:pos="9026" w:leader="dot"/>
            </w:tabs>
            <w:rPr/>
          </w:pPr>
          <w:hyperlink w:anchor="__RefHeading___Toc4693185_581953129">
            <w:r>
              <w:rPr>
                <w:webHidden/>
                <w:rStyle w:val="IndexLink"/>
                <w:rtl w:val="true"/>
              </w:rPr>
              <w:t>مقدمه</w:t>
            </w:r>
            <w:r>
              <w:rPr>
                <w:rStyle w:val="IndexLink"/>
                <w:rtl w:val="true"/>
              </w:rPr>
              <w:tab/>
            </w:r>
            <w:r>
              <w:rPr>
                <w:rStyle w:val="IndexLink"/>
              </w:rPr>
              <w:t>165</w:t>
            </w:r>
          </w:hyperlink>
        </w:p>
        <w:p>
          <w:pPr>
            <w:pStyle w:val="Contents3"/>
            <w:tabs>
              <w:tab w:val="clear" w:pos="8459"/>
              <w:tab w:val="right" w:pos="9026" w:leader="dot"/>
            </w:tabs>
            <w:rPr/>
          </w:pPr>
          <w:hyperlink w:anchor="__RefHeading___Toc4693187_581953129">
            <w:r>
              <w:rPr>
                <w:webHidden/>
                <w:rStyle w:val="IndexLink"/>
                <w:rtl w:val="true"/>
              </w:rPr>
              <w:t>الف</w:t>
            </w:r>
            <w:r>
              <w:rPr>
                <w:rStyle w:val="IndexLink"/>
                <w:rtl w:val="true"/>
              </w:rPr>
              <w:t xml:space="preserve">) </w:t>
            </w:r>
            <w:r>
              <w:rPr>
                <w:rStyle w:val="IndexLink"/>
                <w:rtl w:val="true"/>
              </w:rPr>
              <w:t>چندمعنایی</w:t>
            </w:r>
            <w:r>
              <w:rPr>
                <w:rStyle w:val="IndexLink"/>
                <w:rtl w:val="true"/>
              </w:rPr>
              <w:tab/>
            </w:r>
            <w:r>
              <w:rPr>
                <w:rStyle w:val="IndexLink"/>
              </w:rPr>
              <w:t>166</w:t>
            </w:r>
          </w:hyperlink>
        </w:p>
        <w:p>
          <w:pPr>
            <w:pStyle w:val="Contents3"/>
            <w:tabs>
              <w:tab w:val="clear" w:pos="8459"/>
              <w:tab w:val="right" w:pos="9026" w:leader="dot"/>
            </w:tabs>
            <w:rPr/>
          </w:pPr>
          <w:hyperlink w:anchor="__RefHeading___Toc4693189_581953129">
            <w:r>
              <w:rPr>
                <w:webHidden/>
                <w:rStyle w:val="IndexLink"/>
                <w:rtl w:val="true"/>
              </w:rPr>
              <w:t>ب</w:t>
            </w:r>
            <w:r>
              <w:rPr>
                <w:rStyle w:val="IndexLink"/>
                <w:rtl w:val="true"/>
              </w:rPr>
              <w:t xml:space="preserve">) </w:t>
            </w:r>
            <w:r>
              <w:rPr>
                <w:rStyle w:val="IndexLink"/>
                <w:rtl w:val="true"/>
              </w:rPr>
              <w:t>شبکۀ شعاعی</w:t>
            </w:r>
            <w:r>
              <w:rPr>
                <w:rStyle w:val="IndexLink"/>
                <w:rtl w:val="true"/>
              </w:rPr>
              <w:tab/>
            </w:r>
            <w:r>
              <w:rPr>
                <w:rStyle w:val="IndexLink"/>
              </w:rPr>
              <w:t>166</w:t>
            </w:r>
          </w:hyperlink>
        </w:p>
        <w:p>
          <w:pPr>
            <w:pStyle w:val="Contents3"/>
            <w:tabs>
              <w:tab w:val="clear" w:pos="8459"/>
              <w:tab w:val="right" w:pos="9026" w:leader="dot"/>
            </w:tabs>
            <w:rPr/>
          </w:pPr>
          <w:hyperlink w:anchor="__RefHeading___Toc4693191_581953129">
            <w:r>
              <w:rPr>
                <w:webHidden/>
                <w:rStyle w:val="IndexLink"/>
                <w:rtl w:val="true"/>
              </w:rPr>
              <w:t>ج</w:t>
            </w:r>
            <w:r>
              <w:rPr>
                <w:rStyle w:val="IndexLink"/>
                <w:rtl w:val="true"/>
              </w:rPr>
              <w:t xml:space="preserve">) </w:t>
            </w:r>
            <w:r>
              <w:rPr>
                <w:rStyle w:val="IndexLink"/>
                <w:rtl w:val="true"/>
              </w:rPr>
              <w:t>انواع تغییر معنا</w:t>
            </w:r>
            <w:r>
              <w:rPr>
                <w:rStyle w:val="IndexLink"/>
                <w:rtl w:val="true"/>
              </w:rPr>
              <w:tab/>
            </w:r>
            <w:r>
              <w:rPr>
                <w:rStyle w:val="IndexLink"/>
              </w:rPr>
              <w:t>168</w:t>
            </w:r>
          </w:hyperlink>
        </w:p>
        <w:p>
          <w:pPr>
            <w:pStyle w:val="Contents4"/>
            <w:tabs>
              <w:tab w:val="clear" w:pos="8176"/>
              <w:tab w:val="right" w:pos="9026" w:leader="dot"/>
            </w:tabs>
            <w:rPr/>
          </w:pPr>
          <w:hyperlink w:anchor="__RefHeading___Toc4693193_58195312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4693195_581953129">
            <w:r>
              <w:rPr>
                <w:webHidden/>
                <w:rStyle w:val="IndexLink"/>
              </w:rPr>
              <w:t>1</w:t>
            </w:r>
            <w:r>
              <w:rPr>
                <w:rStyle w:val="IndexLink"/>
                <w:rtl w:val="true"/>
              </w:rPr>
              <w:t xml:space="preserve">. </w:t>
            </w:r>
            <w:r>
              <w:rPr>
                <w:rStyle w:val="IndexLink"/>
                <w:rtl w:val="true"/>
              </w:rPr>
              <w:t>سیاق جمله‌ای یا جنبه‌های معنایی</w:t>
            </w:r>
            <w:r>
              <w:rPr>
                <w:rStyle w:val="IndexLink"/>
                <w:rtl w:val="true"/>
              </w:rPr>
              <w:tab/>
            </w:r>
            <w:r>
              <w:rPr>
                <w:rStyle w:val="IndexLink"/>
              </w:rPr>
              <w:t>168</w:t>
            </w:r>
          </w:hyperlink>
        </w:p>
        <w:p>
          <w:pPr>
            <w:pStyle w:val="Contents4"/>
            <w:tabs>
              <w:tab w:val="clear" w:pos="8176"/>
              <w:tab w:val="right" w:pos="9026" w:leader="dot"/>
            </w:tabs>
            <w:rPr/>
          </w:pPr>
          <w:hyperlink w:anchor="__RefHeading___Toc4693197_581953129">
            <w:r>
              <w:rPr>
                <w:webHidden/>
                <w:rStyle w:val="IndexLink"/>
              </w:rPr>
              <w:t>2</w:t>
            </w:r>
            <w:r>
              <w:rPr>
                <w:rStyle w:val="IndexLink"/>
                <w:rtl w:val="true"/>
              </w:rPr>
              <w:t xml:space="preserve">. </w:t>
            </w:r>
            <w:r>
              <w:rPr>
                <w:rStyle w:val="IndexLink"/>
                <w:rtl w:val="true"/>
              </w:rPr>
              <w:t>سیاق کاربرد یا ریزمفهوم‌ها</w:t>
            </w:r>
            <w:r>
              <w:rPr>
                <w:rStyle w:val="IndexLink"/>
                <w:rtl w:val="true"/>
              </w:rPr>
              <w:tab/>
            </w:r>
            <w:r>
              <w:rPr>
                <w:rStyle w:val="IndexLink"/>
              </w:rPr>
              <w:t>169</w:t>
            </w:r>
          </w:hyperlink>
        </w:p>
        <w:p>
          <w:pPr>
            <w:pStyle w:val="Contents4"/>
            <w:tabs>
              <w:tab w:val="clear" w:pos="8176"/>
              <w:tab w:val="right" w:pos="9026" w:leader="dot"/>
            </w:tabs>
            <w:rPr/>
          </w:pPr>
          <w:hyperlink w:anchor="__RefHeading___Toc4693199_581953129">
            <w:r>
              <w:rPr>
                <w:webHidden/>
                <w:rStyle w:val="IndexLink"/>
              </w:rPr>
              <w:t>3</w:t>
            </w:r>
            <w:r>
              <w:rPr>
                <w:rStyle w:val="IndexLink"/>
                <w:rtl w:val="true"/>
              </w:rPr>
              <w:t xml:space="preserve">. </w:t>
            </w:r>
            <w:r>
              <w:rPr>
                <w:rStyle w:val="IndexLink"/>
                <w:rtl w:val="true"/>
              </w:rPr>
              <w:t>سیاق اطلاعات یا روش مشاهده</w:t>
            </w:r>
            <w:r>
              <w:rPr>
                <w:rStyle w:val="IndexLink"/>
                <w:rtl w:val="true"/>
              </w:rPr>
              <w:tab/>
            </w:r>
            <w:r>
              <w:rPr>
                <w:rStyle w:val="IndexLink"/>
              </w:rPr>
              <w:t>169</w:t>
            </w:r>
          </w:hyperlink>
        </w:p>
        <w:p>
          <w:pPr>
            <w:pStyle w:val="Contents3"/>
            <w:tabs>
              <w:tab w:val="clear" w:pos="8459"/>
              <w:tab w:val="right" w:pos="9026" w:leader="dot"/>
            </w:tabs>
            <w:rPr/>
          </w:pPr>
          <w:hyperlink w:anchor="__RefHeading___Toc4693201_581953129">
            <w:r>
              <w:rPr>
                <w:webHidden/>
                <w:rStyle w:val="IndexLink"/>
                <w:rtl w:val="true"/>
              </w:rPr>
              <w:t>د</w:t>
            </w:r>
            <w:r>
              <w:rPr>
                <w:rStyle w:val="IndexLink"/>
                <w:rtl w:val="true"/>
              </w:rPr>
              <w:t xml:space="preserve">) </w:t>
            </w:r>
            <w:r>
              <w:rPr>
                <w:rStyle w:val="IndexLink"/>
                <w:rtl w:val="true"/>
              </w:rPr>
              <w:t xml:space="preserve">بررسی تغییر معنای واژۀ </w:t>
            </w:r>
            <w:r>
              <w:rPr>
                <w:rStyle w:val="IndexLink"/>
                <w:rtl w:val="true"/>
              </w:rPr>
              <w:t>«</w:t>
            </w:r>
            <w:r>
              <w:rPr>
                <w:rStyle w:val="IndexLink"/>
                <w:rtl w:val="true"/>
              </w:rPr>
              <w:t>ایمان</w:t>
            </w:r>
            <w:r>
              <w:rPr>
                <w:rStyle w:val="IndexLink"/>
                <w:rtl w:val="true"/>
              </w:rPr>
              <w:t>»</w:t>
              <w:tab/>
            </w:r>
            <w:r>
              <w:rPr>
                <w:rStyle w:val="IndexLink"/>
              </w:rPr>
              <w:t>170</w:t>
            </w:r>
          </w:hyperlink>
        </w:p>
        <w:p>
          <w:pPr>
            <w:pStyle w:val="Contents3"/>
            <w:tabs>
              <w:tab w:val="clear" w:pos="8459"/>
              <w:tab w:val="right" w:pos="9026" w:leader="dot"/>
            </w:tabs>
            <w:rPr/>
          </w:pPr>
          <w:hyperlink w:anchor="__RefHeading___Toc4693203_581953129">
            <w:r>
              <w:rPr>
                <w:webHidden/>
                <w:rStyle w:val="IndexLink"/>
                <w:rtl w:val="true"/>
              </w:rPr>
              <w:t>ه</w:t>
            </w:r>
            <w:r>
              <w:rPr>
                <w:rStyle w:val="IndexLink"/>
                <w:rtl w:val="true"/>
              </w:rPr>
              <w:t xml:space="preserve">) </w:t>
            </w:r>
            <w:r>
              <w:rPr>
                <w:rStyle w:val="IndexLink"/>
                <w:rtl w:val="true"/>
              </w:rPr>
              <w:t>معنای ایمان از دیدگاه لغت‌دانان</w:t>
            </w:r>
            <w:r>
              <w:rPr>
                <w:rStyle w:val="IndexLink"/>
                <w:rtl w:val="true"/>
              </w:rPr>
              <w:tab/>
            </w:r>
            <w:r>
              <w:rPr>
                <w:rStyle w:val="IndexLink"/>
              </w:rPr>
              <w:t>171</w:t>
            </w:r>
          </w:hyperlink>
        </w:p>
        <w:p>
          <w:pPr>
            <w:pStyle w:val="Contents3"/>
            <w:tabs>
              <w:tab w:val="clear" w:pos="8459"/>
              <w:tab w:val="right" w:pos="9026" w:leader="dot"/>
            </w:tabs>
            <w:rPr/>
          </w:pPr>
          <w:hyperlink w:anchor="__RefHeading___Toc4693205_581953129">
            <w:r>
              <w:rPr>
                <w:webHidden/>
                <w:rStyle w:val="IndexLink"/>
                <w:rtl w:val="true"/>
              </w:rPr>
              <w:t>و</w:t>
            </w:r>
            <w:r>
              <w:rPr>
                <w:rStyle w:val="IndexLink"/>
                <w:rtl w:val="true"/>
              </w:rPr>
              <w:t xml:space="preserve">) </w:t>
            </w:r>
            <w:r>
              <w:rPr>
                <w:rStyle w:val="IndexLink"/>
                <w:rtl w:val="true"/>
              </w:rPr>
              <w:t>معنای ایمان از دیدگاه متکلمان اسلامی</w:t>
            </w:r>
            <w:r>
              <w:rPr>
                <w:rStyle w:val="IndexLink"/>
                <w:rtl w:val="true"/>
              </w:rPr>
              <w:tab/>
            </w:r>
            <w:r>
              <w:rPr>
                <w:rStyle w:val="IndexLink"/>
              </w:rPr>
              <w:t>173</w:t>
            </w:r>
          </w:hyperlink>
        </w:p>
        <w:p>
          <w:pPr>
            <w:pStyle w:val="Contents3"/>
            <w:tabs>
              <w:tab w:val="clear" w:pos="8459"/>
              <w:tab w:val="right" w:pos="9026" w:leader="dot"/>
            </w:tabs>
            <w:rPr/>
          </w:pPr>
          <w:hyperlink w:anchor="__RefHeading___Toc4693207_581953129">
            <w:r>
              <w:rPr>
                <w:webHidden/>
                <w:rStyle w:val="IndexLink"/>
                <w:rtl w:val="true"/>
              </w:rPr>
              <w:t>ز</w:t>
            </w:r>
            <w:r>
              <w:rPr>
                <w:rStyle w:val="IndexLink"/>
                <w:rtl w:val="true"/>
              </w:rPr>
              <w:t xml:space="preserve">) </w:t>
            </w:r>
            <w:r>
              <w:rPr>
                <w:rStyle w:val="IndexLink"/>
                <w:rtl w:val="true"/>
              </w:rPr>
              <w:t>ایمان از دیدگاه مفسران</w:t>
            </w:r>
            <w:r>
              <w:rPr>
                <w:rStyle w:val="IndexLink"/>
                <w:rtl w:val="true"/>
              </w:rPr>
              <w:tab/>
            </w:r>
            <w:r>
              <w:rPr>
                <w:rStyle w:val="IndexLink"/>
              </w:rPr>
              <w:t>174</w:t>
            </w:r>
          </w:hyperlink>
        </w:p>
        <w:p>
          <w:pPr>
            <w:pStyle w:val="Contents4"/>
            <w:tabs>
              <w:tab w:val="clear" w:pos="8176"/>
              <w:tab w:val="right" w:pos="9026" w:leader="dot"/>
            </w:tabs>
            <w:rPr/>
          </w:pPr>
          <w:hyperlink w:anchor="__RefHeading___Toc4693209_58195312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4693211_581953129">
            <w:r>
              <w:rPr>
                <w:webHidden/>
                <w:rStyle w:val="IndexLink"/>
              </w:rPr>
              <w:t>1</w:t>
            </w:r>
            <w:r>
              <w:rPr>
                <w:rStyle w:val="IndexLink"/>
                <w:rtl w:val="true"/>
              </w:rPr>
              <w:t>.</w:t>
            </w:r>
            <w:r>
              <w:rPr>
                <w:rStyle w:val="IndexLink"/>
                <w:rtl w:val="true"/>
              </w:rPr>
              <w:t>ایمان از دیدگاه طبرسی صاحب تفسیر مجمع‌البیان</w:t>
            </w:r>
            <w:r>
              <w:rPr>
                <w:rStyle w:val="IndexLink"/>
                <w:rtl w:val="true"/>
              </w:rPr>
              <w:tab/>
            </w:r>
            <w:r>
              <w:rPr>
                <w:rStyle w:val="IndexLink"/>
              </w:rPr>
              <w:t>174</w:t>
            </w:r>
          </w:hyperlink>
        </w:p>
        <w:p>
          <w:pPr>
            <w:pStyle w:val="Contents4"/>
            <w:tabs>
              <w:tab w:val="clear" w:pos="8176"/>
              <w:tab w:val="right" w:pos="9026" w:leader="dot"/>
            </w:tabs>
            <w:rPr/>
          </w:pPr>
          <w:hyperlink w:anchor="__RefHeading___Toc4693213_581953129">
            <w:r>
              <w:rPr>
                <w:webHidden/>
                <w:rStyle w:val="IndexLink"/>
              </w:rPr>
              <w:t>2</w:t>
            </w:r>
            <w:r>
              <w:rPr>
                <w:rStyle w:val="IndexLink"/>
                <w:rtl w:val="true"/>
              </w:rPr>
              <w:t xml:space="preserve">. </w:t>
            </w:r>
            <w:r>
              <w:rPr>
                <w:rStyle w:val="IndexLink"/>
                <w:rtl w:val="true"/>
              </w:rPr>
              <w:t>ایمان از دیدگاه فخر رازی</w:t>
            </w:r>
            <w:r>
              <w:rPr>
                <w:rStyle w:val="IndexLink"/>
                <w:rtl w:val="true"/>
              </w:rPr>
              <w:tab/>
            </w:r>
            <w:r>
              <w:rPr>
                <w:rStyle w:val="IndexLink"/>
              </w:rPr>
              <w:t>174</w:t>
            </w:r>
          </w:hyperlink>
        </w:p>
        <w:p>
          <w:pPr>
            <w:pStyle w:val="Contents4"/>
            <w:tabs>
              <w:tab w:val="clear" w:pos="8176"/>
              <w:tab w:val="right" w:pos="9026" w:leader="dot"/>
            </w:tabs>
            <w:rPr/>
          </w:pPr>
          <w:hyperlink w:anchor="__RefHeading___Toc4693215_581953129">
            <w:r>
              <w:rPr>
                <w:webHidden/>
                <w:rStyle w:val="IndexLink"/>
              </w:rPr>
              <w:t>3</w:t>
            </w:r>
            <w:r>
              <w:rPr>
                <w:rStyle w:val="IndexLink"/>
                <w:rtl w:val="true"/>
              </w:rPr>
              <w:t xml:space="preserve">. </w:t>
            </w:r>
            <w:r>
              <w:rPr>
                <w:rStyle w:val="IndexLink"/>
                <w:rtl w:val="true"/>
              </w:rPr>
              <w:t>ایمان از دیدگاه علامه طباطبائی</w:t>
            </w:r>
            <w:r>
              <w:rPr>
                <w:rStyle w:val="IndexLink"/>
                <w:rtl w:val="true"/>
              </w:rPr>
              <w:tab/>
            </w:r>
            <w:r>
              <w:rPr>
                <w:rStyle w:val="IndexLink"/>
              </w:rPr>
              <w:t>174</w:t>
            </w:r>
          </w:hyperlink>
        </w:p>
        <w:p>
          <w:pPr>
            <w:pStyle w:val="Contents3"/>
            <w:tabs>
              <w:tab w:val="clear" w:pos="8459"/>
              <w:tab w:val="right" w:pos="9026" w:leader="dot"/>
            </w:tabs>
            <w:rPr/>
          </w:pPr>
          <w:hyperlink w:anchor="__RefHeading___Toc4693217_581953129">
            <w:r>
              <w:rPr>
                <w:webHidden/>
                <w:rStyle w:val="IndexLink"/>
                <w:rtl w:val="true"/>
              </w:rPr>
              <w:t>ز</w:t>
            </w:r>
            <w:r>
              <w:rPr>
                <w:rStyle w:val="IndexLink"/>
                <w:rtl w:val="true"/>
              </w:rPr>
              <w:t xml:space="preserve">) </w:t>
            </w:r>
            <w:r>
              <w:rPr>
                <w:rStyle w:val="IndexLink"/>
                <w:rtl w:val="true"/>
              </w:rPr>
              <w:t>تعیین پیش‌نمونه</w:t>
            </w:r>
            <w:r>
              <w:rPr>
                <w:rStyle w:val="IndexLink"/>
                <w:rtl w:val="true"/>
              </w:rPr>
              <w:tab/>
            </w:r>
            <w:r>
              <w:rPr>
                <w:rStyle w:val="IndexLink"/>
              </w:rPr>
              <w:t>175</w:t>
            </w:r>
          </w:hyperlink>
        </w:p>
        <w:p>
          <w:pPr>
            <w:pStyle w:val="Contents3"/>
            <w:tabs>
              <w:tab w:val="clear" w:pos="8459"/>
              <w:tab w:val="right" w:pos="9026" w:leader="dot"/>
            </w:tabs>
            <w:rPr/>
          </w:pPr>
          <w:hyperlink w:anchor="__RefHeading___Toc4693219_581953129">
            <w:r>
              <w:rPr>
                <w:webHidden/>
                <w:rStyle w:val="IndexLink"/>
                <w:rtl w:val="true"/>
              </w:rPr>
              <w:t>ح</w:t>
            </w:r>
            <w:r>
              <w:rPr>
                <w:rStyle w:val="IndexLink"/>
                <w:rtl w:val="true"/>
              </w:rPr>
              <w:t xml:space="preserve">) </w:t>
            </w:r>
            <w:r>
              <w:rPr>
                <w:rStyle w:val="IndexLink"/>
                <w:rtl w:val="true"/>
              </w:rPr>
              <w:t>تعیین معنای پیش‌نمونۀ ایمان</w:t>
            </w:r>
            <w:r>
              <w:rPr>
                <w:rStyle w:val="IndexLink"/>
                <w:rtl w:val="true"/>
              </w:rPr>
              <w:tab/>
            </w:r>
            <w:r>
              <w:rPr>
                <w:rStyle w:val="IndexLink"/>
              </w:rPr>
              <w:t>176</w:t>
            </w:r>
          </w:hyperlink>
        </w:p>
        <w:p>
          <w:pPr>
            <w:pStyle w:val="Contents3"/>
            <w:tabs>
              <w:tab w:val="clear" w:pos="8459"/>
              <w:tab w:val="right" w:pos="9026" w:leader="dot"/>
            </w:tabs>
            <w:rPr/>
          </w:pPr>
          <w:hyperlink w:anchor="__RefHeading___Toc4693221_581953129">
            <w:r>
              <w:rPr>
                <w:webHidden/>
                <w:rStyle w:val="IndexLink"/>
                <w:rtl w:val="true"/>
              </w:rPr>
              <w:t>ط</w:t>
            </w:r>
            <w:r>
              <w:rPr>
                <w:rStyle w:val="IndexLink"/>
                <w:rtl w:val="true"/>
              </w:rPr>
              <w:t xml:space="preserve">) </w:t>
            </w:r>
            <w:r>
              <w:rPr>
                <w:rStyle w:val="IndexLink"/>
                <w:rtl w:val="true"/>
              </w:rPr>
              <w:t>ترسیم شبکۀ شعاعی معنای ایمان در قرآن</w:t>
            </w:r>
            <w:r>
              <w:rPr>
                <w:rStyle w:val="IndexLink"/>
                <w:rtl w:val="true"/>
              </w:rPr>
              <w:tab/>
            </w:r>
            <w:r>
              <w:rPr>
                <w:rStyle w:val="IndexLink"/>
              </w:rPr>
              <w:t>178</w:t>
            </w:r>
          </w:hyperlink>
        </w:p>
        <w:p>
          <w:pPr>
            <w:pStyle w:val="Contents3"/>
            <w:tabs>
              <w:tab w:val="clear" w:pos="8459"/>
              <w:tab w:val="right" w:pos="9026" w:leader="dot"/>
            </w:tabs>
            <w:rPr/>
          </w:pPr>
          <w:hyperlink w:anchor="__RefHeading___Toc4693223_581953129">
            <w:r>
              <w:rPr>
                <w:webHidden/>
                <w:rStyle w:val="IndexLink"/>
                <w:rtl w:val="true"/>
              </w:rPr>
              <w:t>ی</w:t>
            </w:r>
            <w:r>
              <w:rPr>
                <w:rStyle w:val="IndexLink"/>
                <w:rtl w:val="true"/>
              </w:rPr>
              <w:t xml:space="preserve">) </w:t>
            </w:r>
            <w:r>
              <w:rPr>
                <w:rStyle w:val="IndexLink"/>
                <w:rtl w:val="true"/>
              </w:rPr>
              <w:t>چگونگی توسعۀ معنای ایمان از معنای پیش‌نمونه</w:t>
            </w:r>
            <w:r>
              <w:rPr>
                <w:rStyle w:val="IndexLink"/>
                <w:rtl w:val="true"/>
              </w:rPr>
              <w:tab/>
            </w:r>
            <w:r>
              <w:rPr>
                <w:rStyle w:val="IndexLink"/>
              </w:rPr>
              <w:t>178</w:t>
            </w:r>
          </w:hyperlink>
        </w:p>
        <w:p>
          <w:pPr>
            <w:pStyle w:val="Contents3"/>
            <w:tabs>
              <w:tab w:val="clear" w:pos="8459"/>
              <w:tab w:val="right" w:pos="9026" w:leader="dot"/>
            </w:tabs>
            <w:rPr/>
          </w:pPr>
          <w:hyperlink w:anchor="__RefHeading___Toc4693225_581953129">
            <w:r>
              <w:rPr>
                <w:webHidden/>
                <w:rStyle w:val="IndexLink"/>
                <w:rtl w:val="true"/>
              </w:rPr>
              <w:t>نتیجه‌گیری</w:t>
            </w:r>
            <w:r>
              <w:rPr>
                <w:rStyle w:val="IndexLink"/>
                <w:rtl w:val="true"/>
              </w:rPr>
              <w:tab/>
            </w:r>
            <w:r>
              <w:rPr>
                <w:rStyle w:val="IndexLink"/>
              </w:rPr>
              <w:t>179</w:t>
            </w:r>
          </w:hyperlink>
        </w:p>
        <w:p>
          <w:pPr>
            <w:pStyle w:val="Contents3"/>
            <w:tabs>
              <w:tab w:val="clear" w:pos="8459"/>
              <w:tab w:val="right" w:pos="9026" w:leader="dot"/>
            </w:tabs>
            <w:rPr/>
          </w:pPr>
          <w:hyperlink w:anchor="__RefHeading___Toc4693227_581953129">
            <w:r>
              <w:rPr>
                <w:webHidden/>
                <w:rStyle w:val="IndexLink"/>
                <w:rtl w:val="true"/>
              </w:rPr>
              <w:t>منابع و مآخذ</w:t>
            </w:r>
            <w:r>
              <w:rPr>
                <w:rStyle w:val="IndexLink"/>
                <w:rtl w:val="true"/>
              </w:rPr>
              <w:tab/>
            </w:r>
            <w:r>
              <w:rPr>
                <w:rStyle w:val="IndexLink"/>
              </w:rPr>
              <w:t>180</w:t>
            </w:r>
          </w:hyperlink>
        </w:p>
        <w:p>
          <w:pPr>
            <w:pStyle w:val="Contents2"/>
            <w:tabs>
              <w:tab w:val="clear" w:pos="8743"/>
              <w:tab w:val="right" w:pos="9026" w:leader="dot"/>
            </w:tabs>
            <w:rPr/>
          </w:pPr>
          <w:hyperlink w:anchor="__RefHeading___Toc4693229_581953129">
            <w:r>
              <w:rPr>
                <w:webHidden/>
                <w:rStyle w:val="IndexLink"/>
                <w:rtl w:val="true"/>
              </w:rPr>
              <w:t xml:space="preserve">بررسی انتقادی رویکردهای سرل، دنت و پاتنم به جایگاه فلسفی هوش مصنوعی </w:t>
            </w:r>
            <w:r>
              <w:rPr>
                <w:rStyle w:val="IndexLink"/>
                <w:rtl w:val="true"/>
              </w:rPr>
              <w:t xml:space="preserve">/ </w:t>
            </w:r>
            <w:r>
              <w:rPr>
                <w:rStyle w:val="IndexLink"/>
                <w:rtl w:val="true"/>
              </w:rPr>
              <w:t>محمدحسین محمدعلی‌خلج</w:t>
            </w:r>
            <w:r>
              <w:rPr>
                <w:rStyle w:val="IndexLink"/>
                <w:rtl w:val="true"/>
              </w:rPr>
              <w:tab/>
            </w:r>
            <w:r>
              <w:rPr>
                <w:rStyle w:val="IndexLink"/>
              </w:rPr>
              <w:t>184</w:t>
            </w:r>
          </w:hyperlink>
        </w:p>
        <w:p>
          <w:pPr>
            <w:pStyle w:val="Contents3"/>
            <w:tabs>
              <w:tab w:val="clear" w:pos="8459"/>
              <w:tab w:val="right" w:pos="9026" w:leader="dot"/>
            </w:tabs>
            <w:rPr/>
          </w:pPr>
          <w:hyperlink w:anchor="__RefHeading___Toc4693231_581953129">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4693233_581953129">
            <w:r>
              <w:rPr>
                <w:webHidden/>
                <w:rStyle w:val="IndexLink"/>
                <w:rtl w:val="true"/>
              </w:rPr>
              <w:t>چکیده</w:t>
            </w:r>
            <w:r>
              <w:rPr>
                <w:rStyle w:val="IndexLink"/>
                <w:rtl w:val="true"/>
              </w:rPr>
              <w:tab/>
            </w:r>
            <w:r>
              <w:rPr>
                <w:rStyle w:val="IndexLink"/>
              </w:rPr>
              <w:t>184</w:t>
            </w:r>
          </w:hyperlink>
        </w:p>
        <w:p>
          <w:pPr>
            <w:pStyle w:val="Contents3"/>
            <w:tabs>
              <w:tab w:val="clear" w:pos="8459"/>
              <w:tab w:val="right" w:pos="9026" w:leader="dot"/>
            </w:tabs>
            <w:rPr/>
          </w:pPr>
          <w:hyperlink w:anchor="__RefHeading___Toc4693235_581953129">
            <w:r>
              <w:rPr>
                <w:webHidden/>
                <w:rStyle w:val="IndexLink"/>
                <w:rtl w:val="true"/>
              </w:rPr>
              <w:t>مقدمه</w:t>
            </w:r>
            <w:r>
              <w:rPr>
                <w:rStyle w:val="IndexLink"/>
                <w:rtl w:val="true"/>
              </w:rPr>
              <w:tab/>
            </w:r>
            <w:r>
              <w:rPr>
                <w:rStyle w:val="IndexLink"/>
              </w:rPr>
              <w:t>185</w:t>
            </w:r>
          </w:hyperlink>
        </w:p>
        <w:p>
          <w:pPr>
            <w:pStyle w:val="Contents3"/>
            <w:tabs>
              <w:tab w:val="clear" w:pos="8459"/>
              <w:tab w:val="right" w:pos="9026" w:leader="dot"/>
            </w:tabs>
            <w:rPr/>
          </w:pPr>
          <w:hyperlink w:anchor="__RefHeading___Toc4693237_581953129">
            <w:r>
              <w:rPr>
                <w:webHidden/>
                <w:rStyle w:val="IndexLink"/>
                <w:rtl w:val="true"/>
              </w:rPr>
              <w:t>الف</w:t>
            </w:r>
            <w:r>
              <w:rPr>
                <w:rStyle w:val="IndexLink"/>
                <w:rtl w:val="true"/>
              </w:rPr>
              <w:t xml:space="preserve">) </w:t>
            </w:r>
            <w:r>
              <w:rPr>
                <w:rStyle w:val="IndexLink"/>
                <w:rtl w:val="true"/>
              </w:rPr>
              <w:t>صورت‌بندی کلی مسئلۀ فلسفی در هوش مصنوعی</w:t>
            </w:r>
            <w:r>
              <w:rPr>
                <w:rStyle w:val="IndexLink"/>
                <w:rtl w:val="true"/>
              </w:rPr>
              <w:tab/>
            </w:r>
            <w:r>
              <w:rPr>
                <w:rStyle w:val="IndexLink"/>
              </w:rPr>
              <w:t>186</w:t>
            </w:r>
          </w:hyperlink>
        </w:p>
        <w:p>
          <w:pPr>
            <w:pStyle w:val="Contents4"/>
            <w:tabs>
              <w:tab w:val="clear" w:pos="8176"/>
              <w:tab w:val="right" w:pos="9026" w:leader="dot"/>
            </w:tabs>
            <w:rPr/>
          </w:pPr>
          <w:hyperlink w:anchor="__RefHeading___Toc4693239_581953129">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4693241_581953129">
            <w:r>
              <w:rPr>
                <w:webHidden/>
                <w:rStyle w:val="IndexLink"/>
              </w:rPr>
              <w:t>1</w:t>
            </w:r>
            <w:r>
              <w:rPr>
                <w:rStyle w:val="IndexLink"/>
                <w:rtl w:val="true"/>
              </w:rPr>
              <w:t xml:space="preserve">. </w:t>
            </w:r>
            <w:r>
              <w:rPr>
                <w:rStyle w:val="IndexLink"/>
                <w:rtl w:val="true"/>
              </w:rPr>
              <w:t>صورت‌بندی پاتنم</w:t>
            </w:r>
            <w:r>
              <w:rPr>
                <w:rStyle w:val="IndexLink"/>
                <w:rtl w:val="true"/>
              </w:rPr>
              <w:tab/>
            </w:r>
            <w:r>
              <w:rPr>
                <w:rStyle w:val="IndexLink"/>
              </w:rPr>
              <w:t>186</w:t>
            </w:r>
          </w:hyperlink>
        </w:p>
        <w:p>
          <w:pPr>
            <w:pStyle w:val="Contents5"/>
            <w:tabs>
              <w:tab w:val="clear" w:pos="7892"/>
              <w:tab w:val="right" w:pos="9026" w:leader="dot"/>
            </w:tabs>
            <w:rPr/>
          </w:pPr>
          <w:hyperlink w:anchor="__RefHeading___Toc4693243_581953129">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4693245_581953129">
            <w:r>
              <w:rPr>
                <w:webHidden/>
                <w:rStyle w:val="IndexLink"/>
                <w:rtl w:val="true"/>
              </w:rPr>
              <w:t>ارزیابی صورت‌بندی پاتنم</w:t>
            </w:r>
            <w:r>
              <w:rPr>
                <w:rStyle w:val="IndexLink"/>
                <w:rtl w:val="true"/>
              </w:rPr>
              <w:tab/>
            </w:r>
            <w:r>
              <w:rPr>
                <w:rStyle w:val="IndexLink"/>
              </w:rPr>
              <w:t>187</w:t>
            </w:r>
          </w:hyperlink>
        </w:p>
        <w:p>
          <w:pPr>
            <w:pStyle w:val="Contents4"/>
            <w:tabs>
              <w:tab w:val="clear" w:pos="8176"/>
              <w:tab w:val="right" w:pos="9026" w:leader="dot"/>
            </w:tabs>
            <w:rPr/>
          </w:pPr>
          <w:hyperlink w:anchor="__RefHeading___Toc4693247_581953129">
            <w:r>
              <w:rPr>
                <w:webHidden/>
                <w:rStyle w:val="IndexLink"/>
              </w:rPr>
              <w:t>2</w:t>
            </w:r>
            <w:r>
              <w:rPr>
                <w:rStyle w:val="IndexLink"/>
                <w:rtl w:val="true"/>
              </w:rPr>
              <w:t xml:space="preserve">. </w:t>
            </w:r>
            <w:r>
              <w:rPr>
                <w:rStyle w:val="IndexLink"/>
                <w:rtl w:val="true"/>
              </w:rPr>
              <w:t>صورت‌بندی دنت</w:t>
            </w:r>
            <w:r>
              <w:rPr>
                <w:rStyle w:val="IndexLink"/>
                <w:rtl w:val="true"/>
              </w:rPr>
              <w:tab/>
            </w:r>
            <w:r>
              <w:rPr>
                <w:rStyle w:val="IndexLink"/>
              </w:rPr>
              <w:t>187</w:t>
            </w:r>
          </w:hyperlink>
        </w:p>
        <w:p>
          <w:pPr>
            <w:pStyle w:val="Contents5"/>
            <w:tabs>
              <w:tab w:val="clear" w:pos="7892"/>
              <w:tab w:val="right" w:pos="9026" w:leader="dot"/>
            </w:tabs>
            <w:rPr/>
          </w:pPr>
          <w:hyperlink w:anchor="__RefHeading___Toc4693249_581953129">
            <w:r>
              <w:rPr>
                <w:webHidden/>
                <w:rStyle w:val="IndexLink"/>
                <w:rtl w:val="true"/>
              </w:rPr>
              <w:t>اشاره</w:t>
            </w:r>
            <w:r>
              <w:rPr>
                <w:rStyle w:val="IndexLink"/>
                <w:rtl w:val="true"/>
              </w:rPr>
              <w:tab/>
            </w:r>
            <w:r>
              <w:rPr>
                <w:rStyle w:val="IndexLink"/>
              </w:rPr>
              <w:t>187</w:t>
            </w:r>
          </w:hyperlink>
        </w:p>
        <w:p>
          <w:pPr>
            <w:pStyle w:val="Contents5"/>
            <w:tabs>
              <w:tab w:val="clear" w:pos="7892"/>
              <w:tab w:val="right" w:pos="9026" w:leader="dot"/>
            </w:tabs>
            <w:rPr/>
          </w:pPr>
          <w:hyperlink w:anchor="__RefHeading___Toc4693251_581953129">
            <w:r>
              <w:rPr>
                <w:webHidden/>
                <w:rStyle w:val="IndexLink"/>
                <w:rtl w:val="true"/>
              </w:rPr>
              <w:t>ارزیابی صورت‌بندی دنت</w:t>
            </w:r>
            <w:r>
              <w:rPr>
                <w:rStyle w:val="IndexLink"/>
                <w:rtl w:val="true"/>
              </w:rPr>
              <w:tab/>
            </w:r>
            <w:r>
              <w:rPr>
                <w:rStyle w:val="IndexLink"/>
              </w:rPr>
              <w:t>189</w:t>
            </w:r>
          </w:hyperlink>
        </w:p>
        <w:p>
          <w:pPr>
            <w:pStyle w:val="Contents4"/>
            <w:tabs>
              <w:tab w:val="clear" w:pos="8176"/>
              <w:tab w:val="right" w:pos="9026" w:leader="dot"/>
            </w:tabs>
            <w:rPr/>
          </w:pPr>
          <w:hyperlink w:anchor="__RefHeading___Toc4693253_581953129">
            <w:r>
              <w:rPr>
                <w:webHidden/>
                <w:rStyle w:val="IndexLink"/>
              </w:rPr>
              <w:t>3</w:t>
            </w:r>
            <w:r>
              <w:rPr>
                <w:rStyle w:val="IndexLink"/>
                <w:rtl w:val="true"/>
              </w:rPr>
              <w:t xml:space="preserve">. </w:t>
            </w:r>
            <w:r>
              <w:rPr>
                <w:rStyle w:val="IndexLink"/>
                <w:rtl w:val="true"/>
              </w:rPr>
              <w:t>صورت‌بندی سرل</w:t>
            </w:r>
            <w:r>
              <w:rPr>
                <w:rStyle w:val="IndexLink"/>
                <w:rtl w:val="true"/>
              </w:rPr>
              <w:tab/>
            </w:r>
            <w:r>
              <w:rPr>
                <w:rStyle w:val="IndexLink"/>
              </w:rPr>
              <w:t>189</w:t>
            </w:r>
          </w:hyperlink>
        </w:p>
        <w:p>
          <w:pPr>
            <w:pStyle w:val="Contents5"/>
            <w:tabs>
              <w:tab w:val="clear" w:pos="7892"/>
              <w:tab w:val="right" w:pos="9026" w:leader="dot"/>
            </w:tabs>
            <w:rPr/>
          </w:pPr>
          <w:hyperlink w:anchor="__RefHeading___Toc4693255_58195312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4693257_581953129">
            <w:r>
              <w:rPr>
                <w:webHidden/>
                <w:rStyle w:val="IndexLink"/>
                <w:rtl w:val="true"/>
              </w:rPr>
              <w:t>ارزیابی صورت‌بندی سرل</w:t>
            </w:r>
            <w:r>
              <w:rPr>
                <w:rStyle w:val="IndexLink"/>
                <w:rtl w:val="true"/>
              </w:rPr>
              <w:tab/>
            </w:r>
            <w:r>
              <w:rPr>
                <w:rStyle w:val="IndexLink"/>
              </w:rPr>
              <w:t>190</w:t>
            </w:r>
          </w:hyperlink>
        </w:p>
        <w:p>
          <w:pPr>
            <w:pStyle w:val="Contents4"/>
            <w:tabs>
              <w:tab w:val="clear" w:pos="8176"/>
              <w:tab w:val="right" w:pos="9026" w:leader="dot"/>
            </w:tabs>
            <w:rPr/>
          </w:pPr>
          <w:hyperlink w:anchor="__RefHeading___Toc4693259_581953129">
            <w:r>
              <w:rPr>
                <w:webHidden/>
                <w:rStyle w:val="IndexLink"/>
              </w:rPr>
              <w:t>4</w:t>
            </w:r>
            <w:r>
              <w:rPr>
                <w:rStyle w:val="IndexLink"/>
                <w:rtl w:val="true"/>
              </w:rPr>
              <w:t>.</w:t>
            </w:r>
            <w:r>
              <w:rPr>
                <w:rStyle w:val="IndexLink"/>
                <w:rtl w:val="true"/>
              </w:rPr>
              <w:t>صورت‌بندی درست</w:t>
            </w:r>
            <w:r>
              <w:rPr>
                <w:rStyle w:val="IndexLink"/>
                <w:rtl w:val="true"/>
              </w:rPr>
              <w:tab/>
            </w:r>
            <w:r>
              <w:rPr>
                <w:rStyle w:val="IndexLink"/>
              </w:rPr>
              <w:t>192</w:t>
            </w:r>
          </w:hyperlink>
        </w:p>
        <w:p>
          <w:pPr>
            <w:pStyle w:val="Contents3"/>
            <w:tabs>
              <w:tab w:val="clear" w:pos="8459"/>
              <w:tab w:val="right" w:pos="9026" w:leader="dot"/>
            </w:tabs>
            <w:rPr/>
          </w:pPr>
          <w:hyperlink w:anchor="__RefHeading___Toc4693261_581953129">
            <w:r>
              <w:rPr>
                <w:webHidden/>
                <w:rStyle w:val="IndexLink"/>
                <w:rtl w:val="true"/>
              </w:rPr>
              <w:t>ب</w:t>
            </w:r>
            <w:r>
              <w:rPr>
                <w:rStyle w:val="IndexLink"/>
                <w:rtl w:val="true"/>
              </w:rPr>
              <w:t xml:space="preserve">) </w:t>
            </w:r>
            <w:r>
              <w:rPr>
                <w:rStyle w:val="IndexLink"/>
                <w:rtl w:val="true"/>
              </w:rPr>
              <w:t>مهم‌ترین مسئله‌های فلسفی هوش مصنوعی و پاسخ‌های داده‌شده</w:t>
            </w:r>
            <w:r>
              <w:rPr>
                <w:rStyle w:val="IndexLink"/>
                <w:rtl w:val="true"/>
              </w:rPr>
              <w:tab/>
            </w:r>
            <w:r>
              <w:rPr>
                <w:rStyle w:val="IndexLink"/>
              </w:rPr>
              <w:t>197</w:t>
            </w:r>
          </w:hyperlink>
        </w:p>
        <w:p>
          <w:pPr>
            <w:pStyle w:val="Contents4"/>
            <w:tabs>
              <w:tab w:val="clear" w:pos="8176"/>
              <w:tab w:val="right" w:pos="9026" w:leader="dot"/>
            </w:tabs>
            <w:rPr/>
          </w:pPr>
          <w:hyperlink w:anchor="__RefHeading___Toc4693263_581953129">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4693265_581953129">
            <w:r>
              <w:rPr>
                <w:webHidden/>
                <w:rStyle w:val="IndexLink"/>
              </w:rPr>
              <w:t>1</w:t>
            </w:r>
            <w:r>
              <w:rPr>
                <w:rStyle w:val="IndexLink"/>
                <w:rtl w:val="true"/>
              </w:rPr>
              <w:t xml:space="preserve">. </w:t>
            </w:r>
            <w:r>
              <w:rPr>
                <w:rStyle w:val="IndexLink"/>
                <w:rtl w:val="true"/>
              </w:rPr>
              <w:t xml:space="preserve">مهم‌ترین مسئله‌های فلسفه‌علمی </w:t>
            </w:r>
            <w:r>
              <w:rPr>
                <w:rStyle w:val="IndexLink"/>
                <w:rtl w:val="true"/>
              </w:rPr>
              <w:t>(</w:t>
            </w:r>
            <w:r>
              <w:rPr>
                <w:rStyle w:val="IndexLink"/>
                <w:rtl w:val="true"/>
              </w:rPr>
              <w:t>هوش مصنوعی ضعیف</w:t>
            </w:r>
            <w:r>
              <w:rPr>
                <w:rStyle w:val="IndexLink"/>
                <w:rtl w:val="true"/>
              </w:rPr>
              <w:t>)</w:t>
              <w:tab/>
            </w:r>
            <w:r>
              <w:rPr>
                <w:rStyle w:val="IndexLink"/>
              </w:rPr>
              <w:t>198</w:t>
            </w:r>
          </w:hyperlink>
        </w:p>
        <w:p>
          <w:pPr>
            <w:pStyle w:val="Contents4"/>
            <w:tabs>
              <w:tab w:val="clear" w:pos="8176"/>
              <w:tab w:val="right" w:pos="9026" w:leader="dot"/>
            </w:tabs>
            <w:rPr/>
          </w:pPr>
          <w:hyperlink w:anchor="__RefHeading___Toc4693267_581953129">
            <w:r>
              <w:rPr>
                <w:webHidden/>
                <w:rStyle w:val="IndexLink"/>
              </w:rPr>
              <w:t>2</w:t>
            </w:r>
            <w:r>
              <w:rPr>
                <w:rStyle w:val="IndexLink"/>
                <w:rtl w:val="true"/>
              </w:rPr>
              <w:t xml:space="preserve">. </w:t>
            </w:r>
            <w:r>
              <w:rPr>
                <w:rStyle w:val="IndexLink"/>
                <w:rtl w:val="true"/>
              </w:rPr>
              <w:t xml:space="preserve">مهم‌ترین مسئله‌های فلسفه‌ذهنی </w:t>
            </w:r>
            <w:r>
              <w:rPr>
                <w:rStyle w:val="IndexLink"/>
                <w:rtl w:val="true"/>
              </w:rPr>
              <w:t>(</w:t>
            </w:r>
            <w:r>
              <w:rPr>
                <w:rStyle w:val="IndexLink"/>
                <w:rtl w:val="true"/>
              </w:rPr>
              <w:t>هوش مصنوعی قوی</w:t>
            </w:r>
            <w:r>
              <w:rPr>
                <w:rStyle w:val="IndexLink"/>
                <w:rtl w:val="true"/>
              </w:rPr>
              <w:t>)</w:t>
              <w:tab/>
            </w:r>
            <w:r>
              <w:rPr>
                <w:rStyle w:val="IndexLink"/>
              </w:rPr>
              <w:t>202</w:t>
            </w:r>
          </w:hyperlink>
        </w:p>
        <w:p>
          <w:pPr>
            <w:pStyle w:val="Contents5"/>
            <w:tabs>
              <w:tab w:val="clear" w:pos="7892"/>
              <w:tab w:val="right" w:pos="9026" w:leader="dot"/>
            </w:tabs>
            <w:rPr/>
          </w:pPr>
          <w:hyperlink w:anchor="__RefHeading___Toc4693269_581953129">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4693271_581953129">
            <w:r>
              <w:rPr>
                <w:webHidden/>
                <w:rStyle w:val="IndexLink"/>
              </w:rPr>
              <w:t>1-2</w:t>
            </w:r>
            <w:r>
              <w:rPr>
                <w:rStyle w:val="IndexLink"/>
                <w:rtl w:val="true"/>
              </w:rPr>
              <w:t xml:space="preserve">. </w:t>
            </w:r>
            <w:r>
              <w:rPr>
                <w:rStyle w:val="IndexLink"/>
                <w:rtl w:val="true"/>
              </w:rPr>
              <w:t>مغالطۀ آدمک و مسئلۀ هیوم</w:t>
            </w:r>
            <w:r>
              <w:rPr>
                <w:rStyle w:val="IndexLink"/>
                <w:rtl w:val="true"/>
              </w:rPr>
              <w:tab/>
            </w:r>
            <w:r>
              <w:rPr>
                <w:rStyle w:val="IndexLink"/>
              </w:rPr>
              <w:t>204</w:t>
            </w:r>
          </w:hyperlink>
        </w:p>
        <w:p>
          <w:pPr>
            <w:pStyle w:val="Contents5"/>
            <w:tabs>
              <w:tab w:val="clear" w:pos="7892"/>
              <w:tab w:val="right" w:pos="9026" w:leader="dot"/>
            </w:tabs>
            <w:rPr/>
          </w:pPr>
          <w:hyperlink w:anchor="__RefHeading___Toc4693273_581953129">
            <w:r>
              <w:rPr>
                <w:webHidden/>
                <w:rStyle w:val="IndexLink"/>
              </w:rPr>
              <w:t>2-2</w:t>
            </w:r>
            <w:r>
              <w:rPr>
                <w:rStyle w:val="IndexLink"/>
                <w:rtl w:val="true"/>
              </w:rPr>
              <w:t xml:space="preserve">. </w:t>
            </w:r>
            <w:r>
              <w:rPr>
                <w:rStyle w:val="IndexLink"/>
                <w:rtl w:val="true"/>
              </w:rPr>
              <w:t>استدلال اتاق چینی سرل</w:t>
            </w:r>
            <w:r>
              <w:rPr>
                <w:rStyle w:val="IndexLink"/>
                <w:rtl w:val="true"/>
              </w:rPr>
              <w:tab/>
            </w:r>
            <w:r>
              <w:rPr>
                <w:rStyle w:val="IndexLink"/>
              </w:rPr>
              <w:t>208</w:t>
            </w:r>
          </w:hyperlink>
        </w:p>
        <w:p>
          <w:pPr>
            <w:pStyle w:val="Contents5"/>
            <w:tabs>
              <w:tab w:val="clear" w:pos="7892"/>
              <w:tab w:val="right" w:pos="9026" w:leader="dot"/>
            </w:tabs>
            <w:rPr/>
          </w:pPr>
          <w:hyperlink w:anchor="__RefHeading___Toc4693275_581953129">
            <w:r>
              <w:rPr>
                <w:webHidden/>
                <w:rStyle w:val="IndexLink"/>
              </w:rPr>
              <w:t>3-2</w:t>
            </w:r>
            <w:r>
              <w:rPr>
                <w:rStyle w:val="IndexLink"/>
                <w:rtl w:val="true"/>
              </w:rPr>
              <w:t xml:space="preserve">. </w:t>
            </w:r>
            <w:r>
              <w:rPr>
                <w:rStyle w:val="IndexLink"/>
                <w:rtl w:val="true"/>
              </w:rPr>
              <w:t>نقد هوش مصنوعی بر پایۀ نظریۀ گودل</w:t>
            </w:r>
            <w:r>
              <w:rPr>
                <w:rStyle w:val="IndexLink"/>
                <w:rtl w:val="true"/>
              </w:rPr>
              <w:tab/>
            </w:r>
            <w:r>
              <w:rPr>
                <w:rStyle w:val="IndexLink"/>
              </w:rPr>
              <w:t>214</w:t>
            </w:r>
          </w:hyperlink>
        </w:p>
        <w:p>
          <w:pPr>
            <w:pStyle w:val="Contents3"/>
            <w:tabs>
              <w:tab w:val="clear" w:pos="8459"/>
              <w:tab w:val="right" w:pos="9026" w:leader="dot"/>
            </w:tabs>
            <w:rPr/>
          </w:pPr>
          <w:hyperlink w:anchor="__RefHeading___Toc4693277_581953129">
            <w:r>
              <w:rPr>
                <w:webHidden/>
                <w:rStyle w:val="IndexLink"/>
                <w:rtl w:val="true"/>
              </w:rPr>
              <w:t>نتیجه‌گیری</w:t>
            </w:r>
            <w:r>
              <w:rPr>
                <w:rStyle w:val="IndexLink"/>
                <w:rtl w:val="true"/>
              </w:rPr>
              <w:tab/>
            </w:r>
            <w:r>
              <w:rPr>
                <w:rStyle w:val="IndexLink"/>
              </w:rPr>
              <w:t>218</w:t>
            </w:r>
          </w:hyperlink>
        </w:p>
        <w:p>
          <w:pPr>
            <w:pStyle w:val="Contents3"/>
            <w:tabs>
              <w:tab w:val="clear" w:pos="8459"/>
              <w:tab w:val="right" w:pos="9026" w:leader="dot"/>
            </w:tabs>
            <w:rPr/>
          </w:pPr>
          <w:hyperlink w:anchor="__RefHeading___Toc4693279_581953129">
            <w:r>
              <w:rPr>
                <w:webHidden/>
                <w:rStyle w:val="IndexLink"/>
                <w:rtl w:val="true"/>
              </w:rPr>
              <w:t>منابع و مآخذ</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34_41752"/>
      <w:bookmarkStart w:id="1" w:name="pg5834_41752"/>
      <w:bookmarkEnd w:id="1"/>
    </w:p>
    <w:p>
      <w:pPr>
        <w:pStyle w:val="Heading2"/>
        <w:numPr>
          <w:ilvl w:val="1"/>
          <w:numId w:val="1"/>
        </w:numPr>
        <w:rPr/>
      </w:pPr>
      <w:bookmarkStart w:id="2" w:name="pg5834_41752"/>
      <w:bookmarkStart w:id="3" w:name="__RefHeading___Toc469295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فصلنامة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معرفت‌شناسی و حوزه‌های مرتبط</w:t>
      </w:r>
    </w:p>
    <w:p>
      <w:pPr>
        <w:pStyle w:val="BookText"/>
        <w:rPr/>
      </w:pPr>
      <w:r>
        <w:rPr>
          <w:rFonts w:ascii="IRNazanin" w:hAnsi="IRNazanin" w:eastAsia="IRNazanin"/>
          <w:color w:val="111111"/>
          <w:sz w:val="28"/>
          <w:sz w:val="28"/>
          <w:szCs w:val="28"/>
          <w:rtl w:val="true"/>
          <w:lang w:bidi="fa-IR"/>
        </w:rPr>
        <w:t>سال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رشاد</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رشاد</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قائمی‌نیا</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حکمت‌مهر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علیرضا دانادوست</w:t>
      </w:r>
    </w:p>
    <w:p>
      <w:pPr>
        <w:pStyle w:val="BookText"/>
        <w:rPr/>
      </w:pPr>
      <w:r>
        <w:rPr>
          <w:rFonts w:ascii="IRNazanin" w:hAnsi="IRNazanin" w:eastAsia="IRNazanin"/>
          <w:color w:val="111111"/>
          <w:sz w:val="28"/>
          <w:sz w:val="28"/>
          <w:szCs w:val="28"/>
          <w:rtl w:val="true"/>
          <w:lang w:bidi="fa-IR"/>
        </w:rPr>
        <w:t>اعضای هیئت تحریریه و پژوهش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حمیدرضا آیت‌اللهی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جهانگیری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خسروپناه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عشاقی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پژوهشگاه فرهنگ و اندیشه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غلامرضا فیاضی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مؤسسه آموزشی و پژوهشی امام‌خمینی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قوام‌صفری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کیاشمشکی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امیرکبیر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سیدیحیی یثربی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علامه‌طباطبایی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استناد گواهی شماره </w:t>
      </w:r>
      <w:r>
        <w:rPr>
          <w:rFonts w:eastAsia="IRNazanin" w:cs="IRNazanin"/>
          <w:color w:val="111111"/>
          <w:sz w:val="28"/>
          <w:szCs w:val="28"/>
          <w:lang w:bidi="fa-IR"/>
        </w:rPr>
        <w:t>5656/31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18/5/1391</w:t>
      </w:r>
      <w:r>
        <w:rPr>
          <w:rFonts w:ascii="IRNazanin" w:hAnsi="IRNazanin" w:eastAsia="IRNazanin"/>
          <w:color w:val="111111"/>
          <w:sz w:val="28"/>
          <w:sz w:val="28"/>
          <w:szCs w:val="28"/>
          <w:rtl w:val="true"/>
          <w:lang w:bidi="fa-IR"/>
        </w:rPr>
        <w:t>، شورای عالی حوزه‌های علمیه</w:t>
      </w:r>
    </w:p>
    <w:p>
      <w:pPr>
        <w:pStyle w:val="BookText"/>
        <w:rPr/>
      </w:pPr>
      <w:r>
        <w:rPr>
          <w:rFonts w:ascii="IRNazanin" w:hAnsi="IRNazanin" w:eastAsia="IRNazanin"/>
          <w:color w:val="111111"/>
          <w:sz w:val="28"/>
          <w:sz w:val="28"/>
          <w:szCs w:val="28"/>
          <w:rtl w:val="true"/>
          <w:lang w:bidi="fa-IR"/>
        </w:rPr>
        <w:t>به فصلنامه ذهن رتبه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اعطا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شهید بهشتی، خ شهید احمد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 پژوهشگاه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8784</w:t>
      </w:r>
      <w:r>
        <w:rPr>
          <w:rFonts w:eastAsia="IRNazanin" w:cs="IRNazanin"/>
          <w:color w:val="111111"/>
          <w:sz w:val="28"/>
          <w:szCs w:val="28"/>
          <w:rtl w:val="true"/>
          <w:lang w:bidi="fa-IR"/>
        </w:rPr>
        <w:t xml:space="preserve"> -</w:t>
      </w:r>
      <w:r>
        <w:rPr>
          <w:rFonts w:eastAsia="IRNazanin" w:cs="IRNazanin"/>
          <w:color w:val="111111"/>
          <w:sz w:val="28"/>
          <w:szCs w:val="28"/>
          <w:lang w:bidi="fa-IR"/>
        </w:rPr>
        <w:t>15875</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بلوار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خرداد کوی شهید میثمی‌صندوق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37603572</w:t>
      </w:r>
    </w:p>
    <w:p>
      <w:pPr>
        <w:pStyle w:val="BookText"/>
        <w:rPr/>
      </w:pPr>
      <w:r>
        <w:rPr>
          <w:rFonts w:eastAsia="Times New Roman" w:cs="Times New Roman" w:ascii="Times New Roman" w:hAnsi="Times New Roman"/>
          <w:color w:val="111111"/>
          <w:sz w:val="28"/>
          <w:szCs w:val="28"/>
          <w:lang w:val="en-US" w:bidi="en-US"/>
        </w:rPr>
        <w:t>mail: zehn@iict.ac.ir</w:t>
      </w:r>
    </w:p>
    <w:p>
      <w:pPr>
        <w:pStyle w:val="BookText"/>
        <w:rPr/>
      </w:pPr>
      <w:r>
        <w:rPr>
          <w:rFonts w:eastAsia="Times New Roman" w:cs="Times New Roman" w:ascii="Times New Roman" w:hAnsi="Times New Roman"/>
          <w:color w:val="111111"/>
          <w:sz w:val="28"/>
          <w:szCs w:val="28"/>
          <w:lang w:val="en-US" w:bidi="en-US"/>
        </w:rPr>
        <w:t>www.zehn.iict.ac.ir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92955_581953129"/>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مصوبه مذکور فصلنامه ذهن از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رتبه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ذهن در پایگاه استنادی علوم جهان اسلام به نشانی </w:t>
      </w:r>
      <w:r>
        <w:rPr>
          <w:rFonts w:eastAsia="Times New Roman" w:cs="Times New Roman" w:ascii="Times New Roman" w:hAnsi="Times New Roman"/>
          <w:color w:val="111111"/>
          <w:sz w:val="28"/>
          <w:szCs w:val="28"/>
          <w:lang w:val="en-US" w:bidi="en-US"/>
        </w:rPr>
        <w:t>www.isc.gov.ir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فصلنامة ذهن از همکاری محققان، استادان و مترجمان استقبال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مندرج در فصلنامة ذهن، مبین آرا و اندیشه‌های نویسندگان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متن اصلی مقاله همراه با ترجمه چکیده،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فصلنامة ذهن در ویرایش مطالب دریافتی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مطالب مجله ذهن تنها با ذکر مأخذ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به هنگام تنظیم مقالات موارد زیر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نام خانوادگی، میزان تحصیلات، رتبة علمی نویسنده، شغل، نشانی، کد پستی، و شماره تلفن قید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فایل نهایی مقاله، به سامانه مجله ذهن به آدرس </w:t>
      </w:r>
      <w:r>
        <w:rPr>
          <w:rFonts w:eastAsia="Times New Roman" w:cs="Times New Roman" w:ascii="Times New Roman" w:hAnsi="Times New Roman"/>
          <w:color w:val="111111"/>
          <w:sz w:val="28"/>
          <w:szCs w:val="28"/>
          <w:lang w:val="en-US" w:bidi="en-US"/>
        </w:rPr>
        <w:t>www.zehn.iict.ac.ir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هر مقاله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حروف‌چینی شدة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چکیدة مقاله، حداکثر 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آینه تمام‌نمای مقاله است که شامل بیان مسئله، هدف پژوهش، روش و اجمالی از یافته‌های مهم پژوهش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کلیدواژه‌ها فهرست موضوعی مقاله بوده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معادل انگلیسی چکیده و کلیدواژه‌ها نیز ارسال شود</w:t>
      </w:r>
    </w:p>
    <w:p>
      <w:pPr>
        <w:pStyle w:val="BookText"/>
        <w:rPr/>
      </w:pPr>
      <w:r>
        <w:rPr>
          <w:rFonts w:ascii="IRNazanin" w:hAnsi="IRNazanin" w:eastAsia="IRNazanin"/>
          <w:color w:val="111111"/>
          <w:sz w:val="28"/>
          <w:sz w:val="28"/>
          <w:szCs w:val="28"/>
          <w:rtl w:val="true"/>
          <w:lang w:bidi="fa-IR"/>
        </w:rPr>
        <w:t>مقدّمه مقاله، شامل تعریف مسئله، پیشینه اجمالی پژوهش، ضرورت و اهمیت طرح، جنبه نوآوری بحث، پرسش‌های اصلی و فرعی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سامان‌دهی بدنة اصلی مقاله، باید واجد یکی از شرایط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کننده نظریه و یافته جدید علمی؛ ارائه کننده تقریر و تبیین جدید از یک نظریه؛ ارائه کننده استدلال جدید برای یک نظریه؛ ارائه نقد جامع علمی یک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یافته‌های تفصیلی تحقیق است که به صورت گزاره‌های خبری موجز بیان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 فارسی و معادل انگلیسی آنها درج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ارسالی نباید در هیچ نشریة داخلی یا خارجی چاپ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ارسالی نباید هم‌زمان به سایر مجلات فرستاده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معادل لاتین اسامی، و اصطلاحات مهجور، مقابل عبارت و در پرانتز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مورد استفاده، در متن به این شکل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نویسنده، تاریخ انتشار، شمارة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مظفر،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فهرست منابع در آخر مقاله برحسب حروف الفبایی نام خانوادگی نویسنده، به شکل ذیل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کتاب؛ نام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شماره جلد، نوبت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سال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مجله، شماره مجله، سال انتشار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تکرار منابع، به نام خانوادگی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شمارة جلد و صفحه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صورت تعدد آثار منتشره در سال واحد از یک مؤلف، جهت نمایاندن ترتیب انتشار با حروف الف، ب، 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متمایز می‌گردد</w:t>
      </w:r>
      <w:r>
        <w:rPr>
          <w:rFonts w:eastAsia="IRNazanin" w:cs="IRNazanin"/>
          <w:color w:val="111111"/>
          <w:sz w:val="28"/>
          <w:szCs w:val="28"/>
          <w:rtl w:val="true"/>
          <w:lang w:bidi="fa-IR"/>
        </w:rPr>
        <w:t xml:space="preserve">. </w:t>
      </w:r>
      <w:bookmarkStart w:id="7" w:name="pg5834_41757"/>
    </w:p>
    <w:p>
      <w:pPr>
        <w:pStyle w:val="Heading2"/>
        <w:numPr>
          <w:ilvl w:val="1"/>
          <w:numId w:val="1"/>
        </w:numPr>
        <w:rPr/>
      </w:pPr>
      <w:bookmarkStart w:id="8" w:name="__RefHeading___Toc4692957_581953129"/>
      <w:bookmarkStart w:id="9" w:name="_Toc3"/>
      <w:bookmarkEnd w:id="7"/>
      <w:bookmarkEnd w:id="8"/>
      <w:r>
        <w:rPr>
          <w:rtl w:val="true"/>
        </w:rPr>
        <w:t>فهرست</w:t>
      </w:r>
      <w:bookmarkEnd w:id="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انتقادی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نگرة علم‌شناختی تفکیکی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شاکرین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انتقادی دلایل قائلان به مادیت ادراک، با نگاه به مبانی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فروغی، هادی وکیلی، اعظم قاسمی</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ذات‌گرایی جدید در فلسفۀ علم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جریانی مهم، اما ناآشنا در ایران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دادجو</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واقع‌گرایی هستی‌شناختی بدون التزام به واقع‌گرایی معرفت‌شناختی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موذن‌زاده، میرسعید موسوی کریمی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بازی‌های زبانی، صورت‌های زندگی و حیات اجتماعی انسان در ویتگنشتاین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دهاقین، عبدالرزاق حسامی‌فر، سیدمسعود سیف، محمدحسن حیدری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مبناگرایی در تقلیل‌گرایی اخلاقی طبیعت‌گرا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محمدی‌منفرد</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شعاعی معنای ایمان از دیدگاه اندیشمندان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قائمی نیا، شعبان نصرتی، سولماز ایرانی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انتقادی رویکردهای سرل، دنت و پاتنم به جایگاه فلسفی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محمدعلی‌خلج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834_41760"/>
      <w:bookmarkStart w:id="11" w:name="pg5834_41760"/>
      <w:bookmarkEnd w:id="11"/>
    </w:p>
    <w:p>
      <w:pPr>
        <w:pStyle w:val="Heading2"/>
        <w:numPr>
          <w:ilvl w:val="1"/>
          <w:numId w:val="1"/>
        </w:numPr>
        <w:rPr/>
      </w:pPr>
      <w:bookmarkStart w:id="12" w:name="pg5834_41760"/>
      <w:bookmarkStart w:id="13" w:name="__RefHeading___Toc4692959_581953129"/>
      <w:bookmarkStart w:id="14" w:name="_Toc4"/>
      <w:bookmarkEnd w:id="12"/>
      <w:bookmarkEnd w:id="13"/>
      <w:r>
        <w:rPr>
          <w:rtl w:val="true"/>
        </w:rPr>
        <w:t xml:space="preserve">بررسی انتقادی نگرة علم‌شناختی تفکیکی </w:t>
      </w:r>
      <w:r>
        <w:rPr>
          <w:rtl w:val="true"/>
        </w:rPr>
        <w:t xml:space="preserve">/ </w:t>
      </w:r>
      <w:r>
        <w:rPr>
          <w:rtl w:val="true"/>
        </w:rPr>
        <w:t>حمیدرضا شاکرین</w:t>
      </w:r>
      <w:bookmarkEnd w:id="14"/>
    </w:p>
    <w:p>
      <w:pPr>
        <w:pStyle w:val="Heading3"/>
        <w:numPr>
          <w:ilvl w:val="2"/>
          <w:numId w:val="1"/>
        </w:numPr>
        <w:rPr/>
      </w:pPr>
      <w:bookmarkStart w:id="15" w:name="__RefHeading___Toc4692961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بررسی انتقادی نگرة علم‌شناختی تفکیکی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15/6/96</w:t>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24/11/96</w:t>
      </w:r>
    </w:p>
    <w:p>
      <w:pPr>
        <w:pStyle w:val="BookText"/>
        <w:rPr/>
      </w:pPr>
      <w:r>
        <w:rPr>
          <w:rFonts w:ascii="IRNazanin" w:hAnsi="IRNazanin" w:eastAsia="IRNazanin"/>
          <w:color w:val="111111"/>
          <w:sz w:val="28"/>
          <w:sz w:val="28"/>
          <w:szCs w:val="28"/>
          <w:rtl w:val="true"/>
          <w:lang w:bidi="fa-IR"/>
        </w:rPr>
        <w:t>حمیدرضا شاکرین</w:t>
      </w:r>
    </w:p>
    <w:p>
      <w:pPr>
        <w:pStyle w:val="Heading3"/>
        <w:numPr>
          <w:ilvl w:val="2"/>
          <w:numId w:val="1"/>
        </w:numPr>
        <w:rPr/>
      </w:pPr>
      <w:bookmarkStart w:id="17" w:name="__RefHeading___Toc4692963_581953129"/>
      <w:bookmarkStart w:id="18" w:name="_Toc6"/>
      <w:bookmarkEnd w:id="17"/>
      <w:r>
        <w:rPr>
          <w:rtl w:val="true"/>
        </w:rPr>
        <w:t>چکیده</w:t>
      </w:r>
      <w:bookmarkEnd w:id="18"/>
    </w:p>
    <w:p>
      <w:pPr>
        <w:pStyle w:val="BookText"/>
        <w:rPr/>
      </w:pPr>
      <w:r>
        <w:rPr>
          <w:rFonts w:ascii="IRNazanin" w:hAnsi="IRNazanin" w:eastAsia="IRNazanin"/>
          <w:color w:val="111111"/>
          <w:sz w:val="28"/>
          <w:sz w:val="28"/>
          <w:szCs w:val="28"/>
          <w:rtl w:val="true"/>
          <w:lang w:bidi="fa-IR"/>
        </w:rPr>
        <w:t>مباحث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در ادبیات تفکیکی جایگاه درخور اهمیتی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دیدگاه‌های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دربارة چیستی علم، رابطة آن با نفس، ارزش علم و چگونگی به‌دست‌آوردن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نقش چشمگیری در منطق فهم دین، معرفت‌شناسی دینی و علوم و معارف اسلامی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پیش رو بر آن است مهم‌ترین مسائل مطرح‌شده در این مبحث را بررسی و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پژوهش آن است که ادعای تفکیکیان در مباینت علم و نفس نادرست و دلایل آن مخدوش است و به سنجش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ناپذیری معرفت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تجرد، تجرد علم، بینونت علم و نفس، نگرة تفکیک</w:t>
      </w:r>
      <w:r>
        <w:rPr>
          <w:rFonts w:eastAsia="IRNazanin" w:cs="IRNazanin"/>
          <w:color w:val="111111"/>
          <w:sz w:val="28"/>
          <w:szCs w:val="28"/>
          <w:rtl w:val="true"/>
          <w:lang w:bidi="fa-IR"/>
        </w:rPr>
        <w:t xml:space="preserve">. </w:t>
      </w:r>
      <w:bookmarkStart w:id="19" w:name="pg5834_41762"/>
    </w:p>
    <w:p>
      <w:pPr>
        <w:pStyle w:val="Heading3"/>
        <w:numPr>
          <w:ilvl w:val="2"/>
          <w:numId w:val="1"/>
        </w:numPr>
        <w:rPr/>
      </w:pPr>
      <w:bookmarkStart w:id="20" w:name="__RefHeading___Toc4692965_581953129"/>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رویکرد تفکیک یا گرایش معارفی خراسان، جریانی در منطق فهم دین و معارف اسلامی است که برای آن قدمتی نزدیک به یک قرن بیان شده است؛ هرچند برخی مبانی یا دعاوی آن در آرای پیشینیان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مایة گرایش تفکیکی این است که فلسفه و عرفان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بشری بوده که با وحی انطباق نداشته است و التقاط</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آور و رهزن معرفت 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خلوص معرفت دینی ایجاب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آنها را از ساحت اندیشة دینی زدوده و معرفت ناب و خالص را از سرچشمة اصیل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پیشران این رویکرد در دوران معاصر آیت‌الله میرزا مهدی اصفهانی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محقق نایینی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سالگی اجازة اجتهاد گرفت،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وارد حوزة خراسان شد و تا آخر عمر در حوزة علمیة مشهد مقدس به تدریس درس خارج و دروس معارفی اهتمام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رحلت میرزا مهدی اصفهانی جمعی از شاگردان او با تغییرات و اصلاحاتی به ترویج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وی پرداخته، کوشیدند آن را به یک جریان فکری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آنان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حلبی تولایی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خراسانی</w:t>
      </w:r>
      <w:r>
        <w:rPr>
          <w:rFonts w:eastAsia="IRNazanin" w:cs="IRNazanin"/>
          <w:color w:val="111111"/>
          <w:sz w:val="28"/>
          <w:szCs w:val="28"/>
          <w:rtl w:val="true"/>
          <w:lang w:bidi="fa-IR"/>
        </w:rPr>
        <w:t>) (</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بنیان‌گذار انجمن حجتیه؛ شیخ مجتبی قزوینی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میرزا حسنعلی مروارید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میرزا جوادآقای تهرانی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محمدباقر ملکی میانجی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مروّجان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نسل بعدی تفکیک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آیت‌الله سیدجعفر سیدان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محمدرضا حکیمی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مباحثی که پیشروان تفکیک بر آن اهتمام داشته و از جهاتی با فیلسوفان اسلامی در آن اختلاف‌نظر دارند، حقیقت علم و مسائل پیرامون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پرسش‌هایی که در این زمینه وجود دارد، عبارت‌اند از اینکه حقیقت علم چیست؟ رابطة علم با نفس انسان چگونه است؟ ارزش علم چگونه ارزیابی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دستیابی به علم از چه راهی امکان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 در صدد آنیم به یاری خداوند پاسخ این پرسش‌ها را از منظر تفکیکیان </w:t>
      </w:r>
      <w:bookmarkStart w:id="22" w:name="pg5834_41764"/>
    </w:p>
    <w:p>
      <w:pPr>
        <w:pStyle w:val="BookText"/>
        <w:rPr/>
      </w:pPr>
      <w:bookmarkEnd w:id="22"/>
      <w:r>
        <w:rPr>
          <w:rFonts w:ascii="IRNazanin" w:hAnsi="IRNazanin" w:eastAsia="IRNazanin"/>
          <w:color w:val="111111"/>
          <w:sz w:val="28"/>
          <w:sz w:val="28"/>
          <w:szCs w:val="28"/>
          <w:rtl w:val="true"/>
          <w:lang w:bidi="fa-IR"/>
        </w:rPr>
        <w:t>بررسی کنیم و به داوری بنشینیم</w:t>
      </w:r>
      <w:r>
        <w:rPr>
          <w:rFonts w:eastAsia="IRNazanin" w:cs="IRNazanin"/>
          <w:color w:val="111111"/>
          <w:sz w:val="28"/>
          <w:szCs w:val="28"/>
          <w:rtl w:val="true"/>
          <w:lang w:bidi="fa-IR"/>
        </w:rPr>
        <w:t>.</w:t>
      </w:r>
    </w:p>
    <w:p>
      <w:pPr>
        <w:pStyle w:val="Heading3"/>
        <w:numPr>
          <w:ilvl w:val="2"/>
          <w:numId w:val="1"/>
        </w:numPr>
        <w:rPr/>
      </w:pPr>
      <w:bookmarkStart w:id="23" w:name="__RefHeading___Toc4692967_581953129"/>
      <w:bookmarkStart w:id="24" w:name="_Toc8"/>
      <w:bookmarkEnd w:id="23"/>
      <w:r>
        <w:rPr>
          <w:rtl w:val="true"/>
        </w:rPr>
        <w:t>الف</w:t>
      </w:r>
      <w:r>
        <w:rPr>
          <w:rtl w:val="true"/>
        </w:rPr>
        <w:t xml:space="preserve">) </w:t>
      </w:r>
      <w:r>
        <w:rPr>
          <w:rtl w:val="true"/>
        </w:rPr>
        <w:t>پیشینۀ بحث</w:t>
      </w:r>
      <w:bookmarkEnd w:id="24"/>
    </w:p>
    <w:p>
      <w:pPr>
        <w:pStyle w:val="BookText"/>
        <w:rPr/>
      </w:pPr>
      <w:r>
        <w:rPr>
          <w:rFonts w:ascii="IRNazanin" w:hAnsi="IRNazanin" w:eastAsia="IRNazanin"/>
          <w:color w:val="111111"/>
          <w:sz w:val="28"/>
          <w:sz w:val="28"/>
          <w:szCs w:val="28"/>
          <w:rtl w:val="true"/>
          <w:lang w:bidi="fa-IR"/>
        </w:rPr>
        <w:t>در رابطة نگرة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دیدگاه‌های علم و معرفت‌شناختی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دهة اخیر آثاری در تبیین، دفاع و نقد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آثار تفکیکیان که در مباحث آتی از آنها یاد و بدان‌ها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آثار زیر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علم، علیرضا رحیمیان؛ مسئلة قیاس، علیرضا رحیمیان؛ روش‌مندی تعقل دینی در اندیشه‌های میرزا مهدی اصفهانی، سیدعبدالحمید ابطحی؛ بنیان مرصوص، حسین مظفری؛ از مدرسه معارف تا انجمن حجتیه و مکتب تفکیک، محمدرضا ارشادی‌نیا؛ آیین و اندیشه، سیدمحمد موسوی؛ صراط مستقیم، محمدحسن وکیلی؛ رؤیای خلوص، سیدحسن اسلامی؛ جریان‌شناسی فرهنگی، عبدالحسین خسروپناه و نقد و بررسی روش‌شناسی فهم دین از دیدگاه علامه طباطبائی و اصحاب مکتب تفکیک، سیدرشید صمیمی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اندیشة حوزه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فصلنامة کتاب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پگاه حوزه </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مباحثی دربارة نگرة تفکیک منتشر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نیز در این باره به نگارش درآمده‌اند؛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تعقل از نگاه مکتب تفکیک از مرتضی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سطح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یک از آثار فوق اعم از آنکه در پی تبیین، دفاع یا نقد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تفکیکی باشد،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مسئله نورافشانی و به روشن‌ساختن زوایایی از بحث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تاآنجاکه نگارنده جست‌وجو کرده است، کمتر به علم‌شناسی تفکیکی از رهگذر هستی‌شناسی علم، رابطة آن با نفس انسان و نقد و ارزیابی آن از این منظر پرداخته شده و نوشتار پیش رو سودای چنین رویکردی را دارد</w:t>
      </w:r>
      <w:r>
        <w:rPr>
          <w:rFonts w:eastAsia="IRNazanin" w:cs="IRNazanin"/>
          <w:color w:val="111111"/>
          <w:sz w:val="28"/>
          <w:szCs w:val="28"/>
          <w:rtl w:val="true"/>
          <w:lang w:bidi="fa-IR"/>
        </w:rPr>
        <w:t>.</w:t>
      </w:r>
    </w:p>
    <w:p>
      <w:pPr>
        <w:pStyle w:val="Heading3"/>
        <w:numPr>
          <w:ilvl w:val="2"/>
          <w:numId w:val="1"/>
        </w:numPr>
        <w:rPr/>
      </w:pPr>
      <w:bookmarkStart w:id="25" w:name="__RefHeading___Toc4692969_581953129"/>
      <w:bookmarkStart w:id="26" w:name="_Toc9"/>
      <w:bookmarkEnd w:id="25"/>
      <w:r>
        <w:rPr>
          <w:rtl w:val="true"/>
        </w:rPr>
        <w:t>ب</w:t>
      </w:r>
      <w:r>
        <w:rPr>
          <w:rtl w:val="true"/>
        </w:rPr>
        <w:t xml:space="preserve">) </w:t>
      </w:r>
      <w:r>
        <w:rPr>
          <w:rtl w:val="true"/>
        </w:rPr>
        <w:t>چیستی علم</w:t>
      </w:r>
      <w:bookmarkEnd w:id="2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عقل، حیات، شعور، قدرت و وجود در نگرش تفکیکی از حقایق نوری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تاآنجاکه نویسنده جست‌وجو کرده است، در آثار بنیان‌گذاران تفکیک </w:t>
      </w:r>
      <w:bookmarkStart w:id="27" w:name="pg5834_41766"/>
    </w:p>
    <w:p>
      <w:pPr>
        <w:pStyle w:val="BookText"/>
        <w:rPr/>
      </w:pPr>
      <w:bookmarkEnd w:id="27"/>
      <w:r>
        <w:rPr>
          <w:rFonts w:ascii="IRNazanin" w:hAnsi="IRNazanin" w:eastAsia="IRNazanin"/>
          <w:color w:val="111111"/>
          <w:sz w:val="28"/>
          <w:sz w:val="28"/>
          <w:szCs w:val="28"/>
          <w:rtl w:val="true"/>
          <w:lang w:bidi="fa-IR"/>
        </w:rPr>
        <w:t>تعریف دقیق و شفافی از حقایق نوری ارائه نشده است، بلکه به جای تعریف، به بیان ویژگی‌های برجستة مدلول‌ها و مصادیق این تعابیر پرداخته‌اند و ویژگی بارز آنها را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که شبیه نور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بذاته و مظهر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این تفاوت که در نگاه ایشان نور علم ظاهر بذاته است، ولی نور محسوس از طریق نور علم بر ما آشکار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میرزا مهدی اصفهانی علم را چنین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العلم فهو فی العلوم الالهیۀ عبارة عن النور الظاهر بذاته عند کل من یعلم، ویجد به شیئا من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علوم الهی عبارت است از نور؛ این نور نزد هر کس که چیزی را بداند و به واسطة علم چیزی از اشیا را بیابد، خودبه‌خود روشن و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حقایق نوری را اموری مجرد و مَثَل اعلای پروردگار دانسته و همه را به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نورانیت حضرت خاتم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الانبیا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الانوار المجردۀ، کنور العقل، ونور العلم، ونور الحیاة، ونور الوجود، ونور خاتم الانبیا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التی هی المثل الاعلی لربّ العزۀ، وهی العرش، وهی اسماؤه تعالی، وکل هذه الانوار ترجع الی نور واحد، وهو مقام نورانیة سید الرسل</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مجرده همچون نور عقل، علم، حیات، وجود و نور خاتم‌الانبیا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که مَثَل اعلای پروردگار و عرش و اسمای خدای متعالی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بوده، همه به نور واحد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که همان مقام نورانیت سید رسولان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3"/>
        <w:numPr>
          <w:ilvl w:val="2"/>
          <w:numId w:val="1"/>
        </w:numPr>
        <w:rPr/>
      </w:pPr>
      <w:bookmarkStart w:id="28" w:name="__RefHeading___Toc4692971_581953129"/>
      <w:bookmarkStart w:id="29" w:name="_Toc10"/>
      <w:bookmarkEnd w:id="28"/>
      <w:r>
        <w:rPr>
          <w:rtl w:val="true"/>
        </w:rPr>
        <w:t>ج</w:t>
      </w:r>
      <w:r>
        <w:rPr>
          <w:rtl w:val="true"/>
        </w:rPr>
        <w:t xml:space="preserve">) </w:t>
      </w:r>
      <w:r>
        <w:rPr>
          <w:rtl w:val="true"/>
        </w:rPr>
        <w:t>جدایی علم از نفس و دلایل آن</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علم در نگرة تفکیکی حقیقتی مجرد، اما 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لطیف و امری مادی و ظلمانی است که نه خود ظاهر و آشکار است و نه ظاهرکنندۀ چیزی است؛</w:t>
      </w:r>
      <w:r>
        <w:rPr>
          <w:rStyle w:val="FootnoteAnchor"/>
          <w:rtl w:val="true"/>
        </w:rPr>
        <w:footnoteReference w:id="3"/>
      </w:r>
      <w:r>
        <w:rPr>
          <w:rFonts w:ascii="IRNazanin" w:hAnsi="IRNazanin" w:eastAsia="IRNazanin"/>
          <w:color w:val="111111"/>
          <w:sz w:val="28"/>
          <w:sz w:val="28"/>
          <w:szCs w:val="28"/>
          <w:rtl w:val="true"/>
          <w:lang w:bidi="fa-IR"/>
        </w:rPr>
        <w:t>بنابراین حقیقت علم خارج از وجود انسان است و هر اندازه آدمی مراتب عالیة کمال را درنوردد، همچنان غیریت و مباینتش با علم ثابت و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هذه </w:t>
      </w:r>
    </w:p>
    <w:p>
      <w:pPr>
        <w:pStyle w:val="BookText"/>
        <w:rPr/>
      </w:pPr>
      <w:r>
        <w:rPr>
          <w:rFonts w:ascii="IRNazanin" w:hAnsi="IRNazanin" w:eastAsia="IRNazanin"/>
          <w:color w:val="111111"/>
          <w:sz w:val="28"/>
          <w:sz w:val="28"/>
          <w:szCs w:val="28"/>
          <w:rtl w:val="true"/>
          <w:lang w:bidi="fa-IR"/>
        </w:rPr>
        <w:t>المباینة والغیریّة لا تزال ثابتة بلغ الإنسان ما بلغ من حدّ الکمال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مروارید در این باره به دو آیه از قرآن مجید استشهاد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أَخْرَجَکُمْ مِنْ بُطُونِ أُمَّهاتِکُمْ لَا تَعْلَمُونَ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وَمِنْکُمْ مَنْ یُرَدُّ إِلی أَرْذَلِ الْعُمُرِ لِکَیْلاً یَعْلَمَ مِنْ بَعْدِ عِلْمٍ شَیْئاً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ایشان به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یادشده از این جهت است که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نبود مطلق علم</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آغازین زندگی فرد در این دنیا و دومی بر ازدست‌دادن علم در سالمندی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آیه بر خالی‌بودن نفس از علم در برخی مراحل حیات تأکید کرده و درنتیجه بر وجود استقلالی و مباینت علم از نفس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شواهد عقلی بر جدایی علم از نفس نزد تفکیکیان غفلت، جهل، فراموشی و خواب است؛ چه در این موارد به نظر ایشان انسان کاملاً تهی از علم است و اگر علم داخل در حقیقت نفس باشد، انسان باید حقیقتی عقلی و لاجرم عین شعور و خودآگاهی بوده، به‌هیچ‌روی غفلت از خویش را برنتابد و این امور با حقیقت وجودی‌اش تناقض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ایشان از شواهد نقلی و عقلی در این باره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ناظر به ظرف فقدان علم در نگاه ایشان و اساساً بحثی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ناظر به عدم تجرد نفس و بینونت جوهری آن با علم – است؛ ازاین‌رو از نقد و بررسی آنها در این مجال صرف‌نظر کرده</w:t>
      </w:r>
      <w:r>
        <w:rPr>
          <w:rStyle w:val="FootnoteAnchor"/>
          <w:rtl w:val="true"/>
        </w:rPr>
        <w:footnoteReference w:id="5"/>
      </w:r>
      <w:r>
        <w:rPr>
          <w:rFonts w:ascii="IRNazanin" w:hAnsi="IRNazanin" w:eastAsia="IRNazanin"/>
          <w:color w:val="111111"/>
          <w:sz w:val="28"/>
          <w:sz w:val="28"/>
          <w:szCs w:val="28"/>
          <w:rtl w:val="true"/>
          <w:lang w:bidi="fa-IR"/>
        </w:rPr>
        <w:t>و دلیل دیگری را که بر جدایی علم از نفس در ظرف وجود علم و التفات بدان دلالت دارد،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 مروارید باورهای تفکیکی در باب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جدایی آن از نفس و صور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ظاهر بذاته و وجدانی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ما </w:t>
      </w:r>
      <w:bookmarkStart w:id="30" w:name="pg5834_41770"/>
    </w:p>
    <w:p>
      <w:pPr>
        <w:pStyle w:val="BookText"/>
        <w:rPr/>
      </w:pPr>
      <w:bookmarkEnd w:id="30"/>
      <w:r>
        <w:rPr>
          <w:rFonts w:ascii="IRNazanin" w:hAnsi="IRNazanin" w:eastAsia="IRNazanin"/>
          <w:color w:val="111111"/>
          <w:sz w:val="28"/>
          <w:sz w:val="28"/>
          <w:szCs w:val="28"/>
          <w:rtl w:val="true"/>
          <w:lang w:bidi="fa-IR"/>
        </w:rPr>
        <w:t>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هر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نفس خود و آنچه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صور ذهنی و حالت‌های نفسانی از راه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زمانی علم داریم و زمانی نداریم؛ پس آنها خود علم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بر آن است که تقسیم علم به حضوری و حصولی و تعریف علم حضوری به حضور شی‌ء نزد عالم و تعریف علم حصولی به حصول صورت شی‌ء نزد نفس و تقسیم علم حصولی به تصور و تصدیق، به کلی بیگانه از مقام است؛ چراکه حضور شیئی نزد نفس و حصول صورت آن به وسیلة علم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اینها خود علم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گواه بر مطلب را این می‌داند که اگر از کسی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حضور شیئی نزد نفس یا حصول صورت چیزی در نفس خود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ازکجا دانستی؟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که چنین پرسشی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یعنی این امور به‌خودی‌خود آشکار، معلوم و مبیَّن بالذات نیست و دانستن آنها واسطه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و واسطه‌ی دانستن جز علم چیز دیگری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و تصدیق که هر دو از احوالات نفس انسانی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طریق علم شناخته شده‌اند و چیزی را که با علم معلوم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از اقسام علم به شمار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31" w:name="__RefHeading___Toc4692973_581953129"/>
      <w:bookmarkStart w:id="32" w:name="_Toc11"/>
      <w:bookmarkEnd w:id="31"/>
      <w:r>
        <w:rPr>
          <w:rtl w:val="true"/>
        </w:rPr>
        <w:t>د</w:t>
      </w:r>
      <w:r>
        <w:rPr>
          <w:rtl w:val="true"/>
        </w:rPr>
        <w:t xml:space="preserve">) </w:t>
      </w:r>
      <w:r>
        <w:rPr>
          <w:rtl w:val="true"/>
        </w:rPr>
        <w:t>ارزش علم</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دریافت نگرة تفکیکی دربارة ارزش نظری علم باید میان کاربردهای رایج علم در سطح عمومی و آنچه تفکیکیان آن را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کاربردهای رایج به‌طورمعمول از واژة علم تصورات و تصدیقات منظور است؛ اما در نگرة تفکیکی مراد از علم همان نور مجرد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نگره تصورات و تصدیقات مظلمةالذات بوده و مصون از خطا نیستند؛ ولی نور علم به هر درجه که باشد، معصوم و مصون از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لاجرم از ارزش صدق مطلق برخوردار است</w:t>
      </w:r>
      <w:r>
        <w:rPr>
          <w:rFonts w:eastAsia="IRNazanin" w:cs="IRNazanin"/>
          <w:color w:val="111111"/>
          <w:sz w:val="28"/>
          <w:szCs w:val="28"/>
          <w:rtl w:val="true"/>
          <w:lang w:bidi="fa-IR"/>
        </w:rPr>
        <w:t xml:space="preserve">. </w:t>
      </w:r>
      <w:bookmarkStart w:id="33" w:name="pg5834_41772"/>
    </w:p>
    <w:p>
      <w:pPr>
        <w:pStyle w:val="Heading3"/>
        <w:numPr>
          <w:ilvl w:val="2"/>
          <w:numId w:val="1"/>
        </w:numPr>
        <w:rPr/>
      </w:pPr>
      <w:bookmarkStart w:id="34" w:name="__RefHeading___Toc4692975_581953129"/>
      <w:bookmarkStart w:id="35" w:name="_Toc12"/>
      <w:bookmarkEnd w:id="33"/>
      <w:bookmarkEnd w:id="34"/>
      <w:r>
        <w:rPr>
          <w:rtl w:val="true"/>
        </w:rPr>
        <w:t>ه</w:t>
      </w:r>
      <w:r>
        <w:rPr>
          <w:rtl w:val="true"/>
        </w:rPr>
        <w:t xml:space="preserve">) </w:t>
      </w:r>
      <w:r>
        <w:rPr>
          <w:rtl w:val="true"/>
        </w:rPr>
        <w:t>روش به‌دست‌آوردن علم</w:t>
      </w:r>
      <w:bookmarkEnd w:id="35"/>
    </w:p>
    <w:p>
      <w:pPr>
        <w:pStyle w:val="BookText"/>
        <w:rPr/>
      </w:pPr>
      <w:r>
        <w:rPr>
          <w:rFonts w:ascii="IRNazanin" w:hAnsi="IRNazanin" w:eastAsia="IRNazanin"/>
          <w:color w:val="111111"/>
          <w:sz w:val="28"/>
          <w:sz w:val="28"/>
          <w:szCs w:val="28"/>
          <w:rtl w:val="true"/>
          <w:lang w:bidi="fa-IR"/>
        </w:rPr>
        <w:t>بر اساس مطالب بالا روش علم‌آموزی دست‌کم در حوزة معارف دینی 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اصفهانی در این زمینه بر آن است که تعلیم در دانش‌های الهی، یعنی خارج‌کردن مردم از ظلمات تصورات و تصدیقات تاریک ذات که ایمن از خطا نیستند و داخل‌ساختن و راندن ایشان به سوی نور؛ به‌گونه‌ای که آنان انوار 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عقل و علم و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وجدان کنند و آنها را به وسیلة خودشان بشناسند، نه از راهی دیگر؛</w:t>
      </w:r>
      <w:r>
        <w:rPr>
          <w:rStyle w:val="FootnoteAnchor"/>
          <w:rtl w:val="true"/>
        </w:rPr>
        <w:footnoteReference w:id="7"/>
      </w:r>
      <w:r>
        <w:rPr>
          <w:rFonts w:ascii="IRNazanin" w:hAnsi="IRNazanin" w:eastAsia="IRNazanin"/>
          <w:color w:val="111111"/>
          <w:sz w:val="28"/>
          <w:sz w:val="28"/>
          <w:szCs w:val="28"/>
          <w:rtl w:val="true"/>
          <w:lang w:bidi="fa-IR"/>
        </w:rPr>
        <w:t>بنابراین روش معرفت و شناخت انوار قدسی از راه خود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چنین شناختی چگونه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میرزا مهدی در پاسخ،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وجدان این انوار به اذن الهی و عین قرب و کرامت است و از همین روی دایر‌مدار تقوا و فرمانبری است و درجات انسان‌ها در دریافت این انوار به تناسب چند و چون افاضات ربانی متفاوت خواهد بود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به آنچه گذشت، بسنده نکرده است و خردورزی و تعقل را خروج از فهم فطری و بزرگ‌ترین حجاب معرفت قلمداد کرده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واعظم الحجب للمعرفة حجاب التعقل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یقین و قطع منطقی و نظری نوریت و حجیت ذاتی ندارد و دستیابی به معرفت و راستی‌آزمایی انگاشته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طریق قیاسات منطقی به سرانجام مطلوب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ملکی میانجی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روح القدس حقیقة نوریة وذاته الکاشفیة والعیان، بخلاف القطع المنطقی، فانه لیس له کشف عن ذاته فضلاً عن المعلوم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ملکی میانجی، </w:t>
      </w:r>
      <w:bookmarkStart w:id="36" w:name="pg5834_41774"/>
    </w:p>
    <w:p>
      <w:pPr>
        <w:pStyle w:val="BookText"/>
        <w:rPr/>
      </w:pPr>
      <w:bookmarkEnd w:id="36"/>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تفکیکیان معرفت حسی و عقل نامبتنی بر قیاسات منطقی و استدلال‌های فلسفی را که از آن به عقل فطری و سلیم یاد کرده و مورد تأیید انبیا علیهم السلام می‌دانند، معتبر دانسته و آسان‌ترین راه دریافت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مراجعه به تعالیم پیامبران علیهم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خسروپناه،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مروارید نیز برهان به معنای لغوی را قابل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ایشان برهان در نگاه قرآن هر چیزی است که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واضح و روشن سازد، اعم از اینکه از قضایا تشکیل شده باشد یا امور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 عقل، پیامبر، امام، اعجاز و آیات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نیازی به حمل آن بر معنای اصطلاحی منطقی و تفاصیل و شرایط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ایشان بر آن است که حجت ذاتی، که همة حجج و براهین به آن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حقیقت علم و عقل است و گواه بر آن را،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هم عقلا و هم کتاب و سنت در همة موارد به عقل و علم احتجاج کرده و در احتجاج‌های خود از تعابیری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تعلم وألم تعقل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این‌گونه احتجاج‌ها در میان عرف و به لحاظ عقلی هیچ ارتباطی با عقل و علم در مکتب تفکیکی که امری جدا از نفس انسانی است، نداشته، همه ناظر به آگاهی‌های قائم به نفس و تعقل و خردورزی انسان‌هاست</w:t>
      </w:r>
      <w:r>
        <w:rPr>
          <w:rFonts w:eastAsia="IRNazanin" w:cs="IRNazanin"/>
          <w:color w:val="111111"/>
          <w:sz w:val="28"/>
          <w:szCs w:val="28"/>
          <w:rtl w:val="true"/>
          <w:lang w:bidi="fa-IR"/>
        </w:rPr>
        <w:t>.</w:t>
      </w:r>
    </w:p>
    <w:p>
      <w:pPr>
        <w:pStyle w:val="Heading3"/>
        <w:numPr>
          <w:ilvl w:val="2"/>
          <w:numId w:val="1"/>
        </w:numPr>
        <w:rPr/>
      </w:pPr>
      <w:bookmarkStart w:id="37" w:name="__RefHeading___Toc4692977_581953129"/>
      <w:bookmarkStart w:id="38" w:name="_Toc13"/>
      <w:bookmarkEnd w:id="37"/>
      <w:r>
        <w:rPr>
          <w:rtl w:val="true"/>
        </w:rPr>
        <w:t>و</w:t>
      </w:r>
      <w:r>
        <w:rPr>
          <w:rtl w:val="true"/>
        </w:rPr>
        <w:t xml:space="preserve">) </w:t>
      </w:r>
      <w:r>
        <w:rPr>
          <w:rtl w:val="true"/>
        </w:rPr>
        <w:t>بررسی و ارزیابی</w:t>
      </w:r>
      <w:bookmarkEnd w:id="38"/>
    </w:p>
    <w:p>
      <w:pPr>
        <w:pStyle w:val="Heading4"/>
        <w:numPr>
          <w:ilvl w:val="3"/>
          <w:numId w:val="1"/>
        </w:numPr>
        <w:rPr/>
      </w:pPr>
      <w:bookmarkStart w:id="39" w:name="__RefHeading___Toc4692979_581953129"/>
      <w:bookmarkStart w:id="40" w:name="_Toc14"/>
      <w:bookmarkEnd w:id="39"/>
      <w:r>
        <w:rPr/>
        <w:t>1</w:t>
      </w:r>
      <w:r>
        <w:rPr>
          <w:rtl w:val="true"/>
        </w:rPr>
        <w:t xml:space="preserve">. </w:t>
      </w:r>
      <w:r>
        <w:rPr>
          <w:rtl w:val="true"/>
        </w:rPr>
        <w:t>نقد اصل مباینت</w:t>
      </w:r>
      <w:bookmarkEnd w:id="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مباینت وجودی علم و نفس در نگرة تفکیکی بر پایة نفس‌شناسی آنان است که آن را مادی و مظلم‌الذات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این نگره آن است که حضور چیزی نزد نفس، همانند حضور آن نزد دیگر اشیای مادی است که خبری از یکدیگر ندارند؛ با این لحاظ که در اینجا علم امری مجرد است و نفس جسم لطیف؛ بنابراین در چنین فرضی علم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نفس را ادراک کند، نه اینکه نفس علم را بشناسد؛ اما</w:t>
      </w:r>
    </w:p>
    <w:p>
      <w:pPr>
        <w:pStyle w:val="BookText"/>
        <w:rPr/>
      </w:pPr>
      <w:r>
        <w:rPr>
          <w:rFonts w:ascii="IRNazanin" w:hAnsi="IRNazanin" w:eastAsia="IRNazanin"/>
          <w:color w:val="111111"/>
          <w:sz w:val="28"/>
          <w:sz w:val="28"/>
          <w:szCs w:val="28"/>
          <w:rtl w:val="true"/>
          <w:lang w:bidi="fa-IR"/>
        </w:rPr>
        <w:t>در نگرة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مجرد‌بودن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چیزی</w:t>
      </w:r>
      <w:r>
        <w:rPr>
          <w:rStyle w:val="FootnoteAnchor"/>
          <w:rtl w:val="true"/>
        </w:rPr>
        <w:footnoteReference w:id="9"/>
      </w:r>
      <w:r>
        <w:rPr>
          <w:rFonts w:ascii="IRNazanin" w:hAnsi="IRNazanin" w:eastAsia="IRNazanin"/>
          <w:color w:val="111111"/>
          <w:sz w:val="28"/>
          <w:sz w:val="28"/>
          <w:szCs w:val="28"/>
          <w:rtl w:val="true"/>
          <w:lang w:bidi="fa-IR"/>
        </w:rPr>
        <w:t>نزد نفس عین معلومیت آن است و ادراک چیزی جز حضور مجرد نزد مجرد نیست؛ بنابراین علم امر سوم و مباین و مفارقی در این میان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مرحلة یازدهم، عقل، عاقل و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اینکه در نگرة تفکیکی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نگرش فلسفی علم و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همان حضور مجرد نزد نفس است؛ با این تفاوت که در نگاه ایشان اولاً علم و ادراک حضور مجرد نزد موجود مادی است؛ ثانیاً در این حضور هیچ‌گونه اتحاد و ارتقای نفس رخ نداده و مباینت وجودی نفس و علم و تباین ماهوی هر یک همچنان پابرجاست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جداسازی علم از تصورات و تصدیقات دقیقاً یعنی چه؟ اگر علم به‌طورکلی حقیقتی غیر از تصورات و تصدیقات است، پس حقیقت این امور به لحاظ هستی‌شناختی چیست و ارزش معرفتی آنها چگونه خواهد بود؟ ضمن آنکه آنچه ما در همة علوم حصولی خود با آن ارتباط داریم، چیزی جز همین تصورات و تصدیقات نیست و تفکیکیان نیز در مباحث علمی تنها با همین تصورات و تصدیقات سروکار داشته و با ترجمة زبانی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باب مفاهمه بر دیگران را بگشایند و اگر تصورات و تصدیقات را از گردونة علم خارج کنیم، دیگر انتقال معرفت ممکن نخواهد شد؛ زیرا نه آنچه در ذهن گوینده است، معرفت است و نه ابزار انتقال آن؛ یعنی حاکی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و تصدیقات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علم نیستند و علم انتقالی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معناست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واقعیتی مجرد ورای تصورات و تصدیقات باشد که در برخی متون دینی علم یا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آن شمرده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این مانع علم‌بودن تصورات و تصدیقات نبوده و چنین نیست که متون دینی بیگانه با این کاربرد از علم باشد، بلکه حتی در بنیادی‌ترین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توحید در قرآن و روایت‌ها به براهین حصولی و استدلالات منطقی تکیه شده است؛ ازقبیل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خُلِقُوا مِنْ غَیْرِ شَیْ‌ءٍ أَمْ هُمُ الْخالِقُونَ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افزون بر آن، اگر بر کاربردنداشتن واژة علم بر این موارد اصرار ورزیده شود، درواقع بحث زبانی خواهد شد و اختلاف فیلسوفان و تفکیکیان در مباحث علم‌شناختی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 بحث اتحاد علم، عالم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لفظی فروکاسته شده و اساساً موضوع واحدی محل بحث نیست تا اختلاف و محل نزاع واقعی به میان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حقیقتی به نام علم، مستقل از عالم و معلوم یعنی چه؟ درواقع علم بر اساس معنای رایج آن از مفاهیم ذات اضافه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که دو طرف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معلوم و دیگری عالم و بدون آن دو، علم از اساس منتفی و بی‌معناست؛ به بیان دیگر پرسش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علم، که در نگرة تفکیکی حقیقتی خارج از نفس انگاشته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خارج بدون عالم و معلوم موجود است یا همراه با عالم و معلوم؟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معلومی در کار نیست، پس درحقیقت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علم و آگاهی که حقیقت آن کاشفیت است، نامید؟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معلومی در کار است، زمانی وصف معلومیت برای آن فعلیت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عالمی در کار باشد؛ بنابراین فعلیت این حقیقت خارجی همراه با فعلیت وجود معلوم و عالمی در ظرف وجودی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تحقق بالفعل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خارج 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حضور این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در نفس و ارتباطش با آن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چنان‌که تفکیکیان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 به اتحاد علم، عالم و معلوم قائل نباشیم، در این صورت، باید سه حقیقت مباین و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در صقع نفس حاضر یا با</w:t>
      </w:r>
    </w:p>
    <w:p>
      <w:pPr>
        <w:pStyle w:val="BookText"/>
        <w:rPr/>
      </w:pPr>
      <w:r>
        <w:rPr>
          <w:rFonts w:ascii="IRNazanin" w:hAnsi="IRNazanin" w:eastAsia="IRNazanin"/>
          <w:color w:val="111111"/>
          <w:sz w:val="28"/>
          <w:sz w:val="28"/>
          <w:szCs w:val="28"/>
          <w:rtl w:val="true"/>
          <w:lang w:bidi="fa-IR"/>
        </w:rPr>
        <w:t>آن مرتبط شوند و چنین چیزی اشکال‌های فراوانی داشته است؛ ازجمله اینکه خلاف وجدان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بنابر عدم اتحاد علم، عالم و معلوم، لزومی به حضور هر سه عنصر در نفس یا ارتباطشان با آن نبوده و حضور علم به‌تنهایی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چنین چیزی با ذات اضافه‌بودن علم ناسازگار است و حضور علم در هیچ ظرفی گسسته از عالم و معلوم به‌خودی‌خود ممکن نیست و به بیان دیگر علمی که معلومی ندارد و بی‌یالو‌دم است، بود و نبودش فرقی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دلالت‌کننده بر چیزی نبوده و درحقیقت علم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اتحاد علم، عالم و معلوم قائل باشیم، هر سه به یک وجود در نفس حاضر یا با آن مرتبط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ولی اولاً حضور این 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که هر سه باید خارجی باشند، باز بر خلاف وجدان است؛ هرچند به وجود واحد باشد و هیچ کس تصوری از حضور این سه‌گانه در ناحیة نفس خود ندارد، بلکه تجربه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بر خلاف دارد و عالِم را نفس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ذات علم حقیقتی مستقل از نفس شناسا بوده و در استضائه از نور آن نفس درحقیقت به مرتبۀ تجرد علمی ارتقا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ذوعلم نگشته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نفس چه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حضور علم در ساحت وجودی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این مسئله شبیه این است که عالمی در خانۀ جاهلی مهمان شود؛ در این 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حضور آن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کارکرد علمی برای میزبان ندارد؛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علم در نفس با ارائۀ نور علم و دریافت آن از سوی نفس همراه نباشد، درحقیقت آن را مستنیر و عالم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دیگر استضائه از نور علم و عالم‌شدن هیچ معنای محصلی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علمش چیزی به او بیاموزد و میزبان نیز به‌خوبی آن را دریافت کند، به همان نسبت صاحبخانه را از کمالات خود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کرده، او را درحقیقت ارتقای علمی بخشیده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مقدار از دانش، او را همتا و مانند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اینجا علم آموخته‌شده جزو حقیقت نفس میزبان شده و نفس وی کمال و ارتقای وجودی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نفس یا باید دارای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تجرد بوده و یا به مرتبه و درجه‌ای از تجرد برسد؛ چراکه حقیقت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تفکیکیان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 و اتصاف حقیقی نفس به امر مجرد، بدون تجرد در مرتبۀ پیشین یا ارتقای آن به درجۀ تجرد در هنگام دریافت علم، ممکن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جداانگاری علم از نفس و استضائۀ نفس از نور علم، دو علم در صحنۀ نفس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علم به‌مثابه موجود مجرد خارجی مهمان‌شده در نفس و دیگری علم آموخته و تلقی‌شده از سوی نفس؛ و این خلاف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خروج علم نخستین از ساحت نفس، علم دوم قابلیت دوام و بقا دارد و این با دیدگاه تفکیکیان تعارض دارد؛ چنان‌که آیت‌الله مروارید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باب العلم نجد أنّ المحسوسات بالحواسّ الظاهرة أو الباطنة، من جواهرها وأعراضها، ومنها أرواحنا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أنفسنا التی نعبّر عنها بلفظة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أمور مظلمة، ویکون ظهورها بنور خارج عنها یعبّر عنه بالعلم، فنکون بوجداننا إیّاه واستضاءتنا به عالمین، وبفقداننا إیّاه جاهلین؛ پس در خصوص علم در می‌یابیم که محسوسات به حواس ظاهر یا باطن، جوهر باشند یا عرض، ازجمله ارواح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نفوس ما که با لفظ من از آنها یاد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اموری ظلمانی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ظهور آنها به واسطۀ نوری خارج از آنهاست</w:t>
      </w:r>
      <w:r>
        <w:rPr>
          <w:rStyle w:val="FootnoteAnchor"/>
          <w:rtl w:val="true"/>
        </w:rPr>
        <w:footnoteReference w:id="10"/>
      </w:r>
      <w:r>
        <w:rPr>
          <w:rFonts w:ascii="IRNazanin" w:hAnsi="IRNazanin" w:eastAsia="IRNazanin"/>
          <w:color w:val="111111"/>
          <w:sz w:val="28"/>
          <w:sz w:val="28"/>
          <w:szCs w:val="28"/>
          <w:rtl w:val="true"/>
          <w:lang w:bidi="fa-IR"/>
        </w:rPr>
        <w:t>که از آن به علم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ما با دریافت آن و پرتوگیری از آن عالم و با از دست‌دادن آن جاهل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بین علم مهمان و میزبان خلط شده و از سلب یکی، دیگری نیز نتیجه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تفکیکیان این دوگانگی را نپذیرند؛ در این صورت، عالم‌شدن نفس لقلقۀ زبانی بیش نیست و نفس همچنان در جهل و ظلمت است و وجود علم در </w:t>
      </w:r>
    </w:p>
    <w:p>
      <w:pPr>
        <w:pStyle w:val="BookText"/>
        <w:rPr/>
      </w:pPr>
      <w:r>
        <w:rPr>
          <w:rFonts w:ascii="IRNazanin" w:hAnsi="IRNazanin" w:eastAsia="IRNazanin"/>
          <w:color w:val="111111"/>
          <w:sz w:val="28"/>
          <w:sz w:val="28"/>
          <w:szCs w:val="28"/>
          <w:rtl w:val="true"/>
          <w:lang w:bidi="fa-IR"/>
        </w:rPr>
        <w:t>ساحت نفس همانند چراغی در اتاق است که اتاق و اشیای مادی در آن درکی از روشنایی آن نداشته و بود و نبودش برای آنها از این جهت یکسان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تفکیکیان از این جهت نیز قابل بررسی و نقد است که نحوۀ وجود علم چگونه است؛ آیا علم دارای وجود لنفسه است یا لغیره؟ آنان اگرچه در این زمینه به‌صراحت سخن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اینکه علم را جوهر مجرد مستقل از نفس عالِم به شمار می‌آورند، با وجود لنفسه آن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چیزی در دستگاه حکمت صدرایی که به اتحاد عقل، عاقل و معقول قائل است و علم را نوعی از وجود، یعنی عبارت از وجود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صدرالدین شیرازی،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غیرمشوب به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اعم از آنکه این وجود، لنفسه باشد یا لغیره و حضور و شهود را از لوازم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به‌گونه‌ای قابل توجیه است؛ اما در نگرۀ تفکیکی اشکالاتی در پی دارد، ازجمله اینکه مستلزم تهی‌بودن ذات الهی از علم است؛ زیرا در این نگرش ذات الهی حقیقتی است و علم، حقیقتی دیگر و مستقل از آن است و اگر کسی این را بپذیرد با مشکلات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 تعدد قدیم و واجب یا معلولیت علم الهی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گفته شود آنچه در این زمینه گفته‌شده، به علم و معرفت بشری مربوط است و به علم الهی ربطی ندارد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در اینجا بحث از حقیقت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ازآن‌رو که علم است، جوهری مفارق و مستقل باشد و امکان اتحاد با ذات شناسا نداشته باشد، در این صورت فرقی میان واجب تعالی و ممکنات نخواهد بود و درنتیجه مشکلات فوق را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اگر آنچه گفته شد را وصف علم بشری بدانیم، پرسش می‌شود که حقیقت علم الهی و تفاوت‌های آن با علم بشری در چیست و چگونه می‌توان بدون افتادن در دام تعطیل و الهیات سلبی یا تشبیه و نمونۀ این مشکلات، دربارۀ علم الهی سخن گفت؟ مگر آنکه علم به‌خودی‌خود حقیقتی مستقل از عالم نبوده و مباینت آن با نفس بشری صرفاً به دلیل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نفس باشد؛ چنان‌که تفکیکیان می‌اندیشند؛ در این صورت باید به اشکال‌های دیگر رجوع کرد</w:t>
      </w:r>
      <w:r>
        <w:rPr>
          <w:rFonts w:eastAsia="IRNazanin" w:cs="IRNazanin"/>
          <w:color w:val="111111"/>
          <w:sz w:val="28"/>
          <w:szCs w:val="28"/>
          <w:rtl w:val="true"/>
          <w:lang w:bidi="fa-IR"/>
        </w:rPr>
        <w:t xml:space="preserve">. </w:t>
      </w:r>
      <w:bookmarkStart w:id="41" w:name="pg5834_41786"/>
    </w:p>
    <w:p>
      <w:pPr>
        <w:pStyle w:val="Heading4"/>
        <w:numPr>
          <w:ilvl w:val="3"/>
          <w:numId w:val="1"/>
        </w:numPr>
        <w:rPr/>
      </w:pPr>
      <w:bookmarkStart w:id="42" w:name="__RefHeading___Toc4692981_581953129"/>
      <w:bookmarkStart w:id="43" w:name="_Toc15"/>
      <w:bookmarkEnd w:id="41"/>
      <w:bookmarkEnd w:id="42"/>
      <w:r>
        <w:rPr/>
        <w:t>2</w:t>
      </w:r>
      <w:r>
        <w:rPr>
          <w:rtl w:val="true"/>
        </w:rPr>
        <w:t xml:space="preserve">. </w:t>
      </w:r>
      <w:r>
        <w:rPr>
          <w:rtl w:val="true"/>
        </w:rPr>
        <w:t>نقد دلیل مباینت</w:t>
      </w:r>
      <w:bookmarkEnd w:id="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وجدانی و ظاهر بذاته انگاشتن مباینت علم و نفس ادعای درستی نیست؛ زیرا ما به اموری علم داریم و از علم خویش نیز آگاه‌ایم، اما هرگز مستقیم یا غیرمستقیم وجدان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علم ما حقیقتی خارجی و مباین نفس ماست و وصف و کمالی برای نفس ما به شمار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اینکه علم چیزی غیر از تصورات و تصدیقات 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فرض که جدایی علم از نفس، خودبه‌خود امری بین و ظاهر بذاته باشد، چنین چیزی با نگرۀ تفکیکی دربارۀ نفس جور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زیرا این ظهور ذاتی از کجا برآمده و برای چه چیزی یا چه کسی است؟ آیا ظهور منشأیی خارج از نفس دارد یا درون‌زاد است و برای نفس انسانی است یا در وعای دیگر و برای غیر نفس؟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غیر نفس و برای غیر نفس است که برای ما ارزشی نداشته و نمی‌توان به آن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صقع نفس است، یعنی نفس نسبت به آن مرآتیت داشته و بدون حاجت به واسطه، در اثبات حاکی آن باشد، چنین چیزی بر خلاف مظلم‌بودن نفس است و فی‌الجمله نوریت و مرآتیت آن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بیان دیگر اگر نفس را حقیقتی ظلمانی بینگاریم، بینونت و ظهور جدایی علم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معرفتی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گاهی مصادیقی از علم را داریم و گاه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دیگر اوصاف و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بدیل‌پذیر نفس دلیل بر مباینت هستانی علم با نفس نیست؛ همان‌گونه که انسان گاهی شاد و گاه غمگین است؛ ولی بود و نبود این حالت‌ها دلیل بر وجود مستقل و مباین آنها خارج از نفس نیست و تنها این مقدار دلالت دارد که نفس‌بودن نفس به‌خودی‌خود مستلزم وجود آن حالت‌ها یا آن مصادیق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حالتی و هر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شیئی نزد نفس و حصول صورت آن علم نیست؛ زیرا خود آن به وسیلۀ علم دانسته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از کسی بپرسند آیا از حضور شیئی نزد نفس یا حصول صورت چیزی در نفس خود خبر داری؟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استدلال نادرستی </w:t>
      </w:r>
      <w:bookmarkStart w:id="44" w:name="pg5834_41788"/>
    </w:p>
    <w:p>
      <w:pPr>
        <w:pStyle w:val="BookText"/>
        <w:rPr/>
      </w:pPr>
      <w:bookmarkEnd w:id="44"/>
      <w:r>
        <w:rPr>
          <w:rFonts w:ascii="IRNazanin" w:hAnsi="IRNazanin" w:eastAsia="IRNazanin"/>
          <w:color w:val="111111"/>
          <w:sz w:val="28"/>
          <w:sz w:val="28"/>
          <w:szCs w:val="28"/>
          <w:rtl w:val="true"/>
          <w:lang w:bidi="fa-IR"/>
        </w:rPr>
        <w:t>است؛ زیرا به فرض علم، امری مفارق گرفته شود، آگاهی از همین امر مفارق نیز می‌تواند جای پرسش باشد و پرسیده شود از کجا دانستی که آن نور مجرد مفارق در توست؟ حال آیا تفکیکیان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که این پرسش دلیل بر بینونت آن نور مجرد و علم است؟ اگر چنین است، گرفتار تسلسل خواهیم شد و برای هر علمی، علم دیگری خارج از آن تا بی‌نهایت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علم چیزی افزون بر حضور ذات معلوم یا صورت آن نزد عالم و مُدرِک نیست</w:t>
      </w:r>
      <w:r>
        <w:rPr>
          <w:rStyle w:val="FootnoteAnchor"/>
          <w:rtl w:val="true"/>
        </w:rPr>
        <w:footnoteReference w:id="11"/>
      </w:r>
      <w:r>
        <w:rPr>
          <w:rFonts w:ascii="IRNazanin" w:hAnsi="IRNazanin" w:eastAsia="IRNazanin"/>
          <w:color w:val="111111"/>
          <w:sz w:val="28"/>
          <w:sz w:val="28"/>
          <w:szCs w:val="28"/>
          <w:rtl w:val="true"/>
          <w:lang w:bidi="fa-IR"/>
        </w:rPr>
        <w:t>و واسطۀ دیگری نیاز ندارد و دانستن آن به وسیلۀ علم، به‌مثابه امری ثالث، مسامحی و ادعایی گزاف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 حضور یا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موضوع ملاحظۀ دوباره و آگاهی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دانستن آن به علم دیگری، علم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همین علم دوم نیز به لحاظ هستی‌شناختی چیزی جز حضور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نفس نیست و تفاوتش با علم اول در متعلق آگاهی است</w:t>
      </w:r>
      <w:r>
        <w:rPr>
          <w:rFonts w:eastAsia="IRNazanin" w:cs="IRNazanin"/>
          <w:color w:val="111111"/>
          <w:sz w:val="28"/>
          <w:szCs w:val="28"/>
          <w:rtl w:val="true"/>
          <w:lang w:bidi="fa-IR"/>
        </w:rPr>
        <w:t>.</w:t>
      </w:r>
    </w:p>
    <w:p>
      <w:pPr>
        <w:pStyle w:val="Heading4"/>
        <w:numPr>
          <w:ilvl w:val="3"/>
          <w:numId w:val="1"/>
        </w:numPr>
        <w:rPr/>
      </w:pPr>
      <w:bookmarkStart w:id="45" w:name="__RefHeading___Toc4692983_581953129"/>
      <w:bookmarkStart w:id="46" w:name="_Toc16"/>
      <w:bookmarkEnd w:id="45"/>
      <w:r>
        <w:rPr/>
        <w:t>3</w:t>
      </w:r>
      <w:r>
        <w:rPr>
          <w:rtl w:val="true"/>
        </w:rPr>
        <w:t xml:space="preserve">. </w:t>
      </w:r>
      <w:r>
        <w:rPr>
          <w:rtl w:val="true"/>
        </w:rPr>
        <w:t>نقد روش</w:t>
      </w:r>
      <w:r>
        <w:rPr>
          <w:rtl w:val="true"/>
        </w:rPr>
        <w:softHyphen/>
      </w:r>
      <w:r>
        <w:rPr>
          <w:rtl w:val="true"/>
        </w:rPr>
        <w:t>شناختی</w:t>
      </w:r>
      <w:bookmarkEnd w:id="46"/>
    </w:p>
    <w:p>
      <w:pPr>
        <w:pStyle w:val="BookText"/>
        <w:rPr/>
      </w:pPr>
      <w:r>
        <w:rPr>
          <w:rFonts w:ascii="IRNazanin" w:hAnsi="IRNazanin" w:eastAsia="IRNazanin"/>
          <w:color w:val="111111"/>
          <w:sz w:val="28"/>
          <w:sz w:val="28"/>
          <w:szCs w:val="28"/>
          <w:rtl w:val="true"/>
          <w:lang w:bidi="fa-IR"/>
        </w:rPr>
        <w:t>ازجمله اشکال‌های علم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شناسی تفکیکیان، تهی‌بودن از معیار و روش ارزیابی بین‌الاذهانی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جوهر نوری مجرد و مفارق است، دو پرسش اساسی در پی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مناط صدق آن علم چیست و اینکه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تحقق آن ملاک را آزمود؟ برای نمونه در نظریۀ مطابقت ملاک صدق یک باور مطابقت آن با واقع 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در این نگره، اعتقاد به این گزاره که فردا آفتابی است، در صورتی صادق است که واقعاً فردا هوا آفتابی باشد و چون موضوع و محمول آن را می‌توان از نظر حسی تجربه کرد، روش </w:t>
      </w:r>
    </w:p>
    <w:p>
      <w:pPr>
        <w:pStyle w:val="BookText"/>
        <w:rPr/>
      </w:pPr>
      <w:r>
        <w:rPr>
          <w:rFonts w:ascii="IRNazanin" w:hAnsi="IRNazanin" w:eastAsia="IRNazanin"/>
          <w:color w:val="111111"/>
          <w:sz w:val="28"/>
          <w:sz w:val="28"/>
          <w:szCs w:val="28"/>
          <w:rtl w:val="true"/>
          <w:lang w:bidi="fa-IR"/>
        </w:rPr>
        <w:t>احراز آن نیز حسی و تجربی است؛ اما در نظریۀ تفکیکی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الامر علم یاد‌شده و روش آزمون آن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علم مفارق را – آن‌سان که تفکیکیان 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راست و پیراسته از هر خطایی بدانیم، همان‌گونه که در سخنان آیت‌الله مروارید بازتابیده است، باید همان مبنای ارزش‌گزاری تصورات و تصدیقات ما قرار گیرد؛ یعنی بنا بر نگرۀ مطابقت، اگر این تصورات و تصدیقات مطابق با آن نور خارجی بود، درست و صادق است و در غیر این صورت کاذب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پرسش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که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مطابقت را سنجید و روش احراز آن کدام است؟ اگر دو نفر که در مسئلۀ واحدی به دو گونۀ تعارض‌آمیز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اندیشند و هر یک ادعای مطابقت دیدگاهش با آن نور خارجی را داشته باشد، از چه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صدق یکی و کذب دیگری را ثابت کرد؟ آیا منطقی بشری و بین‌الاذهانی برای اثبات صدق و احراز این مطابقت وجود دارد؟</w:t>
      </w:r>
    </w:p>
    <w:p>
      <w:pPr>
        <w:pStyle w:val="BookText"/>
        <w:rPr/>
      </w:pPr>
      <w:r>
        <w:rPr>
          <w:rFonts w:ascii="IRNazanin" w:hAnsi="IRNazanin" w:eastAsia="IRNazanin"/>
          <w:color w:val="111111"/>
          <w:sz w:val="28"/>
          <w:sz w:val="28"/>
          <w:szCs w:val="28"/>
          <w:rtl w:val="true"/>
          <w:lang w:bidi="fa-IR"/>
        </w:rPr>
        <w:t>در عین حال برخی تفکیکیان سنجه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ارزیابی آرا و انگاشته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ارائه کرده‌اند؛</w:t>
      </w:r>
      <w:r>
        <w:rPr>
          <w:rStyle w:val="FootnoteAnchor"/>
          <w:rtl w:val="true"/>
        </w:rPr>
        <w:footnoteReference w:id="13"/>
      </w:r>
      <w:r>
        <w:rPr>
          <w:rFonts w:ascii="IRNazanin" w:hAnsi="IRNazanin" w:eastAsia="IRNazanin"/>
          <w:color w:val="111111"/>
          <w:sz w:val="28"/>
          <w:sz w:val="28"/>
          <w:szCs w:val="28"/>
          <w:rtl w:val="true"/>
          <w:lang w:bidi="fa-IR"/>
        </w:rPr>
        <w:t>برای نمونه آیت‌الله مروارید حقیقت علم و عقل را، آیت‌الله سیدان مطابقت با عقل صریح و استاد حکیمی مطابقت با عقل فطری را معیار سنجش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ولی اولاً این سنجه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ایضاح مفهومی و دقت و کفایت ندارد؛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آنها را با پندارۀ تاریک ذات‌انگاری نفس و مفارقت و انفصالی‌بودن علم و عقل از آن هماهنگ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عقل مد نظر، حقیقتی خارج از نفس است یا امری درونی و از قوای نفس؟</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بیرونی است، اولاً فطری‌نامیدنش درست نیست؛ زیرا فطری یعنی چیزی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نهاده که انسان بر آن سرشته شده است؛ ثانیاً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شیوۀ درستی با آن رابطه برقرار کرد و احکامش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صدق آن قطعی باشد،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سنجه خود محتاج راه‌ها و سنجه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دیگر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درون‌نهادی و از قوای نفس است؛ چنان‌که آیت‌الله مروارید از عقول مطبوعه </w:t>
      </w:r>
      <w:bookmarkStart w:id="47" w:name="pg5834_41792"/>
    </w:p>
    <w:p>
      <w:pPr>
        <w:pStyle w:val="BookText"/>
        <w:rPr/>
      </w:pPr>
      <w:bookmarkEnd w:id="47"/>
      <w:r>
        <w:rPr>
          <w:rFonts w:ascii="IRNazanin" w:hAnsi="IRNazanin" w:eastAsia="IRNazanin"/>
          <w:color w:val="111111"/>
          <w:sz w:val="28"/>
          <w:sz w:val="28"/>
          <w:szCs w:val="28"/>
          <w:rtl w:val="true"/>
          <w:lang w:bidi="fa-IR"/>
        </w:rPr>
        <w:t xml:space="preserve">در افراد انسان یاد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مروارید،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به معنای کاشفیت و نوریت نفس بوده و با مظلم‌بودن آن سازگار نیست</w:t>
      </w:r>
      <w:r>
        <w:rPr>
          <w:rFonts w:eastAsia="IRNazanin" w:cs="IRNazanin"/>
          <w:color w:val="111111"/>
          <w:sz w:val="28"/>
          <w:szCs w:val="28"/>
          <w:rtl w:val="true"/>
          <w:lang w:bidi="fa-IR"/>
        </w:rPr>
        <w:t>.</w:t>
      </w:r>
    </w:p>
    <w:p>
      <w:pPr>
        <w:pStyle w:val="Heading3"/>
        <w:numPr>
          <w:ilvl w:val="2"/>
          <w:numId w:val="1"/>
        </w:numPr>
        <w:rPr/>
      </w:pPr>
      <w:bookmarkStart w:id="48" w:name="__RefHeading___Toc4692985_581953129"/>
      <w:bookmarkStart w:id="49" w:name="_Toc17"/>
      <w:bookmarkEnd w:id="48"/>
      <w:r>
        <w:rPr>
          <w:rtl w:val="true"/>
        </w:rPr>
        <w:t>نتیجه</w:t>
      </w:r>
      <w:r>
        <w:rPr>
          <w:rtl w:val="true"/>
        </w:rPr>
        <w:softHyphen/>
      </w:r>
      <w:r>
        <w:rPr>
          <w:rtl w:val="true"/>
        </w:rPr>
        <w:t>گیری</w:t>
      </w:r>
      <w:bookmarkEnd w:id="49"/>
    </w:p>
    <w:p>
      <w:pPr>
        <w:pStyle w:val="BookText"/>
        <w:rPr/>
      </w:pPr>
      <w:r>
        <w:rPr>
          <w:rFonts w:ascii="IRNazanin" w:hAnsi="IRNazanin" w:eastAsia="IRNazanin"/>
          <w:color w:val="111111"/>
          <w:sz w:val="28"/>
          <w:sz w:val="28"/>
          <w:szCs w:val="28"/>
          <w:rtl w:val="true"/>
          <w:lang w:bidi="fa-IR"/>
        </w:rPr>
        <w:t>تفکیکیان علم را امری مجرد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اما این به معنای همگامی‌آنان با فیلسوفان دربارة تجرد ادراکات بشری نیست؛ زیرا آنچه آنان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غیر از تصورات و تصدیقات بشری و امری مستقل از نفس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جداانگاری کلی علم از نفس نه تنها اثبات‌ناپذیر و بدون دلیل است، دارای ابهام، خلاف وجدان و از جهات فراوانی آسیب‌مند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استضائة واقعی و حقیقی نفس شناسا از نور علم مجرد، بدون تجرد پیشین یا ارتقای آن به مرتبة تجرد علمی معنای محصلی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تفکیکیان بر مباینت علم و نفس از راه بداهت 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بطلان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آنان در تاریک ذات‌انگاری نفس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نبود مصادیقی از علم در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زمان‌ها، دلیل بر هستی مستقل و وجود لذاته علم خارج از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وابسته‌سازی التفات و آگاهی از تصورات و تصدیقات خود به علم مفارق، موجب تسلسل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لذاته و مستقل علم از نفس شناسا به تهی‌انگاشتن ذات الهی از علم، تعدد واجب، معلولیت علم الهی، تعطیل، الهیات سلبی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شناسی تفکیکی بیگانه با معیارها و سنجه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الاذهانی راستی‌آزمایی است و آنچه برخی تفکیکیان در این زمینه ارائه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ناکافی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مبنای نفس‌شناختی، علم و عقل‌شناختی آنان ناسازگار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برایند اینکه علم‌شناسی تفکیکی در پایان به بن‌بست معرفت انجامیده و لازمة پایبندی به آن، ره‌سپردن به دیار شکاکیت است</w:t>
      </w:r>
      <w:r>
        <w:rPr>
          <w:rFonts w:eastAsia="IRNazanin" w:cs="IRNazanin"/>
          <w:color w:val="111111"/>
          <w:sz w:val="28"/>
          <w:szCs w:val="28"/>
          <w:rtl w:val="true"/>
          <w:lang w:bidi="fa-IR"/>
        </w:rPr>
        <w:t xml:space="preserve">. </w:t>
      </w:r>
      <w:bookmarkStart w:id="50" w:name="pg5834_41795"/>
    </w:p>
    <w:p>
      <w:pPr>
        <w:pStyle w:val="Heading3"/>
        <w:numPr>
          <w:ilvl w:val="2"/>
          <w:numId w:val="1"/>
        </w:numPr>
        <w:rPr/>
      </w:pPr>
      <w:bookmarkStart w:id="51" w:name="__RefHeading___Toc4692987_581953129"/>
      <w:bookmarkStart w:id="52" w:name="_Toc18"/>
      <w:bookmarkEnd w:id="50"/>
      <w:bookmarkEnd w:id="51"/>
      <w:r>
        <w:rPr>
          <w:rtl w:val="true"/>
        </w:rPr>
        <w:t>منابع و مآخذ</w:t>
      </w:r>
      <w:bookmarkEnd w:id="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میرزا مهدی؛ ابواب الهدی؛ تحقیق حسن جمشیدی؛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بوستان کتاب،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جواد؛ عارف و صوفی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اجتهاد و تقلید در فلسفه؛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مکتب تفکیک؛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حاج شیخ محمود واعظ؛ تقریرات؛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نسخة خطی،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کتابخانة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خسروپناه، عبدالحسین؛ جریان‌شناسی فکری ایران معاصر؛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 و تربیت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فخرالدین؛ المباحث المشرقیة؛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العربی،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سیدجعفر؛ فرهنگ اصطلاحات فلسفی ملاصدرا؛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سیدان، سیدجعفر؛ میزان شناخت؛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طوس،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شاکرین، حمیدرضا؛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مادیت نفس در نگرة تفکیکی، بررسی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فصلنامة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کلام اسلامی، ش</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شیرازی،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صدرالمتألهین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الحکمة المتعالیة فی الاسفار العقلیة الاربعة؛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سیدمحمدحسین؛ المیزان فی تفسیر القرآن؛ ج</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جامعة مدرسین حوزة علمیة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نهایة الحکمة؛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جامعة مدرسین حوزة علمیة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 محمدتقی؛ معرفت‌شناسی دینی و معاصر؛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کوثر،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شیخ مجتبی؛ بیان الفرقان؛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واعظ یزدی، شرکت چاپخانة خراسان،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 میرزا حسنعلی؛ تنبیهات حول المبدأ والمعاد؛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ملکی میانجی، محمدباقر؛ توحید الامامیه؛ تحقیق مؤسسة معارف اهل‌البیت علیهم السلام ؛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اهل البیت علیهم السلام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5834_41800"/>
      <w:bookmarkStart w:id="54" w:name="pg5834_41800"/>
      <w:bookmarkEnd w:id="54"/>
    </w:p>
    <w:p>
      <w:pPr>
        <w:pStyle w:val="Heading2"/>
        <w:numPr>
          <w:ilvl w:val="1"/>
          <w:numId w:val="1"/>
        </w:numPr>
        <w:rPr/>
      </w:pPr>
      <w:bookmarkStart w:id="55" w:name="pg5834_41800"/>
      <w:bookmarkStart w:id="56" w:name="__RefHeading___Toc4692989_581953129"/>
      <w:bookmarkStart w:id="57" w:name="_Toc19"/>
      <w:bookmarkEnd w:id="55"/>
      <w:bookmarkEnd w:id="56"/>
      <w:r>
        <w:rPr>
          <w:rtl w:val="true"/>
        </w:rPr>
        <w:t xml:space="preserve">تحلیل انتقادی دلایل قائلان به مادیت ادراک، با نگاه به مبانی حکمت متعالیه </w:t>
      </w:r>
      <w:r>
        <w:rPr>
          <w:rtl w:val="true"/>
        </w:rPr>
        <w:t xml:space="preserve">/ </w:t>
      </w:r>
      <w:r>
        <w:rPr>
          <w:rtl w:val="true"/>
        </w:rPr>
        <w:t>محمد فروغی، هادی وکیلی، اعظم قاسمی</w:t>
      </w:r>
      <w:bookmarkEnd w:id="57"/>
    </w:p>
    <w:p>
      <w:pPr>
        <w:pStyle w:val="Heading3"/>
        <w:numPr>
          <w:ilvl w:val="2"/>
          <w:numId w:val="1"/>
        </w:numPr>
        <w:rPr/>
      </w:pPr>
      <w:bookmarkStart w:id="58" w:name="__RefHeading___Toc4692991_581953129"/>
      <w:bookmarkStart w:id="59" w:name="_Toc20"/>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محمد فروغی</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foroughi@um.ac.ir</w:t>
      </w:r>
    </w:p>
    <w:p>
      <w:pPr>
        <w:pStyle w:val="BookText"/>
        <w:rPr/>
      </w:pPr>
      <w:r>
        <w:rPr>
          <w:rFonts w:ascii="IRNazanin" w:hAnsi="IRNazanin" w:eastAsia="IRNazanin"/>
          <w:color w:val="111111"/>
          <w:sz w:val="28"/>
          <w:sz w:val="28"/>
          <w:szCs w:val="28"/>
          <w:rtl w:val="true"/>
          <w:lang w:bidi="fa-IR"/>
        </w:rPr>
        <w:t>هادی وکیلی</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drhvakili@gmail.com</w:t>
      </w:r>
    </w:p>
    <w:p>
      <w:pPr>
        <w:pStyle w:val="BookText"/>
        <w:rPr/>
      </w:pPr>
      <w:r>
        <w:rPr>
          <w:rFonts w:ascii="IRNazanin" w:hAnsi="IRNazanin" w:eastAsia="IRNazanin"/>
          <w:color w:val="111111"/>
          <w:sz w:val="28"/>
          <w:sz w:val="28"/>
          <w:szCs w:val="28"/>
          <w:rtl w:val="true"/>
          <w:lang w:bidi="fa-IR"/>
        </w:rPr>
        <w:t>اعظم قاسمی</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zamakbarsedigheh@gmail.com</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24/11/96</w:t>
      </w:r>
    </w:p>
    <w:p>
      <w:pPr>
        <w:pStyle w:val="Heading3"/>
        <w:numPr>
          <w:ilvl w:val="2"/>
          <w:numId w:val="1"/>
        </w:numPr>
        <w:rPr/>
      </w:pPr>
      <w:bookmarkStart w:id="60" w:name="__RefHeading___Toc4692993_581953129"/>
      <w:bookmarkStart w:id="61" w:name="_Toc21"/>
      <w:bookmarkEnd w:id="60"/>
      <w:r>
        <w:rPr>
          <w:rtl w:val="true"/>
        </w:rPr>
        <w:t>چکیده</w:t>
      </w:r>
      <w:bookmarkEnd w:id="61"/>
    </w:p>
    <w:p>
      <w:pPr>
        <w:pStyle w:val="BookText"/>
        <w:rPr/>
      </w:pPr>
      <w:r>
        <w:rPr>
          <w:rFonts w:ascii="IRNazanin" w:hAnsi="IRNazanin" w:eastAsia="IRNazanin"/>
          <w:color w:val="111111"/>
          <w:sz w:val="28"/>
          <w:sz w:val="28"/>
          <w:szCs w:val="28"/>
          <w:rtl w:val="true"/>
          <w:lang w:bidi="fa-IR"/>
        </w:rPr>
        <w:t>در این پژوهش ابتدا اصول کلی و مشترک قائلان به نظریه‌های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انگارانه و دیدگاه‌های مخالف دوگانه‌انگاری، که برای اختصار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قائلان به مادیت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شماریم؛ ادلۀ یادشده در دو دستۀ کلی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در رد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جوهری اقامه شده است و دلایلی که برای اثبات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ارائه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تحلیل و بررسی این دلایل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بررسی دلایل مختلف، مشخص شد که دو دیدگاه رفتارگرایی و کارکردگرایی برای ادعای خود دلیلی اقامه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مطرح‌شده برای ماتریالیسم حذف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 به این دلیل که بر پایۀ استقرا هستند یا امید به پیشرفت دانش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در آینده، بسی جای تأمل ندارند؛ ولی نشان داده شد که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ناتوانی تبیین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تاریخ تکاملی، وابستگی عصبی، تأثیر روان‌گردان‌ها بر آگاهی و برهان مغز دوپاره، خدشه‌پذیر نیستند؛ ولی با نظر صدرالمتألهین مبنی بر جسمانیۀ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الحدوث وروحانیۀ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البقا بودن نفس انسانی سازگاری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مادیت، دوگانه‌انگاری، فیزیکالیسم</w:t>
      </w:r>
      <w:r>
        <w:rPr>
          <w:rFonts w:eastAsia="IRNazanin" w:cs="IRNazanin"/>
          <w:color w:val="111111"/>
          <w:sz w:val="28"/>
          <w:szCs w:val="28"/>
          <w:rtl w:val="true"/>
          <w:lang w:bidi="fa-IR"/>
        </w:rPr>
        <w:t xml:space="preserve">. </w:t>
      </w:r>
      <w:bookmarkStart w:id="62" w:name="pg5834_41802"/>
    </w:p>
    <w:p>
      <w:pPr>
        <w:pStyle w:val="Heading3"/>
        <w:numPr>
          <w:ilvl w:val="2"/>
          <w:numId w:val="1"/>
        </w:numPr>
        <w:rPr/>
      </w:pPr>
      <w:bookmarkStart w:id="63" w:name="__RefHeading___Toc4692995_581953129"/>
      <w:bookmarkStart w:id="64" w:name="_Toc22"/>
      <w:bookmarkEnd w:id="62"/>
      <w:bookmarkEnd w:id="63"/>
      <w:r>
        <w:rPr>
          <w:rtl w:val="true"/>
        </w:rPr>
        <w:t>مقدمه</w:t>
      </w:r>
      <w:bookmarkEnd w:id="64"/>
    </w:p>
    <w:p>
      <w:pPr>
        <w:pStyle w:val="BookText"/>
        <w:rPr/>
      </w:pPr>
      <w:r>
        <w:rPr>
          <w:rFonts w:ascii="IRNazanin" w:hAnsi="IRNazanin" w:eastAsia="IRNazanin"/>
          <w:color w:val="111111"/>
          <w:sz w:val="28"/>
          <w:sz w:val="28"/>
          <w:szCs w:val="28"/>
          <w:rtl w:val="true"/>
          <w:lang w:bidi="fa-IR"/>
        </w:rPr>
        <w:t xml:space="preserve">در حال حاضر دیدگاه دوگانه‌انگاری جوهری در میان فلاسفۀ ذهن چندان مطرح نیست و اصلاً جزو دیدگاه‌های رایج و مد نظر نیست و شمار اندکی از فیلسوفان در صدد اصلاح و دفاع از این دیدگاه برآمده‌اند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بااین‌همه، به نظر نمی‌رسد که بتوان سازوکار آگاهی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Consciousness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ادراک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Perception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فعالیت‌های مغز فرو 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لایب‌نیتس به‌زیبایی در سدۀ هفدهم این مطلب را بیان کرده است و اذعان می‌کند که هرگز نمی‌توان در یک کارخانۀ بزرگ چیزی را یافت که بتواند ادراک حسی را تبیین کند و ما هر قدر هم که مداقه داشته باشیم، جز اجزایی درهم‌تنیده که همدیگر را فشار می‌دهند، چیز دیگری نخواهیم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او با این مثال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بیان کند که هر قدر هم که یک سامانه پیچیده و پیشرفته باشد،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در آن نشانی از آگاهی و ادراک یافت؛ گویا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پیچیدگی یک ساختار هرگز به تولید آگاهی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مغز آدمی را به یک کارخانۀ عمیقاً پیچیده و بزرگ تشبیه کند و بگوید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پیچیدگی زیاد – نمی‌توان آگاهی را به مجموع اجزای پیچیده نسبت داد، دربارۀ مغز آدمی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بیان کرد که آگاهی حاصل پیچیدگی مغز است؛ بلکه باید آگاهی امری ورای این ساختارهای پیچیدۀ مغزی باشد؛ یعنی امری غیرمادی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ریشۀ دوگانه‌انگاری را دست‌کم تا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یونان باستان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این دکارت بود که این آموزه را به شکلی تازه، رسمی و همراه با استدلال‌های فلسفی مطرح کرد و دلایلی نیز برای اثبات مدعای خود ارائه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دکارت،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پس از وی، این نظریه بیشتر با نام دوگانه‌انگاری دکارتی ذکر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بورچرت،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748</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دلایلی در رد و تأیید آن اقامه شده است که روی‌هم‌رفته چهار گونه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رد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دلایل اثبات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دلایل رد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و دلایل اثبات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انگاری؛ ولی ازآن‌رو که پژوهش </w:t>
      </w:r>
      <w:bookmarkStart w:id="65" w:name="pg5834_41804"/>
    </w:p>
    <w:p>
      <w:pPr>
        <w:pStyle w:val="BookText"/>
        <w:rPr/>
      </w:pPr>
      <w:bookmarkEnd w:id="65"/>
      <w:r>
        <w:rPr>
          <w:rFonts w:ascii="IRNazanin" w:hAnsi="IRNazanin" w:eastAsia="IRNazanin"/>
          <w:color w:val="111111"/>
          <w:sz w:val="28"/>
          <w:sz w:val="28"/>
          <w:szCs w:val="28"/>
          <w:rtl w:val="true"/>
          <w:lang w:bidi="fa-IR"/>
        </w:rPr>
        <w:t>جاری در خصوص دلایل مادیت ادراک است، از چهار دسته دلیل ذکرشده تنها به دلایل رد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و اثبات دیدگاه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 سپس نخست اشارۀ مختصری به نظر صدرالمتألهین دربارۀ نفس انسانی کرده،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نظر وی در میان دیدگاه‌های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انگارانۀ گوناگون چه جایگاهی دارد و سرانجام به تحلیل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نظریه‌های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انگارانه با استفاده از دیدگاه صدرالمتألهین می‌پردازیم</w:t>
      </w:r>
      <w:r>
        <w:rPr>
          <w:rFonts w:eastAsia="IRNazanin" w:cs="IRNazanin"/>
          <w:color w:val="111111"/>
          <w:sz w:val="28"/>
          <w:szCs w:val="28"/>
          <w:rtl w:val="true"/>
          <w:lang w:bidi="fa-IR"/>
        </w:rPr>
        <w:t>.</w:t>
      </w:r>
    </w:p>
    <w:p>
      <w:pPr>
        <w:pStyle w:val="Heading3"/>
        <w:numPr>
          <w:ilvl w:val="2"/>
          <w:numId w:val="1"/>
        </w:numPr>
        <w:rPr/>
      </w:pPr>
      <w:bookmarkStart w:id="66" w:name="__RefHeading___Toc4692997_581953129"/>
      <w:bookmarkStart w:id="67" w:name="_Toc23"/>
      <w:bookmarkEnd w:id="66"/>
      <w:r>
        <w:rPr>
          <w:rtl w:val="true"/>
        </w:rPr>
        <w:t>الف</w:t>
      </w:r>
      <w:r>
        <w:rPr>
          <w:rtl w:val="true"/>
        </w:rPr>
        <w:t xml:space="preserve">) </w:t>
      </w:r>
      <w:r>
        <w:rPr>
          <w:rtl w:val="true"/>
        </w:rPr>
        <w:t>براهین علیه دوگانه‌انگاری</w:t>
      </w:r>
      <w:bookmarkEnd w:id="67"/>
    </w:p>
    <w:p>
      <w:pPr>
        <w:pStyle w:val="Heading4"/>
        <w:numPr>
          <w:ilvl w:val="3"/>
          <w:numId w:val="1"/>
        </w:numPr>
        <w:rPr/>
      </w:pPr>
      <w:bookmarkStart w:id="68" w:name="__RefHeading___Toc4692999_581953129"/>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با اینکه برای اثبات دیدگاه‌های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 براهین گوناگونی اقامه شده است، چون در این پژوهش بر آنیم که به نقد دلایل دیدگاه‌های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انگارانه بپردازیم، صرفاً به بررسی دلایلی که علیه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اقامه شده و همچنین دلایلی که برای اثبات دیدگاه‌های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انگارانه آورده شده، می‌پردازیم و به دلایل اثبات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و رد فیزیکالیسم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موارد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نمی‌پردازیم</w:t>
      </w:r>
      <w:r>
        <w:rPr>
          <w:rFonts w:eastAsia="IRNazanin" w:cs="IRNazanin"/>
          <w:color w:val="111111"/>
          <w:sz w:val="28"/>
          <w:szCs w:val="28"/>
          <w:rtl w:val="true"/>
          <w:lang w:bidi="fa-IR"/>
        </w:rPr>
        <w:t>.</w:t>
      </w:r>
    </w:p>
    <w:p>
      <w:pPr>
        <w:pStyle w:val="Heading4"/>
        <w:numPr>
          <w:ilvl w:val="3"/>
          <w:numId w:val="1"/>
        </w:numPr>
        <w:rPr/>
      </w:pPr>
      <w:bookmarkStart w:id="70" w:name="__RefHeading___Toc4693001_581953129"/>
      <w:bookmarkStart w:id="71" w:name="_Toc25"/>
      <w:bookmarkEnd w:id="70"/>
      <w:r>
        <w:rPr/>
        <w:t>1</w:t>
      </w:r>
      <w:r>
        <w:rPr>
          <w:rtl w:val="true"/>
        </w:rPr>
        <w:t xml:space="preserve">. </w:t>
      </w:r>
      <w:r>
        <w:rPr>
          <w:rtl w:val="true"/>
        </w:rPr>
        <w:t>برهان سادگی دیدگاه مادی</w:t>
      </w:r>
      <w:r>
        <w:rPr>
          <w:rtl w:val="true"/>
        </w:rPr>
        <w:softHyphen/>
      </w:r>
      <w:r>
        <w:rPr>
          <w:rtl w:val="true"/>
        </w:rPr>
        <w:t xml:space="preserve">انگارانه </w:t>
      </w:r>
      <w:r>
        <w:rPr>
          <w:rtl w:val="true"/>
        </w:rPr>
        <w:t>(</w:t>
      </w:r>
      <w:r>
        <w:rPr/>
        <w:t>Simplicity Argument</w:t>
      </w:r>
      <w:r>
        <w:rPr>
          <w:rtl w:val="true"/>
        </w:rPr>
        <w:t>)</w:t>
      </w:r>
      <w:bookmarkEnd w:id="71"/>
    </w:p>
    <w:p>
      <w:pPr>
        <w:pStyle w:val="BookText"/>
        <w:rPr/>
      </w:pPr>
      <w:r>
        <w:rPr>
          <w:rFonts w:ascii="IRNazanin" w:hAnsi="IRNazanin" w:eastAsia="IRNazanin"/>
          <w:color w:val="111111"/>
          <w:sz w:val="28"/>
          <w:sz w:val="28"/>
          <w:szCs w:val="28"/>
          <w:rtl w:val="true"/>
          <w:lang w:bidi="fa-IR"/>
        </w:rPr>
        <w:t>شاید بتوان ریشۀ این برهان را در اصلی که برگرفته از نام فیلسوف قرون وسطایی، ویلیام اوکام است،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اوکام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Occam's Razor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 می‌کند که اگر در وضعیت یکسان دو فرضیۀ رقیب وجود داشته باشند، اقتضای روش علمی این است که فرضیۀ ساده‌تر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بورچرت،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پدیده‌ها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موجودیت در نظر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دیدگاه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انگارانه به موجودیت‌های کمتری معتقد است؛ ازاین‌رو در مقایسه با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منطقی است که دیدگاه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انگارانه را برتری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چرچلند،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72" w:name="__RefHeading___Toc4693003_581953129"/>
      <w:bookmarkStart w:id="73" w:name="_Toc26"/>
      <w:bookmarkEnd w:id="72"/>
      <w:r>
        <w:rPr/>
        <w:t>2</w:t>
      </w:r>
      <w:r>
        <w:rPr>
          <w:rtl w:val="true"/>
        </w:rPr>
        <w:t xml:space="preserve">. </w:t>
      </w:r>
      <w:r>
        <w:rPr>
          <w:rtl w:val="true"/>
        </w:rPr>
        <w:t xml:space="preserve">برهان ناتوانی تبیین دیدگاه دوگانه‌انگاری </w:t>
      </w:r>
      <w:r>
        <w:rPr>
          <w:rtl w:val="true"/>
        </w:rPr>
        <w:t>(</w:t>
      </w:r>
      <w:r>
        <w:rPr/>
        <w:t>Explanatory Impotence</w:t>
      </w:r>
      <w:r>
        <w:rPr>
          <w:rtl w:val="true"/>
        </w:rPr>
        <w:t>)</w:t>
      </w:r>
      <w:bookmarkEnd w:id="7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اصلی این برهان در مقایسۀ میان توانایی تبیین علومِ اعصاب و دیدگاه‌های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شناسی توان تبیین دقیق و با جزئیات کافیِ سازوکار سامانه‌های عصبی را دارد؛ ازقبیل شیوۀ ارتباط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مختلف با یکدیگر و با اعصاب حسی، جزئیات شیمیایی فرایندهای مغزی، اینکه آسیب به هر قسمت از مغز موجب نقصان در کدام </w:t>
      </w:r>
      <w:bookmarkStart w:id="74" w:name="pg5834_41806"/>
    </w:p>
    <w:p>
      <w:pPr>
        <w:pStyle w:val="BookText"/>
        <w:rPr/>
      </w:pPr>
      <w:bookmarkEnd w:id="74"/>
      <w:r>
        <w:rPr>
          <w:rFonts w:ascii="IRNazanin" w:hAnsi="IRNazanin" w:eastAsia="IRNazanin"/>
          <w:color w:val="111111"/>
          <w:sz w:val="28"/>
          <w:sz w:val="28"/>
          <w:szCs w:val="28"/>
          <w:rtl w:val="true"/>
          <w:lang w:bidi="fa-IR"/>
        </w:rPr>
        <w:t>مهارت 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سخن‌گفتن، خواندن، فهم گفتار، تشخیص چهره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تبیین روابط شیمیایی موجود در مغز که موجب یادگیری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آنچه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 دربارۀ سازوکار ارتباط ذهن غیرمادی با مغز مادی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ما ارائه دهد، بسیار ناچیز و نزدیک به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که عصب‌شناسان هم از تبیین بخش‌هایی از مغز و عملکرد آن ناتوان هستند، ولی برتری مطلق توانایی تبیین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 در برابر توانایی تبیین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را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مشهور و رایج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 و فیلسوفان مسلمان این است که مغز و سازوکارهای پیچیدۀ آن نقش مُعِد برای ذهنِ غیرمادی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که با وجود دور از ذهن بودنش، استحالۀ ذاتی ندارد؛ ولی باید پذیرفت که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انگار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ذهن و اعصاب صرفاً مُعِد هستند، باید انتظار داشت که فرایند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وابسته به ذهنِ غیرمادی مانند استدلال، عاطفه، آگاهی و ادراک کلیات رابطۀ ناچیزی با آسیب به مغز داشته باشند؛ درحالی‌که این‌گونه نیست و برعکس رابطۀ بسیار قوی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75" w:name="__RefHeading___Toc4693005_581953129"/>
      <w:bookmarkStart w:id="76" w:name="_Toc27"/>
      <w:bookmarkEnd w:id="75"/>
      <w:r>
        <w:rPr/>
        <w:t>3</w:t>
      </w:r>
      <w:r>
        <w:rPr>
          <w:rtl w:val="true"/>
        </w:rPr>
        <w:t xml:space="preserve">. </w:t>
      </w:r>
      <w:r>
        <w:rPr>
          <w:rtl w:val="true"/>
        </w:rPr>
        <w:t>برهان وابستگی عصبی</w:t>
      </w:r>
      <w:bookmarkEnd w:id="76"/>
    </w:p>
    <w:p>
      <w:pPr>
        <w:pStyle w:val="BookText"/>
        <w:rPr/>
      </w:pPr>
      <w:r>
        <w:rPr>
          <w:rFonts w:ascii="IRNazanin" w:hAnsi="IRNazanin" w:eastAsia="IRNazanin"/>
          <w:color w:val="111111"/>
          <w:sz w:val="28"/>
          <w:sz w:val="28"/>
          <w:szCs w:val="28"/>
          <w:rtl w:val="true"/>
          <w:lang w:bidi="fa-IR"/>
        </w:rPr>
        <w:t>بحث از برهان ناتوانی تبیین، ما را به برهان دیگری به نام برهان وابستگی عصبی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Neural Dependency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همۀ فرایند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به مغز،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برهانی که شبیه برهان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به صورت خلاصه این‌گونه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فرایند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به‌طورکامل به بخش‌های خاصی از اعصاب مغز وابسته هستند و ناحیۀ دقیق مغزیِ شمار زیادی از آنها، کشف شده است و با آزمایش‌های تجربی فراوانی ثابت شده که آسیب به قسمت مربوطه، موجب اختلال در فرایند ذهنی مرتبط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بحث از فرایند مغزی، منظور اموری مانند توانایی استدلال، تشخیص چهره، محاسبه‌های ریاضی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 آنها را به‌طورکامل به ذهن غیرمادی مرتبط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این دو برهان در این است که تکیۀ برهان ناتوانی تبیین دیدگاه دوگانه‌انگاری بر این امر است که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بسی زیاد بوده و بسیاری از فرایند</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های ذهنی تبیین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برای تعداد زیادی از آنها محل دقیقی در مغز نیز مشخص شده </w:t>
      </w:r>
      <w:bookmarkStart w:id="77" w:name="pg5834_41809"/>
    </w:p>
    <w:p>
      <w:pPr>
        <w:pStyle w:val="BookText"/>
        <w:rPr/>
      </w:pPr>
      <w:bookmarkEnd w:id="77"/>
      <w:r>
        <w:rPr>
          <w:rFonts w:ascii="IRNazanin" w:hAnsi="IRNazanin" w:eastAsia="IRNazanin"/>
          <w:color w:val="111111"/>
          <w:sz w:val="28"/>
          <w:sz w:val="28"/>
          <w:szCs w:val="28"/>
          <w:rtl w:val="true"/>
          <w:lang w:bidi="fa-IR"/>
        </w:rPr>
        <w:t>است؛ ولی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با این دقت به تبیین موضوع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وابستگی عصبی بر این امر تکیه دارد که با آسیب‌رساندن به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مغز،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متناظر با آن مختل شده و این امر با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انگار که به غیرمادی و مستقل‌بودن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معتقد است،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اموری مانند 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مغز صرفاً مُعِد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بدو امر پاسخی به نظر فیلسوفان مسلمان برسد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نقش اعدادی دارند و اصل حالت ذهنی توسط ذهنِ غیرمادی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این پاسخ برای مسائلی چون ادراکِ بصری پذیرفتنی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همۀ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چشم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همچنین پردازش‌های عصبی که در مغز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برای حصول ادراک بصری توسط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مُعِد را دارند؛ ولی خود فیلسوفان مسلمان نیز بر این باورند پاره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حالت‌های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ادراک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که به‌قطع و یقین توسط امر مادی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حتی همین را دلیل تجرد نفس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اینجاست که چرا اموری مانند ادراک کلیات و استدلال عقلی که به باور فیلسوفان مسلمان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مادی باشند، با آسیب‌رسیدن به بخش مربوطه در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مصرف داروهای روان‌گردان که در ادامه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Heading4"/>
        <w:numPr>
          <w:ilvl w:val="3"/>
          <w:numId w:val="1"/>
        </w:numPr>
        <w:rPr/>
      </w:pPr>
      <w:bookmarkStart w:id="78" w:name="__RefHeading___Toc4693007_581953129"/>
      <w:bookmarkStart w:id="79" w:name="_Toc28"/>
      <w:bookmarkEnd w:id="78"/>
      <w:r>
        <w:rPr/>
        <w:t>4</w:t>
      </w:r>
      <w:r>
        <w:rPr>
          <w:rtl w:val="true"/>
        </w:rPr>
        <w:t xml:space="preserve">. </w:t>
      </w:r>
      <w:r>
        <w:rPr>
          <w:rtl w:val="true"/>
        </w:rPr>
        <w:t xml:space="preserve">برهان تاریخ تکاملی </w:t>
      </w:r>
      <w:r>
        <w:rPr>
          <w:rtl w:val="true"/>
        </w:rPr>
        <w:t>(</w:t>
      </w:r>
      <w:r>
        <w:rPr/>
        <w:t>Evolutionary History</w:t>
      </w:r>
      <w:r>
        <w:rPr>
          <w:rtl w:val="true"/>
        </w:rPr>
        <w:t>)</w:t>
      </w:r>
      <w:bookmarkEnd w:id="79"/>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برهان که ریشه در نظریۀ فرگشت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Evolution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دارای دو مؤلفۀ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تغییراتِ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هدف و تصادفی در ژ</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اجداد ما در درخت تنومند تکاملی، دوم بقای ژن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توانایی تطبیق بیشتری با محیط پیرامون خود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مهمی که با پذیرش فرگشت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اذعان کرد، این است که گونۀ کنونی انسان و همۀ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حاصل فرایندی تماماً فیزیکی و مادی است و تنها تفاوت ما با جانداران دیگر پیچیدگی بیشتر سیستم عصبی ماست؛ ازاین‌رو برای تبیین سرشت انسان، نیازی به یک جوهر غیرمادی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چرچلند،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80" w:name="pg5834_41810"/>
    </w:p>
    <w:p>
      <w:pPr>
        <w:pStyle w:val="Heading4"/>
        <w:numPr>
          <w:ilvl w:val="3"/>
          <w:numId w:val="1"/>
        </w:numPr>
        <w:rPr/>
      </w:pPr>
      <w:bookmarkStart w:id="81" w:name="__RefHeading___Toc4693009_581953129"/>
      <w:bookmarkStart w:id="82" w:name="_Toc29"/>
      <w:bookmarkEnd w:id="80"/>
      <w:bookmarkEnd w:id="81"/>
      <w:r>
        <w:rPr/>
        <w:t>5</w:t>
      </w:r>
      <w:r>
        <w:rPr>
          <w:rtl w:val="true"/>
        </w:rPr>
        <w:t xml:space="preserve">. </w:t>
      </w:r>
      <w:r>
        <w:rPr>
          <w:rtl w:val="true"/>
        </w:rPr>
        <w:t>برهان تأثیر روان</w:t>
      </w:r>
      <w:r>
        <w:rPr>
          <w:rtl w:val="true"/>
        </w:rPr>
        <w:softHyphen/>
      </w:r>
      <w:r>
        <w:rPr>
          <w:rtl w:val="true"/>
        </w:rPr>
        <w:t>گردان</w:t>
      </w:r>
      <w:r>
        <w:rPr>
          <w:rtl w:val="true"/>
        </w:rPr>
        <w:softHyphen/>
      </w:r>
      <w:r>
        <w:rPr>
          <w:rtl w:val="true"/>
        </w:rPr>
        <w:t xml:space="preserve">ها بر آگاهی </w:t>
      </w:r>
      <w:r>
        <w:rPr>
          <w:rtl w:val="true"/>
        </w:rPr>
        <w:t>(</w:t>
      </w:r>
      <w:r>
        <w:rPr/>
        <w:t>Drugs and Consciousness Argument</w:t>
      </w:r>
      <w:r>
        <w:rPr>
          <w:rtl w:val="true"/>
        </w:rPr>
        <w:t>)</w:t>
      </w:r>
      <w:bookmarkEnd w:id="82"/>
    </w:p>
    <w:p>
      <w:pPr>
        <w:pStyle w:val="BookText"/>
        <w:rPr/>
      </w:pPr>
      <w:r>
        <w:rPr>
          <w:rFonts w:ascii="IRNazanin" w:hAnsi="IRNazanin" w:eastAsia="IRNazanin"/>
          <w:color w:val="111111"/>
          <w:sz w:val="28"/>
          <w:sz w:val="28"/>
          <w:szCs w:val="28"/>
          <w:rtl w:val="true"/>
          <w:lang w:bidi="fa-IR"/>
        </w:rPr>
        <w:t>داروهای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داروها هستند که بر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ذهنی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در همۀ فرهنگ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شناخته‌شدۀ بشری این داروها وجود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همیشه نوع بشر از دست‌کاری وضعیت آگاهی خود لذت فراوانی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 مور،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مخالفان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معتقدند که بررسی آثار داروهای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بر مغز، شاهدی بر بطلان ادعای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انگار است؛ بدین صورت که اگر به جز مادۀ مغز آدمی، امری غیرمادی به نام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دلیلی ندارد داروهای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چنین تأثیر عمیق و ژرفی بر هوشیاری و آگاهی شخص بگذارد؛ درواقع تأثیر شدید داروهای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بر آگاهی فرد، این نظر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حالت‌های ذهنی چیزی غیر از حالت‌های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درنهایت از عوارض حالت‌های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داروهای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 روی آگاهی افراد بسیار گوناگون است؛ گروهی با مصرف حشیش دچار بدگمانی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دچار تمدد اعصاب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Relaxation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تقویت ادراکات حسی، افزایش لذت از احساس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ابتدایی و ساده، میل شدید به خندیدن، افزایش لذت جنسی، احساس راحتی زیاد با دیگران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Openness to Others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احساس کندشدن زمان و تأثیرات مخربی بر حافظۀ کوتاه‌مدت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حشیش که از گیاه شاهدانه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Cannabis Sativa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کنف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Hemp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قدمتی بالغ بر پنج هزار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هنرمندان قرن نوزدهم برای کارشان از این ماده سود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حشیش، تأثیر مصرف ماده‌ای صنعتی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افرادی که آن را تجربه کرده‌اند، گزارش از سفری هشت تا ده ساعته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نام‌گذاری این تجربه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مدت آن بسیار طولانی و حتی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پایان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مانند سفر بزرگی در زندگی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که در آن رنگ‌ها بسیار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شکل‌های طبیعی، شکل و شمایلی خیال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و گاهی زنده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حتی ممکن </w:t>
      </w:r>
      <w:bookmarkStart w:id="83" w:name="pg5834_41812"/>
    </w:p>
    <w:p>
      <w:pPr>
        <w:pStyle w:val="BookText"/>
        <w:rPr/>
      </w:pPr>
      <w:bookmarkEnd w:id="83"/>
      <w:r>
        <w:rPr>
          <w:rFonts w:ascii="IRNazanin" w:hAnsi="IRNazanin" w:eastAsia="IRNazanin"/>
          <w:color w:val="111111"/>
          <w:sz w:val="28"/>
          <w:sz w:val="28"/>
          <w:szCs w:val="28"/>
          <w:rtl w:val="true"/>
          <w:lang w:bidi="fa-IR"/>
        </w:rPr>
        <w:t>است شخص به‌طورموقت منیّت و خودیت خود را از دست بدهد یا گمان کند که شخص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روی داروهای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این ایده را به ذهن پژوهشگران انداخت که شاید بتوان با مصرف مواد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 تجربۀ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مطالعه‌ای مشهور به نام آزمایش جمعۀ خوب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Good Friday Experiment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والتر پانک، پزشک آمریکایی، به بیست نفر قرص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داد که نصف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دارونما</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Placebo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نیمی از قرص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سایلوسیبین</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Psilocybin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آزمایش، به اجرای مناسک مذهبی و مراقبه پرداختند؛ ده نفری که به آنها دارونما داده شده بود، تنها حالت‌های ملایم مذهبی را تجربه کردند، ولی از میان ده نفری که داروی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 دریافت کرده بودند، هشت نفر گزارش کردند که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عرفانی قدرتمندی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تأثیر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آگاهی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صورت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ذهن امری غیرمادی و غیر از عوارض مغز باشد، نباید داروهایی که روی فعالیت مغز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موجب اختلال و تغییرات شدید در ذهن و آگاهی شخص شود؛ ولی تجربه خلاف این را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Heading4"/>
        <w:numPr>
          <w:ilvl w:val="3"/>
          <w:numId w:val="1"/>
        </w:numPr>
        <w:rPr/>
      </w:pPr>
      <w:bookmarkStart w:id="84" w:name="__RefHeading___Toc4693011_581953129"/>
      <w:bookmarkStart w:id="85" w:name="_Toc30"/>
      <w:bookmarkEnd w:id="84"/>
      <w:r>
        <w:rPr/>
        <w:t>6</w:t>
      </w:r>
      <w:r>
        <w:rPr>
          <w:rtl w:val="true"/>
        </w:rPr>
        <w:t xml:space="preserve">. </w:t>
      </w:r>
      <w:r>
        <w:rPr>
          <w:rtl w:val="true"/>
        </w:rPr>
        <w:t xml:space="preserve">برهان مغز دوپاره </w:t>
      </w:r>
      <w:r>
        <w:rPr>
          <w:rtl w:val="true"/>
        </w:rPr>
        <w:t>(</w:t>
      </w:r>
      <w:r>
        <w:rPr/>
        <w:t>Split Brain</w:t>
      </w:r>
      <w:r>
        <w:rPr>
          <w:rtl w:val="true"/>
        </w:rPr>
        <w:t>)</w:t>
      </w:r>
      <w:bookmarkEnd w:id="8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پینه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Corpus Callosum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پیونددهندۀ دو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کرۀ مغز است، در کنار روش درمانی عجیبی که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درمان گونۀ شدیدی از صرع استفاده شده است، هرچند پس از مدتی این روش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رحمانه کنار گذاشته شد، نقش اصلی را در این برهان ایفا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کالیفرنیا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روی حیوانات انجام شد که نشان داد قطع ارتباط میان دو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مغز با بریدن جسم پینه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موجب هیچ اختلال جدی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ادراکات یا حرکات حیوان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بیمارانی وجود داشتند که از نوع شدیدی از صرع رنج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بردند، به‌گونه‌ای که زندگی عادی آنها تقریباً مختل شده بود، </w:t>
      </w:r>
    </w:p>
    <w:p>
      <w:pPr>
        <w:pStyle w:val="BookText"/>
        <w:rPr/>
      </w:pPr>
      <w:r>
        <w:rPr>
          <w:rFonts w:ascii="IRNazanin" w:hAnsi="IRNazanin" w:eastAsia="IRNazanin"/>
          <w:color w:val="111111"/>
          <w:sz w:val="28"/>
          <w:sz w:val="28"/>
          <w:szCs w:val="28"/>
          <w:rtl w:val="true"/>
          <w:lang w:bidi="fa-IR"/>
        </w:rPr>
        <w:t>فرضیۀ اصلی دربارۀ توجیه صرع شدید این بیماران، انتشار اختلال‌های الکتریکی در زمان بروز حمله‌های صرع به همۀ مغز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روشی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بی‌رحمانه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که با قطع جسم پینه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مغز بیمار، از انتشار اختلال‌های الکتریکی میان دو نیم‌کرۀ مغز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روش درمانی در همان زمان کاملاً مؤثر بود، امروزه به‌طورکامل کنار گذاشته شد و درمان دارویی جایگزین آن شده است؛ ولی دستاورد این عمل‌های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رحمانه افرادی بودند که دو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مغزشان از هم کاملاً مجزا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اندک ارتباطات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صرف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بدو امر این افراد از نظر بالینی کاملاً سالم و بدون هیچ اختلال خاصی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آزمایش‌های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نشانه‌هایی را آشکار کرد که موجب شد، به نظر برسد این افراد دو مرکز آگاهی مجزا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راجر اِسپری و همکارانش در مؤسسۀ فناوری کالیفرنیا این فرصت طلایی را پیدا کردند تا افرادی را که دارای مغز دوپاره هستند، معاینه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 هیچ ناهنجاری یا علامت غیرطبیعی را نشان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افراد کاملاً عادی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ولی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روی آنها نتایج حیرت‌انگیزی در پی داشت، نتایجی که اسپری برای نخستین بار در اجلاسی در آکادمی اسقفی علوم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Pontificial Academy of Sciences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ارائه داد؛ وی در سخنرانی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تجربۀ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آنچه ما تاکنون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گواه بر این است که در نتیجۀ عمل جراحی، این افراد دارای دو ذهن جداگانه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دو قلمرو آگاهی که جدا از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راست تجربه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ظاهر به‌کلی خارج از قلمرو آگاهی در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کره چپ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ترِوِرثِن،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اسپری بر این نکته استوار است که تصویر دریافت‌شده توسط چشم راست به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چپ مغز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تصویر دریافت‌شده توسط چشم چپ به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راست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 دارای مغز دوپاره را در وضعیتی قرار دهیم که تصویر شیئی را تنها با چشم راستش ببیند،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نتیجه گرفت که تنها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چپ مغز او از تصویر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در افراد راست‌دست،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کرۀ چپ مغز وظیفۀ تکلم را </w:t>
      </w:r>
      <w:bookmarkStart w:id="86" w:name="pg5834_41816"/>
    </w:p>
    <w:p>
      <w:pPr>
        <w:pStyle w:val="BookText"/>
        <w:rPr/>
      </w:pPr>
      <w:bookmarkEnd w:id="86"/>
      <w:r>
        <w:rPr>
          <w:rFonts w:ascii="IRNazanin" w:hAnsi="IRNazanin" w:eastAsia="IRNazanin"/>
          <w:color w:val="111111"/>
          <w:sz w:val="28"/>
          <w:sz w:val="28"/>
          <w:szCs w:val="28"/>
          <w:rtl w:val="true"/>
          <w:lang w:bidi="fa-IR"/>
        </w:rPr>
        <w:t>بر عهده دارد و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راست وظیفۀ حرکات بدن را بر عهده دارد و در افراد چپ‌دست برعکس این است؛ زیرا تصویر به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چپ منتقل شده است، انتظار داریم که فرد بتواند اسم جسمی را که در تصویر دیده، به زبان بیاورد که به‌طوردقیق همین اتفاق نیز رخ می‌دهد؛ سپس از فرد خواسته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میان چند مجسمۀ کوچک، مجسمۀ مربوط به چیزی را که دیده است، بردارد که در کمال ناباوری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توانایی انجام این کار را ندارد؛ یعنی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راست مغز فرد از تصویر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آزمایش را برعکس نیز انجام داد، تصویری به چشم چپ فرد نشان داده شد که به‌طورطبیعی تصویر به نیم‌کرۀ راست فرد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از میان اجسام روی میز جسمی که تصویرش را دیده است، بردارد؛ ولی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نام آن را بر زبان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کالین بلک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مور،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آزمایشی دیگر فردِ دارای مغز دوپاره را در وضعیتی قرار دادند که چشم چپ وی تصویر چهرۀ یک زن و چشم راستش تصویر چهرۀ یک مرد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فرد خواسته شده که بگوید چه دیده،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چپِ مغز اظهار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تصویر یک مرد را دیده و وقتی از وی خواسته شد از میان تصاویر روی میز تصویری را که دیده است، بردارد،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کرۀ راست مغز تصویر مرد را بر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242</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منطقی استدلال به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مرکز آگاهی فرد امری غیرمادی باشد، نباید با قطع ارتباط میان دو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مغز، شخص دو مرکز آگاهی مستقل از هم داشته باشد؛ درحالی‌که مشاهده‌های تجربی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افراد دارای مغز دوپاره، دو مرکز آگاهی مستقل دارند که از یکدیگر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خبرند</w:t>
      </w:r>
      <w:r>
        <w:rPr>
          <w:rFonts w:eastAsia="IRNazanin" w:cs="IRNazanin"/>
          <w:color w:val="111111"/>
          <w:sz w:val="28"/>
          <w:szCs w:val="28"/>
          <w:rtl w:val="true"/>
          <w:lang w:bidi="fa-IR"/>
        </w:rPr>
        <w:t>.</w:t>
      </w:r>
    </w:p>
    <w:p>
      <w:pPr>
        <w:pStyle w:val="Heading3"/>
        <w:numPr>
          <w:ilvl w:val="2"/>
          <w:numId w:val="1"/>
        </w:numPr>
        <w:rPr/>
      </w:pPr>
      <w:bookmarkStart w:id="87" w:name="__RefHeading___Toc4693013_581953129"/>
      <w:bookmarkStart w:id="88" w:name="_Toc31"/>
      <w:bookmarkEnd w:id="87"/>
      <w:r>
        <w:rPr>
          <w:rtl w:val="true"/>
        </w:rPr>
        <w:t>ب</w:t>
      </w:r>
      <w:r>
        <w:rPr>
          <w:rtl w:val="true"/>
        </w:rPr>
        <w:t xml:space="preserve">) </w:t>
      </w:r>
      <w:r>
        <w:rPr>
          <w:rtl w:val="true"/>
        </w:rPr>
        <w:t>نظریات مادی</w:t>
      </w:r>
      <w:r>
        <w:rPr>
          <w:rtl w:val="true"/>
        </w:rPr>
        <w:softHyphen/>
      </w:r>
      <w:r>
        <w:rPr>
          <w:rtl w:val="true"/>
        </w:rPr>
        <w:t xml:space="preserve">انگارانه </w:t>
      </w:r>
      <w:r>
        <w:rPr>
          <w:rtl w:val="true"/>
        </w:rPr>
        <w:t>(</w:t>
      </w:r>
      <w:r>
        <w:rPr/>
        <w:t>Physicalist Theories of Mind</w:t>
      </w:r>
      <w:r>
        <w:rPr>
          <w:rtl w:val="true"/>
        </w:rPr>
        <w:t>)</w:t>
      </w:r>
      <w:bookmarkEnd w:id="88"/>
    </w:p>
    <w:p>
      <w:pPr>
        <w:pStyle w:val="Heading4"/>
        <w:numPr>
          <w:ilvl w:val="3"/>
          <w:numId w:val="1"/>
        </w:numPr>
        <w:rPr/>
      </w:pPr>
      <w:bookmarkStart w:id="89" w:name="__RefHeading___Toc4693015_581953129"/>
      <w:bookmarkStart w:id="90" w:name="_Toc32"/>
      <w:bookmarkEnd w:id="89"/>
      <w:r>
        <w:rPr>
          <w:rtl w:val="true"/>
        </w:rPr>
        <w:t>اشاره</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اجمالی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و دلایلی که ضد آن اقامه شده بود، به بیان مختصر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رایج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انگارانه و دلایل ضد آنها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پرداختن دقیق به همۀ این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یک مقاله، کاری بس دشوار است؛ افزون بر اینکه برخی از این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رفتارگرایی فلسفی – هم‌اکنون طرفدار زیادی ندارد؛ ازاین‌رو صرفاً </w:t>
      </w:r>
      <w:bookmarkStart w:id="91" w:name="pg5834_41819"/>
    </w:p>
    <w:p>
      <w:pPr>
        <w:pStyle w:val="BookText"/>
        <w:rPr/>
      </w:pPr>
      <w:bookmarkEnd w:id="91"/>
      <w:r>
        <w:rPr>
          <w:rFonts w:ascii="IRNazanin" w:hAnsi="IRNazanin" w:eastAsia="IRNazanin"/>
          <w:color w:val="111111"/>
          <w:sz w:val="28"/>
          <w:sz w:val="28"/>
          <w:szCs w:val="28"/>
          <w:rtl w:val="true"/>
          <w:lang w:bidi="fa-IR"/>
        </w:rPr>
        <w:t>جهت احصا به همۀ این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تنها به تبیین و نقد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متقن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4"/>
        <w:numPr>
          <w:ilvl w:val="3"/>
          <w:numId w:val="1"/>
        </w:numPr>
        <w:rPr/>
      </w:pPr>
      <w:bookmarkStart w:id="92" w:name="__RefHeading___Toc4693017_581953129"/>
      <w:bookmarkStart w:id="93" w:name="_Toc33"/>
      <w:bookmarkEnd w:id="92"/>
      <w:r>
        <w:rPr/>
        <w:t>1</w:t>
      </w:r>
      <w:r>
        <w:rPr>
          <w:rtl w:val="true"/>
        </w:rPr>
        <w:t xml:space="preserve">. </w:t>
      </w:r>
      <w:r>
        <w:rPr>
          <w:rtl w:val="true"/>
        </w:rPr>
        <w:t xml:space="preserve">رفتارگرایی فلسفی </w:t>
      </w:r>
      <w:r>
        <w:rPr>
          <w:rtl w:val="true"/>
        </w:rPr>
        <w:t>(</w:t>
      </w:r>
      <w:r>
        <w:rPr/>
        <w:t>Philosophical Behaviorism</w:t>
      </w:r>
      <w:r>
        <w:rPr>
          <w:rtl w:val="true"/>
        </w:rPr>
        <w:t>)</w:t>
      </w:r>
      <w:bookmarkEnd w:id="93"/>
    </w:p>
    <w:p>
      <w:pPr>
        <w:pStyle w:val="BookText"/>
        <w:rPr/>
      </w:pP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توصیف‌کنندۀ حالت‌های ذهنی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معنای آنها از دست برود یا نقصی در معنا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دیگر ترجمه کرد،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توصیف‌کنندۀ رفتار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بالقوه یا بالفعل شخص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اصلی وارد به رفتارگرایی این است که بیشتر دیدگاهی دربارۀ چگونگی تحلیل و فهم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مرتبط با حالت‌های ذهنی است؛ درحالی‌که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بود که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ارائه شود که دربارۀ چیستی و سرشت ذاتی حالت‌های ذهنی بحث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چرچلند،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رفتارگرایی دو نقص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نادیده‌گرفتن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جنبۀ درونی حالت‌های ذهنی؛ دومی نقص این نظریه در تبیین جزئیات رفتارهای تشکیل‌دهندۀ حالت‌های 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امروزه با وجود نظریه‌های جایگزین برای رفتارگرایی فلسفی، این دیدگاه کنار گذاشته شده و دیگر به آن توجه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4"/>
        <w:numPr>
          <w:ilvl w:val="3"/>
          <w:numId w:val="1"/>
        </w:numPr>
        <w:rPr/>
      </w:pPr>
      <w:bookmarkStart w:id="94" w:name="__RefHeading___Toc4693019_581953129"/>
      <w:bookmarkStart w:id="95" w:name="_Toc34"/>
      <w:bookmarkEnd w:id="94"/>
      <w:r>
        <w:rPr/>
        <w:t>2</w:t>
      </w:r>
      <w:r>
        <w:rPr>
          <w:rtl w:val="true"/>
        </w:rPr>
        <w:t xml:space="preserve">. </w:t>
      </w:r>
      <w:r>
        <w:rPr>
          <w:rtl w:val="true"/>
        </w:rPr>
        <w:t>ماتریالیسم تحویل</w:t>
      </w:r>
      <w:r>
        <w:rPr>
          <w:rtl w:val="true"/>
        </w:rPr>
        <w:softHyphen/>
      </w:r>
      <w:r>
        <w:rPr>
          <w:rtl w:val="true"/>
        </w:rPr>
        <w:t>گرا</w:t>
      </w:r>
      <w:bookmarkEnd w:id="9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ماتریالیسم تحویل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Reductive Materialism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نظریۀ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ساده و سرراست است، حالت‌های ذهنی همان حالت‌های فیزیکی مغزی هستند؛ درواقع ادعای این دیدگاه این نیست که معنای واژگان مربوط به حالت‌های ذهنی و واژگان مربوط به حالت‌های مغزی یکی است، بلکه ادعا می‌کند که همۀ واژگان مرتبط با حالت‌های ذهنی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ازدست‌دادن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واژگان مرتبط با حالت‌های مغزی تبدیل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 به این دیدگاه در پاسخ به این اشکال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همۀ حالت‌های ذهنی حالت مغزی متناظر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ما هم‌اکنون دانش کافی دربارۀ مغز نداریم و در آینده پژوهش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دربارۀ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مغز همۀ تناظرهای گفته‌شده را خواهد یافت</w:t>
      </w:r>
      <w:r>
        <w:rPr>
          <w:rFonts w:eastAsia="IRNazanin" w:cs="IRNazanin"/>
          <w:color w:val="111111"/>
          <w:sz w:val="28"/>
          <w:szCs w:val="28"/>
          <w:rtl w:val="true"/>
          <w:lang w:bidi="fa-IR"/>
        </w:rPr>
        <w:t xml:space="preserve">. </w:t>
      </w:r>
      <w:bookmarkStart w:id="96" w:name="pg5834_41821"/>
    </w:p>
    <w:p>
      <w:pPr>
        <w:pStyle w:val="BookText"/>
        <w:rPr/>
      </w:pPr>
      <w:bookmarkEnd w:id="96"/>
      <w:r>
        <w:rPr>
          <w:rFonts w:ascii="IRNazanin" w:hAnsi="IRNazanin" w:eastAsia="IRNazanin"/>
          <w:color w:val="111111"/>
          <w:sz w:val="28"/>
          <w:sz w:val="28"/>
          <w:szCs w:val="28"/>
          <w:rtl w:val="true"/>
          <w:lang w:bidi="fa-IR"/>
        </w:rPr>
        <w:t>این پاسخ چند مؤید تاریخی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گرما و سرما صرفاً اندازۀ انرژی جنبشی مولکول شیء هستند، آذرخش چیزی جز تخلیۀ الکتریکی میان ابرها یا ابرها و زمین نیست یا اینکه صوت چیزی جز دسته‌ای از امواج متراکمی که در هوا سیر می‌کنند،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چرچلند،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97" w:name="__RefHeading___Toc4693021_581953129"/>
      <w:bookmarkStart w:id="98" w:name="_Toc35"/>
      <w:bookmarkEnd w:id="97"/>
      <w:r>
        <w:rPr/>
        <w:t>3</w:t>
      </w:r>
      <w:r>
        <w:rPr>
          <w:rtl w:val="true"/>
        </w:rPr>
        <w:t xml:space="preserve">. </w:t>
      </w:r>
      <w:r>
        <w:rPr>
          <w:rtl w:val="true"/>
        </w:rPr>
        <w:t>استدلال</w:t>
      </w:r>
      <w:r>
        <w:rPr>
          <w:rtl w:val="true"/>
        </w:rPr>
        <w:softHyphen/>
      </w:r>
      <w:r>
        <w:rPr>
          <w:rtl w:val="true"/>
        </w:rPr>
        <w:t>های ضد دیدگاه این</w:t>
      </w:r>
      <w:r>
        <w:rPr>
          <w:rtl w:val="true"/>
        </w:rPr>
        <w:softHyphen/>
      </w:r>
      <w:r>
        <w:rPr>
          <w:rtl w:val="true"/>
        </w:rPr>
        <w:t>همانی</w:t>
      </w:r>
      <w:bookmarkEnd w:id="98"/>
    </w:p>
    <w:p>
      <w:pPr>
        <w:pStyle w:val="BookText"/>
        <w:rPr/>
      </w:pPr>
      <w:r>
        <w:rPr>
          <w:rFonts w:ascii="IRNazanin" w:hAnsi="IRNazanin" w:eastAsia="IRNazanin"/>
          <w:color w:val="111111"/>
          <w:sz w:val="28"/>
          <w:sz w:val="28"/>
          <w:szCs w:val="28"/>
          <w:rtl w:val="true"/>
          <w:lang w:bidi="fa-IR"/>
        </w:rPr>
        <w:t>بیشتر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مطرح‌شده در دفاع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 به‌نوعی مانند یا مأخوذ از استدلال‌های مطرح‌شده ضد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می‌کوشند که این ادعا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روزی دانش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پرده از ماهیت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 حالت‌های ذهنی و مغزی بر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نخست به سرشت و خاستگاه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بشر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از مولکول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مادی تام ساخته شده که درون یک تک‌سلولی که به صورت ژنتیک برنامه‌ریزی‌شده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انبوه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پایان اندام یک موجود زنده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این فرایند مادی هیچ امر غیرمادی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شباهت زیادی به دلیل ذکرشده با نام تاریخ تکاملی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بعدی نیز به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روزافزون دانش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آشکاری که به این دسته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درستی آنها را در خصوص فیزیکی‌بودن سرشت آدمی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آنها این مسئله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دانش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تبیین کاملی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 ذهن و مغز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نمی‌توانند ثابت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99" w:name="__RefHeading___Toc4693023_581953129"/>
      <w:bookmarkStart w:id="100" w:name="_Toc36"/>
      <w:bookmarkEnd w:id="99"/>
      <w:r>
        <w:rPr/>
        <w:t>4</w:t>
      </w:r>
      <w:r>
        <w:rPr>
          <w:rtl w:val="true"/>
        </w:rPr>
        <w:t xml:space="preserve">. </w:t>
      </w:r>
      <w:r>
        <w:rPr>
          <w:rtl w:val="true"/>
        </w:rPr>
        <w:t>کارکردگرایی</w:t>
      </w:r>
      <w:bookmarkEnd w:id="100"/>
    </w:p>
    <w:p>
      <w:pPr>
        <w:pStyle w:val="BookText"/>
        <w:rPr/>
      </w:pPr>
      <w:r>
        <w:rPr>
          <w:rFonts w:ascii="IRNazanin" w:hAnsi="IRNazanin" w:eastAsia="IRNazanin"/>
          <w:color w:val="111111"/>
          <w:sz w:val="28"/>
          <w:sz w:val="28"/>
          <w:szCs w:val="28"/>
          <w:rtl w:val="true"/>
          <w:lang w:bidi="fa-IR"/>
        </w:rPr>
        <w:t xml:space="preserve">دیدگاه کارکردگرایی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خیلی ساده و سرراست ذهن را مساوی یک کارکرد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که 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ترموستات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ترموستات این است که بر اساس دمای محیط، دستگاه گرم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یا سردکننده را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حالت‌های ذهنی نیز کافی است کارکرد آن حالت‌ها را توصیف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کارکردگرایی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اصلاح‌شده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رفتارگرایی دانست که بر خلاف </w:t>
      </w:r>
      <w:bookmarkStart w:id="101" w:name="pg5834_41822"/>
    </w:p>
    <w:p>
      <w:pPr>
        <w:pStyle w:val="BookText"/>
        <w:rPr/>
      </w:pPr>
      <w:bookmarkEnd w:id="101"/>
      <w:r>
        <w:rPr>
          <w:rFonts w:ascii="IRNazanin" w:hAnsi="IRNazanin" w:eastAsia="IRNazanin"/>
          <w:color w:val="111111"/>
          <w:sz w:val="28"/>
          <w:sz w:val="28"/>
          <w:szCs w:val="28"/>
          <w:rtl w:val="true"/>
          <w:lang w:bidi="fa-IR"/>
        </w:rPr>
        <w:t>رفتارگرایی ارائۀ تعریفی تحویلی از حالت‌های ذهنی را ناممکن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معتقد است که تعریف حالت‌های ذهنی مستلزم ارجاع به دیگر حالت‌های ذهنی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چرچلند،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نیز جدا از اینکه وجهۀ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علیه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ایرادهایی نیز به آن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پردازیم</w:t>
      </w:r>
      <w:r>
        <w:rPr>
          <w:rFonts w:eastAsia="IRNazanin" w:cs="IRNazanin"/>
          <w:color w:val="111111"/>
          <w:sz w:val="28"/>
          <w:szCs w:val="28"/>
          <w:rtl w:val="true"/>
          <w:lang w:bidi="fa-IR"/>
        </w:rPr>
        <w:t>.</w:t>
      </w:r>
    </w:p>
    <w:p>
      <w:pPr>
        <w:pStyle w:val="Heading4"/>
        <w:numPr>
          <w:ilvl w:val="3"/>
          <w:numId w:val="1"/>
        </w:numPr>
        <w:rPr/>
      </w:pPr>
      <w:bookmarkStart w:id="102" w:name="__RefHeading___Toc4693025_581953129"/>
      <w:bookmarkStart w:id="103" w:name="_Toc37"/>
      <w:bookmarkEnd w:id="102"/>
      <w:r>
        <w:rPr/>
        <w:t>5</w:t>
      </w:r>
      <w:r>
        <w:rPr>
          <w:rtl w:val="true"/>
        </w:rPr>
        <w:t xml:space="preserve">. </w:t>
      </w:r>
      <w:r>
        <w:rPr>
          <w:rtl w:val="true"/>
        </w:rPr>
        <w:t>ماتریالیسم حذف</w:t>
      </w:r>
      <w:r>
        <w:rPr>
          <w:rtl w:val="true"/>
        </w:rPr>
        <w:softHyphen/>
      </w:r>
      <w:r>
        <w:rPr>
          <w:rtl w:val="true"/>
        </w:rPr>
        <w:t xml:space="preserve">گرا </w:t>
      </w:r>
      <w:r>
        <w:rPr>
          <w:rtl w:val="true"/>
        </w:rPr>
        <w:t>(</w:t>
      </w:r>
      <w:r>
        <w:rPr/>
        <w:t>Eliminative Materialism</w:t>
      </w:r>
      <w:r>
        <w:rPr>
          <w:rtl w:val="true"/>
        </w:rPr>
        <w:t>)</w:t>
      </w:r>
      <w:bookmarkEnd w:id="103"/>
    </w:p>
    <w:p>
      <w:pPr>
        <w:pStyle w:val="BookText"/>
        <w:rPr/>
      </w:pPr>
      <w:r>
        <w:rPr>
          <w:rFonts w:ascii="IRNazanin" w:hAnsi="IRNazanin" w:eastAsia="IRNazanin"/>
          <w:color w:val="111111"/>
          <w:sz w:val="28"/>
          <w:sz w:val="28"/>
          <w:szCs w:val="28"/>
          <w:rtl w:val="true"/>
          <w:lang w:bidi="fa-IR"/>
        </w:rPr>
        <w:t>این دیدگاه بر خلاف دیدگاه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 امیدی به یافتن تناظر یک‌به‌یک میان حالت‌های ذهنی و حالت‌های مغزی ندارد، بلکه برعکس، معتقد است بعضی حالت‌های ذهنی صرفاً توّهم جامعه است و با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دانش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به جای یافتن تناظر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به‌کلی حذف خواهد شد؛ به بیان دیگر با پیشرفت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انطباق یک‌به‌یک پیدا نخواهد شد، بلکه مشخص خواهد شد که فهم متعارف ما از خیلی از امور ذهنی اساساً نادرست و گمراه‌کننده بوده است و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به جای ایجاد تحول در چارچوب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فهمِ متعارف ما، خیلی ساده آنها را حذف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برای اثبات ادعای خود به چند شاهد تاریخی نیز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وجود جوهری سیال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کالریک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Caloric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منشأ حرارت است؛ درحالی‌که بعدها ثابت شد حرارت جوهری مستقل نیست، بلکه عرضی است برآمده از انرژی جنبشی مولکول‌های جسم یا باور به وجود جوهری شَبَه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فلوژیستون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Phlogiston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زمان اشتعال اجسام،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پیشین با پیشرفت دانش بشری به جای اینکه تغییر کنند، به‌کلی از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علمی‌حذف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دو مثال پیشین نامرئی هم نبوده و با چشم هم رؤیت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پیشرفت دانش بشری به‌کلی حذف شده است، اعتقاد به فلکِ دوارِ آسمان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Starry Sphere of the Heavens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آخر در طبیعیات قدیم اسلامی نیز پذیرفتنی بوده است</w:t>
      </w:r>
      <w:r>
        <w:rPr>
          <w:rFonts w:eastAsia="IRNazanin" w:cs="IRNazanin"/>
          <w:color w:val="111111"/>
          <w:sz w:val="28"/>
          <w:szCs w:val="28"/>
          <w:rtl w:val="true"/>
          <w:lang w:bidi="fa-IR"/>
        </w:rPr>
        <w:t xml:space="preserve">. </w:t>
      </w:r>
      <w:bookmarkStart w:id="104" w:name="pg5834_41825"/>
    </w:p>
    <w:p>
      <w:pPr>
        <w:pStyle w:val="Heading4"/>
        <w:numPr>
          <w:ilvl w:val="3"/>
          <w:numId w:val="1"/>
        </w:numPr>
        <w:rPr/>
      </w:pPr>
      <w:bookmarkStart w:id="105" w:name="__RefHeading___Toc4693027_581953129"/>
      <w:bookmarkStart w:id="106" w:name="_Toc38"/>
      <w:bookmarkEnd w:id="104"/>
      <w:bookmarkEnd w:id="105"/>
      <w:r>
        <w:rPr/>
        <w:t>6</w:t>
      </w:r>
      <w:r>
        <w:rPr>
          <w:rtl w:val="true"/>
        </w:rPr>
        <w:t xml:space="preserve">. </w:t>
      </w:r>
      <w:r>
        <w:rPr>
          <w:rtl w:val="true"/>
        </w:rPr>
        <w:t>استدلال</w:t>
      </w:r>
      <w:r>
        <w:rPr>
          <w:rtl w:val="true"/>
        </w:rPr>
        <w:softHyphen/>
      </w:r>
      <w:r>
        <w:rPr>
          <w:rtl w:val="true"/>
        </w:rPr>
        <w:t>های ضد دیدگاه ماتریالیسم حذف</w:t>
      </w:r>
      <w:r>
        <w:rPr>
          <w:rtl w:val="true"/>
        </w:rPr>
        <w:softHyphen/>
      </w:r>
      <w:r>
        <w:rPr>
          <w:rtl w:val="true"/>
        </w:rPr>
        <w:t>گرا</w:t>
      </w:r>
      <w:bookmarkEnd w:id="106"/>
    </w:p>
    <w:p>
      <w:pPr>
        <w:pStyle w:val="BookText"/>
        <w:rPr/>
      </w:pPr>
      <w:r>
        <w:rPr>
          <w:rFonts w:ascii="IRNazanin" w:hAnsi="IRNazanin" w:eastAsia="IRNazanin"/>
          <w:color w:val="111111"/>
          <w:sz w:val="28"/>
          <w:sz w:val="28"/>
          <w:szCs w:val="28"/>
          <w:rtl w:val="true"/>
          <w:lang w:bidi="fa-IR"/>
        </w:rPr>
        <w:t>قوام کلی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ضد این دیدگاه بر انکار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ارائۀ تحویلی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چارچوب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عامه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Folk Psychology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چارچوب علم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درواقع این دیدگاه معتقد است که نگاه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عامه به کُنش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درونی ما نگاهی عمیقاً بَدَوی و سردرگم است و برای این یاور سه دلیل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ذاتی، کلی و طولانی‌مدت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عامه در تبیین اموری مانند خواب، یادگیری، تفاوت در هوش افراد، حافظه و حتی چیستی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نقصانی که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استقرا بر پایۀ لزوم درس‌گرفتن از تاریخ دربارۀ گمراه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بودن نظریه‌های قدیمی در خصوص حرکت، ساختار آسمان، سرشت آتش و بسیاری امور دیگر و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که به‌زودی همین اتفاق برای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عام نیز رخ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 مطلب که ارائۀ تبیینی برای امور مطرح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در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عامه از سوی دیدگاه‌های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 و کارکردگرایی بسیار سخت و دور از ذهن است؛ ولی حذف این امور توسط پیشرفت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احتمال بیشتری دارد</w:t>
      </w:r>
      <w:r>
        <w:rPr>
          <w:rFonts w:eastAsia="IRNazanin" w:cs="IRNazanin"/>
          <w:color w:val="111111"/>
          <w:sz w:val="28"/>
          <w:szCs w:val="28"/>
          <w:rtl w:val="true"/>
          <w:lang w:bidi="fa-IR"/>
        </w:rPr>
        <w:t>.</w:t>
      </w:r>
    </w:p>
    <w:p>
      <w:pPr>
        <w:pStyle w:val="Heading3"/>
        <w:numPr>
          <w:ilvl w:val="2"/>
          <w:numId w:val="1"/>
        </w:numPr>
        <w:rPr/>
      </w:pPr>
      <w:bookmarkStart w:id="107" w:name="__RefHeading___Toc4693029_581953129"/>
      <w:bookmarkStart w:id="108" w:name="_Toc39"/>
      <w:bookmarkEnd w:id="107"/>
      <w:r>
        <w:rPr>
          <w:rtl w:val="true"/>
        </w:rPr>
        <w:t>ج</w:t>
      </w:r>
      <w:r>
        <w:rPr>
          <w:rtl w:val="true"/>
        </w:rPr>
        <w:t xml:space="preserve">) </w:t>
      </w:r>
      <w:r>
        <w:rPr>
          <w:rtl w:val="true"/>
        </w:rPr>
        <w:t>بیان اصول کلی به‌کاررفته در استدلال</w:t>
      </w:r>
      <w:r>
        <w:rPr>
          <w:rtl w:val="true"/>
        </w:rPr>
        <w:softHyphen/>
      </w:r>
      <w:r>
        <w:rPr>
          <w:rtl w:val="true"/>
        </w:rPr>
        <w:t>ها</w:t>
      </w:r>
      <w:bookmarkEnd w:id="108"/>
    </w:p>
    <w:p>
      <w:pPr>
        <w:pStyle w:val="BookText"/>
        <w:rPr/>
      </w:pPr>
      <w:r>
        <w:rPr>
          <w:rFonts w:ascii="IRNazanin" w:hAnsi="IRNazanin" w:eastAsia="IRNazanin"/>
          <w:color w:val="111111"/>
          <w:sz w:val="28"/>
          <w:sz w:val="28"/>
          <w:szCs w:val="28"/>
          <w:rtl w:val="true"/>
          <w:lang w:bidi="fa-IR"/>
        </w:rPr>
        <w:t>پس از بیان اجمالی دلایل اقامه‌شده در رد دیدگاه‌های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انگارانه و در تأیید نظریه‌های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کوشیم با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بندی این دلایل، اصول کلی حاکم بر آنها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ذکرشده را به چهار دستۀ اصلی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صرفاً نظریه بوده و برای اثبات مدعای خود دلیل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رفتارگرایی و کارکردگرایی از این زمره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پایۀ استقرا یا امید به پیشرفت دانش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در آینده هستند؛ مانند دلایل ذکرشده برای ماتریالیسم حذف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فلسفی که دربردارندۀ این موارد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دیدگاه مادی‌انگارانه، ناتوانی تبیین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و تاریخ تکاملی</w:t>
      </w:r>
      <w:r>
        <w:rPr>
          <w:rFonts w:eastAsia="IRNazanin" w:cs="IRNazanin"/>
          <w:color w:val="111111"/>
          <w:sz w:val="28"/>
          <w:szCs w:val="28"/>
          <w:rtl w:val="true"/>
          <w:lang w:bidi="fa-IR"/>
        </w:rPr>
        <w:t xml:space="preserve">. </w:t>
      </w:r>
      <w:bookmarkStart w:id="109" w:name="pg5834_41827"/>
    </w:p>
    <w:p>
      <w:pPr>
        <w:pStyle w:val="BookText"/>
        <w:rPr/>
      </w:pPr>
      <w:bookmarkEnd w:id="10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مبتنی بر تفسیر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تجربی انجام‌شده از سوی عصب‌شناسان که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وابستگی عصبی، تأثیر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آگاهی و برهان مغز دوپاره از این دسته هستند</w:t>
      </w:r>
      <w:r>
        <w:rPr>
          <w:rFonts w:eastAsia="IRNazanin" w:cs="IRNazanin"/>
          <w:color w:val="111111"/>
          <w:sz w:val="28"/>
          <w:szCs w:val="28"/>
          <w:rtl w:val="true"/>
          <w:lang w:bidi="fa-IR"/>
        </w:rPr>
        <w:t>.</w:t>
      </w:r>
    </w:p>
    <w:p>
      <w:pPr>
        <w:pStyle w:val="Heading3"/>
        <w:numPr>
          <w:ilvl w:val="2"/>
          <w:numId w:val="1"/>
        </w:numPr>
        <w:rPr/>
      </w:pPr>
      <w:bookmarkStart w:id="110" w:name="__RefHeading___Toc4693031_581953129"/>
      <w:bookmarkStart w:id="111" w:name="_Toc40"/>
      <w:bookmarkEnd w:id="110"/>
      <w:r>
        <w:rPr>
          <w:rtl w:val="true"/>
        </w:rPr>
        <w:t>د</w:t>
      </w:r>
      <w:r>
        <w:rPr>
          <w:rtl w:val="true"/>
        </w:rPr>
        <w:t xml:space="preserve">) </w:t>
      </w:r>
      <w:r>
        <w:rPr>
          <w:rtl w:val="true"/>
        </w:rPr>
        <w:t>تحلیل استدلال</w:t>
      </w:r>
      <w:r>
        <w:rPr>
          <w:rtl w:val="true"/>
        </w:rPr>
        <w:softHyphen/>
      </w:r>
      <w:r>
        <w:rPr>
          <w:rtl w:val="true"/>
        </w:rPr>
        <w:t>ها</w:t>
      </w:r>
      <w:bookmarkEnd w:id="111"/>
    </w:p>
    <w:p>
      <w:pPr>
        <w:pStyle w:val="Heading4"/>
        <w:numPr>
          <w:ilvl w:val="3"/>
          <w:numId w:val="1"/>
        </w:numPr>
        <w:rPr/>
      </w:pPr>
      <w:bookmarkStart w:id="112" w:name="__RefHeading___Toc4693033_581953129"/>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روشن است که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رفتارگرایی و کارکردگرایی به این دلیل که برای اثبات ادعای خود دلیلی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همچنین ایراد‌های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آنها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چرچلند،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به بررسی ندارند؛ ازاین‌رو آنها را به‌سادگی از لیست خود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استدلال‌هایی‌اند که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آینده دانش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شناسی می‌تواند مسائل مطرح‌شده دربارۀ حالت‌های ذهنی را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 حذف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دو ایراد کلی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بر پایۀ استقرا هستند و برهانی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دوم اینکه مسائل را به پیشرفت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آینده دانش بشر واگذار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دسته که بگذریم، دو دستۀ بعدی به بررسی دقیق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نیاز دارند که آنها را مفصل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بررسی خواهیم کرد</w:t>
      </w:r>
      <w:r>
        <w:rPr>
          <w:rFonts w:eastAsia="IRNazanin" w:cs="IRNazanin"/>
          <w:color w:val="111111"/>
          <w:sz w:val="28"/>
          <w:szCs w:val="28"/>
          <w:rtl w:val="true"/>
          <w:lang w:bidi="fa-IR"/>
        </w:rPr>
        <w:t>.</w:t>
      </w:r>
    </w:p>
    <w:p>
      <w:pPr>
        <w:pStyle w:val="Heading4"/>
        <w:numPr>
          <w:ilvl w:val="3"/>
          <w:numId w:val="1"/>
        </w:numPr>
        <w:rPr/>
      </w:pPr>
      <w:bookmarkStart w:id="114" w:name="__RefHeading___Toc4693035_581953129"/>
      <w:bookmarkStart w:id="115" w:name="_Toc42"/>
      <w:bookmarkEnd w:id="114"/>
      <w:r>
        <w:rPr/>
        <w:t>1</w:t>
      </w:r>
      <w:r>
        <w:rPr>
          <w:rtl w:val="true"/>
        </w:rPr>
        <w:t xml:space="preserve">. </w:t>
      </w:r>
      <w:r>
        <w:rPr>
          <w:rtl w:val="true"/>
        </w:rPr>
        <w:t>تحلیل برهان سادگی دیدگاه مادی</w:t>
      </w:r>
      <w:r>
        <w:rPr>
          <w:rtl w:val="true"/>
        </w:rPr>
        <w:softHyphen/>
      </w:r>
      <w:r>
        <w:rPr>
          <w:rtl w:val="true"/>
        </w:rPr>
        <w:t>انگارانه</w:t>
      </w:r>
      <w:bookmarkEnd w:id="115"/>
    </w:p>
    <w:p>
      <w:pPr>
        <w:pStyle w:val="BookText"/>
        <w:rPr/>
      </w:pPr>
      <w:r>
        <w:rPr>
          <w:rFonts w:ascii="IRNazanin" w:hAnsi="IRNazanin" w:eastAsia="IRNazanin"/>
          <w:color w:val="111111"/>
          <w:sz w:val="28"/>
          <w:sz w:val="28"/>
          <w:szCs w:val="28"/>
          <w:rtl w:val="true"/>
          <w:lang w:bidi="fa-IR"/>
        </w:rPr>
        <w:t>نکتۀ کلیدی این برهان به اصل اوکام برمی‌گردد و کافی است صحت‌وسقم آن اصل در بوتۀ نقد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اوکام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شرایط یکسان دو فرضیه رقیب وجود داشته باشد، اقتضای روش علمی این است که آن فرضیه را که ساده‌تر است،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بورچرت،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اصل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 اصل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شرایط باید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مطمئن بود که شرایط در دو نظریۀ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و فیزیکالیسم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ممکن است شخص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مزیت حاصل از اعتقاد به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به‌قدری زیاد است که شرط شرایط یکسان را نقض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ایراد که بگذریم،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به انتقاد دوم که مهم‌تر و کاری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بپردازیم</w:t>
      </w:r>
      <w:r>
        <w:rPr>
          <w:rFonts w:eastAsia="IRNazanin" w:cs="IRNazanin"/>
          <w:color w:val="111111"/>
          <w:sz w:val="28"/>
          <w:szCs w:val="28"/>
          <w:rtl w:val="true"/>
          <w:lang w:bidi="fa-IR"/>
        </w:rPr>
        <w:t xml:space="preserve">. </w:t>
      </w:r>
      <w:bookmarkStart w:id="116" w:name="pg5834_41829"/>
    </w:p>
    <w:p>
      <w:pPr>
        <w:pStyle w:val="BookText"/>
        <w:rPr/>
      </w:pPr>
      <w:bookmarkEnd w:id="116"/>
      <w:r>
        <w:rPr>
          <w:rFonts w:ascii="IRNazanin" w:hAnsi="IRNazanin" w:eastAsia="IRNazanin"/>
          <w:color w:val="111111"/>
          <w:sz w:val="28"/>
          <w:sz w:val="28"/>
          <w:szCs w:val="28"/>
          <w:rtl w:val="true"/>
          <w:lang w:bidi="fa-IR"/>
        </w:rPr>
        <w:t>روش بیان‌شده از سوی اوکام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وی نیز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علمی است و نتیجه‌گیری اصل اوکام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درستی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در بر می‌گیرد که با شیوۀ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شدۀ علمی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ولی یک فیلسوف ممکن است اصل یادشده را زیر سؤال ببرد؛ درواقع اینکه یک فرضیه از فرضیۀ رقیب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دلیل برای صحت فرضیۀ گفته‌شده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اقتضای روش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فرضیۀ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بپذیریم، ولی حجتی فلسفی بر درستی فرضیۀ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دربارۀ یک مسئله دو برهان فلسفی اقامه شود که یکی مقدمات کمتری داشته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برهان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انتخاب کرد؛ ولی این قاعده الزاماً دربارۀ دو فرضیۀ رقیب نیز صادق نیست؛ چراکه هیچ‌کدام از دو فرضیۀ رقیب دلیل قاطعی بر ادعای خود ندارد؛ اگر داشتند دیگر فرضیه نبودند، بلکه برهان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ازاین‌رو لزوماً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حکم کرد که فرضیۀ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معتبرتر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اقتضای روش علمی‌این است که فرضیۀ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را برگزینیم، ولی این انتخاب صرفاً به‌مقتضای روش علمی انجام شده و حجیت فلسفی ندارد</w:t>
      </w:r>
      <w:r>
        <w:rPr>
          <w:rFonts w:eastAsia="IRNazanin" w:cs="IRNazanin"/>
          <w:color w:val="111111"/>
          <w:sz w:val="28"/>
          <w:szCs w:val="28"/>
          <w:rtl w:val="true"/>
          <w:lang w:bidi="fa-IR"/>
        </w:rPr>
        <w:t>.</w:t>
      </w:r>
    </w:p>
    <w:p>
      <w:pPr>
        <w:pStyle w:val="Heading4"/>
        <w:numPr>
          <w:ilvl w:val="3"/>
          <w:numId w:val="1"/>
        </w:numPr>
        <w:rPr/>
      </w:pPr>
      <w:bookmarkStart w:id="117" w:name="__RefHeading___Toc4693037_581953129"/>
      <w:bookmarkStart w:id="118" w:name="_Toc43"/>
      <w:bookmarkEnd w:id="117"/>
      <w:r>
        <w:rPr/>
        <w:t>2</w:t>
      </w:r>
      <w:r>
        <w:rPr>
          <w:rtl w:val="true"/>
        </w:rPr>
        <w:t xml:space="preserve">. </w:t>
      </w:r>
      <w:r>
        <w:rPr>
          <w:rtl w:val="true"/>
        </w:rPr>
        <w:t>تحلیل برهان ناتوانی تبیین دیدگاه دوگانه‌انگاری</w:t>
      </w:r>
      <w:bookmarkEnd w:id="11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استدلال واقعاً استدلالی قوی است و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دکارتی و همچنین تجرد نفس سینوی را زیر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درواقع اصل اشکال وارد است و پاسخی که فیلسوفان مشا به این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مغز و فرایند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مغزی نقش اعدادی دارند، دربارۀ حالت‌های ذهنی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ازقبیل دیدن و شنیدن ممکن است قابل‌قبول باشد؛ ولی امروزه یافته‌های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پرده از یک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تنیدگی شدید میان حالت‌های ذهنی و فعالیت‌های مغز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با صرف مُعِدخواندن دستگاه عصبی قابل تبیین نیست؛ مگر اینکه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بدهیم که استدلال و استنتاج منطقی را نیز در بر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در معنای رایج آن، به معنای آماده‌ساختن و فراهم‌کردن مقدمات امری است؛ برای نمونه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بگوییم که شکل خاص گوش، استخوان حلزونی گوش، اعصابی که توسط جسم کرتی داخل گوش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مغز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رسند و حتی قسمت مربوط به </w:t>
      </w:r>
      <w:bookmarkStart w:id="119" w:name="pg5834_41831"/>
    </w:p>
    <w:p>
      <w:pPr>
        <w:pStyle w:val="BookText"/>
        <w:rPr/>
      </w:pPr>
      <w:bookmarkEnd w:id="119"/>
      <w:r>
        <w:rPr>
          <w:rFonts w:ascii="IRNazanin" w:hAnsi="IRNazanin" w:eastAsia="IRNazanin"/>
          <w:color w:val="111111"/>
          <w:sz w:val="28"/>
          <w:sz w:val="28"/>
          <w:szCs w:val="28"/>
          <w:rtl w:val="true"/>
          <w:lang w:bidi="fa-IR"/>
        </w:rPr>
        <w:t>شنوایی در مغز، همه و همه، صرفاً نقش اِعدادی برای نفسِ مجرد دارند که ادراک شنوایی را به انجام برساند و اختلال یا آسیب به هر یک از این علل مُعِدِه که ذکر شد، جب اختلال در امر شنوایی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شنوایی کاملاً طبیعی است که آسیب واردشده به قسمت مربوطه در مغز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سان آسیب به استخوان حلزونی یا جسم کرتی بدانیم و بگوییم مغز نیز مانند استخوان حلزونی برای حصول شنوایی، نقش اعدادی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اموری مانند ادراک کلیات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اِعدادی‌بودن مغز در این امور متوسل شد؛ زیرا امر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ادراک کلیات توسط مغز انجام می‌شود یا به وسیلۀ ذهن 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توسط مغز انجام شود که اصل اشکال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به مادیت ادراک قائل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اگر بگوییم به وسیلۀ مغز انجام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نباید آسیب به بخش خاصی از مغز در توانایی فرد برای ادراک کلیات یا استدلال منطقی خلل ایجاد کند</w:t>
      </w:r>
      <w:r>
        <w:rPr>
          <w:rFonts w:eastAsia="IRNazanin" w:cs="IRNazanin"/>
          <w:color w:val="111111"/>
          <w:sz w:val="28"/>
          <w:szCs w:val="28"/>
          <w:rtl w:val="true"/>
          <w:lang w:bidi="fa-IR"/>
        </w:rPr>
        <w:t>.</w:t>
      </w:r>
    </w:p>
    <w:p>
      <w:pPr>
        <w:pStyle w:val="Heading4"/>
        <w:numPr>
          <w:ilvl w:val="3"/>
          <w:numId w:val="1"/>
        </w:numPr>
        <w:rPr/>
      </w:pPr>
      <w:bookmarkStart w:id="120" w:name="__RefHeading___Toc4693039_581953129"/>
      <w:bookmarkStart w:id="121" w:name="_Toc44"/>
      <w:bookmarkEnd w:id="120"/>
      <w:r>
        <w:rPr/>
        <w:t>3</w:t>
      </w:r>
      <w:r>
        <w:rPr>
          <w:rtl w:val="true"/>
        </w:rPr>
        <w:t xml:space="preserve">. </w:t>
      </w:r>
      <w:r>
        <w:rPr>
          <w:rtl w:val="true"/>
        </w:rPr>
        <w:t>دفع یک اشکال در خصوص اِعداد</w:t>
      </w:r>
      <w:bookmarkEnd w:id="121"/>
    </w:p>
    <w:p>
      <w:pPr>
        <w:pStyle w:val="BookText"/>
        <w:rPr/>
      </w:pPr>
      <w:r>
        <w:rPr>
          <w:rFonts w:ascii="IRNazanin" w:hAnsi="IRNazanin" w:eastAsia="IRNazanin"/>
          <w:color w:val="111111"/>
          <w:sz w:val="28"/>
          <w:sz w:val="28"/>
          <w:szCs w:val="28"/>
          <w:rtl w:val="true"/>
          <w:lang w:bidi="fa-IR"/>
        </w:rPr>
        <w:t>شاید اشکال شود که چرا حالت‌های عصبی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برای ادراک کلیات نقش مُعِد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اشکال‌کننده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ادراکات نمی‌تواند شیء فیزیکی یا مادی باشد؛ چراکه کلیات یا معدومات در عالم مادی وجود ندارند؛ اما این احتمال منتفی نیست که ادراک این دست امور که خارج از عالم ماده وجود دارند؛ به وسیلۀ حالت‌های عصبی اِعداد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معنای اعداد این است که اگر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 باشد، برای اینکه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می‌دهد، اما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ادراک کلیات کار ذهن یا نفسِ مجرد است، اما شرط لازم برای اینکه نفس این کار را انجام دهد، وقوع رویدادهای مغزی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این اشکال لازم است بیان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کنیم که اگر معنای ذکرشده در اشکال پیشین برای اِعداد را بپذیریم، لازم است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درواقع از این مطلب نتیجه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امر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فعل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ادراک </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امری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این نوع نیاز منافاتی با مبانی صدرالمتألهین ندارد، اما به‌طورکامل با نگاه سینوی به تجرد نفس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دیگری که به اشکال مطرح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داد، این است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تفسیر از اِعداد، یعنی امر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عمل غیر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ولی این لزوم مادیت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پذیرفتنی نیست؛ بیان مطلب اینکه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امری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تحقق عمل غیرمادی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فاعل غیرمادی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باشد، تا حدی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نشود، ولی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گزینۀ ما برای پذیرش این مسئلۀ واحد شخصی ذومرات‌بودن نفس است که مرتبۀ مادی آن وابسته به مُعِد مادی است و مراتب دیگرش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شود که اشکال به دیدگاه سینوی تنها دربارۀ نفس و بدن وارد است؛ ولی دیدگاه صدرایی دربارۀ رابطۀ نفس و بدن با دیدگاه سینایی و دکارتی به‌طورکامل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حکمت متعالیه نفس برخاسته و زادۀ بدن جسمانی است و این ماده و جسم است که در سیر حرکت جوهری اشتدادی قوی شده و صورت نفس نباتی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ازاین‌رو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میان دیدگاه صدرالمتألهین در خصوص جسمانیۀ‌الحدوث بودن نفس انسانی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خاصه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پی‌پدیدارگرایی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و شباهت زیادی یافت، چیزی که با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نوین در خصوص وابستگی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ازحد حالت‌های ذهنی به حالت‌های مغزی نیز سازگار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این ایراد به روایت‌های قوی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وارد است، ولی دوگانه‌انگاری خاصی و دیدگاه دربارۀ رابطۀ نفس و بدن با این استدلال زیر سؤال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افقیِ دیدگاه صدرالمتألهین و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خاصه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جایی است که نفس از منظر صدرالمتألهین در حرکت جوهری اشتدادی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به‌قدری تکامل نیافته که بتواند بدون نیاز به ماده به حیات خود ادامه دهد و در بقا نیازمند ماده است؛ ولی از این مرحله که بگذریم صدرالمتألهین راه خود را جدا کرده و در مراحل پایانی حرکت جوهری اشتدادی نفس، به‌گونه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شدید به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انگاری جوهری قائل است و نفس در این </w:t>
      </w:r>
      <w:bookmarkStart w:id="122" w:name="pg5834_41835"/>
    </w:p>
    <w:p>
      <w:pPr>
        <w:pStyle w:val="BookText"/>
        <w:rPr/>
      </w:pPr>
      <w:bookmarkEnd w:id="122"/>
      <w:r>
        <w:rPr>
          <w:rFonts w:ascii="IRNazanin" w:hAnsi="IRNazanin" w:eastAsia="IRNazanin"/>
          <w:color w:val="111111"/>
          <w:sz w:val="28"/>
          <w:sz w:val="28"/>
          <w:szCs w:val="28"/>
          <w:rtl w:val="true"/>
          <w:lang w:bidi="fa-IR"/>
        </w:rPr>
        <w:t>مراحل جوهری مستقل است، نه عرضی از عوارض جسم که بازهم این مسئله برای صدرالمتألهین اشکالی ایجاد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زیرا وی تنها معتقد است که اوحدی از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مرتبۀ تجرد عقلی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مدعی شود که افرادی که در آزمایش‌های تجربی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شرکت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جزء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لحاظ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درواقع این تعداد به لحاظ آماری ناچیز هستند که احتمال شرکت آنها نزدیک به صفر است؛ البته در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موارد مشاهده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اگر هم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باز هم با نظریه‌های صدرالمتألهین سازگاری داشت؛ ولی دیگر استدلال‌ها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انگارانه در این مورد قابل اعتنا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اما ازآنجاکه چنین مواردی مشاهده نشده،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استدلال ایرادی وارد کرد</w:t>
      </w:r>
      <w:r>
        <w:rPr>
          <w:rFonts w:eastAsia="IRNazanin" w:cs="IRNazanin"/>
          <w:color w:val="111111"/>
          <w:sz w:val="28"/>
          <w:szCs w:val="28"/>
          <w:rtl w:val="true"/>
          <w:lang w:bidi="fa-IR"/>
        </w:rPr>
        <w:t>.</w:t>
      </w:r>
    </w:p>
    <w:p>
      <w:pPr>
        <w:pStyle w:val="Heading4"/>
        <w:numPr>
          <w:ilvl w:val="3"/>
          <w:numId w:val="1"/>
        </w:numPr>
        <w:rPr/>
      </w:pPr>
      <w:bookmarkStart w:id="123" w:name="__RefHeading___Toc4693041_581953129"/>
      <w:bookmarkStart w:id="124" w:name="_Toc45"/>
      <w:bookmarkEnd w:id="123"/>
      <w:r>
        <w:rPr/>
        <w:t>4</w:t>
      </w:r>
      <w:r>
        <w:rPr>
          <w:rtl w:val="true"/>
        </w:rPr>
        <w:t xml:space="preserve">. </w:t>
      </w:r>
      <w:r>
        <w:rPr>
          <w:rtl w:val="true"/>
        </w:rPr>
        <w:t>تحلیل برهان تاریخ تکاملی و برهان وابستگی عصبی</w:t>
      </w:r>
      <w:bookmarkEnd w:id="124"/>
    </w:p>
    <w:p>
      <w:pPr>
        <w:pStyle w:val="BookText"/>
        <w:rPr/>
      </w:pPr>
      <w:r>
        <w:rPr>
          <w:rFonts w:ascii="IRNazanin" w:hAnsi="IRNazanin" w:eastAsia="IRNazanin"/>
          <w:color w:val="111111"/>
          <w:sz w:val="28"/>
          <w:sz w:val="28"/>
          <w:szCs w:val="28"/>
          <w:rtl w:val="true"/>
          <w:lang w:bidi="fa-IR"/>
        </w:rPr>
        <w:t>برهان تاریخ تکاملی بر پایۀ نظریۀ فرگشت است و اینکه در طول تاریخ 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به‌فرض درستی فرضیۀ فرگشت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مرحله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مراحل سیر تکاملی، امری غیرمادی یا مجرد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تنها چیزی که وجود دارد، مغزی است که طی میلیون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سال پیچیده و پیچیده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است؛ بنابراین امری که این‌گونه تکامل یافته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دربردارندۀ جزئی غیرمادی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 که از دیدگاه صدرالمتألهین ارائه شد، با نظریۀ فرگشت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مادۀ بدن پس از اینکه به اندازۀ کافی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مادۀ بدن را متناظر با مادۀ مغز و پیچیدگی لازم را رشد کافی مغز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داراشدن صورتی به نام نفس نباتی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از آن نیز با افزایش پیچیدگی مادۀ بدن، انسان نفس حیوانی را دارا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همین صورت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تا دارای نفس انسانی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دیدگاه صدرایی با تکامل مادۀ جسمانی کاملاً سازگار است و همان‌گونه که بیان شد، تنها تفاوت و نقطۀ افتراق نظریۀ صدرایی با دیدگاه‌های مادی‌انگارانه زمانی است که نفس در مراحل پایانی تکامل خود قرار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صدرالمتألهین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دیدگاه 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مادۀ جسمانی و مجرد عقلانی </w:t>
      </w:r>
      <w:bookmarkStart w:id="125" w:name="pg5834_41837"/>
    </w:p>
    <w:p>
      <w:pPr>
        <w:pStyle w:val="BookText"/>
        <w:rPr/>
      </w:pPr>
      <w:bookmarkEnd w:id="125"/>
      <w:r>
        <w:rPr>
          <w:rFonts w:ascii="IRNazanin" w:hAnsi="IRNazanin" w:eastAsia="IRNazanin"/>
          <w:color w:val="111111"/>
          <w:sz w:val="28"/>
          <w:sz w:val="28"/>
          <w:szCs w:val="28"/>
          <w:rtl w:val="true"/>
          <w:lang w:bidi="fa-IR"/>
        </w:rPr>
        <w:t>شکاف وجود ندارد و ماده در سیر حرکت جوهری اشتدادی به امر مجرد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ادعای صدرالمتألهین باید در جای خودش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قبول درستی ادعای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تاریخ تکاملی به دیدگاه صدرایی دربارۀ تجرد نفس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دربارۀ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خاصه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ولی ایراد به دیدگاه‌های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مراحل پایانی سیر اشتدادی نفس انسانی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بیانی که در پاسخ به اشکال ناتوانی تبیین و مبحث اِعداد و همچنین پاسخ به اشکال تاریخ تکاملی 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صورت مشابه به برهان وابستگی عصبی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اشکال این است که اگر ذهن غیرمادی است، نباید آسیب به بخش خاصی از مغز، در توانایی استدلال منطقی و درک کلیات فرد اختلال ایجاد کند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بیان شد، پاسخ مشهور که مغز و فرایندهای مغزی مُعِد هستند، کافی نیست؛ ولی دیدگاه صدرالمتألهین بازهم با این نظر سازگار است؛ چراکه نفس در همۀ مراتبش مجرد نیست و مراتبی از نفس هست که قائم به جسم هستند</w:t>
      </w:r>
      <w:r>
        <w:rPr>
          <w:rFonts w:eastAsia="IRNazanin" w:cs="IRNazanin"/>
          <w:color w:val="111111"/>
          <w:sz w:val="28"/>
          <w:szCs w:val="28"/>
          <w:rtl w:val="true"/>
          <w:lang w:bidi="fa-IR"/>
        </w:rPr>
        <w:t>.</w:t>
      </w:r>
    </w:p>
    <w:p>
      <w:pPr>
        <w:pStyle w:val="Heading4"/>
        <w:numPr>
          <w:ilvl w:val="3"/>
          <w:numId w:val="1"/>
        </w:numPr>
        <w:rPr/>
      </w:pPr>
      <w:bookmarkStart w:id="126" w:name="__RefHeading___Toc4693043_581953129"/>
      <w:bookmarkStart w:id="127" w:name="_Toc46"/>
      <w:bookmarkEnd w:id="126"/>
      <w:r>
        <w:rPr/>
        <w:t>4</w:t>
      </w:r>
      <w:r>
        <w:rPr>
          <w:rtl w:val="true"/>
        </w:rPr>
        <w:t xml:space="preserve">. </w:t>
      </w:r>
      <w:r>
        <w:rPr>
          <w:rtl w:val="true"/>
        </w:rPr>
        <w:t>تحلیل برهان تأثیر روان</w:t>
      </w:r>
      <w:r>
        <w:rPr>
          <w:rtl w:val="true"/>
        </w:rPr>
        <w:softHyphen/>
      </w:r>
      <w:r>
        <w:rPr>
          <w:rtl w:val="true"/>
        </w:rPr>
        <w:t>گردان</w:t>
      </w:r>
      <w:r>
        <w:rPr>
          <w:rtl w:val="true"/>
        </w:rPr>
        <w:softHyphen/>
      </w:r>
      <w:r>
        <w:rPr>
          <w:rtl w:val="true"/>
        </w:rPr>
        <w:t>ها بر آگاهی و برهان مغز دوپاره</w:t>
      </w:r>
      <w:bookmarkEnd w:id="127"/>
    </w:p>
    <w:p>
      <w:pPr>
        <w:pStyle w:val="BookText"/>
        <w:rPr/>
      </w:pPr>
      <w:r>
        <w:rPr>
          <w:rFonts w:ascii="IRNazanin" w:hAnsi="IRNazanin" w:eastAsia="IRNazanin"/>
          <w:color w:val="111111"/>
          <w:sz w:val="28"/>
          <w:sz w:val="28"/>
          <w:szCs w:val="28"/>
          <w:rtl w:val="true"/>
          <w:lang w:bidi="fa-IR"/>
        </w:rPr>
        <w:t>درواقع این دو برهان جزو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برهان‌هایی هستند که ضد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به‌جرئت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اگر دیدگاه صدرالمتألهین دربارۀ طیف‌واربودن حقیقت نفس انسانی نبود که یک سر آن مادۀ جسمانی است و با گذر از مراحل تجرد نباتی، حیوانی و انسانی به مرحلۀ تجرد عقلی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این ایرادها پاسخ درخور توجهی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تأثیرات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حالت‌های ذهنی فرد آن‌قدر شدید و واضح است که جای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انکار ندارد و ناچاریم بپذیریم که حالت‌های ذهنی شدیداً از حالت‌های مغزی تأثیر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اختلال در بخشی از مغز همچون شنوایی فرد تأثیر بگذارد، خیلی دور از ذهن نیست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مُعِددانستن سازوکار شنوایی برای حصول شنوایی نزد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اختلال در قسمتی از مغز به وسیلۀ داروی روان‌گران یا هر </w:t>
      </w:r>
    </w:p>
    <w:p>
      <w:pPr>
        <w:pStyle w:val="BookText"/>
        <w:rPr/>
      </w:pPr>
      <w:r>
        <w:rPr>
          <w:rFonts w:ascii="IRNazanin" w:hAnsi="IRNazanin" w:eastAsia="IRNazanin"/>
          <w:color w:val="111111"/>
          <w:sz w:val="28"/>
          <w:sz w:val="28"/>
          <w:szCs w:val="28"/>
          <w:rtl w:val="true"/>
          <w:lang w:bidi="fa-IR"/>
        </w:rPr>
        <w:t>عامل دیگری روی قدرت عاقله و توانایی محاسبه یا معیارهای اخلاقی فرد تأثیر بگذارد،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به‌سادگی از این مسئله گذشت و با صرف مُعِدخواندن فرایند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مغزی مسئله قابل حل‌وفصل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ناگزیرم در پیش بگیریم که با حکمت صدرایی نیز سازگاری داشته باشد، پذیرش وابستگی حالت‌های ذهنی به حالت‌های مغزی و تأثیر شدید حالت‌های مغزی روی حالت‌های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فراتر از اعداد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برهان مغز دوپاره دو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صِرف نتیجه‌گیریِ وجود دو ذهنِ آگاه و مستقل در شخصِ دارای مغز دوپاره، از نتایج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تجربی باید بررسی دقیق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اینکه به فرض درستی نتایج و اینکه ادعای گفته‌شده از نتایج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قابل استنباط باشد، بازهم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حکمت صدرایی و همچنین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خاصه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ایرادی به مسئله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برای شاهد و برای رفع استبعاد ذهن، افراد ناقص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الخلقه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مثال زد که در یک بدن دو سر دارند و همه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دارای دو ذهن مجزا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افرادی که به‌صورت مادرزادی دو سر دارند، حتی راهکار فقهی نیز وارد شده است که با یک آزمایش، بررسی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آیا ترکیب به‌دست‌آمده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روی یک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است یا دو فرد؟ روشن است اگر دو نفر باشد، احکام مربوط به ارث و دیه و موارد مشابه متفاوت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جوامع روایی معتبر، این راهکار از سوی امام علی علیه السلام ارائه شده است که کسی که دو سر دارد، اگر در حالت خواب، با بیدارکردن یکی، دیگری نیز بیدار شود، شخصِ واحدی قلمداد خواهند شد؛ ولی اگر بیدارکردن یکی تأثیری در دیگری نداشته و موجب بیداری وی نشود، دو نفر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295</w:t>
      </w:r>
      <w:r>
        <w:rPr>
          <w:rFonts w:eastAsia="IRNazanin" w:cs="IRNazanin"/>
          <w:color w:val="111111"/>
          <w:sz w:val="28"/>
          <w:szCs w:val="28"/>
          <w:rtl w:val="true"/>
          <w:lang w:bidi="fa-IR"/>
        </w:rPr>
        <w:t>).</w:t>
      </w:r>
      <w:r>
        <w:rPr>
          <w:rStyle w:val="FootnoteAnchor"/>
          <w:rtl w:val="true"/>
        </w:rPr>
        <w:footnoteReference w:id="20"/>
      </w:r>
      <w:bookmarkStart w:id="128" w:name="pg5834_41841"/>
    </w:p>
    <w:p>
      <w:pPr>
        <w:pStyle w:val="BookText"/>
        <w:rPr/>
      </w:pPr>
      <w:bookmarkEnd w:id="128"/>
      <w:r>
        <w:rPr>
          <w:rFonts w:ascii="IRNazanin" w:hAnsi="IRNazanin" w:eastAsia="IRNazanin"/>
          <w:color w:val="111111"/>
          <w:sz w:val="28"/>
          <w:sz w:val="28"/>
          <w:szCs w:val="28"/>
          <w:rtl w:val="true"/>
          <w:lang w:bidi="fa-IR"/>
        </w:rPr>
        <w:t xml:space="preserve">در فقه امامیه نیز عنوان مزبور بحث شده است و فقیهان در ذیل کتاب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الإرث به بیان احکام اشخاصی که آنها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ذُوالرَأسَین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دو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پرداخته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امام خمینی رحمة الله در این زمینه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شخصی روی یک سینه، دو سر یا روی یک کفل، دو بدن باشد، راه استعلام آن این است که یکی از آنها بیدار شود؛ پس اگر او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نفر می‌باشند و سهم دو نفر را ارث می‌برند و اگر هر دو بیدار شدند، ارث یک نفر را ارث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خمینی،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بحث ما بحثی فقهی نیست،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آزمایش گفته‌شده را مؤیدی برای ادعای نظریۀ مغز دوپاره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آزمایش فقهی ملاک تعدد بیدارنشدن یک سر هنگام بیدارکردن سر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آن ملاک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دو آگاهی مستقل‌ازهم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فلسفۀ ذهن امروزی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استبعاد از این جهت است که اگر هر دو با هم بیدار نشدند،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نتیجه گرفت که دو شخص هستند و دو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ازاین‌رو دو مرکز آگاهی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حالتی که هر دو، با هم بیدار شوند،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چنین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گرفت</w:t>
      </w:r>
      <w:r>
        <w:rPr>
          <w:rFonts w:eastAsia="IRNazanin" w:cs="IRNazanin"/>
          <w:color w:val="111111"/>
          <w:sz w:val="28"/>
          <w:szCs w:val="28"/>
          <w:rtl w:val="true"/>
          <w:lang w:bidi="fa-IR"/>
        </w:rPr>
        <w:t>.</w:t>
      </w:r>
    </w:p>
    <w:p>
      <w:pPr>
        <w:pStyle w:val="Heading4"/>
        <w:numPr>
          <w:ilvl w:val="3"/>
          <w:numId w:val="1"/>
        </w:numPr>
        <w:rPr/>
      </w:pPr>
      <w:bookmarkStart w:id="129" w:name="__RefHeading___Toc4693045_581953129"/>
      <w:bookmarkStart w:id="130" w:name="_Toc47"/>
      <w:bookmarkEnd w:id="129"/>
      <w:r>
        <w:rPr/>
        <w:t>5</w:t>
      </w:r>
      <w:r>
        <w:rPr>
          <w:rtl w:val="true"/>
        </w:rPr>
        <w:t xml:space="preserve">. </w:t>
      </w:r>
      <w:r>
        <w:rPr>
          <w:rtl w:val="true"/>
        </w:rPr>
        <w:t>تحلیل دلیل مغز دوپاره</w:t>
      </w:r>
      <w:bookmarkEnd w:id="130"/>
    </w:p>
    <w:p>
      <w:pPr>
        <w:pStyle w:val="BookText"/>
        <w:rPr/>
      </w:pPr>
      <w:r>
        <w:rPr>
          <w:rFonts w:ascii="IRNazanin" w:hAnsi="IRNazanin" w:eastAsia="IRNazanin"/>
          <w:color w:val="111111"/>
          <w:sz w:val="28"/>
          <w:sz w:val="28"/>
          <w:szCs w:val="28"/>
          <w:rtl w:val="true"/>
          <w:lang w:bidi="fa-IR"/>
        </w:rPr>
        <w:t>چنان‌که گذشت، دلیل یادشده را از دو ناحیه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درستی نتیجه‌گیری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دارای دو مرکز مستقل آگاهی است که از هم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صورت‌گرفته و دوم اینکه به فرض درستی برایند ذکرشده، اصل دلیل چقدر</w:t>
      </w:r>
    </w:p>
    <w:p>
      <w:pPr>
        <w:pStyle w:val="BookText"/>
        <w:rPr/>
      </w:pPr>
      <w:r>
        <w:rPr>
          <w:rFonts w:ascii="IRNazanin" w:hAnsi="IRNazanin" w:eastAsia="IRNazanin"/>
          <w:color w:val="111111"/>
          <w:sz w:val="28"/>
          <w:sz w:val="28"/>
          <w:szCs w:val="28"/>
          <w:rtl w:val="true"/>
          <w:lang w:bidi="fa-IR"/>
        </w:rPr>
        <w:t>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را زیر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که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درست است، بی‌گمان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انگاری جوهری و دیدگاه </w:t>
      </w:r>
      <w:bookmarkStart w:id="131" w:name="pg5834_41843"/>
    </w:p>
    <w:p>
      <w:pPr>
        <w:pStyle w:val="BookText"/>
        <w:rPr/>
      </w:pPr>
      <w:bookmarkEnd w:id="131"/>
      <w:r>
        <w:rPr>
          <w:rFonts w:ascii="IRNazanin" w:hAnsi="IRNazanin" w:eastAsia="IRNazanin"/>
          <w:color w:val="111111"/>
          <w:sz w:val="28"/>
          <w:sz w:val="28"/>
          <w:szCs w:val="28"/>
          <w:rtl w:val="true"/>
          <w:lang w:bidi="fa-IR"/>
        </w:rPr>
        <w:t>سینوی به تجرد نفس انسانی با مشکل جدی روبه‌رو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مغز دوپاره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دیدگاه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پدیدارگرایی و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خاصه‌ای و همچنین دیدگاه صدرایی مبنی بر واحد مشکِکِ ذومراتب‌بودن نفس انسانی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درستی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یادشده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نتیجه گرفته شود شخص دارای دو مرکز آگاهی و دو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انجام‌شده، باید گفت که یک تفاوت اساسی دربارۀ مثال انسان دوسر با انسان دارای مغز دوپاره وجود دارد، آن هم این است که دربارۀ انسان دوسر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به‌سادگی زمانی که هر دو سر، مشغول خواب و استراحت هستند، تنها یکی را بیدار کرد، یا از تک‌تک سرها پرسش کرد و با پرسش‌های گوناگون متوجه شویم که مرکب به‌دست‌آمده از دوسر و یک بدن، یک فرد است یا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دربارۀ فردی که مغز دوپاره دارد، به دلیل اینکه فرد یک دهان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راست‌دست توسط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کرۀ چپ مغز کنترل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سؤال و جواب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همین دلیل است که پژوهشگران از روش پرسش همراه با انتخاب شیء که هر دو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کره را جداگانه به کار می‌گیرد،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دیگر این است که پس از مدتی برای درمان صرع، شیوۀ درمانی دارویی استفاده شد و دیگر عمل جراحی قطع جسم پینه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مغز منسوخ شده است؛ ازاین‌رو در زمان کنونی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آزمایش دوباره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امری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مؤیدی برای درستی نتیجه‌گیری گفته‌شده از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انجام‌شده، ذکر کرد این استدلال است که اگر فرد دارای یک ذهن غیرمادی واحد باشد که با تقسیم مغز به دوپاره، تقسیم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لازم است اطلاعات توسط ذهن مذکور که واحد است، میان دو نیم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کره مغز ردوبدل شود</w:t>
      </w:r>
      <w:r>
        <w:rPr>
          <w:rFonts w:eastAsia="IRNazanin" w:cs="IRNazanin"/>
          <w:color w:val="111111"/>
          <w:sz w:val="28"/>
          <w:szCs w:val="28"/>
          <w:rtl w:val="true"/>
          <w:lang w:bidi="fa-IR"/>
        </w:rPr>
        <w:t>.</w:t>
      </w:r>
    </w:p>
    <w:p>
      <w:pPr>
        <w:pStyle w:val="Heading3"/>
        <w:numPr>
          <w:ilvl w:val="2"/>
          <w:numId w:val="1"/>
        </w:numPr>
        <w:rPr/>
      </w:pPr>
      <w:bookmarkStart w:id="132" w:name="__RefHeading___Toc4693047_581953129"/>
      <w:bookmarkStart w:id="133" w:name="_Toc48"/>
      <w:bookmarkEnd w:id="132"/>
      <w:r>
        <w:rPr>
          <w:rtl w:val="true"/>
        </w:rPr>
        <w:t>نتیجه‌گیری</w:t>
      </w:r>
      <w:bookmarkEnd w:id="133"/>
    </w:p>
    <w:p>
      <w:pPr>
        <w:pStyle w:val="BookText"/>
        <w:rPr/>
      </w:pPr>
      <w:r>
        <w:rPr>
          <w:rFonts w:ascii="IRNazanin" w:hAnsi="IRNazanin" w:eastAsia="IRNazanin"/>
          <w:color w:val="111111"/>
          <w:sz w:val="28"/>
          <w:sz w:val="28"/>
          <w:szCs w:val="28"/>
          <w:rtl w:val="true"/>
          <w:lang w:bidi="fa-IR"/>
        </w:rPr>
        <w:t>با بررسی دلایل ضد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و دلایل ضد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موارد زیر مشخص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دیدگاه رفتارگرایی و کارکردگرایی برای ادعای خود دلیلی اقامه نکرده‌اند؛ درواقع دیدگاه رفتارگرایی نیازی به بررسی ندارد؛ چراکه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w:t>
      </w:r>
    </w:p>
    <w:p>
      <w:pPr>
        <w:pStyle w:val="BookText"/>
        <w:rPr/>
      </w:pPr>
      <w:r>
        <w:rPr>
          <w:rFonts w:ascii="IRNazanin" w:hAnsi="IRNazanin" w:eastAsia="IRNazanin"/>
          <w:color w:val="111111"/>
          <w:sz w:val="28"/>
          <w:sz w:val="28"/>
          <w:szCs w:val="28"/>
          <w:rtl w:val="true"/>
          <w:lang w:bidi="fa-IR"/>
        </w:rPr>
        <w:t>منسوخ شده و طرفداری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کارکردگرایی نیز صرفاً یک نظریه است و از تبیین سازوکار دقیق ارتباط ذهن و بدن عاجز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مطرح‌شده برای ماتریالیسم حذف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نظریۀ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همانی به این دلیل که بر پایۀ استقرا و امید هستند، به پیشرفت دانش عصب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در آینده، جای درنگ زیادی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 سادگی دیدگاه مادی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انگارانه بر پایۀ پذیرفتن اصل اوکام و روش علمی هستند و چنان‌که ذکر شد، پشتوانۀ برهانی و فلسفی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ناتوانی تبیین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تاریخ تکاملی، وابستگی عصبی، تأثیر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آگاهی و برهان مغز دوپاره، نشان داده شد که با نظر صدرالمتألهین مبنی بر جسمانیۀ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الحدوث و روحانیۀ</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البقا بودن نفس انسانی و دیدگاه دوگانه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انگاری خاصه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سازگاری دارند؛ ولی با دیدگاه‌های شدید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دوگانه‌انگاری و همچنین نظر ابن‌سینا دربارۀ تجرد نفس انسانی سازگار نیستند</w:t>
      </w:r>
      <w:r>
        <w:rPr>
          <w:rFonts w:eastAsia="IRNazanin" w:cs="IRNazanin"/>
          <w:color w:val="111111"/>
          <w:sz w:val="28"/>
          <w:szCs w:val="28"/>
          <w:rtl w:val="true"/>
          <w:lang w:bidi="fa-IR"/>
        </w:rPr>
        <w:t xml:space="preserve">. </w:t>
      </w:r>
      <w:bookmarkStart w:id="134" w:name="pg5834_41847"/>
    </w:p>
    <w:p>
      <w:pPr>
        <w:pStyle w:val="Heading3"/>
        <w:numPr>
          <w:ilvl w:val="2"/>
          <w:numId w:val="1"/>
        </w:numPr>
        <w:rPr/>
      </w:pPr>
      <w:bookmarkStart w:id="135" w:name="__RefHeading___Toc4693049_581953129"/>
      <w:bookmarkStart w:id="136" w:name="_Toc49"/>
      <w:bookmarkEnd w:id="134"/>
      <w:bookmarkEnd w:id="135"/>
      <w:r>
        <w:rPr>
          <w:rtl w:val="true"/>
        </w:rPr>
        <w:t>منابع و مآخذ</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مسلین، کیت؛ درآمدی به فلسفۀ ذهن؛ ترجمۀ مهدی ذاکری؛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دکارت، رنه؛ گفتار در روش درست راه‌بردن عقل؛ ترجمۀ محمدعلی فروغی؛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دامون،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تامسون، گرت؛ فلسفۀ دکارت؛ ترجمۀ علی بهروزی؛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انتشارات شبکۀ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 کالین؛ ساخت و کار ذهن؛ ترجمۀ محمدرضا باطنی؛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معاصر،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احمد بن محمد؛ مجمع الفائدة والبرهان فی شرح ارشاد الاذهان؛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آل البیت علیهم السلام ،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سیدروح‌اللّه؛ تحریر الوسیلة،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مطبوعات دار العلم،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احمد بن یوسف؛ جامع المدارک فی شرح مختصر النافع؛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اسماعیلیان،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سیدصادق؛ فقه الصادق علیه السلام ؛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مدرسۀ امام صادق علیه السلام ،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سبزواری، سیدعبدالاعلی؛ مهذّب الاحکام؛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آیت‌الله،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زین‌الدین بن علی؛ مسالک الافهام الی تنقیح شرائع الاسلام؛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تهذیب الاحکام؛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الکافی؛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Churchland, Paul M; Matter and Consciousness A Contemporary Introduction to the Philosophy of Mind; Revised Edition, Massachusetts: Mas.: MIT Press,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Searle, John R; The Mystery of Consciousness; Edition7, New York: The New York Review of Books,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Cockburn, David; An Introduction to the Philosophy of Mind; Great Britain: Anotony Rowe Ltd,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Russel, Bertrand; A History of Western Philosophy And Its Connection with Political and Social Circumstances from Earlier Time to Present Day; Fourth printing, New York: Simon and Schuster, 1945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Borchert, Donald M; Encyclopedia of Philosophy; edition2, Mason: Tomson Gale,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Blackmore, Susan; Consciousness; A Very Short Introduction, New York: Oxford University Press,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Trevarthern, Colwyn B; Brain Circuits and Functions of the Mind: Essays in Honor of Roger Wolcott Sperry; United Kingdom: Cambridge University Press, 1990</w:t>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5834_41853"/>
      <w:bookmarkStart w:id="138" w:name="pg5834_41853"/>
      <w:bookmarkEnd w:id="138"/>
    </w:p>
    <w:p>
      <w:pPr>
        <w:pStyle w:val="Heading2"/>
        <w:numPr>
          <w:ilvl w:val="1"/>
          <w:numId w:val="1"/>
        </w:numPr>
        <w:rPr/>
      </w:pPr>
      <w:bookmarkStart w:id="139" w:name="pg5834_41853"/>
      <w:bookmarkStart w:id="140" w:name="__RefHeading___Toc4693051_581953129"/>
      <w:bookmarkStart w:id="141" w:name="_Toc50"/>
      <w:bookmarkEnd w:id="139"/>
      <w:bookmarkEnd w:id="140"/>
      <w:r>
        <w:rPr>
          <w:rtl w:val="true"/>
        </w:rPr>
        <w:t xml:space="preserve">ذات‌گرایی جدید در فلسفۀ علم معاصر </w:t>
      </w:r>
      <w:r>
        <w:rPr>
          <w:rtl w:val="true"/>
        </w:rPr>
        <w:t>(</w:t>
      </w:r>
      <w:r>
        <w:rPr>
          <w:rtl w:val="true"/>
        </w:rPr>
        <w:t>جریانی مهم، اما ناآشنا در ایران معاصر</w:t>
      </w:r>
      <w:r>
        <w:rPr>
          <w:rtl w:val="true"/>
        </w:rPr>
        <w:t xml:space="preserve">) / </w:t>
      </w:r>
      <w:r>
        <w:rPr>
          <w:rtl w:val="true"/>
        </w:rPr>
        <w:t>ابراهیم دادجو</w:t>
      </w:r>
      <w:bookmarkEnd w:id="141"/>
    </w:p>
    <w:p>
      <w:pPr>
        <w:pStyle w:val="Heading3"/>
        <w:numPr>
          <w:ilvl w:val="2"/>
          <w:numId w:val="1"/>
        </w:numPr>
        <w:rPr/>
      </w:pPr>
      <w:bookmarkStart w:id="142" w:name="__RefHeading___Toc4693053_581953129"/>
      <w:bookmarkStart w:id="143" w:name="_Toc51"/>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ابراهیم دادجو</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24/11/96</w:t>
      </w:r>
    </w:p>
    <w:p>
      <w:pPr>
        <w:pStyle w:val="Heading3"/>
        <w:numPr>
          <w:ilvl w:val="2"/>
          <w:numId w:val="1"/>
        </w:numPr>
        <w:rPr/>
      </w:pPr>
      <w:bookmarkStart w:id="144" w:name="__RefHeading___Toc4693055_581953129"/>
      <w:bookmarkStart w:id="145" w:name="_Toc52"/>
      <w:bookmarkEnd w:id="144"/>
      <w:r>
        <w:rPr>
          <w:rtl w:val="true"/>
        </w:rPr>
        <w:t>چکیده</w:t>
      </w:r>
      <w:bookmarkEnd w:id="145"/>
    </w:p>
    <w:p>
      <w:pPr>
        <w:pStyle w:val="BookText"/>
        <w:rPr/>
      </w:pPr>
      <w:r>
        <w:rPr>
          <w:rFonts w:ascii="IRNazanin" w:hAnsi="IRNazanin" w:eastAsia="IRNazanin"/>
          <w:color w:val="111111"/>
          <w:sz w:val="28"/>
          <w:sz w:val="28"/>
          <w:szCs w:val="28"/>
          <w:rtl w:val="true"/>
          <w:lang w:bidi="fa-IR"/>
        </w:rPr>
        <w:t xml:space="preserve">در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علم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قابل تشخیص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ضد ذات‌گرایی؛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ذات‌گرایی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نخست از زمان بارکلی و هیوم تا پیش از چهل سال اخیر یکه‌تاز میدان بود و در چهل سال اخیر از طریق پوزیتیویست‌ها و فلسفه‌های تحلیلی و زبانی منشأ فراموشی جریان دوم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دوم در چهل سال اخیر به ظهور رسیده و در تقابل با مابعدالطبیعۀ هیومی به‌شدت به گسترش و تقویت مابعدالطبیعۀ ذات‌گرایانه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ایران معاصر از جریان دوم تا حدود زیادی 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پیش رو کوشیده‌ایم نشان دهیم ما و فلسفۀ اسلامی ما که در بنیاد خود، ذات‌گرا و واقع‌گراست، به‌شدت به جریان دوم نیازمندیم و با أخذ و نقادی جریان دوم به‌خوبی می‌توانیم در عرصه‌های گوناگون علم و عمل، در عرصه‌هایی همچون فلسفۀ اسلامی، فلسفۀ علم، علوم انسانی اسلامی، علم دینی، الگوی اسلامی ایرانی پیشرفت، اسناد بالادستی علمی و مدیریتی و در عرصه‌های دیگری، در مسیرهایی واقع‌بینانه قرار گیریم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علم، ذات‌گرایی، ضد ذات‌گرایی، ذات‌گرایی جدید، بازسازی واقع‌گرایی</w:t>
      </w:r>
      <w:r>
        <w:rPr>
          <w:rFonts w:eastAsia="IRNazanin" w:cs="IRNazanin"/>
          <w:color w:val="111111"/>
          <w:sz w:val="28"/>
          <w:szCs w:val="28"/>
          <w:rtl w:val="true"/>
          <w:lang w:bidi="fa-IR"/>
        </w:rPr>
        <w:t xml:space="preserve">. </w:t>
      </w:r>
      <w:bookmarkStart w:id="146" w:name="pg5834_41855"/>
    </w:p>
    <w:p>
      <w:pPr>
        <w:pStyle w:val="Heading3"/>
        <w:numPr>
          <w:ilvl w:val="2"/>
          <w:numId w:val="1"/>
        </w:numPr>
        <w:rPr/>
      </w:pPr>
      <w:bookmarkStart w:id="147" w:name="__RefHeading___Toc4693057_581953129"/>
      <w:bookmarkStart w:id="148" w:name="_Toc53"/>
      <w:bookmarkEnd w:id="146"/>
      <w:bookmarkEnd w:id="147"/>
      <w:r>
        <w:rPr>
          <w:rtl w:val="true"/>
        </w:rPr>
        <w:t>مقدمه</w:t>
      </w:r>
      <w:bookmarkEnd w:id="148"/>
    </w:p>
    <w:p>
      <w:pPr>
        <w:pStyle w:val="BookText"/>
        <w:rPr/>
      </w:pPr>
      <w:r>
        <w:rPr>
          <w:rFonts w:ascii="IRNazanin" w:hAnsi="IRNazanin" w:eastAsia="IRNazanin"/>
          <w:color w:val="111111"/>
          <w:sz w:val="28"/>
          <w:sz w:val="28"/>
          <w:szCs w:val="28"/>
          <w:rtl w:val="true"/>
          <w:lang w:bidi="fa-IR"/>
        </w:rPr>
        <w:t xml:space="preserve">ایران، از حدود چهل سال پیش، عمدتاً از طریق ترجمه‌ها شاهد انتقال و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بوده است که تحت تأثیر هیوم، کانت، فلسفه‌های تحلیلی و زبانی، نسبت به فلسفه علوم طبیعی، و بعدها نسبت به فلسفه علوم‌انسانی، در عرصه هستی‌شناشی، دارای دیدگاه‌های غیرذات‌گرایانه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 – essentialistic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به‌تبع آن، در عرصه معرفت‌شناسی و روش‌شناسی، دارای دیدگاه‌هایی غیرواقع‌گرایانه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 realistic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ابزارگرایی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instrumentalism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انسجام‌گرایی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coherensism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کل‌گرایی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holism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عمل‌گرایی؛ نیز تجربه‌گرایی منطقی پوزیتیویست‌ها، ابطال‌گرایی پوپر، ساختارگرایی مبتنی بر برنامه‌های پژوهشی لاکاتوش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Lakatos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ساختارگرایی مبتنی بر پارادایم‌گرایی کوهن، و هرج و مرج‌گرایی فایرابند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Feyerabend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جمله فلسفه‌علم‌های غیرذات‌گرایانه و غیرواقع‌گرایانه‌اند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 مبتنی بر عقلانیت انتقادی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دیدگاه‌های اندیشمندانی هم‌چون پوپر، آدورنو، هورکهایمر و هابرماس؛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 مبتنی بر عقلانیت به‌مثابه پیروی از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دیدگاه‌های اندیشمندانی همچون وینچ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مک‌اینتایر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Macintyre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علم مبتنی بر تبارشناسی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دیدگاه‌های اندیشمندانی همچون فوکو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Foucault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همین‌طور در عرصه فلسفه علوم انسانی می‌توان دیدگاه‌های غیرذات‌گرایانه و غیرواقع‌گرایانه زیر را از یکدیگر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عقل‌گرایی انتقادی امثال ویول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Wheewell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پوپر، تأویل‌گرایی امثال شلایرماخر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Schleiermacher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دیلتای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Dilthey</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پدیدارگرایی امثال هوسرل و هایدگر، تفسیرگرایی امثال وبر، انتقادگرایی امثال اهالی مکتب فرانکفورت و مدافع کنونی آن هابرماس، مردم‌نگارانه‌گرایی امثال گارفینگل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Garfinkel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مندلوویتز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Mendlovitz</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واقع‌گرایی اجتماعی امثال هاره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Keat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باسکار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Bhaskar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تأویل‌گرایی مدرن امثال گادامر و ریکور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Ricoeur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ساختارگرایی امثال اشترواس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Strauss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این‌گونه فلسفه علم‌ها عمدتاً در درون قراردادگرایی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Conventionalism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 می‌گیرند و جریان غیرذات‌گرایی و غیرواقع‌گرایی را به‌وجود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قراردادگرایان، در هستی‌شناسی خود، به ذات و خواص ذاتی باور ندارند و در معرفت‌شناسی خود، به جای اینکه معرفت را مطابق با واقع بدانند به معرفت بنا به تعریف و بنا به قرارداد باور دارند؛ به جای اینکه به تحلیل‌های واقع‌گرایانه روی بیاورند به تحلیل‌های زبانی و منطقی و تحلیل‌های بنا به تعریف و بنا به قرارداد روی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پوپر را که در ابطال‌گرایی خود گزاره‌های پایه را قراردادی می‌داند باید از جمله آنان به شمار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دوم، فصل چهارم، فقره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این‌گونه فلسفه علم‌ها عمدتاً در درون قراردادگرایی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Conventionalism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 می‌گیرند و جریان غیرذات‌گرایی و غیرواقع‌گرایی را به‌وجود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قراردادگرایان، در هستی‌شناسی خود، به ذات و خواص ذاتی باور ندارند، و در معرفت‌شناسی خود، به جای اینکه معرفت را مطابق با واقع بدانند به معرفت بنا به تعریف و بنا به قرارداد باور دارند، به جای اینکه به تحلیل‌های واقع‌گرایانه روی بیاورند به تحلیل‌های زبانی و منطقی و تحلیل‌های بنا به تعریف و بنا به قرارداد روی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پوپر را که در ابطال‌گرایی خود گزاره‌های پایه را قراردادی می‌داند باید از جمله آنان به شمار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دوم، فصل چهارم، فقره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اندیشمندانی که در ایران‌زمین نیم‌نگاهی به فلسفۀ علم دارند، با این تصور که آنچه هست، همین فلسفۀ علم‌هاست، درحوزۀ علم، علم و دین، علم دینی و حوزه‌های متأثر از آنها بیشتر تأثیرپذیرفته از همین فلسفه‌های غیر ذات‌گرایانه و غیرواقع‌گرایانه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آن می‌تواند بسیار زیانبار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 اخیر، حاصل آن سیطرۀ دیدگاه‌هایی نسبی‌گرایانه بر مجامع علمی و آکادمیک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نوشتار حاضر نشان خواهیم داد که در عرصۀ فلسفۀ علم جریان دیگری وجود دارد که ذات‌گرایانه و واقع‌گرایانه است</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ضدّذات‌گرایان، که از قرن هفدهم جریان ضدّذات‌گرایی را به‌وجود آورده‌اند، در تقابل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تحت تأثیر اشتباهات فاحشی که دارند به مخالفت با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ذات‌گرایی جدید نیز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دارد، منتهی از آنجا که شناسائی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را که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 است در توان آدمی نمی‌داند شناسائی آدمی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می‌داند که بخش اندکی از خواص بی‌شمار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هرچند دیرهنگام است، اما می‌تواند بر سیطرۀ</w:t>
      </w:r>
      <w:bookmarkStart w:id="149" w:name="pg5834_41858"/>
    </w:p>
    <w:p>
      <w:pPr>
        <w:pStyle w:val="BookText"/>
        <w:rPr/>
      </w:pPr>
      <w:bookmarkEnd w:id="149"/>
      <w:r>
        <w:rPr>
          <w:rFonts w:ascii="IRNazanin" w:hAnsi="IRNazanin" w:eastAsia="IRNazanin"/>
          <w:color w:val="111111"/>
          <w:sz w:val="28"/>
          <w:sz w:val="28"/>
          <w:szCs w:val="28"/>
          <w:rtl w:val="true"/>
          <w:lang w:bidi="fa-IR"/>
        </w:rPr>
        <w:t>نسبی غیر ذات‌گرایی و غیر واقع‌گرایی بر مجامع علمی ما غلبه یافته و این مجامع را به سمت و سویی واقع‌گرایانه‌تر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عبارت از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پیش رو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آشنایی با این جریان باشد</w:t>
      </w:r>
      <w:r>
        <w:rPr>
          <w:rFonts w:eastAsia="IRNazanin" w:cs="IRNazanin"/>
          <w:color w:val="111111"/>
          <w:sz w:val="28"/>
          <w:szCs w:val="28"/>
          <w:rtl w:val="true"/>
          <w:lang w:bidi="fa-IR"/>
        </w:rPr>
        <w:t>.</w:t>
      </w:r>
    </w:p>
    <w:p>
      <w:pPr>
        <w:pStyle w:val="Heading3"/>
        <w:numPr>
          <w:ilvl w:val="2"/>
          <w:numId w:val="1"/>
        </w:numPr>
        <w:rPr/>
      </w:pPr>
      <w:bookmarkStart w:id="150" w:name="__RefHeading___Toc4693059_581953129"/>
      <w:bookmarkStart w:id="151" w:name="_Toc54"/>
      <w:bookmarkEnd w:id="150"/>
      <w:r>
        <w:rPr>
          <w:rtl w:val="true"/>
        </w:rPr>
        <w:t>الف</w:t>
      </w:r>
      <w:r>
        <w:rPr>
          <w:rtl w:val="true"/>
        </w:rPr>
        <w:t xml:space="preserve">) </w:t>
      </w:r>
      <w:r>
        <w:rPr>
          <w:rtl w:val="true"/>
        </w:rPr>
        <w:t>ذات‌گرایی قدیم</w:t>
      </w:r>
      <w:bookmarkEnd w:id="15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Essentialism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تاریخی به درازای تاریخ تفکر بشری دارد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با وجود این، ذات‌گرایی در یونان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به‌ویژه در فلسفۀ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ساختاری نظام‌مند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در هستی‌شناسی خود، موجودات را به 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اعراض تقسیم کرد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Aristotle, 1995, 1030b, pp.12-13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عالم ماده، نفس و عقل جزو ذوات و عوارض نه‌گانه جزو اعراض‌اند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هرچند ذات را نه موجودی جدا، بلکه موجود در افراد و اشخاص می‌دانست، ذات را همۀ حقیقت آنها به شمار می‌آورد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این‌گونه ذوات در عالم خارج وجود دارند و به نوع نگاه ما انسان‌ها وابسته نیستند؛ زیرا اگر وجود نمی‌داشتند، نه می‌توانستیم آنها را از یکدیگر بازشناسیم و نه می‌توانستیم دربارۀ آنها بیندیشیم یا سخن بگوییم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1006b, pp.25-26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ارسطو، در معرفت‌شناسی خود، شناخت این‌گونه ذوات را به جنس و فصل آنها می‌دانست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103b, p.16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ازاین‌رو بر این باور بود که اگر بتوانیم جنس و فصل یک چیز را بشناسیم، به شناخت ذات آن چیز دست می‌یابیم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101b, p.36, 102a, 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مسئله این است که برای نمونه ابن‌سینا شناخت فصل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ازاین‌رو شناخت ذات اشیا را بسیار دشوار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ارسطو هرچند افراد و اشخاص را موجود می‌داند و به موجودبودن کلیات قائل نیست، شناخت ذات افراد و اشخاص را به جنس و فصل آنها که اموری کلی‌اند، متوقف می‌داند و از این طریق، از سویی به وجود خارجی افراد و اشخاص و از سوی دیگر به وجود کلی جنس و فصل آنها و از این راه به وجود کلی ذات آنها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اشیا دارای کدامین وجود واقعی‌اند؟ آیا دارای وجودی دوگانه، وجودی شخصی و وجودی کلی‌اند؟ یا اینکه وجودی واحد دارند؟ و اگر دارای وجودی واحدند، کدام چیزها آنها را وجودی واحد می‌سازند؟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ذات‌گرایی ارسطو در فلسفۀ اسلامی جهان اسلام حفظ شد و فیلسوفان مسلمانی چون </w:t>
      </w:r>
      <w:bookmarkStart w:id="152" w:name="pg5834_41860"/>
    </w:p>
    <w:p>
      <w:pPr>
        <w:pStyle w:val="BookText"/>
        <w:rPr/>
      </w:pPr>
      <w:bookmarkEnd w:id="152"/>
      <w:r>
        <w:rPr>
          <w:rFonts w:ascii="IRNazanin" w:hAnsi="IRNazanin" w:eastAsia="IRNazanin"/>
          <w:color w:val="111111"/>
          <w:sz w:val="28"/>
          <w:sz w:val="28"/>
          <w:szCs w:val="28"/>
          <w:rtl w:val="true"/>
          <w:lang w:bidi="fa-IR"/>
        </w:rPr>
        <w:t>ابن‌سینا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با تفکیک میان وجود و ماهیت، توانستند لحاظ وجودی ذات و خواص ذاتی را از نظر ماهوی ذات و خواص ذاتی جدا سازند و با حفظ وجود ذات و خواص ذاتی شیء، بیان کلی و ماهوی آنها را به جنس و فصل امری مفهومی و در سطح تعریف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دورۀ قرون وسطی درگیری میان قائلان به وجود واقعی کلیات، قائلان به وجود ذهنی کلیات و قائلان به وجود لفظی کلیات، برخاسته از همین پرسش‌ها بود و از سدۀ هفده به بعد، تحت تأثیر اسم‌گرایان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Nominalists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سویی سوق یافت که کلیات و ذوات را چیزی جز لفظ و اسم ندانستند و از این راه، زمینۀ بحث از ضد ذات‌گرایی فراهم شد</w:t>
      </w:r>
      <w:r>
        <w:rPr>
          <w:rFonts w:eastAsia="IRNazanin" w:cs="IRNazanin"/>
          <w:color w:val="111111"/>
          <w:sz w:val="28"/>
          <w:szCs w:val="28"/>
          <w:rtl w:val="true"/>
          <w:lang w:bidi="fa-IR"/>
        </w:rPr>
        <w:t>.</w:t>
      </w:r>
    </w:p>
    <w:p>
      <w:pPr>
        <w:pStyle w:val="Heading3"/>
        <w:numPr>
          <w:ilvl w:val="2"/>
          <w:numId w:val="1"/>
        </w:numPr>
        <w:rPr/>
      </w:pPr>
      <w:bookmarkStart w:id="153" w:name="__RefHeading___Toc4693061_581953129"/>
      <w:bookmarkStart w:id="154" w:name="_Toc55"/>
      <w:bookmarkEnd w:id="153"/>
      <w:r>
        <w:rPr>
          <w:rtl w:val="true"/>
        </w:rPr>
        <w:t>ب</w:t>
      </w:r>
      <w:r>
        <w:rPr>
          <w:rtl w:val="true"/>
        </w:rPr>
        <w:t xml:space="preserve">) </w:t>
      </w:r>
      <w:r>
        <w:rPr>
          <w:rtl w:val="true"/>
        </w:rPr>
        <w:t>ضد ذات‌گرایی</w:t>
      </w:r>
      <w:bookmarkEnd w:id="154"/>
    </w:p>
    <w:p>
      <w:pPr>
        <w:pStyle w:val="BookText"/>
        <w:rPr/>
      </w:pPr>
      <w:r>
        <w:rPr>
          <w:rFonts w:ascii="IRNazanin" w:hAnsi="IRNazanin" w:eastAsia="IRNazanin"/>
          <w:color w:val="111111"/>
          <w:sz w:val="28"/>
          <w:sz w:val="28"/>
          <w:szCs w:val="28"/>
          <w:rtl w:val="true"/>
          <w:lang w:bidi="fa-IR"/>
        </w:rPr>
        <w:t xml:space="preserve">جان لاک ذات‌گراست و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اما بر خلاف ذات‌گرایی قدیم که جوهر مادی را امری تجربی، قابل شناخت و قابل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صدراییان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تغییر در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غیرصدراییان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بر این باور بود که جوهر ورای تجربه، اسطقسی ناشناخته و قابل تغییر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لاک در مقدمات خود بر اثبات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کیفیت‌های اولیه و کیفیت‌های ثانویه و میان تصورات بسیط و تصورات مرکب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کیفیت‌های اولیه، همچون درشتی، امتداد، شکل، حرکت و سکون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Locke, 1924, pp. 1, 2, 8, 9, 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جسم جدایی‌ناپذیرند و درواقع نقش‌هایشان در خود اجسام وجود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 1, 2, 8, 15, 173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کیفیت‌های ثانویه، همچون رنگ، صوت، مزه، بو، نور، گرمی، سفیدی و سردی توان‌هایی هستند که توسط کیفیت‌های نخستین اشیا احساسات مختلفی را در ما پدید می‌آورند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لاک کیفیت‌های ثانویه را توان‌هایی می‌داند که درواقع در خود اشیا هستند و این‌گونه نیست که آنها را کیفیت‌های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p.173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این‌گونه کیفیت‌ها تصورات بسیط را در ما ایجاد می‌کنند و آدمی می‌تواند با فراهم‌آوردن چندین تصور بسیط، به تصور مرکب دست یابد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pp.1, 2, 12, 214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تصورات مرکب به تصورات بسیط وابسته‌اند و ازآنجاکه نمی‌توانیم گمان کنیم که تصورات بسیط چگونه می‌توانند به خود قائم باشند، ناچاریم اسطقسی را مفروض گیریم که تصورات از آن سرچشمه می‌گیرند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pp.1 ,2 ,23, 390-391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لاک بدین صورت عالم ماده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اولیه و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خواص بالذات و بالعرض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بارکلی مخالفت خود با ذات‌گرایی لاک را بر محور نقد تفکیک لاک میان کیفیت‌های اولیه و ثانویه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کیفیت‌های ثانویه را توان‌هایی در چیزهایی می‌دانست که تصورات معینی را در ما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توان‌ها اموری عینی بودند و برای وجودداشتن به ذهن ما وابسته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بارکلی به‌گونه‌ای غیرمنصفانه مدعی می‌شود که لاک کیفیت‌های ثانویه چون رنگ، صوت و مزه را به دلیل نسبی‌بودن،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ازاین‌رو به این ادعا روی می‌آورد که کیفیت‌های اولیه، همچون شکل یا حرکت کند و تند که به موضع شخصی ادراک‌کننده وابسته‌اند، نیز به دلیل نسبی‌بودن باید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بارکلی،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کیفیت‌های اولیه و ثانویه را چیزی جز تصورات نمی‌داند و اگر تصورات باشند، امکان ندارد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نااندیشیده وجود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ادراک‌کردن را نیز دستیابی به تصور می‌داند و چون تصورات را نیز در موجودی ادراک‌کننده می‌داند، نیازی به این نمی‌بیند که تصورات از کیفیت‌های اولیه و ثانویه نیز به وجود جوهری مادی قائم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دیوید هیوم خطوط کلی انتقاد بارکلی از مفهوم جوهر مادی لاک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نسبت به محتوای مصطلحات لاک در محتوای مصطلحات خود به تغییرات اندکی دست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هیوم ادراکات را به انطباعات و تصورات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انطباعات داده‌های بی‌میانجی تجربه، همچون احساسات، انفعالات و عواطف‌اند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نسخه‌ها یا صورت‌های ذهنی خفیف انطباعات در اندیشیدن و استدلال‌اند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انطباعات و تصورات نیز یا بسیط یا مرکب‌اند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تصور بسیط با انطباع بسیط مطابق است و اغلب هر تصور مرکب با انطباع مرکب </w:t>
      </w:r>
    </w:p>
    <w:p>
      <w:pPr>
        <w:pStyle w:val="BookText"/>
        <w:rPr/>
      </w:pPr>
      <w:r>
        <w:rPr>
          <w:rFonts w:ascii="IRNazanin" w:hAnsi="IRNazanin" w:eastAsia="IRNazanin"/>
          <w:color w:val="111111"/>
          <w:sz w:val="28"/>
          <w:sz w:val="28"/>
          <w:szCs w:val="28"/>
          <w:rtl w:val="true"/>
          <w:lang w:bidi="fa-IR"/>
        </w:rPr>
        <w:t>مطابق است و هر تصور مرکب را می‌توان به تصور بسیط تجزیه کرد و قاعدۀ کلی بر این است که تصورات از انطباعات مطابق با خود سرچشمه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انطباعات را نیز می‌توان به انطباعات احساس و انطباعات بازتابی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انطباعات احساس در اصل از علل ناشناخته در نفس بر می‌خیزند، اما انطباعات بازتابی تا حدود زیادی از تصورات نشأت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 این فرض که از سردی انطباعی دارم که رنج را به بار می‌آورد، نسخه‌ای از این انطباع پس از آنکه انطباع متوقف شد، در ذهن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می‌تواند انطباع جدیدی همچون بیزاری را که انطباعی بازتابی است،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هرچند انطباعات بازتابی بر تصورات احساس مؤخرند، بر تصورات بازتابی مطابق با خویش مقدم‌اند و سرانجام از انطباعات احساس سرچشمه می‌گیرند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Hume, 1951, 1, 1, 1, pp.1-6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هیوم بحث از انطباعات و تصورات را مقدمۀ این پرسش قرار می‌دهد که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فرض اینکه چنین تصوری وجود داشته باشد، از کدام انطباع یا انطباعات مشتق می‌شود؟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از انطباعات احساس مشتق باشد؛ اگر دریافته چشم است، باید رنگ باشد؛ اگر دریافته گوش است، باید صوت باشد؛ اگر دریافته چشایی است، باید مزه باشد؛ ولی هیچ کس تصدیق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رنگ، صوت یا مزه است؛ ازاین‌رو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 هست، ناچار باید از انطباعات بازتابی مشتق باشد؛ ولی انطباعات بازتابی را می‌توان به انفعالات و عواطف تجزیه کرد و آنان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از این کلمه انفعالات یا عواطف را قصد نمی‌کنند؛ بنابراین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انطباعات احساس و نه از انطباعات بازتابی برخاسته است؛ از همین رو است که به نظر می‌رسد که تصور جوهر هرگز وجود ندارد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نیست مگر مجموعه‌ای از تصورات بسیط که متخیله یگانه‌شان گردانده و نامی ویژه به آنها داده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 1, 6, p.16</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کیفیت‌های اولیه و ثانویه‌ای که در خارج دارد، عالم ماده را دارای ذات و خواص ذاتی دانست و ازآنجاکه به علیت </w:t>
      </w:r>
    </w:p>
    <w:p>
      <w:pPr>
        <w:pStyle w:val="BookText"/>
        <w:rPr/>
      </w:pPr>
      <w:r>
        <w:rPr>
          <w:rFonts w:ascii="IRNazanin" w:hAnsi="IRNazanin" w:eastAsia="IRNazanin"/>
          <w:color w:val="111111"/>
          <w:sz w:val="28"/>
          <w:sz w:val="28"/>
          <w:szCs w:val="28"/>
          <w:rtl w:val="true"/>
          <w:lang w:bidi="fa-IR"/>
        </w:rPr>
        <w:t>باور داشت و ریشۀ علیت را در توانایی‌های ذات می‌داند، ذات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ماده را نه منفعل، بلکه فعال به شمار می‌آورد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Locke, 1924, pp.1, 2, 4, 5, 21, 312-313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مقابل، بارکلی با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کیفیت‌های اولیه و ثانویه به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و ازاین‌رو عالم ماده را عالمی بی‌خاصیت دانست و ازآنجاکه به علیت مادی باور نداشت و چیزهای محسوس را علت‌های فعال به شمار نمی‌آورد، به فعال‌نبودن عالم ماده، بلکه به منفعل‌بودن آن و همچنین به وجودنداشتن آن معتقد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بارکلی،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هیوم نیز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از انطباعات و نه از تصورات قابل کسب می‌دانست و ازاین‌رو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ماده و نه به خاصیت ذاتی داشتن آن باور داشت و ازآنجاکه او به علیت باور نداشت، بلکه رابطۀ علّی را امری برآمده از عادت قلمداد می‌کرد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Hume, 1951, pp.1, 3, 14, 165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باید به علیت مادی و فعال‌بودن آن نیز باور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ضد ذات‌گراییِ ضد ذات‌گرایان را دیدگاه‌های کانت عمیق‌تر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مدعی انقلاب کپرنیکی دیگری شد و در برابر این فرض مشهور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عبارت از مطابقت ذهن با عین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فرض انقلابی خود روی آورد که معرفت عبارت است از مطابقت عین با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با این کار، محور معرفت را به جای اینکه عین و واقع قرار دهد، ذهن قرار داد و بدین ترتیب زمینه‌ای فراهم ساخت که فلسفه‌های بعدی ذات و عین را به حاشیه رانده و به تحلیل‌های ذهنی و زبانی علاقه‌مند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آن در دو سدۀ اخیر، ظهور فلسفه‌های تحلیلی و فلسفه‌های زبانی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الکساندر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دیدگاه‌های ضد مابعدالطبیعی‌ای که داشتند، از فلسفه‌ها و فلسفۀ علم‌های ذات‌گرایانه مانع شده و به ترویج فلسفۀ علم‌های ضد ذات‌گرایانه یاری رساندند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الکساندر برد استاد دانشگاه بریستول انگلیس، متولد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 ازجمله بزرگ‌ترین مدافعان جریان ذات‌گرایی جدید 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فلسفه‌های تحلیلی بر دو عنصر نقادی مابعدالطبیعه و تأکید بر زبان تکیه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فلسفه‌های تحلیلی یا با فلسفه و مابعدالطبیعه سر عناد داشته‌اند یا به دیدۀ تردید در آنها </w:t>
      </w:r>
    </w:p>
    <w:p>
      <w:pPr>
        <w:pStyle w:val="BookText"/>
        <w:rPr/>
      </w:pPr>
      <w:r>
        <w:rPr>
          <w:rFonts w:ascii="IRNazanin" w:hAnsi="IRNazanin" w:eastAsia="IRNazanin"/>
          <w:color w:val="111111"/>
          <w:sz w:val="28"/>
          <w:sz w:val="28"/>
          <w:szCs w:val="28"/>
          <w:rtl w:val="true"/>
          <w:lang w:bidi="fa-IR"/>
        </w:rPr>
        <w:t>نگریسته و به جای آنها نسخه‌ای تحلیلی از فکر و زبان به دست داده و در فلسفی‌بودن و نگاه به مسائل فلسفی روش تحلیلی را به کار گرفته‌اند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فلسفه‌های تحلیلی با مابعدالطبیعه سر عناد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مابعدالطبیعه با هستی و احکام هستی سروکار دارد و ذات‌گرایی از مهم‌ترین عناصر مطرح شده در مابعدالطبیعه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پوزیتیوست‌ها در ردّ مابعدالطبیعه، بر اساس معیار معناداری، گزاره‌های معنادار را گزاره‌هایی دانستند که با تمسک به تجربه، اثبات‌پذیر یا تحقیق‌پذیر باشند و از این راه، گزاره‌های مابعدالطبیعی را قابل اثبات یا تحقق‌پذیر ندانستند و بی معنا قلمداد کردند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Carnap, 1956, p.206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امثال ویتگنشتاین، سرانجام، معنا را مولود کاربردهای زبانی می‌داند و زبان به جای اینکه توصیف واقع باشد، دارای کارکردهایی می‌شود که وجه مشترکی میان انسان‌ها ندارد و هر زبانی که برخاسته از شیوه‌های زندگی گوناگونی است، درنهایت میان آنها نوعی شباهت خانوادگی و بازهای زبانی در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پژوهش‌های فلسفی ویتگنشتاین که آغازکنندۀ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کتاب قهوه‌ای او که دربردارندۀ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زبانی است،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پژواکی از همان تقدم ذهن و زبان بر واقع‌اند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ضد ذات‌گرایی امثال عمل‌گرایی و انسجام‌گرایی در نظریۀ حقیقت و نظریۀ صدق آنها نمایان‌تر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عمل‌گرایی و انسجام‌گرایی دیدگاه‌هایی هستند که در معرفت‌شناسی معاصر بیشتر در بحث از صدق و معنا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نظریۀ مطابقت، گزاره‌ها را در صورتی معنادار می‌داند که در تطابق با واقع باشند، عمل‌گرایی معناداربودن گزاره‌ها را در ارزش عملی آنها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اسکفلر،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انسجام‌گرایی معناداربودن گزاره‌ها را در سازگاری و هماهنگی آنها با یکدیگر در یک دستگاه 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پولاک و کراز،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ویتگنشتاین در دگرگونی نظریۀ حقیقت و صدق تأثیر به‌سزایی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بحث از جایگاه زبان و روایت جدیدی که از آن به دست می‌دهد، تک‌معنایی را کنار زده و معنا را در دل بازهای مختلف زبانی متفاوت دانسته و تحلیل و فهم نهایی </w:t>
      </w:r>
    </w:p>
    <w:p>
      <w:pPr>
        <w:pStyle w:val="BookText"/>
        <w:rPr/>
      </w:pPr>
      <w:r>
        <w:rPr>
          <w:rFonts w:ascii="IRNazanin" w:hAnsi="IRNazanin" w:eastAsia="IRNazanin"/>
          <w:color w:val="111111"/>
          <w:sz w:val="28"/>
          <w:sz w:val="28"/>
          <w:szCs w:val="28"/>
          <w:rtl w:val="true"/>
          <w:lang w:bidi="fa-IR"/>
        </w:rPr>
        <w:t>معنا را ناممکن می‌سازد و بدین‌گونه نسبیت را جایگزین اطلاق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در متن اندیشۀ معاصر، زبان، بازیگر اصلی شده و تعیین‌کنندۀ معنا و مصداق حقیقت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برخاسته از منطق گفت‌وگو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فلسفه‌های تحلیلی و زبانی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سپردند و ریشۀ ظهور فلسفۀ علم‌های ضد ذات‌گرایانه در آن فلسفه‌هاست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فلسفۀ علم‌های بعدی، همچون ابطال‌گرایی پوپر، برنامه‌های پژوهشی مبتنی بر ساختار پژوهشی لاکاتوش، انقلاب‌های علمی بر پایۀ ساختار پارادیمی کوهن و آنارشیسم فایرابند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دیدگاه‌های انتقادی امثال لائودن و ون فراسن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ازجمله این‌گونه فلسفۀ علم‌های ضد ذات‌گرایانه‌اند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پوپر بر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ذاتی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نمی‌ورزد، بلکه با این باور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تمام حقیقت آن را شناخته‌ایم و علم متوقف می‌شود، بحث‌کردن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بی‌فایده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پوپر،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پوپر با باورنداشتن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مفید علم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جامع و فراگیری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آورد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تنظیم‌کننده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بر این باور بود که برای کشف آن دارای معیار عامی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نبودن معیار عام، ناگزیر به جای اینکه بر اثبات‌پذیربودن گزاره‌های علمی قائل باشد، به نظریۀ ابطال‌پذیری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پذیرش قراردادی بودن گزاره‌های پایه و توافق یا عزم جامعۀ علمی بر پذیرش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سرانجام ابطال‌پذیری خود را نیز برایند قرارداد و توافق جامعۀ علمی قرار می‌دهد و بالمآل امیدوار می‌شود کسانی که مانند او می‌اندیشند، معیار مد نظر او را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فلسفه‌های تحلیلی و زبانی این‌گونه اندیشمندان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اندیشمندانی همچون لاکاتوش، کوهن، فایرابند، لائودن و ون فراسن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قدری از روبه‌رویی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ساختند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به‌تبع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دهه‌های آخر قرن بیستم به فراموشی سپرده شدند</w:t>
      </w:r>
      <w:r>
        <w:rPr>
          <w:rFonts w:eastAsia="IRNazanin" w:cs="IRNazanin"/>
          <w:color w:val="111111"/>
          <w:sz w:val="28"/>
          <w:szCs w:val="28"/>
          <w:rtl w:val="true"/>
          <w:lang w:bidi="fa-IR"/>
        </w:rPr>
        <w:t xml:space="preserve">. </w:t>
      </w:r>
      <w:bookmarkStart w:id="155" w:name="pg5834_41866"/>
    </w:p>
    <w:p>
      <w:pPr>
        <w:pStyle w:val="Heading3"/>
        <w:numPr>
          <w:ilvl w:val="2"/>
          <w:numId w:val="1"/>
        </w:numPr>
        <w:rPr/>
      </w:pPr>
      <w:bookmarkStart w:id="156" w:name="__RefHeading___Toc4693063_581953129"/>
      <w:bookmarkStart w:id="157" w:name="_Toc56"/>
      <w:bookmarkEnd w:id="155"/>
      <w:bookmarkEnd w:id="156"/>
      <w:r>
        <w:rPr>
          <w:rtl w:val="true"/>
        </w:rPr>
        <w:t>ج</w:t>
      </w:r>
      <w:r>
        <w:rPr>
          <w:rtl w:val="true"/>
        </w:rPr>
        <w:t xml:space="preserve">) </w:t>
      </w:r>
      <w:r>
        <w:rPr>
          <w:rtl w:val="true"/>
        </w:rPr>
        <w:t>ذات‌گرایی جدید</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جدیدی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امثال سنکی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الیس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Ellis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خود را در تقابل با جریانی می‌داند که آن را مابعدالطبیعۀ غالب فلسفۀ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معاصر می‌نامند و آن را با اوصاف مکانیستی و هیومی توصیف می‌کنند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ذات‌گرایی، همان‌گونه که الکساندر برد تصریح داشت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Bird, 2009, p.479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لطف غلبۀ فلسفه‌های تحلیلی قائم به تجربه‌گرایی منطقی ضد مابعدالطبیعی و به لطف غلبۀ فلسفه‌های زبان به فراموشی سپرده شده بود؛ اما در دهه‌های آخر قرن بیستم با الهام‌گرفتن از برخی مباحث پاتنم، در کتاب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Putnam, Meaning of ‘Meaning’, 1975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 کریپکی، در کتاب نام‌گذاری و ضرورت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Kripke, Naming and Necessity, 1980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ذات‌گرایی جدید در علومی چون فیزیک و شیمی دربارۀ افراد و انواع ذرات بنیادی و در علومی همچون زیست‌شناسی دربارۀ افراد و انواع جانداران و در ارتباط با نظریۀ تکامل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مباحثاتی که کریپکی دربارۀ ذات‌گرایی در افراد و ذات‌گرایی در انواع طبیعی داشت و با کارهای پاتنم شدت یافت، بر وسعت اهمیت فلسفی ذات‌گرایی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ذات‌گرایی در مورد انواع طبیعی بر این ادعاست که انواع طبیعی دارای خواص ذاتی‌اند و این سخن که نوع طبیعی خاصیتی دارد که جزئی از ذات آن نوع طبیعی است، حکایت از این دارد که تک‌تک افراد یک نوع بالضروره دارای آن خاصیت ذاتی‌اند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ذات‌گرایی در خصوص افراد دربارۀ ذات‌گرایی در مورد انواع است و بر این ادعاست که هر خاصیت ذاتی فرد عبارت است از همان خاصیتی که به نوعی فرد به آن تعلق دارد، متعلق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Bird, 2009, p.479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پاتنم و کریپکی ذات‌گرایی جدید مدافعان بیشتری یافت و بسیاری از فیلسوفان علم فیزیک، شیمی و زیست‌شناسی و حتی فیلسوفان علم امثال روان‌شناسی،</w:t>
      </w:r>
      <w:r>
        <w:rPr>
          <w:rStyle w:val="FootnoteAnchor"/>
          <w:rtl w:val="true"/>
        </w:rPr>
        <w:footnoteReference w:id="3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https:// www. edge.org/ response/detail, Lisa Feldman Barrett, Essentialist Views of the Mind</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ذات‌گرایی جدید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فیلسوفان علم آمریکایی ایوان فالز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Evan Fales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جان هیل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Heil</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جورج بیلر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George Bealer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سیدنی شومکر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Sydney Shoemaker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کراوفرد الدر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Crawford Elder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نانسی کارترایت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Nancy Cartwright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پل موزر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Paul Moser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هیلاری کرنبلیت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Hilary Kornblith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میان فیلسوفان علم استرالیایی جان بیگلو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Bigelow</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جورج مولنار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George Molnar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چارلز مارتین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Charles Martin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کارولین لیرز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Caroline Lierse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برایان الیس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Brian Ellis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هاوئرد سنکی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Howard Sankey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ازجمله مدافعان ذات‌گرایی جدید‌ند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استاتیس پسیلوس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Stathis Psillos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یونانی و نیکولاس ماکسول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Nicholas Maxwell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الکساندر برد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Alexander Bird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انگلیس نیز از دیگر مدافعان ذات‌گرایی جدید‌ند؛ ازاین‌رو می‌توان این جریان را در برابر جریان مابعدالطبیعۀ فلسفۀ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اغلب جریان مابعدالطبیعۀ فلسفۀ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استرالیایی به شمار آورد</w:t>
      </w:r>
      <w:r>
        <w:rPr>
          <w:rFonts w:eastAsia="IRNazanin" w:cs="IRNazanin"/>
          <w:color w:val="111111"/>
          <w:sz w:val="28"/>
          <w:szCs w:val="28"/>
          <w:rtl w:val="true"/>
          <w:lang w:bidi="fa-IR"/>
        </w:rPr>
        <w:t>.</w:t>
      </w:r>
      <w:r>
        <w:rPr>
          <w:rStyle w:val="FootnoteAnchor"/>
          <w:rtl w:val="true"/>
        </w:rPr>
        <w:footnoteReference w:id="3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الیس در تقابل با جریانی که جریان مابعدالطبیعۀ فلسفۀ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 می‌نامد و آن را مابعدالطبیعۀ مکانیستی و هیومی می‌داند که ماده را بالذات منفعل و بی‌خاصیت در نظر می‌گیرد، از جریانی دفاع می‌کند که آن را بیشتر جریان مابعدالطبیعۀ فلسفۀ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استرالیایی می‌نامد و نشان می‌دهد که اشیای مادی نه منفعل و بی‌خاصیت، بلکه فعال و دارای خواص ذاتی‌اند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اشیای مادی را دارای قوا، استعداد‌ها و تمایل طبیعی می‌داند و بر این دیدگاه است که قوا، استعدادها و تمایل را نمی‌توان به خواص </w:t>
      </w:r>
    </w:p>
    <w:p>
      <w:pPr>
        <w:pStyle w:val="BookText"/>
        <w:rPr/>
      </w:pPr>
      <w:r>
        <w:rPr>
          <w:rFonts w:ascii="IRNazanin" w:hAnsi="IRNazanin" w:eastAsia="IRNazanin"/>
          <w:color w:val="111111"/>
          <w:sz w:val="28"/>
          <w:sz w:val="28"/>
          <w:szCs w:val="28"/>
          <w:rtl w:val="true"/>
          <w:lang w:bidi="fa-IR"/>
        </w:rPr>
        <w:t>غیرفعال یا مقولی اساسی‌تر اشیا تحویل برد، بلکه آنها خواص تحویل‌ناپذیر اشیا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که رفتار اشیای مادی برآمده از قوای علی تحویل‌ناپذیر آنهاست، الیس را به این دیدگاه رهنمون می‌شود که قوانین طبیعت باید بیان‌کنندۀ الگوهای رفتاری اشیا باشند و این اشیا با داشتن قوای علّی ذاتی از صادق‌بودن قوانین طبیعت حکایت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الیس همین قوای علّی تحویل‌ناپذیر یا خواص ذاتی شیء را که در تک‌تک افراد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موجودند، بهترین تبیین بر موفقیت استقرای علمی می‌گیرد و در بحث مفصلی، استقرا را مفید علم می‌داند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See: Ellis, 2001, section 3/ Sankey, 2007, ch. 5, No.4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ذات‌گرایی جدید و ذات‌گرایان جدید اغلب بر این اساس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طبیعت را بسیار پیچیده می‌بینند و قوانین بنیادی عالم طبیعت را بر کشف درست خواص ذاتی شیء ناتوان می‌بینند؛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غیرمعرفتی را به‌طورمطلق بر معرفت تأثیرگذار می‌دانند؛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علم نظریه‌های زیادی را می‌بینند که درست برداشت می‌شدند، اما بعدها غلط‌بودن آنها روشن شده است و به این باور روی آورده‌اند که استقرا و – به‌تبع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گزاره‌های علمی صادق، 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علم‌اند، اما چنین علمی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مطابق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نوع احتمال بسیار بالای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بدین شیوه گزاره‌های علمی صادق را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ازاین‌رو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علمی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محتمل‌ترین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از راه 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Psillos, 2009, pp.109-110, 186 and part 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 تقریبی‌اند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گزاره‌های علمی صادق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bookmarkStart w:id="158" w:name="pg5834_41869"/>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علوم طبیعی به علوم اجتماعی و علوم انسانی نیز تسری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فقرۀ آخر مقاله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از راه 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علوم انسانی نیز تسری یافته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ضعف‌های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ضعف‌هایی را به علوم انسانی موجود تسری بخشد</w:t>
      </w:r>
      <w:r>
        <w:rPr>
          <w:rFonts w:eastAsia="IRNazanin" w:cs="IRNazanin"/>
          <w:color w:val="111111"/>
          <w:sz w:val="28"/>
          <w:szCs w:val="28"/>
          <w:rtl w:val="true"/>
          <w:lang w:bidi="fa-IR"/>
        </w:rPr>
        <w:t>.</w:t>
      </w:r>
    </w:p>
    <w:p>
      <w:pPr>
        <w:pStyle w:val="Heading3"/>
        <w:numPr>
          <w:ilvl w:val="2"/>
          <w:numId w:val="1"/>
        </w:numPr>
        <w:rPr/>
      </w:pPr>
      <w:bookmarkStart w:id="159" w:name="__RefHeading___Toc4693065_581953129"/>
      <w:bookmarkStart w:id="160" w:name="_Toc57"/>
      <w:bookmarkEnd w:id="159"/>
      <w:r>
        <w:rPr>
          <w:rtl w:val="true"/>
        </w:rPr>
        <w:t>د</w:t>
      </w:r>
      <w:r>
        <w:rPr>
          <w:rtl w:val="true"/>
        </w:rPr>
        <w:t xml:space="preserve">) </w:t>
      </w:r>
      <w:r>
        <w:rPr>
          <w:rtl w:val="true"/>
        </w:rPr>
        <w:t>نقادی وضعیت کنونی ایران معاصر</w:t>
      </w:r>
      <w:bookmarkEnd w:id="160"/>
    </w:p>
    <w:p>
      <w:pPr>
        <w:pStyle w:val="BookText"/>
        <w:rPr/>
      </w:pPr>
      <w:r>
        <w:rPr>
          <w:rFonts w:ascii="IRNazanin" w:hAnsi="IRNazanin" w:eastAsia="IRNazanin"/>
          <w:color w:val="111111"/>
          <w:sz w:val="28"/>
          <w:sz w:val="28"/>
          <w:szCs w:val="28"/>
          <w:rtl w:val="true"/>
          <w:lang w:bidi="fa-IR"/>
        </w:rPr>
        <w:t>در اصل، ریشه ذات‌گرایی جدید را باید در فیزیک جدید، یعنی فیزیک نسبیت</w:t>
      </w:r>
      <w:r>
        <w:rPr>
          <w:rStyle w:val="FootnoteAnchor"/>
          <w:rtl w:val="true"/>
        </w:rPr>
        <w:footnoteReference w:id="33"/>
      </w:r>
      <w:r>
        <w:rPr>
          <w:rFonts w:ascii="IRNazanin" w:hAnsi="IRNazanin" w:eastAsia="IRNazanin"/>
          <w:color w:val="111111"/>
          <w:sz w:val="28"/>
          <w:sz w:val="28"/>
          <w:szCs w:val="28"/>
          <w:rtl w:val="true"/>
          <w:lang w:bidi="fa-IR"/>
        </w:rPr>
        <w:t>و فیزیک کوانتوم،</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بخصوص در فیزیک کوانتوم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فاقد حسّ است، فاقد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حسّ و علوم حسّی آغاز می‌شود و از علوم حسّی، یعنی علوم طبیعی، است که غیرواقع‌بینی یا واقع‌بینی به علوم غیرحسّی، همچون علوم انسانی، سرایت پیدا می‌کند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فیزیک، در مقام بنیان علوم طبیعی، سه مقطع پیشانیوتنی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قرن هفده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نیوتنی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هفده تا بیستم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نسبّیت و کوانتوم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 و اوایل قرن بیست‌ویکم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فیزیک پیشانیوتنی ذات‌گرایی قدیم و واقعگرایی خام را </w:t>
      </w:r>
    </w:p>
    <w:p>
      <w:pPr>
        <w:pStyle w:val="BookText"/>
        <w:rPr/>
      </w:pPr>
      <w:r>
        <w:rPr>
          <w:rFonts w:ascii="IRNazanin" w:hAnsi="IRNazanin" w:eastAsia="IRNazanin"/>
          <w:color w:val="111111"/>
          <w:sz w:val="28"/>
          <w:sz w:val="28"/>
          <w:szCs w:val="28"/>
          <w:rtl w:val="true"/>
          <w:lang w:bidi="fa-IR"/>
        </w:rPr>
        <w:t>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نیوتنی،</w:t>
      </w:r>
      <w:r>
        <w:rPr>
          <w:rStyle w:val="FootnoteAnchor"/>
          <w:rtl w:val="true"/>
        </w:rPr>
        <w:footnoteReference w:id="35"/>
      </w:r>
      <w:r>
        <w:rPr>
          <w:rFonts w:ascii="IRNazanin" w:hAnsi="IRNazanin" w:eastAsia="IRNazanin"/>
          <w:color w:val="111111"/>
          <w:sz w:val="28"/>
          <w:sz w:val="28"/>
          <w:szCs w:val="28"/>
          <w:rtl w:val="true"/>
          <w:lang w:bidi="fa-IR"/>
        </w:rPr>
        <w:t xml:space="preserve">یعنی فیزیک کلاسیک، با بی‌خاصیت و منفعل دانستن عالم ماده به فلسفه‌ها و فلسفه علم‌هایی دامن زد که همه آن‌ها تحت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ضدّذات‌گرایی و ضدّواقع‌گرایی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تا به امروز در ایران نیز جریانی غالب‌اند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جدید، و بخصوص فیزیک کوانتوم، که توانست در ذرّات میکروسکوپی و ذرات اتمی و زیراتمی، و در امثال نور و موج، نفوذ کند و عمده موفقیت‌های علم جدید را به بار آورد، عمدتاً با پذیرش منفعل نبودن عالم ماده و دارای خواص بودن آن به بار نشست</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کوانتوم سرمنشاء فلسفه طبیعت و فلسفه علم‌ای شد که اکنون به جریانی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ذات‌گرایی و واقع‌گرایی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ایران معاصر، عمدتاً این جریان را نمی‌شناسیم</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ایران معاصر، اکنون وارث فلسفه‌ها و فلسفه علم‌هایی هستیم که بر بنیاد فیزیک نیوتن بر پا شده‌اند و چون به ذات و خواص ذاتی شئ باور ندارند به غیرواقع‌گرایی و نسبی‌گرایی رهنمون شده‌اند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ایران معاصر، اکنون نیازمند فلسفه علم و فلسفه ای هستیم که بر بنیاد فیزیک کوانتوم بر پا شوند و چون به ذات و خواص ذاتی شئ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فیزیک کوانتوم به </w:t>
      </w:r>
    </w:p>
    <w:p>
      <w:pPr>
        <w:pStyle w:val="BookText"/>
        <w:rPr/>
      </w:pPr>
      <w:r>
        <w:rPr>
          <w:rFonts w:ascii="IRNazanin" w:hAnsi="IRNazanin" w:eastAsia="IRNazanin"/>
          <w:color w:val="111111"/>
          <w:sz w:val="28"/>
          <w:sz w:val="28"/>
          <w:szCs w:val="28"/>
          <w:rtl w:val="true"/>
          <w:lang w:bidi="fa-IR"/>
        </w:rPr>
        <w:t>حلّ و کشف واقع‌گرایانه علوم و صنایع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واقع‌گرایی رهنمون شوند و به حلّ و فصل واقع‌گرایانه امور راه یابند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تعدادی از اندیشمندان معاصر و مسلمان‌ای که در ایران به فلسفه علم می‌پردازند یا نیم نگاهی به فلسفه علم دارند، با پذیرش ضمنی ضعف‌های ذات‌گرایی قدیم و با اطلاع نسبی از ذات‌گرایی جدید، ناچار به فلسفه علم‌های ضدّ‌ذات‌گرایانه‌ای روی آورده‌اند که در ایران رواج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پذیرش این‌گونه فلسفه علم‌ها ناچار باید به لوازم علمی آن‌ها نیز تن داده و از این طریق دچار این‌گونه باورهای غلط باشند که عالم طبیعت را بی‌خاصیت و منفعل بدانند، استقراء را مفید علم ندانند، ذهن را بر عین تقدّم ببخشند، از کشف واقع ناامید باشند، معرفت انسان‌ها به عالم ماده را در هر حال تحت تاًثیر عوامل غیرمعرفتی و از این روی غیریکسان و غیرمطابق با واقع بدانند و در نهایت به این باور برسند که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گزاره‌های علمی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درست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توضیح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می‌دهد و از این روی روش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از راه 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و به‌تبع پوپر علم را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نیست که به مصادیق اندیشمندانی که تحت تأثیر این گونه فلسفه علم‌های غیرذات‌گرایانه و غیرواقع‌گرایانه قرار دارند اشاره کنم، امّا با اندک توجهی می‌توان به سریان فلسفه علم‌های غیرذات‌گرایانه و غیرواقع‌گرایانه در نوشتارهای تعدادی از اندیشمندان معاصر ایران تفطّن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فلسفه علم‌های غیرذات‌گرایانه و غیرواقع‌گرایانه جهت‌گیری علمی این گونه اندیشمندان را به سمت و سویی غیرواقع‌گرایانه رهنمون شده است و از این طریق در مباحث بسیاری راه‌های دعاوی غیرواقع‌گرایانه هموار شده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عین حال، می‌توان با بهره‌گیری از ذخایر علمی چهل‌سالۀ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البته با تحلیل، نقد و بازسازی آن، بهره‌های بسیاری از آن گرفت؛ برای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ذات‌گرا و واقع‌گرا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به ذات و خواص ذاتی اشیا و به صدق علم و مطابقت علم با واقع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فلسفه‌ها و فلسفۀ علم‌های غیرذات‌گرایانه و غیرواقع‌گرایانه، نه به ذات و خواص ذاتی اشیا و نه به صدق علم و مطابقت علم با واقع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علم را درنهایت بهترین تبیینی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کفایت و توجیه دارد، می‌دانند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Psillos, 2009, p.201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تبیینی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سرانجام به گروه دوستداران محدود خواهد بود و نمی‌تواند از نسبی‌گرایی رهایی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فلسفه‌ها و فلسفۀ علم‌های غیرذات‌گرایانه و</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از ذات‌گرایی در علوم طبیعی به ذات‌گرایی در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ذات و خواص ذاتی علوم انسانی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ذات‌گرایی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ذات و خواص ذاتی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دقیقاً از طریق همین که هر چیزی دارای خواص ذاتی است امکان 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غیرواقع‌گرایانه مانع رشد فلسفۀ اسلامی‌اند و فلسفۀ اسلامی بر این اساس که دارای بنیادهای ذات‌گرایانه و واقع‌گرایانه است، نمی‌تواند با آن‌گونه فلسفه‌ها و فلسفۀ علم‌ها راهی برای رشد و پویایی خود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رشد و پویایی فلسفۀ اسلامی بهره‌مندی از ذخایر فلسفۀ علم ذات‌گرایانه، نقد آن و بازسازی فلسفۀ اسلامی است؛ در این صورت، فلسفۀ اسلامی می‌تواند بنیادهای واقع‌گرایانه معارف اسلامی دیگر را به دست داده و موجب رشد واقع‌بینانۀ معارف اسلامی دیگر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علوم انسانی اسلامی بر پایۀ فلسفۀ علوم انسانی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آشنانبودن با جریان فلسفۀ علم‌های ذات‌گرایانه و واقع‌گرایانه، ناچار به جریان غیرذات‌گرایانه و غیرواقع‌گرایانه‌ای که در ایران نیز رایج است، پناه برده و از علوم انسانی اسلامی، فلسفۀ علم‌های غیرواقع‌بینانه‌ای به‌دست داده و مانع رشد واقع‌بینانۀ علوم انسانی اسلامی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آن وجودنداشتن توضیحی واقع‌بینانه از میزان و چگونگی تولید و رشد علوم انسانی اسلامی و ظهور ادعاهای عجیب‌وغریبی دربارۀ است</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دینی بر پایۀ فلسفۀ علم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جریان فلسفۀ علم‌های غیرذات‌گرایانه و غیرواقع‌گرایانه از علم دینی تعریف و توصیف‌های غیرواقع‌بینانۀ گوناگونی به‌دست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وقوف بر جریان فلسفۀ علم‌های ذات‌گرایانه و واقع‌گرایانۀ معاصر، بهتر می‌توان نشان داد که کدام علوم بالذات، علم دینی‌اند و کدام علوم بالعرض و المجاز علم دینی به شمار آمده‌اند و درواقع نمی‌توانند علم دینی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تأثیر همین فلسفۀ علم‌های غیرذات‌گرایانه و غیرواقع‌گرایانه می‌تواند چارچوب‌های نظری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اسلامی ایرانی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نوین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دچار عدم واقع‌گرایی کند و آنها را به سمت و سویی غیرواقع‌گرایانه سوق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شیوع فلسفۀ علم‌های غیرذات‌گرایانه و غیرواقع‌گرایانه در ایران معاصر می‌تواند به‌شدت بر مجامع علمی و دانشگاهی و از این راه، بر تصمیم‌گیری‌های کلان کشوری نیز تأثیرگذار باشد و مدیران ارشد کشوری نیز در اسناد بالادستی خود بدون آشنایی و همراهی با اندیشوران واقع‌گرا به تدوین قواعد و اصولی بپردازند که واقع‌گرایانه نبودن آنها در مقام عمل معلوم می‌شوند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تا حدودی وارث جریانی هستیم که ما را در عرصه‌های بسیار مهمی همچون فکر، علم و عمل در مسیرهای غیرواقع‌گرایانه و غیرواقع‌بینانه‌ای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این عنوان که انسان هستیم، واقع‌گراییم و واقع‌گرایی را می‌پسندیم،</w:t>
      </w:r>
      <w:r>
        <w:rPr>
          <w:rStyle w:val="FootnoteAnchor"/>
          <w:rtl w:val="true"/>
        </w:rPr>
        <w:footnoteReference w:id="40"/>
      </w:r>
      <w:r>
        <w:rPr>
          <w:rFonts w:ascii="IRNazanin" w:hAnsi="IRNazanin" w:eastAsia="IRNazanin"/>
          <w:color w:val="111111"/>
          <w:sz w:val="28"/>
          <w:sz w:val="28"/>
          <w:szCs w:val="28"/>
          <w:rtl w:val="true"/>
          <w:lang w:bidi="fa-IR"/>
        </w:rPr>
        <w:t>اما به نظر می‌رسد در برخی موارد روش علمی واقع‌گرا بودن، واقع‌گرا ماندن و واقع‌گرایانه عمل کردن را نمی‌دانیم</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بقای جامعۀ ایرانی اسلامی به واقع‌گرابودن، واقع‌گراماندن و واقع‌گرایانه عمل‌کردن ما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یادگیری آنها به‌شدت نیازمندیم و ازآنجاکه علم آدمی با حس و محسوسات آغاز می‌شود، باید به لحاظ علمی، واقع‌بین‌بودن را با عالم محسوس و با علومی که بیانگر عالم محسوس هستند،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واقع‌بین‌بودن ما دربارۀ واقعیت‌های مادی و طبیعی پایه‌های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واقع‌بین‌بودن ما دربارۀ واقعیت‌های اجتماعی و انسانی را فراهم می‌کند</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بنیان‌های همین واقع‌گرایی را می‌توان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ذات‌گرایانه و واقع‌گرایانۀ معاصر در فلسفۀ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bookmarkStart w:id="161" w:name="pg5834_41875"/>
    </w:p>
    <w:p>
      <w:pPr>
        <w:pStyle w:val="BookText"/>
        <w:rPr/>
      </w:pPr>
      <w:bookmarkEnd w:id="161"/>
      <w:r>
        <w:rPr>
          <w:rFonts w:ascii="IRNazanin" w:hAnsi="IRNazanin" w:eastAsia="IRNazanin"/>
          <w:color w:val="111111"/>
          <w:sz w:val="28"/>
          <w:sz w:val="28"/>
          <w:szCs w:val="28"/>
          <w:rtl w:val="true"/>
          <w:lang w:bidi="fa-IR"/>
        </w:rPr>
        <w:t>چاره‌ای جز آشنایی و رواج فلسفۀ علم‌های ذات‌گرایانه و واقع‌گرایانه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نقادی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 حاضر، در تألیف، ترجمه و پژوهش بعدی با عنوان همین مقاله، در ترجمه و پژوهش کتاب ذات‌گرایی علمی برایان الیس و در تحقیق در دست انتشار، با نام واقع‌گرایی در علوم انسانی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کوشیده‌ایم آغازکنندۀ این راه باشیم و امیدواریم که دیگران نیز در راه آشنایی و معرفی این جریان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آثار مهم مربوط به این جریان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برای پژوهش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w:t>
      </w:r>
    </w:p>
    <w:p>
      <w:pPr>
        <w:pStyle w:val="Heading3"/>
        <w:numPr>
          <w:ilvl w:val="2"/>
          <w:numId w:val="1"/>
        </w:numPr>
        <w:rPr/>
      </w:pPr>
      <w:bookmarkStart w:id="162" w:name="__RefHeading___Toc4693067_581953129"/>
      <w:bookmarkStart w:id="163" w:name="_Toc58"/>
      <w:bookmarkEnd w:id="162"/>
      <w:r>
        <w:rPr>
          <w:rtl w:val="true"/>
        </w:rPr>
        <w:t>ه</w:t>
      </w:r>
      <w:r>
        <w:rPr>
          <w:rtl w:val="true"/>
        </w:rPr>
        <w:t xml:space="preserve">) </w:t>
      </w:r>
      <w:r>
        <w:rPr>
          <w:rtl w:val="true"/>
        </w:rPr>
        <w:t>نقادی ذات‌گرایی نوین</w:t>
      </w:r>
      <w:bookmarkEnd w:id="163"/>
    </w:p>
    <w:p>
      <w:pPr>
        <w:pStyle w:val="Heading4"/>
        <w:numPr>
          <w:ilvl w:val="3"/>
          <w:numId w:val="1"/>
        </w:numPr>
        <w:rPr/>
      </w:pPr>
      <w:bookmarkStart w:id="164" w:name="__RefHeading___Toc4693069_581953129"/>
      <w:bookmarkStart w:id="165" w:name="_Toc59"/>
      <w:bookmarkEnd w:id="164"/>
      <w:r>
        <w:rPr>
          <w:rtl w:val="true"/>
        </w:rPr>
        <w:t>اشاره</w:t>
      </w:r>
      <w:bookmarkEnd w:id="1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معاصر ناآشناست؛ ولی آشنایی با آن نشان خواهد داد که این جریان عقبۀ علمی بالایی دارد که می‌تواند ذخایر علمی بسیار بالایی را برای نقادی خود و برداشت‌های واقع‌گرایانه‌تر نوینی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نقادی و بازسازی این جریان می‌تواند جریان واقع‌گرایانۀ نوینی را در ایران معاصر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نقادی خود در بارۀ ذات‌گرایی جدید را بر برخی نقاط پراهمیت آن متمرکز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نقادی ذات‌گرایی جدید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Heading4"/>
        <w:numPr>
          <w:ilvl w:val="3"/>
          <w:numId w:val="1"/>
        </w:numPr>
        <w:rPr/>
      </w:pPr>
      <w:bookmarkStart w:id="166" w:name="__RefHeading___Toc4693071_581953129"/>
      <w:bookmarkStart w:id="167" w:name="_Toc60"/>
      <w:bookmarkEnd w:id="166"/>
      <w:r>
        <w:rPr/>
        <w:t>1</w:t>
      </w:r>
      <w:r>
        <w:rPr>
          <w:rtl w:val="true"/>
        </w:rPr>
        <w:t xml:space="preserve">. </w:t>
      </w:r>
      <w:r>
        <w:rPr>
          <w:rtl w:val="true"/>
        </w:rPr>
        <w:t>توانایی استقرا بر کشف واقع</w:t>
      </w:r>
      <w:bookmarkEnd w:id="1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ذات‌گرایی نوین و ذات‌گرایان جدید استقرا را نه بر اساس قاعدۀ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الاتفاقی لایکون اکثریاً ولا دائمیاً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مفید یقین روان‌شناختی است؛ بلکه بر اساس خواص ذاتی فرد و تعمیم آن به نوع آن فرد، بر اساس قاعدۀ معرفت‌شناختی علیت توجیه کردند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Sankey, 2007, ch.5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آنان در پایان، چون عالم طبیعت را بسیار پیچیده یافتند و قوانین بنیادی طبیعت را از کشف درست خواص ذاتی شیء ناتوان دیدند، استقرا بر پایۀ علیت خواص ذاتی شیء را به جای اینکه مفید یقین معرفت‌شناختی بدانند، مفید احتمال از نوع بسیار بالای آن دانستند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Psillos, 2009, pp.109-110, 186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آنان بدین ترتیب، افزون بر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تک‌تک گزاره‌های علمی برآمده از استقرا را نیز در حال پیشرفت و پیشروی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غیرکاشف از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محتمل‌ترین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تبیین‌های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نوع احتمال بسیار </w:t>
      </w:r>
    </w:p>
    <w:p>
      <w:pPr>
        <w:pStyle w:val="BookText"/>
        <w:rPr/>
      </w:pPr>
      <w:r>
        <w:rPr>
          <w:rFonts w:ascii="IRNazanin" w:hAnsi="IRNazanin" w:eastAsia="IRNazanin"/>
          <w:color w:val="111111"/>
          <w:sz w:val="28"/>
          <w:sz w:val="28"/>
          <w:szCs w:val="28"/>
          <w:rtl w:val="true"/>
          <w:lang w:bidi="fa-IR"/>
        </w:rPr>
        <w:t>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ذات‌گرایی جدید در باور به صدق تقریبی استقرا با ایرادی جدی روبه‌روست؛ اگر استقرا بر کشف خواص ذاتی شیء که بنیاد علیت شیء‌اند، توانا باشد و شیء خواص اساسی‌تر دیگری نداشته باشد تا اینکه دست‌نیافتن به آن خواص اساسی‌تر،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تقریبی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استقرا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مطلق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استقرا بر کشف برخی خواص ذاتی جسم همچون جرم و جاذبه که بنیاد علیت جسم‌اند، دست یافته است و جسم دارای خواص اساسی‌تری غیر از خواص ذاتی نیست تا دست‌نیافتن به آن خواص اساسی‌تر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تقریبی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استقرا توانسته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بخشی از واقعیت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این حد،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مطلق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هرچند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پیشرفت و پیشروی‌اند، تک‌تک گزاره‌های علمی صادق، در همان حدودی که صدق می‌کنند، به‌طورمطلق ثابت و صادق‌اند و برای نمونه جسم تا وقتی جسم است و تأثیرپذیرفته از عوامل بیرونی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جرم و جاذبه است یا طلا تا زمانی که طلاست، زردرنگ و دارای عدد اتمی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ایراد افزون بر گزاره‌های صادق علم فیزیک و علم شیمی در گزاره‌های صادق علم زیست‌شناسی نیز وارد است؛ زیرا در علم زیست‌شناسی نیز چه به نظریۀ تکامل نوع یا گونه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ذاتی نوع را با تغییر نوع متغیر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قائل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ذاتی نوع را نامتغیر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برخی خواص ذاتی نوع تا وقتی که نوع در نوع‌بودن خود پابرجاست، کشف درست مطلق برخی حقایق آن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چه به تکامل نوع انسان قائل باشیم یا قائل نباشیم، کشف برخی خواص ذاتی انسان، همچون عاقل‌بودن او تا وقتی انسان بر انسان‌بودن خود باقی است، کشف مطلقاً درست برخی حقایق انسان است</w:t>
      </w:r>
      <w:r>
        <w:rPr>
          <w:rFonts w:eastAsia="IRNazanin" w:cs="IRNazanin"/>
          <w:color w:val="111111"/>
          <w:sz w:val="28"/>
          <w:szCs w:val="28"/>
          <w:rtl w:val="true"/>
          <w:lang w:bidi="fa-IR"/>
        </w:rPr>
        <w:t xml:space="preserve">. </w:t>
      </w:r>
      <w:bookmarkStart w:id="168" w:name="pg5834_41877"/>
    </w:p>
    <w:p>
      <w:pPr>
        <w:pStyle w:val="Heading4"/>
        <w:numPr>
          <w:ilvl w:val="3"/>
          <w:numId w:val="1"/>
        </w:numPr>
        <w:rPr/>
      </w:pPr>
      <w:bookmarkStart w:id="169" w:name="__RefHeading___Toc4693073_581953129"/>
      <w:bookmarkStart w:id="170" w:name="_Toc61"/>
      <w:bookmarkEnd w:id="168"/>
      <w:bookmarkEnd w:id="169"/>
      <w:r>
        <w:rPr/>
        <w:t>2</w:t>
      </w:r>
      <w:r>
        <w:rPr>
          <w:rtl w:val="true"/>
        </w:rPr>
        <w:t xml:space="preserve">. </w:t>
      </w:r>
      <w:r>
        <w:rPr>
          <w:rtl w:val="true"/>
        </w:rPr>
        <w:t>عدم مانعیت تأثیر عوامل غیرمعرفتی بر معرفت از کشف واقع</w:t>
      </w:r>
      <w:bookmarkEnd w:id="170"/>
    </w:p>
    <w:p>
      <w:pPr>
        <w:pStyle w:val="BookText"/>
        <w:rPr/>
      </w:pPr>
      <w:r>
        <w:rPr>
          <w:rFonts w:ascii="IRNazanin" w:hAnsi="IRNazanin" w:eastAsia="IRNazanin"/>
          <w:color w:val="111111"/>
          <w:sz w:val="28"/>
          <w:sz w:val="28"/>
          <w:szCs w:val="28"/>
          <w:rtl w:val="true"/>
          <w:lang w:bidi="fa-IR"/>
        </w:rPr>
        <w:t xml:space="preserve">برخلاف ضد ذات‌گرایان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واقع‌گرایان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تأثیر عوامل غیرمعرفتی بر معرفت را موجب نسبی‌بودن علم و معرفت می‌دانند، ذات‌گرایان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هرچند عوامل غیرمعرفتی را در شکل‌گیری اموری همچون جهت‌گیری توسعۀ علمی، انگیزه‌های دانشمندان، مسائل و پرسش‌های مطرح، موضوع و هدف شناخت و کاربردهای نتایج پژوهشی دخیل می‌بینند؛ اما هیچ یک را مستلزم آن نمی‌دانند که شناخت علمی را دارای ارزش نسبی سازند، بلکه بر این دیدگاه‌اند که شناخت علمی می‌تواند دارای کفایت تجربی و علمی باشد و به روش درستی با شواهد تجربی تطابق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Psillos and Curd, 2008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ذات‌گرایان جدید بیشتر شناخت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گزاره‌های علمی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دارای کفایت تجربی و تطابق با شواهد تجربی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ذات‌گرایان جدید به محدودیت استقرا در کشف واقع و تأثیر عوامل غیرمعرفتی بر معرفت، اغلب، آنان را به این دیدگاه رهنمون شده است که شناخت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گزاره‌های علمی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دارای کفایت تجربی‌اند و با شواهد تجربی تطابق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گزاره‌های علمی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به‌گونه‌ای که گزاره گویای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منظری که گزاره و گزارش‌دهنده از آن حکایت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میان مدعای مربوط به جهان با جهان، به همان گونه‌ای که مدعا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Sankey, 2008, pp.16-17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هنگام صدق گزاره‌ها پیرو منظرهای گزارش‌دهنده‌ها می‌شود و ازآنجاکه گزارش‌دهنده‌ها نیز منظرهای گوناگونی دارند، در صدق گزاره‌ها اتفاق‌نظر واقع نمی‌شود؛ بنابراین گزاره‌های علمی صادق به جای اینکه از حقیقت حکایت داشته باشد و کاشف از واقع باشند، به حقیقت نزدیک‌تر می‌شوند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ادعای ذات‌گرایان جدید نیز با ایرادهایی جدی روبه‌روست؛ هرچند عوامل غیرمعرفتی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مقام داوری– بر معرفت تأثیرگذارند و ازاین‌رو داوری‌های انسان‌ها همواره یکسان نیستند، اما عقل به حکم اینکه در همۀ جهان مدار علم است و بر اراده </w:t>
      </w:r>
      <w:bookmarkStart w:id="171" w:name="pg5834_41878"/>
    </w:p>
    <w:p>
      <w:pPr>
        <w:pStyle w:val="BookText"/>
        <w:rPr/>
      </w:pPr>
      <w:bookmarkEnd w:id="171"/>
      <w:r>
        <w:rPr>
          <w:rFonts w:ascii="IRNazanin" w:hAnsi="IRNazanin" w:eastAsia="IRNazanin"/>
          <w:color w:val="111111"/>
          <w:sz w:val="28"/>
          <w:sz w:val="28"/>
          <w:szCs w:val="28"/>
          <w:rtl w:val="true"/>
          <w:lang w:bidi="fa-IR"/>
        </w:rPr>
        <w:t>حاکمیت دارد، داور داوری‌هاست و از این توانایی برخوردار است که به نقد خود نیز بپردازد و هم میان عوامل تأثیرگذار بر داوری و خود داوری و هم میان داوری‌های صادق و غیرصادق فرق بگذارد و با گزینش داوری‌های صادق به کشف واقع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عقل در شناختی که از یک چیز به‌دست می‌آورد، بیشتر به بخش اندکی از خواص ذاتی آن چیز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عقل به گزاره‌های علمی‌صادقی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واقع‌اند، دست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مطابقت آنها با واقع، در حدی که از واقع حکایت دارند،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عقل می‌تواند مانع تأثیر عوامل غیرمعرفتی بر معرفت شود و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 علمی مطلقاً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که ازجمله خواص ذاتی طلا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 دارای عدد اتمی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زرد‌رنگ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گزاره‌ها، به معنای مطابقت آنها با واقع در حدی که از واقع حکایت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ذات‌گرایان جدید می‌کوشند از نسبی‌گرایی ضد ذات‌گرایان دوری کنند، درنهایت، در تعریف صدق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ادامه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روش علم از دیدگاه‌هایی دفاع می‌کنند که بر تفاوت منظرها محوریت داده و به نوعی نسبی‌گرایی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عقل از این توانایی برخوردار است که بر تفاوت منظرها چیره شده و به گزینش منظر درست راه یابد</w:t>
      </w:r>
      <w:r>
        <w:rPr>
          <w:rFonts w:eastAsia="IRNazanin" w:cs="IRNazanin"/>
          <w:color w:val="111111"/>
          <w:sz w:val="28"/>
          <w:szCs w:val="28"/>
          <w:rtl w:val="true"/>
          <w:lang w:bidi="fa-IR"/>
        </w:rPr>
        <w:t>.</w:t>
      </w:r>
    </w:p>
    <w:p>
      <w:pPr>
        <w:pStyle w:val="Heading4"/>
        <w:numPr>
          <w:ilvl w:val="3"/>
          <w:numId w:val="1"/>
        </w:numPr>
        <w:rPr/>
      </w:pPr>
      <w:bookmarkStart w:id="172" w:name="__RefHeading___Toc4693075_581953129"/>
      <w:bookmarkStart w:id="173" w:name="_Toc62"/>
      <w:bookmarkEnd w:id="172"/>
      <w:r>
        <w:rPr/>
        <w:t>3</w:t>
      </w:r>
      <w:r>
        <w:rPr>
          <w:rtl w:val="true"/>
        </w:rPr>
        <w:t xml:space="preserve">. </w:t>
      </w:r>
      <w:r>
        <w:rPr>
          <w:rtl w:val="true"/>
        </w:rPr>
        <w:t>عدم مانعیت تغییر نظریه‌ها از کشف واقع</w:t>
      </w:r>
      <w:bookmarkEnd w:id="1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ضد ذات‌گرایان که در تاریخ علم به نظریه‌های زیادی برخورده‌اند که درست قلمداد می‌شدند، اما بعدها غلط‌بودن آنها روشن شده است و از این روی تغییر نظریه‌ها را حاکی از درست‌نبودن نظریه‌ها و تکامل روبه‌رشد آنها می‌دانند، ذات‌گرایان جدید تغییر نظریه‌ها را نه حاکی از درست‌نبودن کل نظریه، بلکه حاکی از درست‌نبودن عناصری از نظریه می‌دانند که در موفقیت پیش‌بینی بدیع سهمی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Psillos, pp.105-108/ Kitcher, pp.143-149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 دوم، فقرۀ چهارم، فقرۀ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نظریه‌ها را در آن بخش که در تبیین خواص ذاتی شیء توفیق حاصل </w:t>
      </w:r>
    </w:p>
    <w:p>
      <w:pPr>
        <w:pStyle w:val="BookText"/>
        <w:rPr/>
      </w:pPr>
      <w:r>
        <w:rPr>
          <w:rFonts w:ascii="IRNazanin" w:hAnsi="IRNazanin" w:eastAsia="IRNazanin"/>
          <w:color w:val="111111"/>
          <w:sz w:val="28"/>
          <w:sz w:val="28"/>
          <w:szCs w:val="28"/>
          <w:rtl w:val="true"/>
          <w:lang w:bidi="fa-IR"/>
        </w:rPr>
        <w:t xml:space="preserve">کرده‌اند، درست و در آن بخش که در تبیین خواص ذاتی شیء به خطا رفته‌اند، نادرست می‌دانند و ازاین‌رو توفیق تقریبی این‌گونه نظریه‌ها در تبیین بخشی از خواص ذاتی شیء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شیء تلقی کرده و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با این ایرادهای جدی روبه‌روست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نظریه 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علمی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مانند نظریۀ زمینمرکزی و نظریۀ اتمی متقدمان؛ نیمی درست و نیمی نادرست، مانند نظریۀ اتر و نظریۀ فلوژیستون؛ درست، مانند نظریۀ خورشید مرکزی و خانواده نظریه‌های شکافت اتمی؛ ازاین‌رو این‌گونه نیست که همۀ نظریه‌ها در حال تغییر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در نظریه‌هایی که نیمی درست و نیمی نادرست‌اند، امثال نظریۀ اتر نیمی غلط و نیمی درست‌اند و هرچند عناصری از نظریه اتر، همچون جوهر مادی ریز و متحرک‌بودن آن، غلط است، نیم دیگر آن، همچون فواصل فضا – زمان‌داشتن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همین عناصر درست، نظریۀ اتر هستند که در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مغناطیسی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شده‌اند و همین عناصر درست بودند که در نظریۀ اتر می‌توانستند حرکت اجرام آسمانی را توضیح دهند؛ اما از جهت عناصر غلط خود، همچون جوهر مادی ریز و متحرک‌بودن آن، نتوانستند حرکت نور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نظریه‌ها در آن حدود که می‌توانند بر اساس خواص ذاتی شیء واقع را توضیح دهند، به علم تبدیل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نظریه‌ها در حال تغییرند، اما گزاره‌های علمی صادق برآمده از آنها در حال تغییر نیستند و این‌گونه گزاره‌ها بیانگر کشف واقع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بر این اساس که از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به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یعنی از علم تقریباً درست، نمی‌توان به محصولات کاملاً درست دست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توفیق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ساخت صنایع پیشرفته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اساس استنتاج خواص ذاتی شیء که بنیاد علیت شیء‌اند،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 مطلق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گزاره‌های علمی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دارد</w:t>
      </w:r>
      <w:r>
        <w:rPr>
          <w:rFonts w:eastAsia="IRNazanin" w:cs="IRNazanin"/>
          <w:color w:val="111111"/>
          <w:sz w:val="28"/>
          <w:szCs w:val="28"/>
          <w:rtl w:val="true"/>
          <w:lang w:bidi="fa-IR"/>
        </w:rPr>
        <w:t xml:space="preserve">. </w:t>
      </w:r>
      <w:bookmarkStart w:id="174" w:name="pg5834_41880"/>
    </w:p>
    <w:p>
      <w:pPr>
        <w:pStyle w:val="Heading4"/>
        <w:numPr>
          <w:ilvl w:val="3"/>
          <w:numId w:val="1"/>
        </w:numPr>
        <w:rPr/>
      </w:pPr>
      <w:bookmarkStart w:id="175" w:name="__RefHeading___Toc4693077_581953129"/>
      <w:bookmarkStart w:id="176" w:name="_Toc63"/>
      <w:bookmarkEnd w:id="174"/>
      <w:bookmarkEnd w:id="175"/>
      <w:r>
        <w:rPr/>
        <w:t>4</w:t>
      </w:r>
      <w:r>
        <w:rPr>
          <w:rtl w:val="true"/>
        </w:rPr>
        <w:t xml:space="preserve">. </w:t>
      </w:r>
      <w:r>
        <w:rPr>
          <w:rtl w:val="true"/>
        </w:rPr>
        <w:t xml:space="preserve">خطا در ارائۀ </w:t>
      </w:r>
      <w:r>
        <w:rPr>
          <w:rtl w:val="true"/>
        </w:rPr>
        <w:t>«</w:t>
      </w:r>
      <w:r>
        <w:rPr>
          <w:rtl w:val="true"/>
        </w:rPr>
        <w:t>روش علم</w:t>
      </w:r>
      <w:r>
        <w:rPr>
          <w:rtl w:val="true"/>
        </w:rPr>
        <w:t>»</w:t>
      </w:r>
      <w:bookmarkEnd w:id="176"/>
    </w:p>
    <w:p>
      <w:pPr>
        <w:pStyle w:val="BookText"/>
        <w:rPr/>
      </w:pPr>
      <w:r>
        <w:rPr>
          <w:rFonts w:ascii="IRNazanin" w:hAnsi="IRNazanin" w:eastAsia="IRNazanin"/>
          <w:color w:val="111111"/>
          <w:sz w:val="28"/>
          <w:sz w:val="28"/>
          <w:szCs w:val="28"/>
          <w:rtl w:val="true"/>
          <w:lang w:bidi="fa-IR"/>
        </w:rPr>
        <w:t>در کنار دو نوع استنتاج ارسطویی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استقرا و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سده‌های اخیر با الهام‌گرفتن از چارلز سندرس پیرس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Charles Sanders Peirce</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1839- 1914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استنتاج نوع سومی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از راه بهترین تبیین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Inference to the best explanation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ذات‌گرایان جدید بر این اساس که استقرا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مفید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عوامل غیرمعرفتی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معرفت تأثیرگذار می‌دانند و تغییر نظریه‌ها را حاکی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تقریبی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گزاره‌های علمی صادق می‌دانند، به این باور رسیده‌اند که روش علم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از راه 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علم و گزاره‌های علمی صادق،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تبیین از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توضیح از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محتمل‌ترین توضیح از واقع‌اند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نوع تبیینی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محتمل‌ترین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تبیین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Psillos, 2009, p.186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این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محتمل‌ترین تبیینی که مؤید به تأییدهای بعدی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pp.200-201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اخیری که دربردارندۀ محسنات دو تفسیر پیشین نیز به شمار آمده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p.200</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از راه 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دوستداران این اصل دارای کفایت و توجیه دانسته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معلوم نیست که برای غیردوستداران این اصل چگونه می‌تواند دارای کفایت و توجیه به شمار آید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تبیین نزد 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تبیین نزد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w:t>
      </w:r>
      <w:r>
        <w:rPr>
          <w:rFonts w:eastAsia="IRNazanin" w:cs="IRNazanin"/>
          <w:color w:val="111111"/>
          <w:sz w:val="28"/>
          <w:szCs w:val="28"/>
          <w:rtl w:val="true"/>
          <w:lang w:bidi="fa-IR"/>
        </w:rPr>
        <w:t>.</w:t>
      </w:r>
    </w:p>
    <w:p>
      <w:pPr>
        <w:pStyle w:val="Heading4"/>
        <w:numPr>
          <w:ilvl w:val="3"/>
          <w:numId w:val="1"/>
        </w:numPr>
        <w:rPr/>
      </w:pPr>
      <w:bookmarkStart w:id="177" w:name="__RefHeading___Toc4693079_581953129"/>
      <w:bookmarkStart w:id="178" w:name="_Toc64"/>
      <w:bookmarkEnd w:id="177"/>
      <w:r>
        <w:rPr/>
        <w:t>5</w:t>
      </w:r>
      <w:r>
        <w:rPr>
          <w:rtl w:val="true"/>
        </w:rPr>
        <w:t xml:space="preserve">. </w:t>
      </w:r>
      <w:r>
        <w:rPr>
          <w:rtl w:val="true"/>
        </w:rPr>
        <w:t xml:space="preserve">خطای در بسط روش </w:t>
      </w:r>
      <w:r>
        <w:rPr>
          <w:rtl w:val="true"/>
        </w:rPr>
        <w:t>«</w:t>
      </w:r>
      <w:r>
        <w:rPr>
          <w:rtl w:val="true"/>
        </w:rPr>
        <w:t>استنتاج از راه بهترین تبیین</w:t>
      </w:r>
      <w:r>
        <w:rPr>
          <w:rtl w:val="true"/>
        </w:rPr>
        <w:t xml:space="preserve">» </w:t>
      </w:r>
      <w:r>
        <w:rPr>
          <w:rtl w:val="true"/>
        </w:rPr>
        <w:t>به همۀ علوم</w:t>
      </w:r>
      <w:bookmarkEnd w:id="1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ذات‌گرایان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از راه بهترین 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در بحث از مشاهده‌ناپذیرها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اتم، ژن و 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ساختند؛ اما به‌تدریج در مشاهده‌پذیرها نیز بسط داده و روش همۀ علوم طبیعی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علم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به علوم انسانی نیز تسری داده و در امثال فلسفۀ علم، معرفت‌شناسی، فلسفۀ علم دینی، الهیات جدید و علوم اجتماعی و رفتاری نیز به‌کار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لائودن در فلسفۀ علم، </w:t>
      </w:r>
      <w:bookmarkStart w:id="179" w:name="pg5834_41881"/>
    </w:p>
    <w:p>
      <w:pPr>
        <w:pStyle w:val="BookText"/>
        <w:rPr/>
      </w:pPr>
      <w:bookmarkEnd w:id="179"/>
      <w:r>
        <w:rPr>
          <w:rFonts w:ascii="IRNazanin" w:hAnsi="IRNazanin" w:eastAsia="IRNazanin"/>
          <w:color w:val="111111"/>
          <w:sz w:val="28"/>
          <w:sz w:val="28"/>
          <w:szCs w:val="28"/>
          <w:rtl w:val="true"/>
          <w:lang w:bidi="fa-IR"/>
        </w:rPr>
        <w:t>پل موزر در معرفت‌شناسی و متکلمان در الهیات جدید این روش را به‌کار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آن سرنگونی کاشفیت علم از واقع در همۀ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ما دست‌کم به شهود و به عقل سلیم می‌فهمیم دانسته‌های بسیاری داریم که واقعی، مطابق با واقع و کاملاً مطابق با واقع‌اند؛ حتی می‌فهمیم در علم نیز دانسته‌های بسیاری داریم که به‌طورکامل مطابق با واقع‌اند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نوشتار آمد،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نقادی اجمالی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نوشتارهای بعدی می‌آید، ترجمۀ مقاله‌های روشنگری است که در سال‌های اخیر تألیف شده و از چارچوب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روشنی به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نقادی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برون‌رفت از خطاهای آن را به پژوهش در دست چاپ خود با نام واقع‌گرایی در علوم انسانی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ایران کنونی به آشنایی بسیار بیشتری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نقادی آن نیاز دارد</w:t>
      </w:r>
      <w:r>
        <w:rPr>
          <w:rFonts w:eastAsia="IRNazanin" w:cs="IRNazanin"/>
          <w:color w:val="111111"/>
          <w:sz w:val="28"/>
          <w:szCs w:val="28"/>
          <w:rtl w:val="true"/>
          <w:lang w:bidi="fa-IR"/>
        </w:rPr>
        <w:t>.</w:t>
      </w:r>
    </w:p>
    <w:p>
      <w:pPr>
        <w:pStyle w:val="Heading3"/>
        <w:numPr>
          <w:ilvl w:val="2"/>
          <w:numId w:val="1"/>
        </w:numPr>
        <w:rPr/>
      </w:pPr>
      <w:bookmarkStart w:id="180" w:name="__RefHeading___Toc4693081_581953129"/>
      <w:bookmarkStart w:id="181" w:name="_Toc65"/>
      <w:bookmarkEnd w:id="180"/>
      <w:r>
        <w:rPr>
          <w:rtl w:val="true"/>
        </w:rPr>
        <w:t>نتیجه‌گیری</w:t>
      </w:r>
      <w:bookmarkEnd w:id="18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ظهور ذات‌گرایی قدیم، ضد ذات‌گرایی و ذات‌گرایی جدید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سدۀ اخیر شاهد ظهور ضد ذات‌گرایی و در دو قرن اخیر شاهد ترویج آن از راه ابزارگرایی، عمل‌گرایی، انسجام‌گرایی، کلّ‌گرایی، کارکردگرایی، پوزیتیویسم، فلسفه‌های تحلیلی و زبانی، هرمنوتیک، ساختارگرایی و پساساختارگرایی و فلسفۀ علم‌های ریز و درشتی هستیم که ذات‌گرایی را به فراموشی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دهۀ اخیر شاهد بازسازی علمی ذات‌گرایی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تقابلی آشکار و شدید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ذات‌گرایی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تا حدود زیادی از رشد و بالندگی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ذات‌گرایی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ضد ذات‌گرایی و ضد واقع‌گرایی پیشین، پیشرفت از ذات‌گرایی قدیم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ذات‌گرایی جدید و آشنایی با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ذات‌گرایی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نقد و بازسازی آن ذخایر علمی عظیمی را در راستای دوری از ضد ذات‌گرایی و ضد واقع‌گرایی و تحکیم بنیادهای واقع‌گرایی در امثال فلسفۀ علوم طبیعی، فلسفۀ علوم انسانی، فلسفۀ اسلامی، علم دینی، علوم انسانی اسلامی، الگوی اسلامی ایرانی پیشرفت، تمدن نوین اسلامی و بسیاری دیگر در اختیار ما قرار می‌دهد</w:t>
      </w:r>
      <w:r>
        <w:rPr>
          <w:rFonts w:eastAsia="IRNazanin" w:cs="IRNazanin"/>
          <w:color w:val="111111"/>
          <w:sz w:val="28"/>
          <w:szCs w:val="28"/>
          <w:rtl w:val="true"/>
          <w:lang w:bidi="fa-IR"/>
        </w:rPr>
        <w:t xml:space="preserve">. </w:t>
      </w:r>
      <w:bookmarkStart w:id="182" w:name="pg5834_41882"/>
    </w:p>
    <w:p>
      <w:pPr>
        <w:pStyle w:val="Heading3"/>
        <w:numPr>
          <w:ilvl w:val="2"/>
          <w:numId w:val="1"/>
        </w:numPr>
        <w:rPr/>
      </w:pPr>
      <w:bookmarkStart w:id="183" w:name="__RefHeading___Toc4693083_581953129"/>
      <w:bookmarkStart w:id="184" w:name="_Toc66"/>
      <w:bookmarkEnd w:id="182"/>
      <w:bookmarkEnd w:id="183"/>
      <w:r>
        <w:rPr>
          <w:rtl w:val="true"/>
        </w:rPr>
        <w:t>منابع و مآخذ</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ابن‌سینا، حسین بن علی؛ الهیات از کتاب شفا؛ ویرایش و ترجمۀ ابراهیم دادجو؛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ارسطو، متافیزیک؛ ترجمه شرف‌الدین شرف خراسانی؛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گفتار،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استرول، اورام؛ فلسفۀ تحلیلی در قرن بیستم؛ ترجمۀ فریدون فاطمی؛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اسکفلر، اسراییل؛ چهار پراگماتیست؛ ترجمۀ محسن حکیمی؛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بارکلی، جرج؛ رساله در اصول علم انسانی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منوچهر بزرگمهر؛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پوپر، کارل ریموند؛ حدس‌ها و ابطال‌ها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شناخت علمی؛ ترجمۀ احمد آرام؛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منطق اکتشاف علمی؛ ترجمۀ سیدحسین کمالی؛ 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انتشارات علمی و فرهنگی،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دادجو، ابراهیم؛ مابعدالطبیعه از نگاه ارسطو و ابن‌سینا؛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واقع‌گرایی در علوم‌انسانی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مرکزی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 چاپ</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وجود و موجود از منظر ابن‌سینا و آکوئینی،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پژوهشگاه فرهنگ و اندیشه اسلامی،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دامت، مایکل؛ خاستگاه‌های فلسفۀ تحلیلی؛ ترجمۀ عبدالله نیک‌سیرت؛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حکمت،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رحمت‌الله؛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معطوف به بهترین تبیین و توجیه گزاره‌های مربوط به عالم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علمی پژوهشی معرفت فلسفی،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جهرمی، محمد؛ فلسفۀ زبان قاره‌ای و فرهنگی؛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فرهنگ و اندیشۀ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الفارابی، ابونصر؛ فصوص الحکمة؛ تحقیق علی اوجبی؛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فیاضی، غلامرضا؛ هستی و چیستی در مکتب صدرائی؛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کاپلستون، فردریک؛ تاریخ فلسفه؛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امانوئل؛ سنجش خرد ناب؛ میرشمس‌الدین ادیب سلطانی؛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کرومبی،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از اوگوستن تا گالیله؛ ترجمه احمد آرام؛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گلشنی، مهدی؛ دیدگاههای فلسفی فیزیکدانان معاصر؛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یزدی، محمدتقی؛ تعلیقه علی نهایۀ الحکمۀ؛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در راه حق،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ویتگنشتاین، لودویک؛ پژوهش‌های فلسفی؛ ترجمۀ فریدون فاطمی؛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کتاب‌های آبی و قهوه‌ای؛ ترجمۀ ایرج قانونی؛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Aristotle; The Complete Work of Aristotle; edited by</w:t>
      </w:r>
      <w:r>
        <w:rPr>
          <w:rFonts w:eastAsia="Times New Roman" w:cs="Times New Roman" w:ascii="Times New Roman" w:hAnsi="Times New Roman"/>
          <w:color w:val="111111"/>
          <w:sz w:val="28"/>
          <w:szCs w:val="28"/>
          <w:rtl w:val="true"/>
          <w:lang w:val="en-US" w:bidi="en-US"/>
        </w:rPr>
        <w:t xml:space="preserve"> </w:t>
      </w:r>
      <w:bookmarkStart w:id="185" w:name="pg5834_41884"/>
    </w:p>
    <w:p>
      <w:pPr>
        <w:pStyle w:val="BookText"/>
        <w:rPr/>
      </w:pPr>
      <w:bookmarkEnd w:id="185"/>
      <w:r>
        <w:rPr>
          <w:rFonts w:eastAsia="Times New Roman" w:cs="Times New Roman" w:ascii="Times New Roman" w:hAnsi="Times New Roman"/>
          <w:color w:val="111111"/>
          <w:sz w:val="28"/>
          <w:szCs w:val="28"/>
          <w:lang w:val="en-US" w:bidi="en-US"/>
        </w:rPr>
        <w:t>Jonathan Barnes, Two vols, Prinction University Press,1995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Bird, Alexander, “Essences and Natural Kinds”; in Routledge Companion to Metaphysics, Abingdom, 2009, pp.497-506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the Metaphysics of natural kinds”; in Springer Netherlands, Synthese: 2015, pp.1-30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Carnap, Rudolf; Empiricism. Semantics and Ontology; in Meaning and Necessity, 2nd ed, Chicago, II: University of Chicago Press, 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Craig, Edward; Routledge Encyclopedia of Philosophy; London and New York: Routledge,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Ellis, Brian; Scientific Essentialism; Cambridge University Press,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Hume, David; A Treatise of Human Nature; ed. By L. A. Selby- Bigge, Oxford, 1951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Kitcher, Philip; the Advancement of Science; Oxford: University Press Oxford,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Lehrer, Keitth; Theory of Knowledge; U. S. A, Westview Press,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Locke, John; An Essay Concerning Human Understanding; Abriged and edit. A. S. Pringle- Pattison; Oxford: 1924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Psillos, S and Cord, M. ; The Routledge Companion to philosophy of Science; Routledge, New York: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Psillos, Stathis; Knowing The Structure of Nature; Essays on Realism and Explantion, palgrave, Macmillan,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Stathis; Scientific Realism: How Science Tracks Truth; London: Routledge,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Sankey, Howard; Scientific Realism and the Rationality of Science; Ashgate Publishing Company, England, 2007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4693085_581953129"/>
      <w:bookmarkStart w:id="187" w:name="_Toc67"/>
      <w:bookmarkEnd w:id="186"/>
      <w:r>
        <w:rPr>
          <w:rtl w:val="true"/>
        </w:rPr>
        <w:t>منابع برای مطالعه و پژوهش بیشتر</w:t>
      </w:r>
      <w:bookmarkEnd w:id="1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Aronson, Jerrold L, Rom Harr’e, Eileen Cornell Way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Realism rescued: How scientific Progress is possible; Open Court Publishiny Company, 1995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Bigelow, John &amp; Brian Ellis and Caroline Lierse, “The world as one of kind: natural necessity and laws of nature”, British Journal for the Philosophy of Science 43, 1992, pp.371-388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Bird, Alexander and Emma Tobin; Natural Kind, Stanford Encyclopedia of Philosophy, 2008, Substantive revision, 2017</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مقدمه‌ای عمومی بر انواع طبیعی و ذات‌گرایی در انواع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Bird, Alexander, Brian Ellis; “Howard Sankey &amp; Properties”; Powers and Structures: issues in the Metaphysics of Realism; Routleddge,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Bird, Alexander; “Scientific Progress”; Oxford University Press, 2016 , pp.544-563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The Metaphysics of Natural Kinds; Synthese, Springer Netherlands, 2015, pp.1-30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Caroline Lierse; “Natural Kind, Laws of Nature and Scientific Methodology”; Kluwer Academic Publishers, ed. P. Riggs, 1996, pp. 29-48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Ellis, Brian; Scientific Essentialism; Cambridge university Press, 2001</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مابعدالطبیعه علم مبتنی بر ذات‌گرایی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The Philosophy of Nature: A Guide to the New Essentialism; Acumen,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The Metaphysics of Scientific Realism; Montral: McGill, Queen’s University Press, 2010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Fales, Evan; “Essentialism and the Elementary Constituents of Matter”; Midwest Studies in Philosophy, Vol.XI, 1986, 391-402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Is Middle Knowlede Possible?”; Almost, Sophia, Vol.50, N.1, 2011, pp.1-9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Natural Kinds and Freaks of Nature”; Philosophy of Science, Vol.49, N.1, 1982, pp.67-90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Heil, John; The Universe as we Find it; Oxford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University Press,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Josep, Laporte; Natural Kinds and Conceptual Change; Combridge, 2004</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مقد‌مه‌ای کلیدی و بسیار روشن از موضوعات مربوط به انواع طبیعی ذات‌گرایی در 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Kripke, Saul A; Naming and Necessity; Harvard University Press, Blackwell,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Molnar, George; Power: A Study in Metaphysics; Varga S. Twice the man, Sydney Morning Herald 9 August,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Penelope Mackie; How things Might have Been; Oxford, 2006</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بحثی عالی و متأخر از ذات‌گرایی آغازین کریپکی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Psillos; Knowing the Structure of Nature: Essays on Realism and Explantion; Palgrave: Mac Millan,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Putnam, Hilaty; “Meaning of Meaning”; Minnesota Studies in the Philosophy of Science, N.7, 1975, pp.131-193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Samuel Kimpton- Nye; in defence of a Scientific essentialist account of Natural Law, University of London, 2016</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تز دکتری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Sankey, H.; “Causation and Laws of Nature”; Australasian Studies in History and Philosophy of Sience, Vol.14, Kluwer Academic Publishers, Dordrech, 1999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Scientific Realism and Rationality of Sience; Publishing Company, England,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Steiner, John Michael; An Anti – Reallist Theory of Natural Kinds, 2016</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نظر مخالف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Tuomas E. Takho; “Natural Kinds Essentialism Revisited”; Mind, Vol.124, N.4-5, 2015, pp.795-822</w:t>
      </w:r>
      <w:r>
        <w:rPr>
          <w:rFonts w:eastAsia="Times New Roman" w:cs="Times New Roman" w:ascii="Times New Roman" w:hAnsi="Times New Roman"/>
          <w:color w:val="111111"/>
          <w:sz w:val="28"/>
          <w:szCs w:val="28"/>
          <w:rtl w:val="true"/>
          <w:lang w:val="en-US" w:bidi="en-US"/>
        </w:rPr>
        <w:t xml:space="preserve">. </w:t>
      </w:r>
      <w:bookmarkStart w:id="188" w:name="pg5834_41887"/>
    </w:p>
    <w:p>
      <w:pPr>
        <w:pStyle w:val="Heading2"/>
        <w:numPr>
          <w:ilvl w:val="1"/>
          <w:numId w:val="1"/>
        </w:numPr>
        <w:rPr/>
      </w:pPr>
      <w:bookmarkStart w:id="189" w:name="__RefHeading___Toc4693087_581953129"/>
      <w:bookmarkStart w:id="190" w:name="_Toc68"/>
      <w:bookmarkEnd w:id="188"/>
      <w:bookmarkEnd w:id="189"/>
      <w:r>
        <w:rPr>
          <w:rtl w:val="true"/>
        </w:rPr>
        <w:t xml:space="preserve">دفاع از واقع‌گرایی هستی‌شناختی بدون التزام به واقع‌گرایی معرفت‌شناختی </w:t>
      </w:r>
      <w:r>
        <w:rPr>
          <w:rtl w:val="true"/>
        </w:rPr>
        <w:t xml:space="preserve">/ </w:t>
      </w:r>
      <w:r>
        <w:rPr>
          <w:rtl w:val="true"/>
        </w:rPr>
        <w:t>جهانگیر موذن‌زاده، میر‌سعید موسوی کریمی</w:t>
      </w:r>
      <w:bookmarkEnd w:id="190"/>
    </w:p>
    <w:p>
      <w:pPr>
        <w:pStyle w:val="Heading3"/>
        <w:numPr>
          <w:ilvl w:val="2"/>
          <w:numId w:val="1"/>
        </w:numPr>
        <w:rPr/>
      </w:pPr>
      <w:bookmarkStart w:id="191" w:name="__RefHeading___Toc4693089_581953129"/>
      <w:bookmarkStart w:id="192" w:name="_Toc69"/>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جهانگیر موذن‌زاده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میر‌سعید موسوی کریمی</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mirsaeid@gmail.com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24/11/96</w:t>
      </w:r>
    </w:p>
    <w:p>
      <w:pPr>
        <w:pStyle w:val="Heading3"/>
        <w:numPr>
          <w:ilvl w:val="2"/>
          <w:numId w:val="1"/>
        </w:numPr>
        <w:rPr/>
      </w:pPr>
      <w:bookmarkStart w:id="193" w:name="__RefHeading___Toc4693091_581953129"/>
      <w:bookmarkStart w:id="194" w:name="_Toc70"/>
      <w:bookmarkEnd w:id="193"/>
      <w:r>
        <w:rPr>
          <w:rtl w:val="true"/>
        </w:rPr>
        <w:t>چکیده</w:t>
      </w:r>
      <w:bookmarkEnd w:id="194"/>
    </w:p>
    <w:p>
      <w:pPr>
        <w:pStyle w:val="BookText"/>
        <w:rPr/>
      </w:pPr>
      <w:r>
        <w:rPr>
          <w:rFonts w:ascii="IRNazanin" w:hAnsi="IRNazanin" w:eastAsia="IRNazanin"/>
          <w:color w:val="111111"/>
          <w:sz w:val="28"/>
          <w:sz w:val="28"/>
          <w:szCs w:val="28"/>
          <w:rtl w:val="true"/>
          <w:lang w:bidi="fa-IR"/>
        </w:rPr>
        <w:t>واقع‌گرایی علمی را می‌توان متشکل از سه منظر معنا‌شناختی، معرفت‌شناختی و هستی‌شناختی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پوزیتیویست‌های منطقی که رویکرد حاکم بر تجربه‌گرایی در نیمۀ اول قرن بیستم بودند، به منظور طرد متافیزیک از ساحت علم، هر سه منظر فوق را رد کردند؛ اما ون فراسن در قالب رویکرد تجربه‌گرایی برساختی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هدف طرد متافیزیک از ساحت علم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تمایز میان هویت‌های مشاهده‌پذیر و مشاهده‌ناپذیر، منظر معناشناختی مد نظر واقع‌گرایان علمی را می‌پذیرد؛ ولی در مخالفت با واقع‌گرایان علمی از تمایزهای معرفت‌شناسانه و هستی‌شناسانۀ مشاهده‌پذیر و مشاهده‌ناپذیر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قصد داریم ضمن دفاع از تمایز معرفت‌شناسانۀ مشاهده‌پذیر و مشاهده‌ناپذیر مدنظر ون فراسن، با تکیه بر آموزه‌هایی از حکمت متعالیۀ ملاصدرا منکر تمایز هستی‌شناسانۀ مشاهده‌پذیر و مشاهده‌ناپذیر شده و از نوعی منظر واقع‌گرایی هستی‌شناسانه با نام واقع‌گرایی وجودی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نخست بنیان نظریۀ تجربه‌گرایی برساختی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چگونگی تمایز مشاهده‌پذیر و مشاهده‌ناپذیر و نقدهای وارد بر آن را توضیح می‌دهیم؛ سپس با توضیح دیدگاه اصالت وجود، نشان می‌دهیم که دیدگاه ضد واقع‌گرایی معرفت‌شناسانه ون فراسن با رویکرد واقع‌گرایی هستی شناسانه ملاصدرا قابل جمع‌اند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تجربه‌گرایی برساختی، مشاهده‌پذیر، مشاهده‌ناپذیر، ملاصدرا، واقع‌گرایی علمی، اصالت وجود، ون فراسن</w:t>
      </w:r>
      <w:r>
        <w:rPr>
          <w:rFonts w:eastAsia="IRNazanin" w:cs="IRNazanin"/>
          <w:color w:val="111111"/>
          <w:sz w:val="28"/>
          <w:szCs w:val="28"/>
          <w:rtl w:val="true"/>
          <w:lang w:bidi="fa-IR"/>
        </w:rPr>
        <w:t xml:space="preserve">. </w:t>
      </w:r>
      <w:bookmarkStart w:id="195" w:name="pg5834_41888"/>
    </w:p>
    <w:p>
      <w:pPr>
        <w:pStyle w:val="Heading3"/>
        <w:numPr>
          <w:ilvl w:val="2"/>
          <w:numId w:val="1"/>
        </w:numPr>
        <w:rPr/>
      </w:pPr>
      <w:bookmarkStart w:id="196" w:name="__RefHeading___Toc4693093_581953129"/>
      <w:bookmarkStart w:id="197" w:name="_Toc71"/>
      <w:bookmarkEnd w:id="195"/>
      <w:bookmarkEnd w:id="196"/>
      <w:r>
        <w:rPr>
          <w:rtl w:val="true"/>
        </w:rPr>
        <w:t>مقدمه</w:t>
      </w:r>
      <w:bookmarkEnd w:id="197"/>
    </w:p>
    <w:p>
      <w:pPr>
        <w:pStyle w:val="BookText"/>
        <w:rPr/>
      </w:pPr>
      <w:r>
        <w:rPr>
          <w:rFonts w:ascii="IRNazanin" w:hAnsi="IRNazanin" w:eastAsia="IRNazanin"/>
          <w:color w:val="111111"/>
          <w:sz w:val="28"/>
          <w:sz w:val="28"/>
          <w:szCs w:val="28"/>
          <w:rtl w:val="true"/>
          <w:lang w:bidi="fa-IR"/>
        </w:rPr>
        <w:t>واقع‌گرایی علمی را می‌توان دید‌گاهی ساخته‌شده از سه رویکرد خاص در معنا‌شناسی، معرفت‌شناسی و هستی‌شناسی دانست که واقع‌گرایان علمی آنها را ارکان به‌هم‌پیوستۀ واقع‌گرایی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واقع‌گرایان علمی بر این باورند جهان ماهیت به‌هم‌پیوسته‌ای دارد که هیچ‌گونه تمایز هستی‌شناسانه‌ای میان هویت‌های مشاهده‌پذیر و مشاهده‌ناپذیر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معنا‌شناختی نیز واژه‌ها و عبارت‌های حاکی از این ماهیت‌ها، تمایز ماهوی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از دیدگاه معرفت‌شناسی دستیابی معرفتی ما به آن هویت‌ها، یکسان است؛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علم این است که با نظریه‌هایش، بیان تحت‌الفظی صادقی از آنچه جهان شبیه به آن است، ارائه دهد و پذیرش یک دیدگاه علمی به‌مثابه باور به صدق آن نظریه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1980, p.8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اما ضد واقع‌گرایان با اهداف فراوان و گوناگون که یکی از مهم‌ترین آنها را می‌توان طرد باورهای متافیزیکی از ساحت علم تجربی معرفی کرد، منکر چنین رویکرد یکپارچه‌ای به علم و عالم هستند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پوزیتیویست‌های منطقی به عنوان رویکرد حاکم بر تجربه‌گرایی در نیمۀ اول سدۀ بیستم بر این باور بودند تمایز مشاهده‌پذیر و مشاهده‌ناپذیر در هر سه منظر معناشناختی، معرفت‌شناختی و هستی‌شناختی نسبت به علم و عالم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فراسن در رویکردی که آن را تجربه‌گرایی برساختی نامیده، نگاه و ذهنیت دو‌گانۀ افراطی پوزیتیویست‌های منطقی به زبان و هویت‌های تشکیل‌دهندۀ عالم را نپذیرفته و معتقد است چنین استراتژی نه تنها موضع متقنی در رویارویی با واقع‌گرایی نیست، بلکه برای خود سنت تجربه‌گرایی نیز مضر است؛ ازاین رو مضر است که بهانه به دست واقع‌گرایانی می‌دهد که قصد دارند تجربه‌گرایی را از ریشه بزنند؛ ازاین‌رو ون فراسن در توافق با واقع‌گرایان علمی، تمایز مشاهده‌پذیر و مشاهده‌ناپذیر را در سطح معنا‌شناختی برقرار ندانسته و از نوعی واقع‌گرایی معنا‌شناختی دفاع می‌کند؛ اما در ادامه معتقد است دفاع از واقع‌گرایی معنا‌شناختی بدین معنا نیست که باید ارکان دیگر واقع‌گرایی علمی را نیز </w:t>
      </w:r>
    </w:p>
    <w:p>
      <w:pPr>
        <w:pStyle w:val="BookText"/>
        <w:rPr/>
      </w:pPr>
      <w:r>
        <w:rPr>
          <w:rFonts w:ascii="IRNazanin" w:hAnsi="IRNazanin" w:eastAsia="IRNazanin"/>
          <w:color w:val="111111"/>
          <w:sz w:val="28"/>
          <w:sz w:val="28"/>
          <w:szCs w:val="28"/>
          <w:rtl w:val="true"/>
          <w:lang w:bidi="fa-IR"/>
        </w:rPr>
        <w:t>دربست پذیرفت؛ بنابراین به‌شدت از تمایز معرفت‌شناسانۀ مشاهده‌پذیر و مشاهده‌ناپذیر دفاع کرده و بر خلاف واقع‌گرایان علمی، دسترسی معرفتی ما به همۀ هویت‌های جهان را در یک سطح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فراسن با معرفی تمایز باورمعرفتی و پذیرش پراگماتیک، دیدگاه واقع‌گرایی معرفت‌شناختی مدنظر واقع‌گرایان علمی را مردود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که تکلیف واقع‌گرایی هستی‌شناختی چیست؟ آیا تمایز مشاهده‌پذیر و مشاهده‌ناپذیر در سطح هستی‌شناختی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واقع‌گرایان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است؛ زیرا در رویارویی با عالم، با هستی‌شناسی یکپارچه‌ای روبه‌رو هستیم یا آن‌گونه که پوزیتیویست‌های منطقی معتقد بودند، چنین تمایزی برقرار است؟ ون فراسن در قبال چنین پرسشی موضع مستقیم و متقنی ارائه نمی‌دهد و بر این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دربارۀ چیزی صحبت می‌کنم که مشاهده‌ناپذیر است، می‌توان در باب وجود آن لاادری بود و حتی می‌توان گفت وجود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2001, p.151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نظر می‌رسد ون فراسن با موضع لاادری که دربارۀ وجود هویت‌های مشاهده‌ناپذیر می‌گیرد، معتقد است در حوزۀ علم نیازی به پاسخ‌دادن به چنین پرسشی نداریم؛ ولی دست‌کم در حوزۀ فلسفۀ علم پاسخ‌دادن به چنین پرسشی لازم است و باید دید فیلسوفان علمی که به این پرسش در حوزۀ فلسفۀ علم پرداخته‌اند، چه عقیده‌ای 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به نظر می‌توان در موضوع مورد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مشاهده‌ناپذیرها – راهبرد خود ون فراسن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پذیرش واقع‌گرایی معنا‌شناختی و طرد واقع‌گرایی معرفت‌شناختی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گرفت و معتقد شد حتی پذیرش دلایل ون فراسن در طرد منظر واقع‌گرایی معرفت‌شناختی به معنای پذیرش دربست تجربه‌گرایی برساختی و دیگر رکن آن، یعنی طرد واقع‌گرایی هستی‌شناختی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می‌توان با پذیرفتن تمایز معرفت‌شناسانۀ مشاهده‌پذیر و مشاهده‌ناپذیر ون فراسن و درنتیجه طرد منظر واقع‌گرایی معرفت‌شناسانه،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 هستی‌شناختی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و از شهود واقع‌گرایانۀ مبنی بر وجود هویت‌های مشاهده‌ناپذیر دفاع کرد؛ حتی اگر ناچار باشیم دربارۀ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هویت‌ها که نظریه‌های علمی پیش نهاده‌اند، </w:t>
      </w:r>
      <w:bookmarkStart w:id="198" w:name="pg5834_41890"/>
    </w:p>
    <w:p>
      <w:pPr>
        <w:pStyle w:val="BookText"/>
        <w:rPr/>
      </w:pPr>
      <w:bookmarkEnd w:id="198"/>
      <w:r>
        <w:rPr>
          <w:rFonts w:ascii="IRNazanin" w:hAnsi="IRNazanin" w:eastAsia="IRNazanin"/>
          <w:color w:val="111111"/>
          <w:sz w:val="28"/>
          <w:sz w:val="28"/>
          <w:szCs w:val="28"/>
          <w:rtl w:val="true"/>
          <w:lang w:bidi="fa-IR"/>
        </w:rPr>
        <w:t>به‌مثابه امور واقعی، موضعی تردیدآمیز و لاادری در پیش بگیریم؛ ازاین‌رو در این مقاله می‌کوشیم نشان دهیم با اتکا بر آموزه‌هایی از حکمت متعالیۀ ملاصدرا می‌توان حتی در عین پذیرش موضع معرفت‌شناختی ون فراسن، از نوعی نگرش واقع‌گرایی وجود‌شناختی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نخست در بخش دوم پژوهش به شرح مختصری از رویکرد تجربه‌گرایی برساختی ون فراسن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تمایز مشاهده‌پذیر و مشاهده‌ناپذیر را معرفی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به انتقادهای عمده‌ای که علیه تمایز معرفت‌شناسانۀ مشاهده‌پذیر و مشاهده‌ناپذیر طرح شده و پاسخ ون فراسن به این انتقادها پرداخته و از تمایز معرفت‌شناسانۀ مشاهده‌پذیر و مشاهده‌ناپذیر دفاع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پنجم– نیز می‌کوشیم با طرد رویکرد حاکم در فلسفۀ تحلیلی معاصر، نسبت به مفهوم وجود و بر اساس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به دفاع از منظر واقع‌گرایی هستی‌شناختی بپردازیم</w:t>
      </w:r>
      <w:r>
        <w:rPr>
          <w:rFonts w:eastAsia="IRNazanin" w:cs="IRNazanin"/>
          <w:color w:val="111111"/>
          <w:sz w:val="28"/>
          <w:szCs w:val="28"/>
          <w:rtl w:val="true"/>
          <w:lang w:bidi="fa-IR"/>
        </w:rPr>
        <w:t>.</w:t>
      </w:r>
    </w:p>
    <w:p>
      <w:pPr>
        <w:pStyle w:val="Heading3"/>
        <w:numPr>
          <w:ilvl w:val="2"/>
          <w:numId w:val="1"/>
        </w:numPr>
        <w:rPr/>
      </w:pPr>
      <w:bookmarkStart w:id="199" w:name="__RefHeading___Toc4693095_581953129"/>
      <w:bookmarkStart w:id="200" w:name="_Toc72"/>
      <w:bookmarkEnd w:id="199"/>
      <w:r>
        <w:rPr>
          <w:rtl w:val="true"/>
        </w:rPr>
        <w:t>الف</w:t>
      </w:r>
      <w:r>
        <w:rPr>
          <w:rtl w:val="true"/>
        </w:rPr>
        <w:t xml:space="preserve">) </w:t>
      </w:r>
      <w:r>
        <w:rPr>
          <w:rtl w:val="true"/>
        </w:rPr>
        <w:t>معرفی تجربه‌گرایی برساختی ون فراسن</w:t>
      </w:r>
      <w:bookmarkEnd w:id="200"/>
    </w:p>
    <w:p>
      <w:pPr>
        <w:pStyle w:val="BookText"/>
        <w:rPr/>
      </w:pPr>
      <w:r>
        <w:rPr>
          <w:rFonts w:ascii="IRNazanin" w:hAnsi="IRNazanin" w:eastAsia="IRNazanin"/>
          <w:color w:val="111111"/>
          <w:sz w:val="28"/>
          <w:sz w:val="28"/>
          <w:szCs w:val="28"/>
          <w:rtl w:val="true"/>
          <w:lang w:bidi="fa-IR"/>
        </w:rPr>
        <w:t xml:space="preserve">ون فراسن هدف خود از ارائۀ موضع تجربه‌گرایی برساختی 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Constructive Empiricism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تصویر علمی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ScientificImage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مخالفت با رویکرد واقع‌گرایی علمی معرفی می‌کند؛ رویکردی که از نیمۀ دوم قرن بیستم به بعد، موضع حاکم بر مجامع فلسفۀ علم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واقع‌گرایی علمی را می‌توان برساخته از سه تز یا منظر دانست که هر کدام از مکتب‌های ضد‌واقع‌گرایانه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رویکرد تجربه‌گرایی برساختی ون فراسن– واکنش مستقیمی در برابر یکی از این سه منظر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منظر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معنا‌شناختی، واقع‌گرایی معنا‌شناسانه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 Realism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دیدگاه‌های علمی را باید به ارزش ظاهریشان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Face Value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Psillos,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نه صرفاً به ارزش قابل نقدشدن آنها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Cash Value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بیان دیگر باید حجیت ظاهر گزاره‌های علمی را پذیرفت و سخن از هویت‌های مشاهده‌ناپذیر در نظریه‌های</w:t>
      </w:r>
    </w:p>
    <w:p>
      <w:pPr>
        <w:pStyle w:val="BookText"/>
        <w:rPr/>
      </w:pPr>
      <w:r>
        <w:rPr>
          <w:rFonts w:ascii="IRNazanin" w:hAnsi="IRNazanin" w:eastAsia="IRNazanin"/>
          <w:color w:val="111111"/>
          <w:sz w:val="28"/>
          <w:sz w:val="28"/>
          <w:szCs w:val="28"/>
          <w:rtl w:val="true"/>
          <w:lang w:bidi="fa-IR"/>
        </w:rPr>
        <w:t xml:space="preserve">علمی را باید چنین حمل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صادق است، هویت‌های مشاهده‌ناپذیر فرض‌شده در آن، ساکنان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واقع‌گرایی علمی در رویارویی با مواضع ضد واقع‌گرایی، چون ابزارگرایی حذف‌گرایانه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Eliminative Instrumentalism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تجربه‌گرایی تحویلی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Reductive Empiricism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معرفت‌شناختی، واقع‌گرایی معرفت‌شناسانه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EpistemicRrealism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بالغ و موفق در پیش‌بینی، توصیف قابل تأیید و تقریباً صادقی از جهان هستند؛ ازاین‌رو هویت‌های مفروض از سوی آنها، یا هویت‌های نزدیک به آنچه در آنها مفروض است، ساکنان جهان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منظر، واقع‌گرایی معرفت‌شناسانه که می‌توان آن را خوش‌بینی معرفتی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Epistemicoptimism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نامید، در برابر خوانش‌های شکاکانه و لاادری‌گرایانۀ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Agnostic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تجربه‌گرایی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منظر هستی‌شناختی، واقع‌گرایی هستی‌شناسانه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ساختاری متعین و مستقل از ذهن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 منظر، واقع‌گرایی علمی در تقابل با برداشت‌های ضد واقع‌گرایانه‌ای از علم چون ایدئالیسم و پدیدارگرایی سنتی یا برداشت‌های جدید‌تر تحقیق‌گرایی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Verificationism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دامت و پاتنم قرار می‌گیرد که بر پایۀ تعبیری معرفت‌شناسانه از مفهوم صدق، تمایزی میان آنچه در جهان وجود دارد و آنچه وجودش توسط سازوکاری معرفتی موجه شده است، قائل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 فراسن به عنوان یک تجربه‌گرا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 به نظریه‌هایی نیازمند است که تنها به آنچه مشاهده‌پذیر است، ارزش صدق می‌دهند و ساختار‌های مفروض اضافی را وسیله‌ای در خدمت این هدف به شمار می‌آورد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ازاین‌رو برای تحقق هدف علم، نیازی به تحقیق صدق دربارۀ ساختار‌ها و فرایندهای مفروض واقع در پس پدیدار نیست، مگر در خصوص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به لحاظ تجربی آزمون‌پذیر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ون فراسن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علم این است نظریه‌هایی ارائه دهد که کفایت تجربی دارند و پذیرش یک دیدگاه تنها به‌مثابه باور به کفایت تجربی‌داشتن آن نظریه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1980, p.12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کفایت تجربی‌داشتن یک نظریه نیز به </w:t>
      </w:r>
    </w:p>
    <w:p>
      <w:pPr>
        <w:pStyle w:val="BookText"/>
        <w:rPr/>
      </w:pPr>
      <w:r>
        <w:rPr>
          <w:rFonts w:ascii="IRNazanin" w:hAnsi="IRNazanin" w:eastAsia="IRNazanin"/>
          <w:color w:val="111111"/>
          <w:sz w:val="28"/>
          <w:sz w:val="28"/>
          <w:szCs w:val="28"/>
          <w:rtl w:val="true"/>
          <w:lang w:bidi="fa-IR"/>
        </w:rPr>
        <w:t xml:space="preserve">این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نظریه در باب چیزها و حوادث مشاهده‌پذیر در این جهان می‌گوید، صادق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واقع‌گرایی علمی به‌شدت با تعبیر زبانشناسانه‌ای که از تجربه‌گرایی از سوی پوزیتیویسم منطقی ارائه شده و در تقابل با منظر واقع‌گرایی معنا‌شناسانه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Semantic Realism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دارد، مخالفت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فراسن نیز در موافقت با واقع‌گرایان علمی معتقد است این تعبیر از تجربه‌گرایی دیگر در فلسفۀ علم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ون فراسن همچنان از مواضع بنیادین تجربه‌گرایی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طرد متافیزیک از ساحت علم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کرده و بر این باور است نپذیرفتن تعبیر زبان‌شناسانۀ پوزیتیویسم منطقی از تجربه‌گرایی، بدین معنا نیست که باید همۀ موضع تجربه‌گرایی را رها کرده و به دامان واقع‌گرایی علمی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 فراسن در کتاب تصویر علمی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به‌شدت با ورود باورهای متافیزیکی در تبیین ساختار نظریه‌های علمی مخالف است و در دفاع از تجربه‌گرایی برساختی معتقد است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بهتری از علم و فعالیت علمی نسبت به واقع‌گرایی، بدون اتکا بر متافیزیکی متورم ارائه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اما وی در آثار پایانی خود به این نکته اشاره کرده است که این شهود متافیزیک‌ستیز نباید به گونه‌ای برآورده شود که خود مبتلا و مبتنی بر اندیشه‌های متافیزیکی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وی بر این باور است پیروی کورکورانه از یکی از فریب‌های بزرگ درس‌نامه‌های فلسفی بر پایۀ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 به عنوان موضعی که بنا بر آن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اطلاعات دربارۀ جهان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2007, p.366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وی نیز در بخشی از نوشته‌هایش ازجمله پاسخش به منتقدان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تجربه‌گرایی در فلسفۀ علم</w:t>
      </w:r>
      <w:r>
        <w:rPr>
          <w:rFonts w:eastAsia="IRNazanin" w:cs="IRNazanin"/>
          <w:color w:val="111111"/>
          <w:sz w:val="28"/>
          <w:szCs w:val="28"/>
          <w:rtl w:val="true"/>
          <w:lang w:bidi="fa-IR"/>
        </w:rPr>
        <w:t>»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قوانین و تقارن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اشتباه تبعیت کرده، نقض غرض و اتکا بر متافیزیک در طرد متافیزیک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 فراسن برای تصحیح برداشت نا‌درست از تجربه‌گرایی به عنوان منبع دانش،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تجربه‌گرایی باید به جای یک تز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Thesis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یک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نگاه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2002, p.61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نگرشی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ارزش‌هایی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Values</w:t>
      </w:r>
      <w:r>
        <w:rPr>
          <w:rFonts w:eastAsia="Times New Roman" w:cs="Times New Roman" w:ascii="Times New Roman" w:hAnsi="Times New Roman"/>
          <w:color w:val="111111"/>
          <w:sz w:val="28"/>
          <w:szCs w:val="28"/>
          <w:rtl w:val="true"/>
          <w:lang w:val="en-US" w:bidi="en-US"/>
        </w:rPr>
        <w:t xml:space="preserve">) </w:t>
      </w:r>
      <w:bookmarkStart w:id="201" w:name="pg5834_41893"/>
    </w:p>
    <w:p>
      <w:pPr>
        <w:pStyle w:val="BookText"/>
        <w:rPr/>
      </w:pPr>
      <w:bookmarkEnd w:id="201"/>
      <w:r>
        <w:rPr>
          <w:rFonts w:ascii="IRNazanin" w:hAnsi="IRNazanin" w:eastAsia="IRNazanin"/>
          <w:color w:val="111111"/>
          <w:sz w:val="28"/>
          <w:sz w:val="28"/>
          <w:szCs w:val="28"/>
          <w:rtl w:val="true"/>
          <w:lang w:bidi="fa-IR"/>
        </w:rPr>
        <w:t>است که بدون آنها قابل درک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2014, p.200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گمان ون فراسن یک نگرش، ترکیبی از گرایش‌ها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Attitudes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تعهدات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Commitments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رویکردها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Approaches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گاهی باورهاست؛ ازاین‌رو ون فراسن باور دارد که تجربه‌گرابودن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پذیرش نگرش خاصی دربارۀ تحقیق عقلانی است؛ نگرشی که به‌یقین می‌تواند شامل داشتن باورهای خاصی باشد، ولی باید دارای برخی ارزش‌ها، مقاصد، نگرش‌ها، رویه‌ها و تعهدات دیگری باشد که نشان دهد یک پژوهش عقلانی چگونه باید پیش برود؟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Mohler, 2007, p.209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لذا ون فراسن هدف خود را از یک سو کوشش برای دفاع از تجربه‌گرایی به روشی غیر از آنچه پوزیتیویسم منطقی در پیش گرفت و از سوی دیگر مخالفت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فاحش واقع‌گرایی علمی دربارۀ جسمیت‌بخشیدن به هر آنچه این قابلیت را ندارد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1980, p.4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با وجود موافقت با واقع‌گرایان علمی در دفاع از منظر واقع‌گرایی معنا‌شناختی، به‌شدت با منظر واقع‌گرایی معرفت‌شناختی مخالف بوده و از تمایز معرفت‌شناسانۀ مشاهده‌پذیر و مشاهده‌ناپذیر دفاع می‌کند؛ ازاین‌رو تمایز مشاهده‌پذیر و مشاهده‌ناپذیر میان هویت‌های تشکیل‌دهندۀ جهان از ارکان اساسی رویکرد تجربه‌گرایی برساختی ون فراسن است که منتقدان ون فراسن نیز برای نقد رویکرد او، بیشتر به نقد این تمایز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این تمایز و نظر منتقدان می‌پردازیم</w:t>
      </w:r>
      <w:r>
        <w:rPr>
          <w:rFonts w:eastAsia="IRNazanin" w:cs="IRNazanin"/>
          <w:color w:val="111111"/>
          <w:sz w:val="28"/>
          <w:szCs w:val="28"/>
          <w:rtl w:val="true"/>
          <w:lang w:bidi="fa-IR"/>
        </w:rPr>
        <w:t>.</w:t>
      </w:r>
    </w:p>
    <w:p>
      <w:pPr>
        <w:pStyle w:val="Heading3"/>
        <w:numPr>
          <w:ilvl w:val="2"/>
          <w:numId w:val="1"/>
        </w:numPr>
        <w:rPr/>
      </w:pPr>
      <w:bookmarkStart w:id="202" w:name="__RefHeading___Toc4693097_581953129"/>
      <w:bookmarkStart w:id="203" w:name="_Toc73"/>
      <w:bookmarkEnd w:id="202"/>
      <w:r>
        <w:rPr>
          <w:rtl w:val="true"/>
        </w:rPr>
        <w:t>ب</w:t>
      </w:r>
      <w:r>
        <w:rPr>
          <w:rtl w:val="true"/>
        </w:rPr>
        <w:t xml:space="preserve">) </w:t>
      </w:r>
      <w:r>
        <w:rPr>
          <w:rtl w:val="true"/>
        </w:rPr>
        <w:t>تمایز مشاهده‌پذیر و مشاهده‌ناپذیر از نگاه ون فراسن</w:t>
      </w:r>
      <w:bookmarkEnd w:id="20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همان‌گونه‌که اشاره شد، ون فراسن بر این باور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علم این است که نظریه‌هایی ارائه دهد که کفایت تجربی دارند و پذیرش یک دیدگاه تنها به‌مثابه باور به کفایت تجربی‌داشتن آن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کفایت تجربی‌داشتن یک دیدگاه نیز بدین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نظریه دربارۀ چیزها و حوادث مشاهده‌پذیر در این جهان می‌گوید، صادق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حال پرسش از ون فراسن این است که منظورش از هویت‌ها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وی در پاسخ به این پرسش بر این باور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مشاهده، ادراک </w:t>
      </w:r>
      <w:bookmarkStart w:id="204" w:name="pg5834_41894"/>
    </w:p>
    <w:p>
      <w:pPr>
        <w:pStyle w:val="BookText"/>
        <w:rPr/>
      </w:pPr>
      <w:bookmarkEnd w:id="204"/>
      <w:r>
        <w:rPr>
          <w:rFonts w:ascii="IRNazanin" w:hAnsi="IRNazanin" w:eastAsia="IRNazanin"/>
          <w:color w:val="111111"/>
          <w:sz w:val="28"/>
          <w:sz w:val="28"/>
          <w:szCs w:val="28"/>
          <w:rtl w:val="true"/>
          <w:lang w:bidi="fa-IR"/>
        </w:rPr>
        <w:t>است و ادراک چیزی است که بدون ابزار برای ما فراهم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2001, p.154/ Ibid, 2008, p.93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 فراسن به‌صراحت معتقد است اگر نظریه دربارۀ هویت‌ها مشاهده‌ناپذیر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علاقه‌ای به اثبات ارزش صدق ندارد؛ بلکه خود را محدود به وظیفۀ فروتنانه‌تر ارزیابی کفایت تجربی نظریه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Sober, 1985, p.11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سوی دیگر اگر دیدگاه منحصراً دربارۀ مشاهده‌پذیر‌هاست، آن‌گاه کفایت تجربی و صدق هم‌پوشانی دارند؛ ازاین‌رو این تمایز یک نقش معرفت‌شناسانه بازی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مرزی میان آنچه به لحاظ معرفتی در دسترس است و نیست، رسم می‌کند و اینکه همۀ گزاره‌هایی که در مورد جهان مشاهده‌ناپذیر هستند، قابل تصمیم گیری نیستند و هیچ شاهدی نمی‌تواند باور منسوب به ادعاهای نظری دربارۀ جهان مشاهده‌ناپذیر را تضمین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Psillos, 1996, p.34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 فراسن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همۀ هویت‌های تشکیل‌دهندۀ عالم تعلق نمی‌گیرد و صرفاً مجاز هستیم به برخی ماهیت‌های جهان باور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پرسش مطرح می‌شود که به چه هویت‌هایی باور داشته باشیم و به چه هویت‌هایی باور نداشته باشیم؟ پاسخ واقع‌گرایان این است که نمی‌توان ماهیت‌های تشکیل‌دهندۀ عالم را به دو بخش مشاهده‌پذیر و مشاهده‌ناپذیر تقسیم کرد؛ ولی پاسخ ون فراسن به این پرسش مثبت بوده و بر این باور است، نه تنها امکان تقسیم هویت‌های تشکیل‌دهندۀ عالم به دو بخش مشاهده‌پذیر و مشاهده‌ناپذیر وجود دارد، بلکه ارائه چنین تقسیم‌بندی را ضروری می‌داند؛ درواقع بر پایۀ تبیین این ضرورت و امکان تقسیم‌بندی هویت‌های جهان به هویت‌های مشاهده‌پذیر و هویت‌های مشاهده‌ناپذیر است که موضع تجربه‌گرایی برساختی وی شکل می‌گیرد</w:t>
      </w:r>
      <w:r>
        <w:rPr>
          <w:rFonts w:eastAsia="IRNazanin" w:cs="IRNazanin"/>
          <w:color w:val="111111"/>
          <w:sz w:val="28"/>
          <w:szCs w:val="28"/>
          <w:rtl w:val="true"/>
          <w:lang w:bidi="fa-IR"/>
        </w:rPr>
        <w:t>.</w:t>
      </w:r>
    </w:p>
    <w:p>
      <w:pPr>
        <w:pStyle w:val="Heading3"/>
        <w:numPr>
          <w:ilvl w:val="2"/>
          <w:numId w:val="1"/>
        </w:numPr>
        <w:rPr/>
      </w:pPr>
      <w:bookmarkStart w:id="205" w:name="__RefHeading___Toc4693099_581953129"/>
      <w:bookmarkStart w:id="206" w:name="_Toc74"/>
      <w:bookmarkEnd w:id="205"/>
      <w:r>
        <w:rPr>
          <w:rtl w:val="true"/>
        </w:rPr>
        <w:t>ج</w:t>
      </w:r>
      <w:r>
        <w:rPr>
          <w:rtl w:val="true"/>
        </w:rPr>
        <w:t xml:space="preserve">) </w:t>
      </w:r>
      <w:r>
        <w:rPr>
          <w:rtl w:val="true"/>
        </w:rPr>
        <w:t>انتقادها علیه تمایز مشاهده‌پذیر و مشاهده‌ناپذیر</w:t>
      </w:r>
      <w:bookmarkEnd w:id="206"/>
    </w:p>
    <w:p>
      <w:pPr>
        <w:pStyle w:val="Heading4"/>
        <w:numPr>
          <w:ilvl w:val="3"/>
          <w:numId w:val="1"/>
        </w:numPr>
        <w:rPr/>
      </w:pPr>
      <w:bookmarkStart w:id="207" w:name="__RefHeading___Toc4693101_581953129"/>
      <w:bookmarkStart w:id="208" w:name="_Toc75"/>
      <w:bookmarkEnd w:id="207"/>
      <w:r>
        <w:rPr>
          <w:rtl w:val="true"/>
        </w:rPr>
        <w:t>اشاره</w:t>
      </w:r>
      <w:bookmarkEnd w:id="2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ارائۀ رویکرد تجربه‌گرایی برساختی و ابتنای آن بر تمایز مشاهده‌پذیر و مشاهده‌ناپذیر از سوی ون فراسن، انتقادهای زیادی ضد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این انتقادها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بر رکن اساسی این رویکرد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تمایز مشاهده‌پذیر و مشاهده‌ناپذیر </w:t>
      </w:r>
      <w:bookmarkStart w:id="209" w:name="pg5834_41895"/>
    </w:p>
    <w:p>
      <w:pPr>
        <w:pStyle w:val="BookText"/>
        <w:rPr/>
      </w:pPr>
      <w:bookmarkEnd w:id="209"/>
      <w:r>
        <w:rPr>
          <w:rFonts w:ascii="IRNazanin" w:hAnsi="IRNazanin" w:eastAsia="IRNazanin"/>
          <w:color w:val="111111"/>
          <w:sz w:val="28"/>
          <w:sz w:val="28"/>
          <w:szCs w:val="28"/>
          <w:rtl w:val="true"/>
          <w:lang w:bidi="fa-IR"/>
        </w:rPr>
        <w:t>میان هویت‌های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انتقادهای منتقدان علیه این تمایز را می‌توان در قالب سه انتقاد اصلی مطرح کرد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ناسازگاری، انتقاد جامعۀ معرفتی و انتقاد علی‌الاصول مشاهده‌ناپذیر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بیان مختصر این انتقادها و پاسخ‌های ممکن به آنها اشاره می‌کنیم</w:t>
      </w:r>
      <w:r>
        <w:rPr>
          <w:rFonts w:eastAsia="IRNazanin" w:cs="IRNazanin"/>
          <w:color w:val="111111"/>
          <w:sz w:val="28"/>
          <w:szCs w:val="28"/>
          <w:rtl w:val="true"/>
          <w:lang w:bidi="fa-IR"/>
        </w:rPr>
        <w:t>.</w:t>
      </w:r>
    </w:p>
    <w:p>
      <w:pPr>
        <w:pStyle w:val="Heading4"/>
        <w:numPr>
          <w:ilvl w:val="3"/>
          <w:numId w:val="1"/>
        </w:numPr>
        <w:rPr/>
      </w:pPr>
      <w:bookmarkStart w:id="210" w:name="__RefHeading___Toc4693103_581953129"/>
      <w:bookmarkStart w:id="211" w:name="_Toc76"/>
      <w:bookmarkEnd w:id="210"/>
      <w:r>
        <w:rPr/>
        <w:t>1</w:t>
      </w:r>
      <w:r>
        <w:rPr>
          <w:rtl w:val="true"/>
        </w:rPr>
        <w:t xml:space="preserve">. </w:t>
      </w:r>
      <w:r>
        <w:rPr>
          <w:rtl w:val="true"/>
        </w:rPr>
        <w:t>انتقاد ناسازگاری</w:t>
      </w:r>
      <w:bookmarkEnd w:id="211"/>
    </w:p>
    <w:p>
      <w:pPr>
        <w:pStyle w:val="BookText"/>
        <w:rPr/>
      </w:pPr>
      <w:r>
        <w:rPr>
          <w:rFonts w:ascii="IRNazanin" w:hAnsi="IRNazanin" w:eastAsia="IRNazanin"/>
          <w:color w:val="111111"/>
          <w:sz w:val="28"/>
          <w:sz w:val="28"/>
          <w:szCs w:val="28"/>
          <w:rtl w:val="true"/>
          <w:lang w:bidi="fa-IR"/>
        </w:rPr>
        <w:t xml:space="preserve">از ابتدای ارائۀ موضع تجربه‌گرایی برساختی از سوی ون فراسن در کتاب تصویر علمی، انتقاد بر پایۀ وجود ناسازگاری در موضع وی با بیان‌های مختلفی از سوی فیلسوفانی چون فریدمن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Friedman, 1982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ماسگریو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Musgrave, 1985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ویلسون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Wilson, 1985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چرچلند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Churchland, 1985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دیکن و لیپتون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Dicken &amp; Lipton,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انتقاد بر پایۀ وجود ناسازگاری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 ون فراسن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هدف علم، بر خلاف آنچه واقع‌گرایان علمی ارائۀ نظریات صادق دربارۀ جهان می‌دانند، ارائۀ دیدگاه‌هایی است که کفایت تجربی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کفایت تجربی‌داشتن یک دیدگاه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به‌طوردقیق بدین معناست آنچه نظریه دربارۀ اشیا و حوادث مشاهده‌پذیر این جهان می‌گوید، صادق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1980, p.12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حال چنان‌که ون فراسن معتقد است، نظریه‌ای بگوید که هویتی مشاهده‌ناپذیر است، آن‌گاه بنا بر تعریف‌های گفته‌شده هنوز دلیلی ارائه نکرده که 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مشاهده‌ناپذیر دانستن این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داشته باشیم؟</w:t>
      </w:r>
    </w:p>
    <w:p>
      <w:pPr>
        <w:pStyle w:val="Heading4"/>
        <w:numPr>
          <w:ilvl w:val="3"/>
          <w:numId w:val="1"/>
        </w:numPr>
        <w:rPr/>
      </w:pPr>
      <w:bookmarkStart w:id="212" w:name="__RefHeading___Toc4693105_581953129"/>
      <w:bookmarkStart w:id="213" w:name="_Toc77"/>
      <w:bookmarkEnd w:id="212"/>
      <w:r>
        <w:rPr/>
        <w:t>2</w:t>
      </w:r>
      <w:r>
        <w:rPr>
          <w:rtl w:val="true"/>
        </w:rPr>
        <w:t xml:space="preserve">. </w:t>
      </w:r>
      <w:r>
        <w:rPr>
          <w:rtl w:val="true"/>
        </w:rPr>
        <w:t>پاسخ به انتقاد ناسازگاری</w:t>
      </w:r>
      <w:bookmarkEnd w:id="21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 فراسن در پاسخ به این اعتراض بر این باور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اصل معرفتی نیست که کسی را برای دزدیدن گوسفندی همان‌قدر جریمه کنند که برای دزدیدن بره جریمه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شاید دزدیدن گوسفند به جای بره وقتی که مجازات در هر دو مورد اعدام است، اصلی معقول باشد، ولی نمی‌توان آن را اصلی معرفت‌افزا دانست؛ به بیان دیگر اگر هیوم هم واقع‌گرایان و هم ضد‌واقع‌گرایان را مواجه با معضل استقرا و متهم </w:t>
      </w:r>
      <w:bookmarkStart w:id="214" w:name="pg5834_41896"/>
    </w:p>
    <w:p>
      <w:pPr>
        <w:pStyle w:val="BookText"/>
        <w:rPr/>
      </w:pPr>
      <w:bookmarkEnd w:id="214"/>
      <w:r>
        <w:rPr>
          <w:rFonts w:ascii="IRNazanin" w:hAnsi="IRNazanin" w:eastAsia="IRNazanin"/>
          <w:color w:val="111111"/>
          <w:sz w:val="28"/>
          <w:sz w:val="28"/>
          <w:szCs w:val="28"/>
          <w:rtl w:val="true"/>
          <w:lang w:bidi="fa-IR"/>
        </w:rPr>
        <w:t>به استنتاج نا‌معتبر هویت‌های مشاهده‌نشده از مشاهده‌شده کرده است، دلیل ندارد آن‌گونه که چرچلند پنداشته ضد واقع‌گرایان نتوانند واقع‌گرایان را متهم به معضلی مضاعف به نام معضل مشاهده‌ناپذیر‌ها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 فراسن می‌کوشد این انتقاد را با روشن‌کردن موضعش دربارۀ نقش مدل‌ها و زیرساخت‌های تجربی آنها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این باور است ارائۀ یک نظریه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مشخص‌کردن طبقه‌ای از ساختارها به عنوان مدل‌های آن دیدگاه؛ ثانیاً معین‌کردن بخش‌های خاصی از آن مدل‌ها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زیرساخت‌های تجربی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Empirical Substructures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نمایندگانی برای بازنمایی مستقیم پدیده‌های مشاهده‌پذیر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p.64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عبارت دیگر ون فراسن معتقد است این مدل‌های بالقوه توسط زیرساخت‌هایی که نمایندگانی برای بازنمایی مستقیم پدیده‌های مشاهده‌پذیر هستند، برگزیده شده و به فعلیت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حاوی چنین گزاره‌ای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گزارۀ هویت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مدلی ندارد که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میان زیر‌ساختارهای تجربی آن رخ دهد؛ ازاین‌رو اگر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واقعی و مشاهده‌پذیر باشد، چنین نیست که همۀ پدیده‌های مشاهده‌پذیر در مدلی از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طرز قابل قبولی جای بگیرد و در این صورت،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کفایت تجربی ندارد؛ بنابراین اگر باور دارم که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کفایت تجربی دارد، پس باور دارم که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اگر واقعی باشد، مشاهده‌ناپذیر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1985, p.256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4693107_581953129"/>
      <w:bookmarkStart w:id="216" w:name="_Toc78"/>
      <w:bookmarkEnd w:id="215"/>
      <w:r>
        <w:rPr/>
        <w:t>3</w:t>
      </w:r>
      <w:r>
        <w:rPr>
          <w:rtl w:val="true"/>
        </w:rPr>
        <w:t xml:space="preserve">. </w:t>
      </w:r>
      <w:r>
        <w:rPr>
          <w:rtl w:val="true"/>
        </w:rPr>
        <w:t>انتقاد جامعۀ معرفتی</w:t>
      </w:r>
      <w:bookmarkEnd w:id="21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 فراسن با موضعی درون‌گرایانه دربارۀ ساختار دیدگاه‌های علمی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 نظریه‌های علمی‌اند که برخی نواحی را در تصویری که از جهان ارائه داده‌اند، به عنوان مشاهده‌پذیر مشخص می‌کنند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1980, p.57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سوی دیگر وی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یک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کفایت تجربی‌داشتن این نظریه است؛ یعنی آنچه نظریه در مورد چیزی مشاهده‌پذیر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صادق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دو، مقدمۀ این نتیجه را در پی خواهد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مشاهده‌پذیری تابعی از آن جامعه معرفتی خواهد بود که نظریه‌های علمی را ارائه و گسترش می‌دهد</w:t>
      </w:r>
      <w:r>
        <w:rPr>
          <w:rFonts w:eastAsia="IRNazanin" w:cs="IRNazanin"/>
          <w:color w:val="111111"/>
          <w:sz w:val="28"/>
          <w:szCs w:val="28"/>
          <w:rtl w:val="true"/>
          <w:lang w:bidi="fa-IR"/>
        </w:rPr>
        <w:t xml:space="preserve">» </w:t>
      </w:r>
      <w:bookmarkStart w:id="217" w:name="pg5834_41897"/>
    </w:p>
    <w:p>
      <w:pPr>
        <w:pStyle w:val="BookText"/>
        <w:rPr/>
      </w:pPr>
      <w:bookmarkEnd w:id="21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Ashooh, 1997, p.77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بیان دیگر این جامعۀ معرفتی است که از طریق نظریه‌هایی که ارائه می‌دهد، هویت‌های جهان را به دو بخش مشاهده‌پذیر و مشاهده‌ناپذیر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شبهه پیش می‌آید که اگر معیار نهایی برای مشاهده‌پذیر دانستن هویتی در جهان بر پایۀ نظر یک جامعۀ معرفتی خاص باشد، با جزم‌اندیشی و بدون هیچ دلیل معرفتی مقبولی، نظر جامعۀ معرفتی خاصی را بر نظر جوامع معرفتی دیگر ترجیح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شبهه‌ای مبنای انتقادی است که برخی منتقدان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چرچلند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ماسگریو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Kelly,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آن معتقدند ون فراسن تمایز مشاهده‌پذیر و مشاهده‌ناپذیر را با توسل به توانایی‌های ادراکی انسان معمولی پدید آورده است</w:t>
      </w:r>
      <w:r>
        <w:rPr>
          <w:rFonts w:eastAsia="IRNazanin" w:cs="IRNazanin"/>
          <w:color w:val="111111"/>
          <w:sz w:val="28"/>
          <w:szCs w:val="28"/>
          <w:rtl w:val="true"/>
          <w:lang w:bidi="fa-IR"/>
        </w:rPr>
        <w:t>.</w:t>
      </w:r>
    </w:p>
    <w:p>
      <w:pPr>
        <w:pStyle w:val="Heading4"/>
        <w:numPr>
          <w:ilvl w:val="3"/>
          <w:numId w:val="1"/>
        </w:numPr>
        <w:rPr/>
      </w:pPr>
      <w:bookmarkStart w:id="218" w:name="__RefHeading___Toc4693109_581953129"/>
      <w:bookmarkStart w:id="219" w:name="_Toc79"/>
      <w:bookmarkEnd w:id="218"/>
      <w:r>
        <w:rPr/>
        <w:t>4</w:t>
      </w:r>
      <w:r>
        <w:rPr>
          <w:rtl w:val="true"/>
        </w:rPr>
        <w:t xml:space="preserve">. </w:t>
      </w:r>
      <w:r>
        <w:rPr>
          <w:rtl w:val="true"/>
        </w:rPr>
        <w:t>پاسخ به انتقاد جامعۀ معرفتی</w:t>
      </w:r>
      <w:bookmarkEnd w:id="219"/>
    </w:p>
    <w:p>
      <w:pPr>
        <w:pStyle w:val="BookText"/>
        <w:rPr/>
      </w:pPr>
      <w:r>
        <w:rPr>
          <w:rFonts w:ascii="IRNazanin" w:hAnsi="IRNazanin" w:eastAsia="IRNazanin"/>
          <w:color w:val="111111"/>
          <w:sz w:val="28"/>
          <w:sz w:val="28"/>
          <w:szCs w:val="28"/>
          <w:rtl w:val="true"/>
          <w:lang w:bidi="fa-IR"/>
        </w:rPr>
        <w:t>به نظر می‌رسد این ادعای چرچ، ماسگریو و کِلی پذیرفتنی است که می‌توان تصور کرد در آینده‌ای دور یا نزدیک، با ایجاد جهشی ژنتیکی در گونۀ انسانی، انسان‌ها دارای چشمانی میکروسکوپیک شوند که بدون نیاز به هیچ میکروسکوپ پیشرفته‌ای، بتوانند هویتی چون الکترون را ببینند؛ ولی وضعیت کنونی را در نظر بگیرید که ما چنین چشمانی نداریم و صرفاً با توسل به ابزاری چون میکروسکوپ می‌توانیم تصاویری را که میکروسکوپ تدارک می‌بیند، به هویتی به نام الکترون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از این منتقدان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ماسگریو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تفاوتی میان این دو وضعیت وجود ندارد؟ آیا واقعاً میان چشم فرضی میکروسکوپیک که قادر است خودش و بدون استفاده از هیچ ابزاری یک الکترون را مشاهده کند و چشم معمولی که می‌تواند با استفاده از یک میکروسکوپ پیشرفته، چیزی را مشاهده کند که بر طبق نظریه آن را الکترون می‌نامیم، هیچ تمایز معرفت‌شناسانه‌ای وجود ندارد؟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 فراسن طرد تمایز مشاهده‌پذیر و مشاهده‌ناپذیر را بر پایۀ چنین استدلالی مغالطه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او این است که آیا چون یک غول فرضی می‌تواند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امپایر استیت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Empire State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نیویورک جابه‌جا کند، باید این سازه را قابل حمل دانست </w:t>
      </w:r>
      <w:bookmarkStart w:id="220" w:name="pg5834_41898"/>
    </w:p>
    <w:p>
      <w:pPr>
        <w:pStyle w:val="BookText"/>
        <w:rPr/>
      </w:pPr>
      <w:bookmarkEnd w:id="220"/>
      <w:r>
        <w:rPr>
          <w:rFonts w:ascii="IRNazanin" w:hAnsi="IRNazanin" w:eastAsia="IRNazanin"/>
          <w:color w:val="111111"/>
          <w:sz w:val="28"/>
          <w:sz w:val="28"/>
          <w:szCs w:val="28"/>
          <w:rtl w:val="true"/>
          <w:lang w:bidi="fa-IR"/>
        </w:rPr>
        <w:t xml:space="preserve">و تمایزی میان سازه‌های قابل‌حمل و غیرقابل‌حمل قائل نشد؟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Van Fraassen, 1980, p.17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ون فراسن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امپایر استیت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غیرقابل‌حمل و تمایز قابل‌حمل و غیرقابل‌حمل را دفاع‌پذیر می‌داند؛ زیرا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عنوان یک جاندار از نقطه‌نظر فیزیک، یک دستگاه اندازه‌گیری خاص است؛ درنتیجه برخی محدودیت‌های ذاتی دارد که به‌طور مبسوط در فیزیک و زیست‌شناسی آیندگان توصیف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محدودیت‌ها ارجاع دارد و محدودیت‌های ما، به ماهو موجودات انسانی </w:t>
      </w:r>
      <w:r>
        <w:rPr>
          <w:rFonts w:eastAsia="Times New Roman" w:cs="Times New Roman" w:ascii="Times New Roman" w:hAnsi="Times New Roman"/>
          <w:color w:val="111111"/>
          <w:sz w:val="28"/>
          <w:szCs w:val="28"/>
          <w:lang w:val="en-US" w:bidi="en-US"/>
        </w:rPr>
        <w:t>Qua Human Beings)) (Ibid)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بر این اساس نتیجه می‌گیرد که مشاهده‌ناپذیری هویتی مانند الکترون برای انسان، برآمده از محدودیتی ذاتی برای موجود انسانی است و محدودیتی ابدی به شمار می‌آید</w:t>
      </w:r>
      <w:r>
        <w:rPr>
          <w:rFonts w:eastAsia="IRNazanin" w:cs="IRNazanin"/>
          <w:color w:val="111111"/>
          <w:sz w:val="28"/>
          <w:szCs w:val="28"/>
          <w:rtl w:val="true"/>
          <w:lang w:bidi="fa-IR"/>
        </w:rPr>
        <w:t>.</w:t>
      </w:r>
    </w:p>
    <w:p>
      <w:pPr>
        <w:pStyle w:val="Heading4"/>
        <w:numPr>
          <w:ilvl w:val="3"/>
          <w:numId w:val="1"/>
        </w:numPr>
        <w:rPr/>
      </w:pPr>
      <w:bookmarkStart w:id="221" w:name="__RefHeading___Toc4693111_581953129"/>
      <w:bookmarkStart w:id="222" w:name="_Toc80"/>
      <w:bookmarkEnd w:id="221"/>
      <w:r>
        <w:rPr/>
        <w:t>5</w:t>
      </w:r>
      <w:r>
        <w:rPr>
          <w:rtl w:val="true"/>
        </w:rPr>
        <w:t xml:space="preserve">. </w:t>
      </w:r>
      <w:r>
        <w:rPr>
          <w:rtl w:val="true"/>
        </w:rPr>
        <w:t>انتقاد علی‌الاصول مشاهده‌نا‌پذیر</w:t>
      </w:r>
      <w:bookmarkEnd w:id="222"/>
    </w:p>
    <w:p>
      <w:pPr>
        <w:pStyle w:val="BookText"/>
        <w:rPr/>
      </w:pPr>
      <w:r>
        <w:rPr>
          <w:rFonts w:ascii="IRNazanin" w:hAnsi="IRNazanin" w:eastAsia="IRNazanin"/>
          <w:color w:val="111111"/>
          <w:sz w:val="28"/>
          <w:sz w:val="28"/>
          <w:szCs w:val="28"/>
          <w:rtl w:val="true"/>
          <w:lang w:bidi="fa-IR"/>
        </w:rPr>
        <w:t xml:space="preserve">سومین نوع انتقاد ضد تمایز مد نظر ون فراسن، ادعای عدم امکان وجود هویت‌هایی است که آنها را هویت‌های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علی‌الاصول مشاهده‌ناپذیر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Unobservable in Principle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 فراسن میز و صندلی را هویت‌های مشاهده‌پذیر، قمرهای مشتری را هویات علی‌الاصول مشاهده‌پذیر و الکترون را هویت علی‌الاصول مشاهده‌ناپذیر می‌داند؛ ولی منتقدان او بر این باورند همۀ ماهیت تشکیل‌دهندۀ جهان را باید یا مشاهده‌پذیر یا علی‌الاصول مشاهده‌پذیر دانست و هویتی به نام هویت علی‌الاصول مشاهده‌ناپذیر هرگز وجود ندارد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مقایسۀ تلسکوپ با میکرسکوپ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مدافعان واقع‌گرایی علمی معتقدند هم با تلسکوپ و هم با میکروسکوپ می‌بینیم و چیزی را می‌بینیم که در جهان واقع، مستقل از ما وجود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Maxwell, 1962/ Hacking, 1985/ Psillos, 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ضد واقع‌گرایانی مانند ون فراسن به‌صراحت بر این باورند با تلسکوپ می‌بینیم، اما با میکروسکوپ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پرسش از ون فراسن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میکروسکوپ چه چیزی را می‌بینیم؟ ون فراسن باور دارد که با میکروسکوپ تصویری را می‌بینیم که </w:t>
      </w:r>
      <w:bookmarkStart w:id="223" w:name="pg5834_41899"/>
    </w:p>
    <w:p>
      <w:pPr>
        <w:pStyle w:val="BookText"/>
        <w:rPr/>
      </w:pPr>
      <w:bookmarkEnd w:id="223"/>
      <w:r>
        <w:rPr>
          <w:rFonts w:ascii="IRNazanin" w:hAnsi="IRNazanin" w:eastAsia="IRNazanin"/>
          <w:color w:val="111111"/>
          <w:sz w:val="28"/>
          <w:sz w:val="28"/>
          <w:szCs w:val="28"/>
          <w:rtl w:val="true"/>
          <w:lang w:bidi="fa-IR"/>
        </w:rPr>
        <w:t xml:space="preserve">هرچند می‌توان فرض کرد این تصویر، تصویر هویتی است که در عالم واقع وجود دارد؛ نه تنها دلیل قاطعی بر این مدعا نداریم،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حوزۀ علم، به چنین باورهای استحبابی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Supererogatory Beliefs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نیازی نداریم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2001, p.168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 w:name="__RefHeading___Toc4693113_581953129"/>
      <w:bookmarkStart w:id="225" w:name="_Toc81"/>
      <w:bookmarkEnd w:id="224"/>
      <w:r>
        <w:rPr/>
        <w:t>6</w:t>
      </w:r>
      <w:r>
        <w:rPr>
          <w:rtl w:val="true"/>
        </w:rPr>
        <w:t xml:space="preserve">. </w:t>
      </w:r>
      <w:r>
        <w:rPr>
          <w:rtl w:val="true"/>
        </w:rPr>
        <w:t>پاسخ به انتقاد علی‌الاصول مشاهده‌ناپذیر</w:t>
      </w:r>
      <w:bookmarkEnd w:id="225"/>
    </w:p>
    <w:p>
      <w:pPr>
        <w:pStyle w:val="BookText"/>
        <w:rPr/>
      </w:pPr>
      <w:r>
        <w:rPr>
          <w:rFonts w:ascii="IRNazanin" w:hAnsi="IRNazanin" w:eastAsia="IRNazanin"/>
          <w:color w:val="111111"/>
          <w:sz w:val="28"/>
          <w:sz w:val="28"/>
          <w:szCs w:val="28"/>
          <w:rtl w:val="true"/>
          <w:lang w:bidi="fa-IR"/>
        </w:rPr>
        <w:t xml:space="preserve">ون فراسن در تلاش برای پاسخ‌دادن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الکترون مشاهده‌ناپذیر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معتقد است ما با میکروسکوپ نمی‌بینیم و آنچه میکروسکوپ در اختیار ما قرار می‌دهد، یک توهم همگانی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Public Hallucination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نه تصویری از الکترون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پدیده‌های نوری چون انعکاس در آب، سراب در بیابان و رنگین‌کمان نام‌هایی را به کار می‌بریم،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به‌گونه‌ای دربارۀ این نام‌ها صحبت می‌کنیم که گویا چیزهایی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p.156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به بیان دیگر ون فراسن معتقد است تصویری که توسط میکروسکوپ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رنگین‌کمان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توهمی همگانی است که به وسیلۀ طبیعت تولید شده است؛ پدیده‌ای که برآمده از کنار هم قرارگرفتن ثوابت خاصی است؛ نه اینکه تصویر شیئی در جهان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وی نتیجه می‌گیرد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میکروسکوپ را باید نوعی موتور جدید در آفرینش هویتی جدید دانست، نه نوعی پنجره به سطوح دیده‌نشدنی طبیعت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2001, pp.154-160/ IbId, 2008, pp.106-109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اشاره شد، واقع‌گرایی علمی را می‌توان برساخته از سه منظر معنا‌شناختی، معرفت‌شناختی و هستی‌شناختی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واقع‌گرایان سنتی با التزام به هر سه منظر گفته‌شده و مخالفت با هر گونه رویکرد ضد واقع‌گرایانه، تمایز مشاهده‌پذیر و مشاهده ناپذیر را از هر سه منظر به‌شدت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مکتب‌های ضد 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پوزیتیویسم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با انکار هر سه منظر واقع‌گرایانۀ فوق، تمایز مشاهده‌پذیر و مشاهده‌ناپذیر را از هر سه منظر برقرار می‌دانند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انتقادهای ارائه‌شده از سوی واقع‌گرایان علمی ضد پوزیتیویسم منطقی، همان‌گونه که ضد واقع‌گرایانی چون ون فراسن نیز بر آن صحه گذاشتند، نشان می‌دهد که تمایز </w:t>
      </w:r>
      <w:bookmarkStart w:id="226" w:name="pg5834_41900"/>
    </w:p>
    <w:p>
      <w:pPr>
        <w:pStyle w:val="BookText"/>
        <w:rPr/>
      </w:pPr>
      <w:bookmarkEnd w:id="226"/>
      <w:r>
        <w:rPr>
          <w:rFonts w:ascii="IRNazanin" w:hAnsi="IRNazanin" w:eastAsia="IRNazanin"/>
          <w:color w:val="111111"/>
          <w:sz w:val="28"/>
          <w:sz w:val="28"/>
          <w:szCs w:val="28"/>
          <w:rtl w:val="true"/>
          <w:lang w:bidi="fa-IR"/>
        </w:rPr>
        <w:t>معنا‌شناسانۀ مشاهده‌پذیر و مشاهده‌ناپذیر پذیرفتنی نیست و باید تز واقع‌گرایی معنا‌شناختی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نمی‌توان الفاظ زبان را به دو دستۀ مشاهده‌پذیر و مشاهده‌ناپذیر بخش کرد و معضلات فلسفی را صرفاً برآمده از کاربرد نادرست زبان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انتقادهای ارائه‌شده از سوی ضد واقع‌گرایان که می‌توان مهم‌ترین آنها را در قالب انتقادهایی چون فرااستقرای بدبینانه، تعین ناقص، نسبی‌گرایی کوهنی و به‌ویژه تجربه‌گرایی برساختی ون فراسن بیان کرد، حاکی از آن هستند که به‌سادگی نمی‌توان همۀ هویت‌های تشکیل‌دهندۀ جهان را دارای شأن معرفتی یکسانی دانست؛ ازاین‌رو با پذیرش تمایز معرفت‌شناسانۀ مشاهده‌پذیر و مشاهده‌ناپذیر، به نظر می‌رسد منظر واقع‌گرایی معرفت‌شناختی در تمامیت خود قابل دفاع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آن رسیده که با فرض پذیرش منظر واقع‌گرایی معنا‌شناختی و طرد منظر واقع‌گرایی معرفت‌شناختی، تکلیف منظر واقع‌گرایی هستی‌شناختی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می‌کوشیم به بیان نظر ون فراسن در این باره و نقد دیدگاه وی بپردازیم</w:t>
      </w:r>
      <w:r>
        <w:rPr>
          <w:rFonts w:eastAsia="IRNazanin" w:cs="IRNazanin"/>
          <w:color w:val="111111"/>
          <w:sz w:val="28"/>
          <w:szCs w:val="28"/>
          <w:rtl w:val="true"/>
          <w:lang w:bidi="fa-IR"/>
        </w:rPr>
        <w:t>.</w:t>
      </w:r>
    </w:p>
    <w:p>
      <w:pPr>
        <w:pStyle w:val="Heading3"/>
        <w:numPr>
          <w:ilvl w:val="2"/>
          <w:numId w:val="1"/>
        </w:numPr>
        <w:rPr/>
      </w:pPr>
      <w:bookmarkStart w:id="227" w:name="__RefHeading___Toc4693115_581953129"/>
      <w:bookmarkStart w:id="228" w:name="_Toc82"/>
      <w:bookmarkEnd w:id="227"/>
      <w:r>
        <w:rPr>
          <w:rtl w:val="true"/>
        </w:rPr>
        <w:t>د</w:t>
      </w:r>
      <w:r>
        <w:rPr>
          <w:rtl w:val="true"/>
        </w:rPr>
        <w:t xml:space="preserve">) </w:t>
      </w:r>
      <w:r>
        <w:rPr>
          <w:rtl w:val="true"/>
        </w:rPr>
        <w:t>حفظ واقع‌گرایی هستی‌شناختی بدون التزام به واقع‌گرایی معرفت‌شناختی</w:t>
      </w:r>
      <w:bookmarkEnd w:id="228"/>
    </w:p>
    <w:p>
      <w:pPr>
        <w:pStyle w:val="Heading4"/>
        <w:numPr>
          <w:ilvl w:val="3"/>
          <w:numId w:val="1"/>
        </w:numPr>
        <w:rPr/>
      </w:pPr>
      <w:bookmarkStart w:id="229" w:name="__RefHeading___Toc4693117_581953129"/>
      <w:bookmarkStart w:id="230" w:name="_Toc83"/>
      <w:bookmarkEnd w:id="229"/>
      <w:r>
        <w:rPr>
          <w:rtl w:val="true"/>
        </w:rPr>
        <w:t>اشاره</w:t>
      </w:r>
      <w:bookmarkEnd w:id="2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واقع‌گرایان برای ارضای شهود واقع‌گرایانه خود و دفاع از این شیوه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 علمی شهوداً موضع فلسفی متقاعد‌کننده‌ای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Psillos, 1999, p.xv/ IbId, 2009, p.32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ویژگی منحصربه‌فرد واقع‌گرایی، ایجاد تعادل مطلوب میان امکان‌پذیری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Feasibility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ارزشمندی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Dignity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که در پاسخ به پرسش‌های ما دربارۀ دانش ارائه می‌دهد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Wright, 1988, p.25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بیان دیگر واقع‌گرایان مایلند با ابتنا بر منظر واقع‌گرایی معرفت‌شناختی، همۀ هویت‌های جهان را دارای شأن معرفت‌شناختی واحدی دانسته و از آنجا ادعا کنند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یک نسبت به همۀ هویت‌های عالم نسبت داد و تمایز مشاهده‌پذیر و مشاهده‌ناپذیر هستی‌شناسانه را نیز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واقع‌گرایان نیز تمایل دارند بر اساس ادعای خود مبنی بر وجود تمایز مشاهده‌پذیر و مشاهده‌ناپذیر معرفت‌شناسانه میان هویت‌های عالم، یا مانند </w:t>
      </w:r>
    </w:p>
    <w:p>
      <w:pPr>
        <w:pStyle w:val="BookText"/>
        <w:rPr/>
      </w:pPr>
      <w:r>
        <w:rPr>
          <w:rFonts w:ascii="IRNazanin" w:hAnsi="IRNazanin" w:eastAsia="IRNazanin"/>
          <w:color w:val="111111"/>
          <w:sz w:val="28"/>
          <w:sz w:val="28"/>
          <w:szCs w:val="28"/>
          <w:rtl w:val="true"/>
          <w:lang w:bidi="fa-IR"/>
        </w:rPr>
        <w:t>پوزیتیویست‌های منطقی وجود هویت‌های مشاهده‌ناپذیر را انکار کنند یا مانند ون فراسن دربارۀ وجود آنها موضع لاادری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می‌خواهیم بدانیم که حتی اگر دید‌گاه ون فراسن بر پایۀ وجود تمایز مشاهده‌پذیر و مشاهده‌ناپذیر به لحاظ معرفت‌شناختی قابل قبول باشد و نتوان چیزی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معرفت‌شناختی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هویت‌های عالم مبنایی برای ادعای وجود هویت‌های مشاهده‌ناپذیر قرار داد، وی در مورد ادعای وجود هویات مشاهده‌ناپذیر یا منظر واقع‌گرایی هستی‌شناختی چه عقیده‌ای دارد؟</w:t>
      </w:r>
    </w:p>
    <w:p>
      <w:pPr>
        <w:pStyle w:val="BookText"/>
        <w:rPr/>
      </w:pPr>
      <w:r>
        <w:rPr>
          <w:rFonts w:ascii="IRNazanin" w:hAnsi="IRNazanin" w:eastAsia="IRNazanin"/>
          <w:color w:val="111111"/>
          <w:sz w:val="28"/>
          <w:sz w:val="28"/>
          <w:szCs w:val="28"/>
          <w:rtl w:val="true"/>
          <w:lang w:bidi="fa-IR"/>
        </w:rPr>
        <w:t xml:space="preserve">اگر ادعای ون فراسن این باشد که هویت‌های مشاهده‌پذیر وجود دارند، ولی هویت‌های مشاهده‌ناپذیر وجود ندارند، وی به داشتن نوعی نگرش ایدئالیسم افراطی متهم خواهد شد؛ زیرا حتی ایدئالیستی چون بارکلی نیز معتقد نبود که هویت‌های مشاهده‌ناپذیر تشکیل‌دهندۀ جهان وجود ندارند، بلکه وجود آنها را وابسته به ذهن خداوند می‌دانست؛ ولی اگر ادعای ون فراسن حتی زمانی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مایلم در مورد وجود جنبه‌های مشاهده‌ناپذیری از جهان که توسط علم توصیف شده‌اند، لاادری باشم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1980, p.72/ IbId, 2001, p.151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چنین تعبیر شود که وی صرفاً به دلیل تشکیک در چیستی هویت‌های مشاهده‌ناپذیر، آن‌گونه که دیدگاه‌های علمی بیان می‌کنند، نسبت به واقعیت و هستی آن هویت‌ها موضع لاادری گرفته است؛ در این صورت هم می‌توان تمایز مشاهده‌پذیر و مشاهده‌ناپذیر معرفت‌شناختی را پذیرفت و هم با خوانش جدیدی از واقع‌گرایی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نوعی واقع‌گرایی علمی دفاع و شهود مدافعان واقع‌گرایی علمی را به روش قابل قبولی برآورده کرد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واقع‌گرایی وجودی بر پایۀ تمایز متافیزیکی وجود و ماهیت است و افزون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تفسیر شایع از رویکرد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فرگه، وجود را جنبۀ اصیل و واقعی موجودات می‌داند؛ بدین معنا که برای وجود، آن‌گونه که تفسیری از آن در حکمت متعالیۀ ملاصدرا مشاهده می‌شود، شأن هستی‌شناختی ویژه‌ای قائل است؛ اما دفاع از این رویکرد نیاز به مقدماتی دارد که در ادامه به آنها اشاره می‌کنیم</w:t>
      </w:r>
      <w:r>
        <w:rPr>
          <w:rFonts w:eastAsia="IRNazanin" w:cs="IRNazanin"/>
          <w:color w:val="111111"/>
          <w:sz w:val="28"/>
          <w:szCs w:val="28"/>
          <w:rtl w:val="true"/>
          <w:lang w:bidi="fa-IR"/>
        </w:rPr>
        <w:t xml:space="preserve">. </w:t>
      </w:r>
      <w:bookmarkStart w:id="231" w:name="pg5834_41902"/>
    </w:p>
    <w:p>
      <w:pPr>
        <w:pStyle w:val="Heading4"/>
        <w:numPr>
          <w:ilvl w:val="3"/>
          <w:numId w:val="1"/>
        </w:numPr>
        <w:rPr/>
      </w:pPr>
      <w:bookmarkStart w:id="232" w:name="__RefHeading___Toc4693119_581953129"/>
      <w:bookmarkStart w:id="233" w:name="_Toc84"/>
      <w:bookmarkEnd w:id="231"/>
      <w:bookmarkEnd w:id="232"/>
      <w:r>
        <w:rPr/>
        <w:t>1</w:t>
      </w:r>
      <w:r>
        <w:rPr>
          <w:rtl w:val="true"/>
        </w:rPr>
        <w:t xml:space="preserve">. </w:t>
      </w:r>
      <w:r>
        <w:rPr>
          <w:rtl w:val="true"/>
        </w:rPr>
        <w:t xml:space="preserve">دیدگاه کانت دربارۀ محمول </w:t>
      </w:r>
      <w:r>
        <w:rPr>
          <w:rtl w:val="true"/>
        </w:rPr>
        <w:t>«</w:t>
      </w:r>
      <w:r>
        <w:rPr>
          <w:rtl w:val="true"/>
        </w:rPr>
        <w:t>وجودداشتن</w:t>
      </w:r>
      <w:r>
        <w:rPr>
          <w:rtl w:val="true"/>
        </w:rPr>
        <w:t>»</w:t>
      </w:r>
      <w:bookmarkEnd w:id="233"/>
    </w:p>
    <w:p>
      <w:pPr>
        <w:pStyle w:val="BookText"/>
        <w:rPr/>
      </w:pPr>
      <w:r>
        <w:rPr>
          <w:rFonts w:ascii="IRNazanin" w:hAnsi="IRNazanin" w:eastAsia="IRNazanin"/>
          <w:color w:val="111111"/>
          <w:sz w:val="28"/>
          <w:sz w:val="28"/>
          <w:szCs w:val="28"/>
          <w:rtl w:val="true"/>
          <w:lang w:bidi="fa-IR"/>
        </w:rPr>
        <w:t>فرض کنید واقع‌گرایان در دفاع از منظر واقع‌گرایی هستی‌شناختی، ضد‌واقع‌گرایی مانند ون فراسن را ملزم به پذیرش این ادعا کنند که وجودداشتن به معنای مشاهده‌پذیر بودن نیست و ممکن است هویتی مشاهده‌ناپذیر باشد، ولی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پرسش ون فراسن این خواهد بود که پذیرش چنین جنبه‌ای از جهان بدون باور به برقراری ارتباط معرفت‌شناسانه با آن به چه دردی می‌خورد و چه معنایی خواهد داشت؟ به بیان دیگر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از نظر هستی‌شناسانه، چه چیزی را بیان کرده‌ایم؟ ثانیاً از نگاه معرفت‌شناسانه، چه چیزی به معرفت ما افزوده شده است؟ چگونگی پاسخ به چنین پرسش‌هایی درواقع وابسته به نوع نگاه فلسفی ما به ویژگی وجود و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تاریخی، در سنت فلسفۀ غربی پیش از کانت و برای مدتی طولانی، وجود به عنوان ویژگی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Property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هویت‌ها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و 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دیدگاهی، برخی فیلسوفان در برهانی که به برهان وجود شناختی موسوم است، به اثبات عقلانی وجود خدا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فرضیه‌های اساسی برهان وجود‌شناختی می‌توان به این دو فرض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یک ویژگی واقعی و اصیل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محمول واقعی قابل حمل بر اشیاست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کریمی،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هر دو فرض گفته‌شده را به چالش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دیدگاه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محمولی منطقی است، اما محمولی واقعی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تعیین‌کننده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Determining Predicate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معتقد است به لحاظ منطقی هر چیزی را می‌توان به عنوان محمول، حمل بر شیء کرد؛ ازجمله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خود شیء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گزاره‌های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سقراط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گزاره‌های درست‌ساخت منطقی دانست؛ ولی کانت بر این باور است همۀ محمول‌های منطقی، محمول‌های واقعی یا تعیین‌کننده نیستند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تعریف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محمول تعیین‌کننده، محمولی است که به مفهوم موضوع </w:t>
      </w:r>
      <w:bookmarkStart w:id="234" w:name="pg5834_41903"/>
    </w:p>
    <w:p>
      <w:pPr>
        <w:pStyle w:val="BookText"/>
        <w:rPr/>
      </w:pPr>
      <w:bookmarkEnd w:id="234"/>
      <w:r>
        <w:rPr>
          <w:rFonts w:ascii="IRNazanin" w:hAnsi="IRNazanin" w:eastAsia="IRNazanin"/>
          <w:color w:val="111111"/>
          <w:sz w:val="28"/>
          <w:sz w:val="28"/>
          <w:szCs w:val="28"/>
          <w:rtl w:val="true"/>
          <w:lang w:bidi="fa-IR"/>
        </w:rPr>
        <w:t>افزوده می‌شود و آن را بزرگ‌تر می‌سازد؛ درنتیجه نباید پیشاپیش در آن مفهوم گنجانیده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به گمان کانت، محمول واقعی اولاً باید چیزی به مفهوم موضوع اضافه کند و ثانیاً باید مفهوم موضوع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بر این باور است محمول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شرط را ندارد؛ ازاین‌رو نباید آن را محمولی واقعی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کانت پایه و اساس رویکرد غالبی در فلسفۀ تحلیلی شد که به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فرگه –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p>
    <w:p>
      <w:pPr>
        <w:pStyle w:val="Heading4"/>
        <w:numPr>
          <w:ilvl w:val="3"/>
          <w:numId w:val="1"/>
        </w:numPr>
        <w:rPr/>
      </w:pPr>
      <w:bookmarkStart w:id="235" w:name="__RefHeading___Toc4693121_581953129"/>
      <w:bookmarkStart w:id="236" w:name="_Toc85"/>
      <w:bookmarkEnd w:id="235"/>
      <w:r>
        <w:rPr/>
        <w:t>2</w:t>
      </w:r>
      <w:r>
        <w:rPr>
          <w:rtl w:val="true"/>
        </w:rPr>
        <w:t xml:space="preserve">. </w:t>
      </w:r>
      <w:r>
        <w:rPr>
          <w:rtl w:val="true"/>
        </w:rPr>
        <w:t>رویکرد فرگه</w:t>
      </w:r>
      <w:r>
        <w:rPr>
          <w:rtl w:val="true"/>
        </w:rPr>
        <w:t xml:space="preserve">- </w:t>
      </w:r>
      <w:r>
        <w:rPr>
          <w:rtl w:val="true"/>
        </w:rPr>
        <w:t>راسل به وجود در سنت فلسفۀ تحلیلی</w:t>
      </w:r>
      <w:bookmarkEnd w:id="236"/>
    </w:p>
    <w:p>
      <w:pPr>
        <w:pStyle w:val="BookText"/>
        <w:rPr/>
      </w:pPr>
      <w:r>
        <w:rPr>
          <w:rFonts w:ascii="IRNazanin" w:hAnsi="IRNazanin" w:eastAsia="IRNazanin"/>
          <w:color w:val="111111"/>
          <w:sz w:val="28"/>
          <w:sz w:val="28"/>
          <w:szCs w:val="28"/>
          <w:rtl w:val="true"/>
          <w:lang w:bidi="fa-IR"/>
        </w:rPr>
        <w:t>فرگه در تلاش برای یافتن زیربنایی مستحکم برای مبانی ریاضیات، در این اندیشه بود که ریاضیات را به منطق تحویل یا تقلیل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برآوردن این هدف، منطق ارسطویی را ناکارآمد یافت و منطق جدیدی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ساختار سنتی گزاره‌ها را که برساخته از سه عنصر موضوع، محمول و رابطه بود، برای اهداف خویش ناکافی دانسته و ساختار بخش اسمی و بخش محمولی را جایگزین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جدید فرگه به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بخش اسمی گزاره، اشیا و مصداق بخش محمولی گزاره، مفاهیم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موحد،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فرگه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را نمی‌توان به اشیا و اشخاص نسبت داد؛ بلکه وجود محمولی مرتبۀ دوم است که صرفاً قابل حمل بر مفاهیم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کریمی،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فرگه،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دست‌کم یک چیز وجود دارد که آن سقراط است و چیزی یا ویژگی بر سقراط حمل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می‌تواند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جزئیه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ازاین‌رو نقشی به عنوان محمول گزاره‌ها ندارد؛ درنتیجه وجود قابل حمل به اشیا و افراد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راسل نیز در برخورد با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نزدیک به رویکرد فرگه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از قضایای کلیه‌ای،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یونانی‌ها انسان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قضایای وجودی منتج نمی‌شوند تا وجودداشتن تبدیل به یک معضل شود؛ بلکه تابعی گزاره‌ای </w:t>
      </w:r>
      <w:bookmarkStart w:id="237" w:name="pg5834_41904"/>
    </w:p>
    <w:p>
      <w:pPr>
        <w:pStyle w:val="BookText"/>
        <w:rPr/>
      </w:pPr>
      <w:bookmarkEnd w:id="23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Propositional 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تابعی شامل یک یا چند متغیر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می‌گیریم که با پرشدن متغیر‌هایش، به گزاره‌ای صادق یا کاذب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راسل بر این 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دردست‌نداشتن توابع گزاره‌ای، بسیاری از منطق‌دانان ناچار به پذیرش این نتیجه شده‌اند که اشیایی غیر‌واقعی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ماینونگ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Meinong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معتقد است که می‌توانیم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بگوییم؛ می‌توانیم قضایایی صادق بسازیم که موضوع آنها همین کلمات باشد؛ به همین جهت این موضوعات باید به‌نحوی وجودی منطقی داشته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باید بگویم همان‌گونه که در جانور‌شناسی نمی‌توان موجودی را به عنوان اسب شاخ‌دار پذیرفت، منطق نیز نباید آن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گمان راسل وجودداشتن، یعنی ممکن‌بودن یک گزاره و این یعنی صادق‌بودن گزارۀ مد نظر در بعضی جهان‌های ممکن؛ ازاین‌رو وجود، ویژگی جزئی‌ها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Individuals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بلکه ویژگی توابع گزاره‌ای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این خوانش‌ها از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غالب در سنت فلسفۀ تحلیلی بوده است، اما نگاهی به ادبیات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چند دهۀ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رویکرد مقابل که بر مبنای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واقعی است و حاکی از جنبه‌ای اصیل و بنیادین از واقعیت است، هواداران بسیار جدی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می‌توان از فیلسوفانی چون ویلیام کارلو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William Carlo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ناتان سمون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Nathan Salmon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کالین مک‌گین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Colin McGinn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بری میلر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Barry Miller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برد که رویکرد فرگه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در قالب منطق جدید دربارۀ محمول وجود را نمی‌پذیرند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کریمی،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4"/>
        <w:numPr>
          <w:ilvl w:val="3"/>
          <w:numId w:val="1"/>
        </w:numPr>
        <w:rPr/>
      </w:pPr>
      <w:bookmarkStart w:id="238" w:name="__RefHeading___Toc4693123_581953129"/>
      <w:bookmarkStart w:id="239" w:name="_Toc86"/>
      <w:bookmarkEnd w:id="238"/>
      <w:r>
        <w:rPr/>
        <w:t>3</w:t>
      </w:r>
      <w:r>
        <w:rPr>
          <w:rtl w:val="true"/>
        </w:rPr>
        <w:t xml:space="preserve">. </w:t>
      </w:r>
      <w:r>
        <w:rPr>
          <w:rtl w:val="true"/>
        </w:rPr>
        <w:t>رویکرد به وجود در سنت فلسفۀ اسلامی</w:t>
      </w:r>
      <w:bookmarkEnd w:id="239"/>
    </w:p>
    <w:p>
      <w:pPr>
        <w:pStyle w:val="Heading5"/>
        <w:numPr>
          <w:ilvl w:val="4"/>
          <w:numId w:val="1"/>
        </w:numPr>
        <w:rPr/>
      </w:pPr>
      <w:bookmarkStart w:id="240" w:name="__RefHeading___Toc4693125_581953129"/>
      <w:bookmarkStart w:id="241" w:name="_Toc87"/>
      <w:bookmarkEnd w:id="240"/>
      <w:r>
        <w:rPr>
          <w:rtl w:val="true"/>
        </w:rPr>
        <w:t>اشاره</w:t>
      </w:r>
      <w:bookmarkEnd w:id="24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 واقعی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تعبیرهای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مرسوم، تقلیل و تضعیف محمول وجود به یک محمول درجۀ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این تعبیر، معضلات فلسفی مترتب بر این محمول نیز معضلاتی واقعی نبوده و در اصل برآمده از کژ‌تابی‌های زبان معمولی هستند؛ ازاین‌رو فرگه و راسل تلاش کردند با تنقیح زبان و ارائۀ رویکرد </w:t>
      </w:r>
      <w:bookmarkStart w:id="242" w:name="pg5834_41905"/>
    </w:p>
    <w:p>
      <w:pPr>
        <w:pStyle w:val="BookText"/>
        <w:rPr/>
      </w:pPr>
      <w:bookmarkEnd w:id="242"/>
      <w:r>
        <w:rPr>
          <w:rFonts w:ascii="IRNazanin" w:hAnsi="IRNazanin" w:eastAsia="IRNazanin"/>
          <w:color w:val="111111"/>
          <w:sz w:val="28"/>
          <w:sz w:val="28"/>
          <w:szCs w:val="28"/>
          <w:rtl w:val="true"/>
          <w:lang w:bidi="fa-IR"/>
        </w:rPr>
        <w:t>منطقی متفاوتی از آنچه ارسطو دربارۀ ساختار گزاره‌های زبانی ارائه داده، این معضل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به این باور انجامید که فیلسوفان تحلیلی مانند کارنپ بپندارند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گزاره‌هایی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محمولی دارد، گزاره‌های واقعی نیستند؛ بلکه شبه‌گزاره‌اند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مسئلۀ وجود نه مسئلۀ واقعی فلسفی، بلکه شبه‌مسئله‌ای است که ارزش بحث‌کردن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تعبیر دیگر از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محمول واقعی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می‌تواند این باشد که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محمول متفاوتی از محمول‌های دیگر زبان است؛ به بیان دیگر به جای تضعیف و تقلیل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محمول درجۀ دوم، می‌توان آن را یک محمول معمولی ندانست، بلکه آن را حاکی از ویژگی خاصی از موجودات به شمار آورد که دیگر محمول‌های زبان که بیانگر دیگر ویژگی‌های موجودات‌اند، دربردارندۀ چنین نقشی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توجیه این دیدگاه، لازم است نخست مبانی آن، یعنی تفکیک ماهیت از وجود و چگونگی رابطۀ میان آن دو را که مبدع و آغازگر آن فیلسوف بزرگ مسلمان، ابن‌سیناست، بهاختصار توضیح دهیم</w:t>
      </w:r>
      <w:r>
        <w:rPr>
          <w:rFonts w:eastAsia="IRNazanin" w:cs="IRNazanin"/>
          <w:color w:val="111111"/>
          <w:sz w:val="28"/>
          <w:szCs w:val="28"/>
          <w:rtl w:val="true"/>
          <w:lang w:bidi="fa-IR"/>
        </w:rPr>
        <w:t>.</w:t>
      </w:r>
    </w:p>
    <w:p>
      <w:pPr>
        <w:pStyle w:val="Heading5"/>
        <w:numPr>
          <w:ilvl w:val="4"/>
          <w:numId w:val="1"/>
        </w:numPr>
        <w:rPr/>
      </w:pPr>
      <w:bookmarkStart w:id="243" w:name="__RefHeading___Toc4693127_581953129"/>
      <w:bookmarkStart w:id="244" w:name="_Toc88"/>
      <w:bookmarkEnd w:id="243"/>
      <w:r>
        <w:rPr/>
        <w:t>1-3</w:t>
      </w:r>
      <w:r>
        <w:rPr>
          <w:rtl w:val="true"/>
        </w:rPr>
        <w:t xml:space="preserve">. </w:t>
      </w:r>
      <w:r>
        <w:rPr>
          <w:rtl w:val="true"/>
        </w:rPr>
        <w:t>ماهیت</w:t>
      </w:r>
      <w:bookmarkEnd w:id="24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هنگام صحبت از چیستی یک شیء، می‌کوشیم به ساختار طبیعی آن شیء پی ببریم؛ ولی در فلسفه، پرسش از چیستی یک شیء درواقع تلاش برای یافتن عناصر و مقوم‌های متافیزیکی تشکیل‌دهندۀ آن شیء است؛ بنابراین در پاسخ به پرسشی فلسفی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شیء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عناصر و مؤلفه‌های ماهوی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پرداختن به چیستی یک شیء از دو منظر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معرفت‌شناسانه و منظر هستی‌شناسانه؛ هرگاه از منظر معرفت‌شناسانه چیستی یک شیء را بررسی می‌کنیم، مقصود نوع و چگونگی شناخت ما از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برای توضیح چیستی شیء از مفاهیم ماهوی استفاده می‌کنیم؛ اما وقتی چیستی یک شیء را از منظر هستی‌شناسانه بررسی می‌کنیم، در حوزۀ متافیزیک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مقصود از ماهیت یک شیء عناصر و مقوم‌های متافیزیکی تشکیل‌دهندۀ آن شیء مستقل از معرفت و نگرش </w:t>
      </w:r>
      <w:bookmarkStart w:id="245" w:name="pg5834_41906"/>
    </w:p>
    <w:p>
      <w:pPr>
        <w:pStyle w:val="BookText"/>
        <w:rPr/>
      </w:pPr>
      <w:bookmarkEnd w:id="245"/>
      <w:r>
        <w:rPr>
          <w:rFonts w:ascii="IRNazanin" w:hAnsi="IRNazanin" w:eastAsia="IRNazanin"/>
          <w:color w:val="111111"/>
          <w:sz w:val="28"/>
          <w:sz w:val="28"/>
          <w:szCs w:val="28"/>
          <w:rtl w:val="true"/>
          <w:lang w:bidi="fa-IR"/>
        </w:rPr>
        <w:t xml:space="preserve">ماست؛ بنابراین باید دقت کرد در بحث از تعریف وجود و ماهیت و نوع ارتباط این دو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دو کاربرد معرفت‌شناسانه و هستی‌شناسانۀ چیستی یک شیء با هم خلط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5"/>
        <w:numPr>
          <w:ilvl w:val="4"/>
          <w:numId w:val="1"/>
        </w:numPr>
        <w:rPr/>
      </w:pPr>
      <w:bookmarkStart w:id="246" w:name="__RefHeading___Toc4693129_581953129"/>
      <w:bookmarkStart w:id="247" w:name="_Toc89"/>
      <w:bookmarkEnd w:id="246"/>
      <w:r>
        <w:rPr/>
        <w:t>2-3</w:t>
      </w:r>
      <w:r>
        <w:rPr>
          <w:rtl w:val="true"/>
        </w:rPr>
        <w:t xml:space="preserve">. </w:t>
      </w:r>
      <w:r>
        <w:rPr>
          <w:rtl w:val="true"/>
        </w:rPr>
        <w:t>وجود</w:t>
      </w:r>
      <w:bookmarkEnd w:id="247"/>
    </w:p>
    <w:p>
      <w:pPr>
        <w:pStyle w:val="BookText"/>
        <w:rPr/>
      </w:pPr>
      <w:r>
        <w:rPr>
          <w:rFonts w:ascii="IRNazanin" w:hAnsi="IRNazanin" w:eastAsia="IRNazanin"/>
          <w:color w:val="111111"/>
          <w:sz w:val="28"/>
          <w:sz w:val="28"/>
          <w:szCs w:val="28"/>
          <w:rtl w:val="true"/>
          <w:lang w:bidi="fa-IR"/>
        </w:rPr>
        <w:t>از نظر معنا‌شناسی در سنت فلسفۀ اسلامی مفهوم وجود، مفهومی بسیط و تعریف‌ناشدنی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ابن‌سینا،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را خرد شناسد، بی‌حد و رسم که او را حد نیست، که او را جنس و فصل نیست، که چیزی از وی عام‌تر نیست و ورای رسم نیست؛ زیرا چیزی از وی معروف‌تر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تعبیری است که همانند آن را می‌توان در آثار بزرگان فلسفۀ معاصر غرب، چون دکارت و لایب‌نیتس نیز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دکارت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اینجا نیازی به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که 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موجب آشفتگی می‌شود تا اینکه آن را روشن سازد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Descartes, 1984, V.2, p.418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مسئلۀ مهم، بررسی وجود از منظر هستی‌شناسی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پرسش اساسی این است که آیا وجود را می‌توان دست‌کم یکی از مؤلفه‌ها و مقومات تشکیل‌دهندۀ موجودات دانست، آن‌گونه که بسیاری از فیلسوفان مسلمان و برخی فلاسفۀ غربی بر این باور بوده‌اند یا اینکه باید آن را امری اعتباری و انتزاعی دانست که خرد انسانی آن را به نوعی از ماهیت‌های واقعی و محقق انتزاع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 باید رابطۀ میان وجود و ماهیت را هم از نظر مفهومی و هم از جنبۀ متافیزیک و هستی‌شناسی بررسی کنیم</w:t>
      </w:r>
      <w:r>
        <w:rPr>
          <w:rFonts w:eastAsia="IRNazanin" w:cs="IRNazanin"/>
          <w:color w:val="111111"/>
          <w:sz w:val="28"/>
          <w:szCs w:val="28"/>
          <w:rtl w:val="true"/>
          <w:lang w:bidi="fa-IR"/>
        </w:rPr>
        <w:t>.</w:t>
      </w:r>
    </w:p>
    <w:p>
      <w:pPr>
        <w:pStyle w:val="Heading5"/>
        <w:numPr>
          <w:ilvl w:val="4"/>
          <w:numId w:val="1"/>
        </w:numPr>
        <w:rPr/>
      </w:pPr>
      <w:bookmarkStart w:id="248" w:name="__RefHeading___Toc4693131_581953129"/>
      <w:bookmarkStart w:id="249" w:name="_Toc90"/>
      <w:bookmarkEnd w:id="248"/>
      <w:r>
        <w:rPr/>
        <w:t>3-3</w:t>
      </w:r>
      <w:r>
        <w:rPr>
          <w:rtl w:val="true"/>
        </w:rPr>
        <w:t xml:space="preserve">. </w:t>
      </w:r>
      <w:r>
        <w:rPr>
          <w:rtl w:val="true"/>
        </w:rPr>
        <w:t>ارتباط بین وجود و ماهیت</w:t>
      </w:r>
      <w:bookmarkEnd w:id="24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تاریخی، ابن‌سینا نخستین فیلسوفی است که موضوع تفکیک وجود از ماهیت و چگونگی رابطۀ میان آنها را به‌طور نظام‌مند بررسی کرده و پس از وی، این موضوع از سوی فیلسوفان مسلمان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و گسترش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کریمی،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ارتباط وجود و ماهیت، نخستین مسئله ارتباط مفهومی </w:t>
      </w:r>
    </w:p>
    <w:p>
      <w:pPr>
        <w:pStyle w:val="BookText"/>
        <w:rPr/>
      </w:pPr>
      <w:r>
        <w:rPr>
          <w:rFonts w:ascii="IRNazanin" w:hAnsi="IRNazanin" w:eastAsia="IRNazanin"/>
          <w:color w:val="111111"/>
          <w:sz w:val="28"/>
          <w:sz w:val="28"/>
          <w:szCs w:val="28"/>
          <w:rtl w:val="true"/>
          <w:lang w:bidi="fa-IR"/>
        </w:rPr>
        <w:t>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مفهومی، از سویی مفهوم ماهیت شامل مفهوم وجود نیست، زیرا با تجزیه و تحلیل مفاهیم ماهوی به بخش‌های تشکیل‌دهندۀ آنها، هیچ‌گاه به مفهوم وجود نمی‌رسیم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ابن‌سینا با یک مثال به‌خوبی این جدایی مفهومی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می‌توانیم در مورد خصوصیات یک مثلث صحبت کنیم، بدون آنکه بدانیم آیا هیچ مثلثی در عالم وجود دارد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ابن‌سینا،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مفهوم وجود نیز دربردارندۀ مفهوم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گاهی می‌توان وجود را بر چیزی حمل کرد، بدون اینکه در چنین حملی از مفاهیم ماهوی استفاده شود یا این مفاهیم از مفهوم وجود آن شیء استنتاج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دانشمندی ممکن است چیزی را که برای نخستین بار در ابزار آزمایشگاهی خود مشاهده کرده است، موجود به شمار آورد، بدون آنکه تصوری از مفاهیم و مؤلفه‌های ماهوی آن داشته باشد؛ اما در مورد تمایز میان وجود و ماهیت به‌مثابه دو امر واقعی، فلاسفه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نخست معتقدند میان وجود و ماهیت نه تنها تمایز مفهومی، تمایز واقعی نیز برقرار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مفاهیم ماهوی به 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واقعیت یک شیء و مفهوم وجود به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شیء ارجاع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کریمی،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سنت فلسفۀ اسلامی به گمان قاطبۀ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 ماهیت در خارج متحد و در ذهن متمایزند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یا باید فرض کرد که ماهیت یک شیء، جنبۀ اصیل و واقعی آن است و وجود به نوعی از آن ماهیت اصیل انتزاع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اصالت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باید وجود را اصیل و ماهیت را منتزع از آن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دیدگاه دوم، وجود کیفیتی نیست که چون سرخی، سردی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بر ماهیتی شود که در جهان خارج وجود دارد، بلکه شرط ضروری تحقق هر ماهیتی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شکل 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اصالت وجود، صورت‌بندی دقیق و مستدل خود را در دستگاه فلسفی ملاصدرا، به نام حکمت متعالیه پیدا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می‌کوشیم ضمن توضیح مکتب اصالت وجود ملاصدرا، نوعی از واقع‌گرایی </w:t>
      </w:r>
      <w:bookmarkStart w:id="250" w:name="pg5834_41908"/>
    </w:p>
    <w:p>
      <w:pPr>
        <w:pStyle w:val="BookText"/>
        <w:rPr/>
      </w:pPr>
      <w:bookmarkEnd w:id="250"/>
      <w:r>
        <w:rPr>
          <w:rFonts w:ascii="IRNazanin" w:hAnsi="IRNazanin" w:eastAsia="IRNazanin"/>
          <w:color w:val="111111"/>
          <w:sz w:val="28"/>
          <w:sz w:val="28"/>
          <w:szCs w:val="28"/>
          <w:rtl w:val="true"/>
          <w:lang w:bidi="fa-IR"/>
        </w:rPr>
        <w:t>علمی را بر پایۀ آن طرح کنیم که به نظر می‌رسد ضمن اذعان به وجود هویت‌های مشاهده‌ناپذیر، تمایز معرفت‌شناختی مشاهده‌پذیر و مشاهده‌ناپذیر را از نوعی که مدنظر ون فراسن است، می‌پذیرد</w:t>
      </w:r>
      <w:r>
        <w:rPr>
          <w:rFonts w:eastAsia="IRNazanin" w:cs="IRNazanin"/>
          <w:color w:val="111111"/>
          <w:sz w:val="28"/>
          <w:szCs w:val="28"/>
          <w:rtl w:val="true"/>
          <w:lang w:bidi="fa-IR"/>
        </w:rPr>
        <w:t>.</w:t>
      </w:r>
    </w:p>
    <w:p>
      <w:pPr>
        <w:pStyle w:val="Heading4"/>
        <w:numPr>
          <w:ilvl w:val="3"/>
          <w:numId w:val="1"/>
        </w:numPr>
        <w:rPr/>
      </w:pPr>
      <w:bookmarkStart w:id="251" w:name="__RefHeading___Toc4693133_581953129"/>
      <w:bookmarkStart w:id="252" w:name="_Toc91"/>
      <w:bookmarkEnd w:id="251"/>
      <w:r>
        <w:rPr/>
        <w:t>4</w:t>
      </w:r>
      <w:r>
        <w:rPr>
          <w:rtl w:val="true"/>
        </w:rPr>
        <w:t xml:space="preserve">. </w:t>
      </w:r>
      <w:r>
        <w:rPr>
          <w:rtl w:val="true"/>
        </w:rPr>
        <w:t>وجود در حکمت متعالیۀ ملاصدرا</w:t>
      </w:r>
      <w:bookmarkEnd w:id="252"/>
    </w:p>
    <w:p>
      <w:pPr>
        <w:pStyle w:val="BookText"/>
        <w:rPr/>
      </w:pPr>
      <w:r>
        <w:rPr>
          <w:rFonts w:ascii="IRNazanin" w:hAnsi="IRNazanin" w:eastAsia="IRNazanin"/>
          <w:color w:val="111111"/>
          <w:sz w:val="28"/>
          <w:sz w:val="28"/>
          <w:szCs w:val="28"/>
          <w:rtl w:val="true"/>
          <w:lang w:bidi="fa-IR"/>
        </w:rPr>
        <w:t>از دیدگاه تاریخی، ارسطو با تفکیک جوهر از عرض، جوهر را علت برای اعراض دانسته و معتقد است بر خلاف اعراض که به وسیلۀ حواس درک می‌شوند، جواهر توسط حواس درک نمی‌شوند و اثبات وجود آنها به برهان عقلانی نیاز دارد؛ ازاین‌رو ارسطو بر این باور است موجود جوهر است یا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ارسطو لایه‌های تشکیل‌دهندۀ واقعیت را ابتدا جوهر و سپس اعراض می‌داند؛ ولی ابن‌سینا با تکمیل آرای ارسطو، لایه‌ای بنیادی‌تر نسبت به دو لایۀ جوهر و عرض در نظر می‌گیرد و آن را وجود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وی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جواهر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لایه‌ای بنیادی‌تر به نام وجود استوار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ظاهر، اصالت را به ماهیت می‌دهد، نه 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دربارۀ وجود و ماهیت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متافیزیکی قلمداد می‌کند، نه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اکبریان،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ملاصدرا در حکمت متعالیه می‌کوشد با فرض تمایز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در آثار فیلسوفان پیش از وی، چون پروتاگوراس، افلاطون، ارسطو، فارابی و ابن‌سینا نیز به گونه‌ای 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هستی‌شناسی خود، وجود را به عنوان جنبۀ اصیل واقعیت معرفی و اثبات کند؛ توضیح اینکه به باور وی، وجود و ماهیت مفاهیم جداگانه‌ای هستند که واقعیت، مصداق یکی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برخلاف سهروردی که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جزو اعتبارات عقلی است و مصداقی واقعی، متمایز از ماهیت در خارج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اصالت را به وجود داده و عالم خارج را مصداق وجود می‌داند؛ بنابراین ملا‌صدرا اصالت را به وجود می‌دهد و ماهیت را اعتباری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خارج واقعیت دارد و درحقیقت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ماهیت‌ها که از نظر به حدود و مراتب وجودات دریافت می‌شوند، اموری تبعی و ظلی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bookmarkStart w:id="253" w:name="pg5834_41909"/>
    </w:p>
    <w:p>
      <w:pPr>
        <w:pStyle w:val="BookText"/>
        <w:rPr/>
      </w:pPr>
      <w:bookmarkEnd w:id="25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منظور ملاصدرا از اینکه ماهیت اعتباری است، به این معنا نیست که ماهیت هیچ بهره‌ای از واقعیت ندارد؛ بلکه به این معناست که ماهیت چون اصالت ندارد، در پرتو وجود حظی از واقعیت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ماهیت حد وجود است، این به معنای آن نیست که ماهیت، واقعیتی مستقل از وجود دارد، به‌گونه‌ای که می‌تواند با آن متحد شود یا از آن جدا باشد؛ بلکه اصولاً دیدگاه اصالت وجود شأنی برای ماهیت مستقل از وجود قائل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 کریمی،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Heading4"/>
        <w:numPr>
          <w:ilvl w:val="3"/>
          <w:numId w:val="1"/>
        </w:numPr>
        <w:rPr/>
      </w:pPr>
      <w:bookmarkStart w:id="254" w:name="__RefHeading___Toc4693135_581953129"/>
      <w:bookmarkStart w:id="255" w:name="_Toc92"/>
      <w:bookmarkEnd w:id="254"/>
      <w:r>
        <w:rPr/>
        <w:t>5</w:t>
      </w:r>
      <w:r>
        <w:rPr>
          <w:rtl w:val="true"/>
        </w:rPr>
        <w:t xml:space="preserve">. </w:t>
      </w:r>
      <w:r>
        <w:rPr>
          <w:rtl w:val="true"/>
        </w:rPr>
        <w:t>واقع‌گرایی هستی‌شناختی و تجربه‌گرایی برساختی</w:t>
      </w:r>
      <w:bookmarkEnd w:id="255"/>
    </w:p>
    <w:p>
      <w:pPr>
        <w:pStyle w:val="BookText"/>
        <w:rPr/>
      </w:pPr>
      <w:r>
        <w:rPr>
          <w:rFonts w:ascii="IRNazanin" w:hAnsi="IRNazanin" w:eastAsia="IRNazanin"/>
          <w:color w:val="111111"/>
          <w:sz w:val="28"/>
          <w:sz w:val="28"/>
          <w:szCs w:val="28"/>
          <w:rtl w:val="true"/>
          <w:lang w:bidi="fa-IR"/>
        </w:rPr>
        <w:t>با توجه به مبانی فوق، نخستین نکته در دفاع از واقع‌گرایی وجودی، مبتنی بر این مبناست که چیستی و هستی هویت‌های تشکیل‌دهندۀ جهان از نظر هستی‌شناختی، متحد با یکدیگر و از دیدگاه معنا‌شناختی و معرفت‌شناختی دو مفهوم مجزا از یکدیگر هستند؛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دیدگاه ون فراسن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تمایز هستی‌شناسانۀ مشاهده‌پذیر و مشاهده‌ناپذیر را به‌آسانی از تمایز معرفت‌شناسانۀ مشاهده‌پذیر و مشاهده‌ناپذیر استنتاج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ون فراسن نمی‌تواند از تمایز معرفت‌شناسانۀ مشاهده‌پذیر و مشاهده‌ناپذیر به تمایز هستی‌شناسانۀ مشاهده‌پذیر و مشاهده‌ناپذیر پل بزند یا اینکه در قبال آن موضع لاادری بگیرد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دوم این است که چنانچه بر اساس رویکرد ملاصدرا مبنی بر تمایز چیستی و هستی هویت‌های تشکیل‌دهندۀ عالم و بر خلاف تفسیر رایج و شایع در فلسفۀ تحلیلی، هستی را انتزاعی از چیستی ندانیم، بلکه آن را جنبۀ اصیل عالم به شمار آوریم، می‌توانیم از نوعی واقع‌گرایی هستی‌شناسانه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می‌توان با پذیرفتن تمایز معرفت‌شناسانۀ مشاهده‌پذیر و مشاهده‌ناپذیر ون فراسن و طرد منظر واقع‌گرایی معرفت‌شناسانه،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و از شهود واقع‌گرایانه بر پایۀ وجود هویت‌های مشاهده‌ناپذیر دفاع کرد؛ حتی اگر دربارۀ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هویت‌ها که نظریه‌های علمی پیش نهاده‌اند، به‌مثابه امور واقعی، موضعی تردیدآمیز و لاادری در پیش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اینکه، موضع لاادری ون فراسن بدین معناست که آنچه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مکانیک کوانتومی در‌بارۀ چیستی موجودی به نام الکترون گفته است، نمی‌توان به‌طورقطع پذیرفت و آن گفته‌ها را توصیف صادق و درستی از واقع دانست؛ ولی لازمۀ این ادعا چنین نیست که پس اصولاً ذره‌ای به نام الکترون وجود ندارد و آنچه –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اتاقک ابر ویلسون مشاهده می‌شود، صرفاً نوعی توّهم و یا رخدادی است که علت وجودی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ترکیب این ادعا با نظریۀ اصالت وجود ملاصدرا، می‌توان به تقویت این موضع پرداخت که صرف پذیرش هستی موجودات مشاهده‌ناپذیر می‌تواند مبنایی قدرتمند برای دیدگاه واقع‌گرایی هستی‌شناختی فراهم کند؛ بنابراین ضد واقع‌گرایی معرفت‌شناسانۀ تجربه‌گرایی برساختی با واقع‌گرایی هستی‌شناختی بر پایۀ اصالت وجود ملاصدرا جمع‌شدنی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رویکرد گفته‌شده را به شکل کلی‌تری توضیح دهیم، باید توجه داشت که نظریه‌های علمی هم وجود هویت‌های مشاهده‌ناپذیر را فرض می‌گیرند و هم اوصاف و ویژگی‌های ماهوی آن را بیان می‌کنند؛ بنابراین اگر یک گزارۀ علمی در نظریۀ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شکل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هویات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ویژگی‌های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گزاره درواقع دست‌کم از دو گزارۀ زیر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هویت‌های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هویت‌ها بنا بر نظریۀ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ویژگی‌های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 Z,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حتی اگر رویکرد ضد واقع‌گرایانۀ ون فراسن موجه و معتبر باشد، صرفاٌ میتواند اعتبار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مناقشه قرار دهد، ولی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حیطۀ اعتبار برهان‌های ون فراسن بیرون است؛ درواقع اگر او صرفاٌ به دلیل رویکرد ضد متافیزیکی خود حتی اعتبار گزاره‌هایی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کند، به ورطۀ شکاکیت و ایدئالیسم هستی‌شناسانۀ تمام‌عیار خواهد افتاد؛ ازاین‌رو حتی اگر در اعتبار صدق نظریه‌های علمی ناظر بر ماهیات هویت‌های مشاهده‌ناپذیر از نظر معناشناسی، معرفت‌شناسی و </w:t>
      </w:r>
      <w:bookmarkStart w:id="256" w:name="pg5834_41911"/>
    </w:p>
    <w:p>
      <w:pPr>
        <w:pStyle w:val="BookText"/>
        <w:rPr/>
      </w:pPr>
      <w:bookmarkEnd w:id="256"/>
      <w:r>
        <w:rPr>
          <w:rFonts w:ascii="IRNazanin" w:hAnsi="IRNazanin" w:eastAsia="IRNazanin"/>
          <w:color w:val="111111"/>
          <w:sz w:val="28"/>
          <w:sz w:val="28"/>
          <w:szCs w:val="28"/>
          <w:rtl w:val="true"/>
          <w:lang w:bidi="fa-IR"/>
        </w:rPr>
        <w:t xml:space="preserve">هستی‌شناسی تشکیک شود، در صدق گزاره‌های وجودی این نظریه‌ها چندان تردیدی نمی‌توان داشت؛ بنابراین به نظر می‌رسد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و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پیش‌تر توضیح دادیم، اگر واقع‌گرا به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 فرگه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گزاره‌های وجودی پایبند باشد، باور به گزاره‌هایی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رویکرد واقع‌گرایی او را توجیه کند؛ زیرا در سنّت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فرگه این گزاره‌ها حتی اگر از نظر منطقی خوش‌ساخت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به تفسیری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از این رویکرد،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خبری را دربارۀ عالم بیان نمی‌کنند و به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ما دربارۀ عالم چیزی نمی‌افزایند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اصالت وجودی ملاصدرا این گزاره‌ها درواقع بیانگر بنیادی‌ترین جنبۀ واقعیت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از نظر سمنتیک درست‌ساخت هستند، بلکه باور به آنها بنیاد معرفت ما از عالم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این گزاره‌ها توجیه‌گر بنیادین و اساسی رویکرد واقع‌گرایی هستی‌شناسانه به عالم‌اند؛ بنابراین می‌توان هم ضد واقع‌گرایی معرفت‌شناسانه را پذیرفت که مبتنی بر تجربه‌گرایی برساختی ون فراسن است و هم بر پایۀ اصالت وجود ملاصدرا از نظر هستی‌شناختی واقع‌گرا بود</w:t>
      </w:r>
      <w:r>
        <w:rPr>
          <w:rFonts w:eastAsia="IRNazanin" w:cs="IRNazanin"/>
          <w:color w:val="111111"/>
          <w:sz w:val="28"/>
          <w:szCs w:val="28"/>
          <w:rtl w:val="true"/>
          <w:lang w:bidi="fa-IR"/>
        </w:rPr>
        <w:t>.</w:t>
      </w:r>
    </w:p>
    <w:p>
      <w:pPr>
        <w:pStyle w:val="Heading3"/>
        <w:numPr>
          <w:ilvl w:val="2"/>
          <w:numId w:val="1"/>
        </w:numPr>
        <w:rPr/>
      </w:pPr>
      <w:bookmarkStart w:id="257" w:name="__RefHeading___Toc4693137_581953129"/>
      <w:bookmarkStart w:id="258" w:name="_Toc93"/>
      <w:bookmarkEnd w:id="257"/>
      <w:r>
        <w:rPr>
          <w:rtl w:val="true"/>
        </w:rPr>
        <w:t>نتیجه‌گیری</w:t>
      </w:r>
      <w:bookmarkEnd w:id="25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ضد‌واقع‌گرایانی چون ون فراسن نیز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پوزیتیویست‌های منطقی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مشاهده‌پذیر و مشاهده‌ناپذیر معنا‌شناسانه قابل قبول نیست و باید تز واقع‌گرایی معنا‌شناختی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انتقادهای ارائه‌شده از سوی ضد واقع‌گرایان که می‌توان مهم‌ترین آنها را در قالب انتقادهایی چون فرااستقرای بدبینانه، تعین ناقص، نسبی‌گرایی کوهنی و به‌ویژه تجربه‌گرایی برساختی ون فراسن، که در این نوشتار به آن تأکید شده است، بیان کرد، گویای آن هستند که نمی‌توان به‌سادگی همۀ هویت‌های تشکیل‌دهندۀ جهان را دارای شأن معرفتی یکسانی دانست؛ ازاین‌رو به نظر می‌رسد با پذیرش تمایز معرفت شناسانۀ مشاهده‌پذیر و مشاهده‌ناپذیر، منظر واقع‌گرایی معرفت‌شناختی در تمامیت خود قابل دفاع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به عنوان یکی از پیامد‌های این دیدگاه، می‌توان این پرسش را مطرح کرد که با فرض قبول منظر واقع‌گرایی معنا‌شناختی و طرد منظر واقع‌گرایی معرفت‌شناختی، تکلیف منظر واقع‌گرایی هستی‌شناختی چیست؟ ون فراسن پرداختن به منظر واقع‌گرایی هستی‌شناختی را خارج از حیطۀ وظایف علم دانسته 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مایلم در مورد وجود جنبه‌های مشاهده‌ناپذیری از جهان که به وسیلۀ علم توصیف شده‌اند، لاادری باشم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Van Fraassen, 1980, p.72/ IbId, 2001, p.151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به نظر می‌رسد در حوزۀ فلسفۀ علم پاسخ‌دادن به چنین پرسشی لازم باشد و باید دید پاسخ مناسب به این پرسش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نشان دادیم که یک پاسخ مناسب به پرسش فوق، مبتنی بر نگاه خاصی به مقولۀ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تعبیر موسوم به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فرگه، اولاً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محمول درجۀ دوم است، ثانیاً وجود ویژگی هویت‌ها و اشیا نیست؛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سنت فلسفۀ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محمولی واقعی، اما متفاوت از محمول‌های دیگر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می‌توان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 یک محمول عادی، بلکه حاکی از ویژگی خاصی از موجودات به شمار آورد که دیگر محمول‌های زبان که بیانگر دیگر ویژگی‌های موجودات‌اند، دربردارندۀ چنین نقشی نیستند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درک چنین نقشی، تفکیک وجود از ماهیت و چگونگی رابطۀ میان آنها را آن‌گونه که در سنت فلسفۀ اسلامی مطرح شده است، توضیح و نشان دادیم که ملاصدرا در حکمت متعالیه، ضمن فرض تمایز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هستی‌شناسی خود، وجود را جنبۀ اصیل واقعیت معرفی و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هرچند وجود و ماهیت، مفاهیم جداگانه‌ای هستند، واقعیت مصداق وجود و ماهیت منتزع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دادیم که بر این اساس می‌توان از نوعی واقع‌گرایی هستی‌شناسانه دفاع کرد؛ به سخن دیگر، می‌توان با پذیرفتن تمایز معرفت‌شناسانۀ مشاهده‌پذیر و مشاهده‌ناپذیر ون فراسن و درنتیجه طرد منظر واقع‌گرایی معرفت‌شناسانه،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واقع‌گرای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و از شهود واقع‌گرایانه مبنی بر وجود هویت‌های مشاهده‌ناپذیر دفاع کرد؛ حتی اگر ناچار باشیم دربارۀ ویژگی‌های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هویت‌ها که نظریه‌های علمی پیش </w:t>
      </w:r>
    </w:p>
    <w:p>
      <w:pPr>
        <w:pStyle w:val="BookText"/>
        <w:rPr/>
      </w:pPr>
      <w:r>
        <w:rPr>
          <w:rFonts w:ascii="IRNazanin" w:hAnsi="IRNazanin" w:eastAsia="IRNazanin"/>
          <w:color w:val="111111"/>
          <w:sz w:val="28"/>
          <w:sz w:val="28"/>
          <w:szCs w:val="28"/>
          <w:rtl w:val="true"/>
          <w:lang w:bidi="fa-IR"/>
        </w:rPr>
        <w:t>نهاده‌اند، به‌مثابه امور واقعی، موضعی تردیدآمیز و لاادری در پیش بگیریم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چنین نتیجه می‌گیریم که نظریۀ ضد واقع‌گرایی معرفت‌شناسانۀ ون فراسن نه تنها مستلزم دیدگاه ضد واقع‌گرایی هستی‌شناسانه نیست، بلکه با پذیرش دیدگاه اصالت وجود ملاصدرا می‌توان موضعی سازگار، مرکب از خوانش خاصی از ساختارگرایی برساختی و واقع‌گرایی وجودی اختیار کرد</w:t>
      </w:r>
      <w:r>
        <w:rPr>
          <w:rFonts w:eastAsia="IRNazanin" w:cs="IRNazanin"/>
          <w:color w:val="111111"/>
          <w:sz w:val="28"/>
          <w:szCs w:val="28"/>
          <w:rtl w:val="true"/>
          <w:lang w:bidi="fa-IR"/>
        </w:rPr>
        <w:t xml:space="preserve">. </w:t>
      </w:r>
      <w:bookmarkStart w:id="259" w:name="pg5834_41914"/>
    </w:p>
    <w:p>
      <w:pPr>
        <w:pStyle w:val="Heading3"/>
        <w:numPr>
          <w:ilvl w:val="2"/>
          <w:numId w:val="1"/>
        </w:numPr>
        <w:rPr/>
      </w:pPr>
      <w:bookmarkStart w:id="260" w:name="__RefHeading___Toc4693139_581953129"/>
      <w:bookmarkStart w:id="261" w:name="_Toc94"/>
      <w:bookmarkEnd w:id="259"/>
      <w:bookmarkEnd w:id="260"/>
      <w:r>
        <w:rPr>
          <w:rtl w:val="true"/>
        </w:rPr>
        <w:t>منابع و مآخذ</w:t>
      </w:r>
      <w:bookmarkEnd w:id="2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ابن‌سینا، حسن بن عبدالله؛ دانشنامۀ 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و فلسفۀ اولی؛ تصحیح و تعلیق احمد خراسانی؛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فارابی،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الاشارات والتنبیهات؛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کتاب،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اکبریان، رضا؛ حکمت متعالیه و تفکر فلسفی معاصر؛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حکمت اسلامی صدرا،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راسل، برتراند؛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محمدعلی حجتی؛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ارغنون، ش</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موحد، ضیاء؛ از ارسطو تا گودل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مقاله‌های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هرمس،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کریمی، میر‌سعید؛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برون‌شدن از نتایج مشکل‌آفرین رویکرد کانت به مسئلۀ وجود در پرتو حکمت سینوی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متافیزیک، 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امانوئل کانت و مکس بلک له نظریۀ اصالت وجود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خردنامۀ صدرا، ش</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مشکل آفرین کانت دربارۀ وجود و ناکامی رویکرد منطقی در حل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دوفصلنامۀ فلسفی شناخت،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مسئلۀ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مشکل‌آفرین کانت و ناکامی رویکرد فرگه‌ای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پژوهش‌های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ش</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Ashooh, M; When Seeing Is Believing: Bas Van Fraassen and the Observable/ Unobservable Distinction in Science; UMI press,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Churchland, Paul. M. and Clifford A. Hooker, Images of Science; Chicago: University of Chicago Press,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Contessa, G;“Constructive empiricism, observability and three kinds of ontological commitment”; Studies in History and Philosophy of Science, Vol.37, 2006, pp.454-468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Descartes, Rene; The Philosophical Writings of Descartes; ed. and trans. John Cottingham, Robert Stoothoff, DugaldMurdoch, and (for Vol.3) AnthonyKenny; Vols.1-3, Cambridge: Cambridge University press, (CSM 1-3 in the text), 1984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Dicken, Paul and Peter Lipton; “What can Bas believe? Musgrave and van Fraassen on observability”; Analysis, Vol.66, 2006, pp.226-233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Friedman, M; “The Scientific Image, Review by: Michael Friedman”; The Journal of Philosophy, Vol.79, 1982, pp.274-283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Gonzales, W. J; Bas van Fraassen’s Approach to Representation and Models in Science; Springer,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Hacking, I; “Do We See Through a Microscope?”; P. M. Churchland and C. A. Hooker, 1985, pp.132-152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Kelly, M; “Seeing the Unobservable: Van Fraassen and the Limits of Experience”; Syntheses, Vol.140, 2004, pp.331-353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Maxwell, Grower; “The Ontological Status of Theoretical Entities”; in Feigl et al, 1962, pp.3-27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Mohler, C; “The Dilemma of Empiricist Belief”; Monton, 2007, pp.209-228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Monton, B; Images of Empiricism; Oxford: Oxford Univercity Press,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Musgrave, Alan; “Constructive Empiricism and Realism”; Churchland et al, 1985, pp.197-221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Psillos, S; “On van Fraassen’s Critique of Abductive Reasoning”; The Philosophical Quarterly, Vol.46, 1996, pp.31-47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Scientific Realism: How Science Tracks Truth; New York: Rutledge, 1999</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Knowing the Structure of Nature; London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Palgrave MacMillan,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Sober, Elliott; “Constructive Empiricism and the Problem of Aboutness”; The British Journal for the Philosophy of Science, Vol.36, 1985, pp.11-18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Stapleton, T. J; The Question of Hermeneutics; Springer Science &amp; Business Media Dordrecht,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van Fraassen, B. C; The Scientific Image; Oxford: Clarendon Press, 1980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Empiricism In the Philosophy of Science”; in Churchland and Clifford, Vol 198,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Laws &amp; Symmetry; Oxford: Oxford University Press, 1989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Against Transcendental Empiricism”; in Stapleton, 1994, pp.309-335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Constructive Empiricism Now”; Philosophical Studies, Vol.106, 2001, pp.151-170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The Empirical Stance; New Haven: Yale Univercity Press,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Replies to Discussion on the Empirical Stance”; Philosophical Studies, Vol.121, 2004, pp.171–192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From a View of Science to a New Empiricism”; in Monton, 2007, pp.337-385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Scientific Representation; Oxford University Press,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Values, Choices, and Epistemic Stances”; in Bas van Fraassen’s Approach to Representation and Models in Science, W. J Gonzalez; Springer,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Wilson, M; “What Can Theory Tell Us about Observation”; in Images of Science, Paul. M Churchland, ,; Chicago: University of Chicago Press, 1985, pp.222-242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Wright, C; “Realism, Antirealism, Irrealism, Quasi – Realism”; Midwest Studies in Philosophy, Vol.12, 1988, pp.25–49</w:t>
      </w:r>
      <w:r>
        <w:rPr>
          <w:rFonts w:eastAsia="Times New Roman" w:cs="Times New Roman" w:ascii="Times New Roman" w:hAnsi="Times New Roman"/>
          <w:color w:val="111111"/>
          <w:sz w:val="28"/>
          <w:szCs w:val="28"/>
          <w:rtl w:val="true"/>
          <w:lang w:val="en-US" w:bidi="en-US"/>
        </w:rPr>
        <w:t xml:space="preserve">. </w:t>
      </w:r>
      <w:bookmarkStart w:id="262" w:name="pg5834_41917"/>
    </w:p>
    <w:p>
      <w:pPr>
        <w:pStyle w:val="Heading2"/>
        <w:numPr>
          <w:ilvl w:val="1"/>
          <w:numId w:val="1"/>
        </w:numPr>
        <w:rPr/>
      </w:pPr>
      <w:bookmarkStart w:id="263" w:name="__RefHeading___Toc4693141_581953129"/>
      <w:bookmarkStart w:id="264" w:name="_Toc95"/>
      <w:bookmarkEnd w:id="262"/>
      <w:bookmarkEnd w:id="263"/>
      <w:r>
        <w:rPr>
          <w:rtl w:val="true"/>
        </w:rPr>
        <w:t xml:space="preserve">نسبت میان بازی‌های زبانی، صورت‌های زندگی و حیات اجتماعی انسان در ویتگنشتاین متأخر </w:t>
      </w:r>
      <w:r>
        <w:rPr>
          <w:rtl w:val="true"/>
        </w:rPr>
        <w:t xml:space="preserve">/ </w:t>
      </w:r>
      <w:r>
        <w:rPr>
          <w:rtl w:val="true"/>
        </w:rPr>
        <w:t>مهدی دهاقین، عبدالرزاق حسامی‌فر، سیدمسعود سیف، محمدحسن حیدری</w:t>
      </w:r>
      <w:bookmarkEnd w:id="264"/>
    </w:p>
    <w:p>
      <w:pPr>
        <w:pStyle w:val="Heading3"/>
        <w:numPr>
          <w:ilvl w:val="2"/>
          <w:numId w:val="1"/>
        </w:numPr>
        <w:rPr/>
      </w:pPr>
      <w:bookmarkStart w:id="265" w:name="__RefHeading___Toc4693143_581953129"/>
      <w:bookmarkStart w:id="266" w:name="_Toc96"/>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مهدی دهاقین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عبدالرزاق حسامی‌فر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سیدمسعود سیف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محمدحسن حیدری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24/11/96</w:t>
      </w:r>
    </w:p>
    <w:p>
      <w:pPr>
        <w:pStyle w:val="Heading3"/>
        <w:numPr>
          <w:ilvl w:val="2"/>
          <w:numId w:val="1"/>
        </w:numPr>
        <w:rPr/>
      </w:pPr>
      <w:bookmarkStart w:id="267" w:name="__RefHeading___Toc4693145_581953129"/>
      <w:bookmarkStart w:id="268" w:name="_Toc97"/>
      <w:bookmarkEnd w:id="267"/>
      <w:r>
        <w:rPr>
          <w:rtl w:val="true"/>
        </w:rPr>
        <w:t>چکیده</w:t>
      </w:r>
      <w:bookmarkEnd w:id="268"/>
    </w:p>
    <w:p>
      <w:pPr>
        <w:pStyle w:val="BookText"/>
        <w:rPr/>
      </w:pPr>
      <w:r>
        <w:rPr>
          <w:rFonts w:ascii="IRNazanin" w:hAnsi="IRNazanin" w:eastAsia="IRNazanin"/>
          <w:color w:val="111111"/>
          <w:sz w:val="28"/>
          <w:sz w:val="28"/>
          <w:szCs w:val="28"/>
          <w:rtl w:val="true"/>
          <w:lang w:bidi="fa-IR"/>
        </w:rPr>
        <w:t>ویتگنشتاین در فلسفۀ متأخر خود با طرح نظریۀ کارب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معنای واژه را به کاربرد آن در جریان و شکل زندگی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زبان امری عمومی و اجتماعی و زبان خصوصی امری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زبان در قالب بازی‌های زبانی صورت می‌گیرد و کاربرد بازی‌های زبانی خود، انواع گوناگون صورت‌های زندگی را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زندگی پیوندی با ساختار حیات اجتماعی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می‌کوشیم نسبت میان کاربرد واژه‌ها و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را بحث کنیم و نشان دهیم که چگونه کاربرد واژه‌ها، یک بازی زبانی را شکل می‌دهد و چه نسبتی میان بازی‌های زبانی و صورت‌های زندگی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مقاله به بررسی نسبت میان صورت‌های زندگی و تاریخ طبیعی انسان از یک سو و زندگی اجتماعی انسان از سوی دیگر خواهیم پرداخت و نشان خواهیم داد اگرچه پیوند میان این عناصر پذیرفتنی است، اما نمی‌توان آن را به‌طور مطلق تأیید کرد؛ زیرا تغییرات در هر یک از اینها لزوماً متناظر با تغییر در عناصر دیگر نیست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نظریۀ کاربردی معنا، بازی‌های زبانی،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بافت اجتماعی، ویتگنشتاین</w:t>
      </w:r>
      <w:r>
        <w:rPr>
          <w:rFonts w:eastAsia="IRNazanin" w:cs="IRNazanin"/>
          <w:color w:val="111111"/>
          <w:sz w:val="28"/>
          <w:szCs w:val="28"/>
          <w:rtl w:val="true"/>
          <w:lang w:bidi="fa-IR"/>
        </w:rPr>
        <w:t xml:space="preserve">. </w:t>
      </w:r>
      <w:bookmarkStart w:id="269" w:name="pg5834_41918"/>
    </w:p>
    <w:p>
      <w:pPr>
        <w:pStyle w:val="Heading3"/>
        <w:numPr>
          <w:ilvl w:val="2"/>
          <w:numId w:val="1"/>
        </w:numPr>
        <w:rPr/>
      </w:pPr>
      <w:bookmarkStart w:id="270" w:name="__RefHeading___Toc4693147_581953129"/>
      <w:bookmarkStart w:id="271" w:name="_Toc98"/>
      <w:bookmarkEnd w:id="269"/>
      <w:bookmarkEnd w:id="270"/>
      <w:r>
        <w:rPr>
          <w:rtl w:val="true"/>
        </w:rPr>
        <w:t>مقدمه</w:t>
      </w:r>
      <w:bookmarkEnd w:id="271"/>
    </w:p>
    <w:p>
      <w:pPr>
        <w:pStyle w:val="BookText"/>
        <w:rPr/>
      </w:pPr>
      <w:r>
        <w:rPr>
          <w:rFonts w:ascii="IRNazanin" w:hAnsi="IRNazanin" w:eastAsia="IRNazanin"/>
          <w:color w:val="111111"/>
          <w:sz w:val="28"/>
          <w:sz w:val="28"/>
          <w:szCs w:val="28"/>
          <w:rtl w:val="true"/>
          <w:lang w:bidi="fa-IR"/>
        </w:rPr>
        <w:t>ویتگنشتاین در فلسفۀ متقدم خود به نظریۀ تصویری معنا قائل است که بر اساس آن تنها نقشی که زبان می‌تواند داشته باشد، تصویرگری واقعیت است و آنچه خارج از این چارچوب قرار می‌گیرد، ناگفتنی است و دربارۀ آن باید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پاره‌ای از آنچه ناگفتنی است، نشان‌دادنی است؛ مانند ساختار بنیادین زبان که اگرچه به زبان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می‌توان آن را در عمل نشان داد؛ ولی ویتگنشتاین در فلسفۀ متأخر خود، نظریۀ تصویر‌ی معنا را کنار گذاشت و بر این باور است زبان کارکردهای بسیار دارد که یکی از آنها تصویرگری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مرحله از تفکر خود به نظریۀ کارب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 قائل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در ذیل آن نظریۀ بازی‌های زبانی را مطرح کرد که بر اساس آن، واژه در کاربردهای گوناگون، معانی متفاوتی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امری عمومی و اجتماعی است و دیگر صحبت‌کردن از زبان خصوصی بی‌وجه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همگانی در زندگی اجتماعی، برای ارتباط آدمیان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این زبان در بستر صورت‌های زندگی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باورها و عقاید ما با شیوۀ زیستن و چگونگی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ما با جهان، ارتباطی وثیق داشته و در هر صورتی از زندگی، به شکلی متفاوت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مسائلی که در این نوشتار می‌کوشیم به آنها پاسخ دهیم، یکی اینکه مفهوم صورت زندگی چیست؟ دیگر آنکه چه نسبتی میان بازی زبانی و صورت زندگی وجود دارد؟ سوم اینکه آیا ویتگنشتاین همچنان‌که در مورد بازی زبانی از صیغۀ جمع استفاده می‌کند، به صورت‌های زندگی باور دارد یا تنها قائل به یک صورت زندگی است؟ پرسش دیگر اینکه صورت‌های زندگی چه نسبتی با تاریخ طبیعی انسان دارد و سرانجام اینکه ساختار فرهنگی و اجتماعی جوامع انسانی چه تأثیری بر شکل‌گیری صورت یا صورت‌های زندگی می‌گذارد؟</w:t>
      </w:r>
    </w:p>
    <w:p>
      <w:pPr>
        <w:pStyle w:val="Heading3"/>
        <w:numPr>
          <w:ilvl w:val="2"/>
          <w:numId w:val="1"/>
        </w:numPr>
        <w:rPr/>
      </w:pPr>
      <w:bookmarkStart w:id="272" w:name="__RefHeading___Toc4693149_581953129"/>
      <w:bookmarkStart w:id="273" w:name="_Toc99"/>
      <w:bookmarkEnd w:id="272"/>
      <w:r>
        <w:rPr>
          <w:rtl w:val="true"/>
        </w:rPr>
        <w:t>الف</w:t>
      </w:r>
      <w:r>
        <w:rPr>
          <w:rtl w:val="true"/>
        </w:rPr>
        <w:t xml:space="preserve">) </w:t>
      </w:r>
      <w:r>
        <w:rPr>
          <w:rtl w:val="true"/>
        </w:rPr>
        <w:t>صورت زندگی</w:t>
      </w:r>
      <w:bookmarkEnd w:id="27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صورت زندگی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 of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مفاهیم اساسی مطرح‌شده در پژوهش‌های </w:t>
      </w:r>
    </w:p>
    <w:p>
      <w:pPr>
        <w:pStyle w:val="BookText"/>
        <w:rPr/>
      </w:pPr>
      <w:r>
        <w:rPr>
          <w:rFonts w:ascii="IRNazanin" w:hAnsi="IRNazanin" w:eastAsia="IRNazanin"/>
          <w:color w:val="111111"/>
          <w:sz w:val="28"/>
          <w:sz w:val="28"/>
          <w:szCs w:val="28"/>
          <w:rtl w:val="true"/>
          <w:lang w:bidi="fa-IR"/>
        </w:rPr>
        <w:t>فلسفی است که ذهن شارحان ویتگنشتاین را به خود مشغول کرده و تلاش ایشان را برانگیخته است تا آن را در نسبت با مفاهیم مهم دیگر مطرح‌شده در اندیشۀ ویتگنشتاین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ملکوم طرح این بحث را در آن کتاب نوعی مردم‌شناسی به شمار آورده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Malcolme, 1977, p.149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پیتر وینچ بر این باور است که برداشت ویتگنشتاین از صورت زندگی، انقلابی واقعی در فلسفه ایجاد کرده است و این دگرگونی اهمیت حیاتی برای معرفت‌شناسی و جامعه‌شناسی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Winch, 1958, p.40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استراوسون ادعا می‌کند دو عنصر اساسی در فلسفۀ متأخر ویتگنشتاین وجود دارد که به صورت زندگی مربوط می‌شوند؛ یکی خود مفهوم صورت‌های زندگی و دیگری اهمیت اطراف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Surroundings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از مفهوم صورت‌های زندگی گرفته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Strawson, 1968, p.62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هیلاری پاتنام نیز هشدار می‌دهد که به نظر می‌رسد دلبستگی شارحان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به‌طورکامل متناسب با درجۀ نامعقولیتی است که آن واژه می‌تواند در یک متن مفروض داشته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Putnam, 1970, p.60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روی فیلسوفان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افلاطون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صورت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داشته‌اند و آن را همانند مفهومی که امکان‌های فراوانی در آن هست، مطمح نظر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واژه در ویتگنشتاین نیز شاید در همین راستا بوده است؛ آنجا که در رسالۀ منطقی فلسفی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امکان ساختار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بند</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بااین‌همه نمی‌توان مطمئن بود که ویتگنشتاین در به‌کارگیری این مفهوم در تعبیر صورت زندگی، این معنا از صورت را مد نظر داشته است؛ زیرا نمی‌توان صورت زندگی را چون امری متضمن پیشامدهای ممکن و تغییراتی بدانیم که می‌توانست در آن زندگی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آنکه تفاوت‌ها در صورت‌های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تفاوت‌هایی ظاهری، بلکه تفاوت‌هایی ذاتی– زوال‌ناپذیرند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Garver, 1990, p.176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ویتگنشتاین در پژوهش‌های فلسفی تنها در 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بندهای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صفحه‌های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به‌صراحت به مفهوم صورت زندگی اشاره می‌کند که همۀ </w:t>
      </w:r>
    </w:p>
    <w:p>
      <w:pPr>
        <w:pStyle w:val="BookText"/>
        <w:rPr/>
      </w:pPr>
      <w:r>
        <w:rPr>
          <w:rFonts w:ascii="IRNazanin" w:hAnsi="IRNazanin" w:eastAsia="IRNazanin"/>
          <w:color w:val="111111"/>
          <w:sz w:val="28"/>
          <w:sz w:val="28"/>
          <w:szCs w:val="28"/>
          <w:rtl w:val="true"/>
          <w:lang w:bidi="fa-IR"/>
        </w:rPr>
        <w:t>آنها کمی مبهم و رمزآلود هستند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C &amp; E, p.420/ RFM, VIII-47/ RPP, I-630/ OC 358-359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در کتاب درس‌گفتارها و گفت‌وگوها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یک صورت زندگی نباید به یک اظهار باور در روز قیامت منتهی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Wittgenstein, 1966, p.58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ماکس بلاک معتقد است ویتگنشتاین در استفاده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به‌عمد مفهوم مبهمی را به کار برده است که لوازم روشن و استواری ندارد؛ ازاین‌رو کوشش برای رسیدن به فهم روشن و دقیقی از آن بیهوده است و راه به جایی نمی‌برد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Garver, 1990, p.175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البته بیشتر خوانندگان کتاب ویتگنشتاین، بیش از آنکه هشدار بلاک را جدی بگیرند، به سخن ملکوم روی آورده‌اند که می‌گوید کمتر کسی می‌تواند نقش این مفهوم را در اندیشۀ ویتگنشتاین مخدوش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بلاک به سخن خود وفادار نمی‌ماند و خود در 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خود او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فقرات مربوط به صورت زندگی در پژوهش‌های فلسفی سه اصل را نتیجه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برتری یک زبان فرعی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 – language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مستلزم داشتن یک صورت زندگی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زندگی بر یک فعالیت اطلاق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بازی زبانی مانند بخش اصلی صورت زندگی مطابق آن بازی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می‌گوید که اموری چون امید، غم، لذت و ترس جنبه‌هایی از صورت‌های زندگی‌اند که در آنها فرض بر توانایی زبانی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p.179</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بیشتر گمان بر این است که ویتگنشتاین به کثرتی از صورت‌های زندگی انسانی در وسیع‌ترین معنای آن قائل بوده است، از نظر گارور هیچ دلیل قانع‌کننده‌ای بر </w:t>
      </w:r>
    </w:p>
    <w:p>
      <w:pPr>
        <w:pStyle w:val="BookText"/>
        <w:rPr/>
      </w:pPr>
      <w:r>
        <w:rPr>
          <w:rFonts w:ascii="IRNazanin" w:hAnsi="IRNazanin" w:eastAsia="IRNazanin"/>
          <w:color w:val="111111"/>
          <w:sz w:val="28"/>
          <w:sz w:val="28"/>
          <w:szCs w:val="28"/>
          <w:rtl w:val="true"/>
          <w:lang w:bidi="fa-IR"/>
        </w:rPr>
        <w:t>این مدعا وجود ندارد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تعدد صورت‌های زندگی شاید شامل صورت‌های زندگی خیالی مانند صورت زندگی بناها در بند دوم پژوهش‌های فلسفی یا صورت زندگی چوب‌فروشان در مبانی ریاضیات یا شامل نمونه‌هایی کاملاً نامشخص از فعالیت انسان بشود، نمونه‌هایی که نه گفتنی، بلکه نشان دادنی‌اند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ویتگنشتاین، نخستین و مهم‌ترین صورت‌های زندگی به تاریخ طبیعی تعلق دارند و مواردی ازاین‌دست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گاوگونه، شبه‌ماهی، شبه‌سگ، خزنده، انسان، گربه‌سان و شیروش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کاربرد امری مربوط به تاریخ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علم تجربی – است، نتیجۀ مهم دیگری که می‌توان گرفت این است که چیزی از معنای عملی نمی‌تواند به فهم ما از صورت‌های زندگی کمک کند یا از آنها استنتاج شود؛ ازاین‌رو ویتگنشتاین احتیاط می‌کرد که از تعبیر صورت زندگی زیاد استفاده نکند و بدین جهت هشدار بلاک پر بیراه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pp.177-178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گارور دربارۀ کثرت‌نداشتن صورت زندگی، صرفاً به این دلیل که ویتگنشتاین این تعبیر را به صورت جمع به کار نبرده است، پذیرفتنی نیست؛ زیرا نمی‌توان ویتگنشتاین را تنها قائل به یک صورت زندگی دانست؛ بدین معنا که وی قائل باشد زندگی همۀ انسان‌ها تنها یک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ویتگنشتاین دینداری و زندگی دینی را یک صورت زندگی می‌داند، به این دلیل که بخشی از انسان‌ها دیندار و بخشی بی‌دین‌اند، پس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دو صورت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دینی و دیگری غیردینی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زندگی دینی بتوان این تفکیک را صورت داد، چرا دربارۀ زندگی اخلاقی و غیراخلاقی نتوان به چنین تفکیکی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ملاحظۀ تفکیک‌هایی از این دست، صورت‌های زندگی گوناگونی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ویتگنشتاین از صیغۀ مفرد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می‌کند، صرفاً به این دلیل است که در مقام سخن‌گفتن دربارۀ خود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گوناگونی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هنگانی که دربارۀ یک بازی زبانی سخن می‌گوید و انواع بازی‌های زبانی منظور نظرش نیست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چگونگی استفادۀ انسان‌ها از زبان و مشارکت ایشان در بازی‌های زبانی در ارتباط دقیق و کامل با صورت‌های زندگی ترسیم می‌شود؛ بدین معنا که اگر تحلیل شود انسان‌ها چگونه زبان را به کار می‌گیرند و چگونه در بازی‌های زبانی مشارکت می‌کنند، با این روش بسیاری از مسائل سنتی فلسفه تشخیص داده می‌شود و در پایان حل و یا منحل می‌شوند؛ چراکه بازی‌های زبانی اولاً و بالذات با صورت‌های زندگی در ارتباط وثیق بوده و در بستر آن شکل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ویتگنشتاین مقصود خود را از بازی زبانی تأکید بر این واقعیت می‌داند که سخن‌گفتن به یک زبان، بخشی از یک فعالیت یا بخشی از صورت زندگی را تشکیل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بند</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بازی‌های زبانی را می‌توان تصور کرد؛ زبانی که تنها دربردارندۀ دستورها و گزار‌ش‌های جنگی باشد یا زبانی که فقط عبارت است از پرسش‌ها و عبارت‌هایی برای پاسخ آری یا نه و انواع بازی‌های زبانی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هر یک از این زبان‌ها تصور صورتی از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بند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زندگی درواقع فعالیت‌ها یا حالت‌های خاص ذهن است و شامل اموری مانند گزارش‌دادن، مذهبی‌بودن، دعاکردن، دستوردادن، احساس شادی‌کردن، مغموم‌بودن در زندگی هرروزه و ازاین‌دست امور می‌شود؛ ازاین‌رو به این معنا ما می‌توانیم تا حد زیادی، فهرستی از صورت‌های زندگی را در نظر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 زندگی می‌توانند فرهنگی یا دینی باشند؛ به بیان دیگر، یک دین خاص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اظهار باور به نوعی داوری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می‌انجامد </w:t>
      </w:r>
      <w:r>
        <w:rPr>
          <w:rFonts w:eastAsia="Times New Roman" w:cs="Times New Roman" w:ascii="Times New Roman" w:hAnsi="Times New Roman"/>
          <w:color w:val="111111"/>
          <w:sz w:val="28"/>
          <w:szCs w:val="28"/>
          <w:lang w:val="en-US" w:bidi="en-US"/>
        </w:rPr>
        <w:t>Wittgenstein,1966, p.58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ascii="IRNazanin" w:hAnsi="IRNazanin" w:eastAsia="IRNazanin"/>
          <w:color w:val="111111"/>
          <w:sz w:val="28"/>
          <w:sz w:val="28"/>
          <w:szCs w:val="28"/>
          <w:rtl w:val="true"/>
          <w:lang w:bidi="fa-IR"/>
        </w:rPr>
        <w:t xml:space="preserve">یا فرهنگی که دارای طبقه‌های فرودست و اشرافی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صورتی از زندگی جای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صورت‌های زندگی مختلف </w:t>
      </w:r>
      <w:bookmarkStart w:id="274" w:name="pg5834_41923"/>
    </w:p>
    <w:p>
      <w:pPr>
        <w:pStyle w:val="BookText"/>
        <w:rPr/>
      </w:pPr>
      <w:bookmarkEnd w:id="274"/>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که بازی‌های زبانی گوناگون، آنچنان‌که عملاً بازی می‌شوند، در آن ظهور و بروز می‌یابند</w:t>
      </w:r>
      <w:r>
        <w:rPr>
          <w:rFonts w:eastAsia="IRNazanin" w:cs="IRNazanin"/>
          <w:color w:val="111111"/>
          <w:sz w:val="28"/>
          <w:szCs w:val="28"/>
          <w:rtl w:val="true"/>
          <w:lang w:bidi="fa-IR"/>
        </w:rPr>
        <w:t>.</w:t>
      </w:r>
    </w:p>
    <w:p>
      <w:pPr>
        <w:pStyle w:val="Heading3"/>
        <w:numPr>
          <w:ilvl w:val="2"/>
          <w:numId w:val="1"/>
        </w:numPr>
        <w:rPr/>
      </w:pPr>
      <w:bookmarkStart w:id="275" w:name="__RefHeading___Toc4693151_581953129"/>
      <w:bookmarkStart w:id="276" w:name="_Toc100"/>
      <w:bookmarkEnd w:id="275"/>
      <w:r>
        <w:rPr>
          <w:rtl w:val="true"/>
        </w:rPr>
        <w:t>ب</w:t>
      </w:r>
      <w:r>
        <w:rPr>
          <w:rtl w:val="true"/>
        </w:rPr>
        <w:t xml:space="preserve">) </w:t>
      </w:r>
      <w:r>
        <w:rPr>
          <w:rtl w:val="true"/>
        </w:rPr>
        <w:t>زبان و جهان</w:t>
      </w:r>
      <w:bookmarkEnd w:id="27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را باید صورت زندگی عام در نظر گرفت که بدون آن، صورت‌های زندگی خاص، ممکن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صورت‌های زندگی تنها با تکیه بر زبان شکل بگیرند؛ ازاین‌رو نباید صورت‌های زندگی را فعالیت‌های صرف زبانی بدانیم؛ بلکه باید آنها را فعالیت‌های بنیادین انسانی در نظر گرفت که فعالیت‌های زبانی در بستر آن شکل می‌گیرند و بر آن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صورتی از زندگی نمی‌تواند همیشه به صورتی از یک رفتار فروکاسته شود؛ زیرا ما گاهی در ظاهر رفتاری داریم که مبین اغراض پنهان ما نیست؛ برای نمونه وقتی ما از باب مطایبه درظاهر خشمگین می‌شویم یا بر عکس، رفتاری فکاهی از خود بروز می‌دهیم، آن رفتار لزوماً حالت واقعی درونی ما را در آن زمان به‌خصوص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به همین دلیل است که ویتگنشتاین در برگه‌ها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خوشی همان رفتار خوشحالانه نیست؛ احساسی در گوشۀ لب‌ها و اطراف چشم‌ها 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حالت‌ها بخشی از صورت‌های زندگی است و ازاین‌رو نمی‌توانیم هر کدام از آنها را صورتی از زندگی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ویتگنشتاین در یادداشت‌ها ما را توجه می‌دهد به اینکه مفهوم واژۀ زندگی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Life = Leben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الزاماً در پیوند با جهان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زندگی فیزیولوژیک و روان‌شناختی، به‌یقین زندگی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زندگی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زندگی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جهان خود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فلسفه می‌کند این است که جهان، جهان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ویتگنشتاین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فلسفی، انسان نیست؛ بدن انسان نیست یا روان انسان که روان‌شناسی به آن می‌پردازد؛ بلکه سوژۀ متافیزیکی مرز جهان است، نه بخشی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این سخن این است که انسان به واسطۀ اراده، زندگی و جهان خود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اراده هرگز در برابر جهان </w:t>
      </w:r>
    </w:p>
    <w:p>
      <w:pPr>
        <w:pStyle w:val="BookText"/>
        <w:rPr/>
      </w:pPr>
      <w:r>
        <w:rPr>
          <w:rFonts w:ascii="IRNazanin" w:hAnsi="IRNazanin" w:eastAsia="IRNazanin"/>
          <w:color w:val="111111"/>
          <w:sz w:val="28"/>
          <w:sz w:val="28"/>
          <w:szCs w:val="28"/>
          <w:rtl w:val="true"/>
          <w:lang w:bidi="fa-IR"/>
        </w:rPr>
        <w:t>و حقایق آن نیست؛ زیرا اگر جز این بود، ویتگنشتاین تعریف سعادت را در یگانگی با جهان نمی‌دانست؛ ازاین‌رو زبان جهان این‌همانی‌ها، همان زبان جهان من است و این دو درواقع یک جهان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ایدۀ من بازنمایی می‌کند، درست همان حدودی را دارد که باز نموده می‌شود؛ یعنی چارچوب تصورات من همان چارچوب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زبانی در یک ساخت و بافت اجتماعی به کار می‌رود و در چارچوب آن زبان قاعده‌مند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قاعده‌مند بودن زبان در زندگی ما فراگیر است و به زبانی سخن‌گفتن نیز، به معنای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شارکت در صورتی از زندگی است و مشارکت در صورتی از زندگی، یعنی آموزش‌دیدن و فراگیری چنین آموزشی لزوماً در اجتماع صورت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Grayling, 1991, pp.85-88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چراکه انسان‌ها نیز می‌توانند همانند حیوانات صداهایی را از خود صادر کنند، ولی آن صداها لزوماً معنا و مفهومی ندارند و تنها در یک بافت اجتماعی خاص می‌توان معنا و مفهوم آنها را دریافت؛ به همین جهت ما در هیچ یک از صورت‌های زندگی با حیوانات شریک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آموزش برخی کاربردهای زبان نشانه به میمون‌ها که برخی میمون‌ها نیز آن را به هم‌نوعان و بچه‌هایشان یاد می‌دهند، نمی‌تواند نافی سخن ویتگنشتاین باشد؛ زیرا به‌رغم این فراگیری آموزش از سوی آنان، باید این نکتۀ مهم و دقیق را در نظر گرفت که به هر حال این میمون‌ها همچنان از تسلط بر دستور زبان ناتوان‌اند؛ بنابراین تنها کاری که در این زمینه انجام می‌دهند، این است که آنچه از انسان آموخته‌اند را از سر تقلید تکرار کنند؛ از این جهت باید توجه داشت که رفتار علّی ارگانیک ﺻﺮف، با رفتار انسانی منحصربه‌فرد که اولاً قاعده‌مند است، ثانیاً بر پایۀ قراردادهای فرهنگی و اجتماعی است و ثالثاً سرچشمۀ شناخت و دریافت ما را از جهان تشکیل می‌دهد، تفاوت‌های اساسی دارد؛ ازاین‌رو شناخت نیز بیش از آنکه یک فعل و انفعال ذهنی باشد، نوعی کسب توانایی در این بستر است و فهمی نیز که از این شناخت پدید می‌آید، پیش از آنکه فعالیتی ذهنی باشد، وابسته به فعالیت عملی، زندگی واقعی، زمینۀ اجتماعی و صورت‌های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w:t>
      </w:r>
    </w:p>
    <w:p>
      <w:pPr>
        <w:pStyle w:val="BookText"/>
        <w:rPr/>
      </w:pPr>
      <w:r>
        <w:rPr>
          <w:rFonts w:ascii="IRNazanin" w:hAnsi="IRNazanin" w:eastAsia="IRNazanin"/>
          <w:color w:val="111111"/>
          <w:sz w:val="28"/>
          <w:sz w:val="28"/>
          <w:szCs w:val="28"/>
          <w:rtl w:val="true"/>
          <w:lang w:bidi="fa-IR"/>
        </w:rPr>
        <w:t>ویتگنشتاین برای نمونه اشاره می‌کند که حتی اگر کسی به لحاظ بینایی مشکلی هم نداشته باشد، باز ضرورت دارد که قواعد بازی زبانی رنگ‌ها</w:t>
      </w:r>
      <w:r>
        <w:rPr>
          <w:rStyle w:val="FootnoteAnchor"/>
          <w:rtl w:val="true"/>
        </w:rPr>
        <w:footnoteReference w:id="52"/>
      </w:r>
      <w:r>
        <w:rPr>
          <w:rFonts w:ascii="IRNazanin" w:hAnsi="IRNazanin" w:eastAsia="IRNazanin"/>
          <w:color w:val="111111"/>
          <w:sz w:val="28"/>
          <w:sz w:val="28"/>
          <w:szCs w:val="28"/>
          <w:rtl w:val="true"/>
          <w:lang w:bidi="fa-IR"/>
        </w:rPr>
        <w:t xml:space="preserve">را یاد بگیرد؛ زیرا کسی که نتواند چنین بازی‌ای را انجام دهد، اساساً نمی‌تواند چنین مفهومی را نزد خود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دیگر بحث بر سر دریافت و برداشت‌های اولیه در برخوردهای اجتماعی نیست، بلکه بحث بر سر این است که فردی که به یک بازی زبانی آشنا نبوده و جزئیات آن را در درون یک صورت زندگی یا شیوۀ زیست آن فرا نگرفته باشد، اساساً نمی‌تواند در آن زمینۀ زبانی، مسائل و موضوعات را به‌خوبی بفهمد؛ همچنین نمی‌تواند منظور و نظر خود را به صورت رسا بیان کند؛ ازاین‌رو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به ما می‌گوید چرا برخی عبارت‌های زبانمان بی‌معنا هستند، به ما می‌گوید که چرا نمی‌توانیم دربارۀ آنها بیندیشیم و با آنها چیزی را بشناسیم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فسنکول،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با نظر به بازی‌های زبانی گوناگون و وجود رابطۀ این‌همانی میان زبان و تفکر و همچنین با عطف توجه به این موضوع، مفاهیمی که اندیشه را شکل می‌دهند، لزوماً در بستر صورت زندگی گرد آمده‌اند و فهمیده می‌شوند، نباید صرفاً یک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 کلی برای فهم در نظر داشت؛ چراکه معیار‌های فهم و عقلانیت در جوامع گوناگون، یکسان نبوده و هر جامعه‌ای از آن جهت که زبان و معیارهای خاص خود را در فهم و تشخیص درست از نادرست دارد، قواعد متفاوتی را در این مسئله لحاظ می‌کند و همان‌گونه که وینچ تأکید می‌کند، فهم، شکل‌های گوناگونی پیدا می‌کند و ازاین‌رو هیچ هنجار کلی برای فهم وجود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Winch, 1958, p.102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ویتگنشتاین دین را یک شکل و شیوۀ زندگی و بازی زبانی مستقل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نظر او اخلاق، کاوش دربارۀ معنای زندگی، یعنی دربارۀ آن چیزی است که </w:t>
      </w:r>
      <w:bookmarkStart w:id="277" w:name="pg5834_41926"/>
    </w:p>
    <w:p>
      <w:pPr>
        <w:pStyle w:val="BookText"/>
        <w:rPr/>
      </w:pPr>
      <w:bookmarkEnd w:id="277"/>
      <w:r>
        <w:rPr>
          <w:rFonts w:ascii="IRNazanin" w:hAnsi="IRNazanin" w:eastAsia="IRNazanin"/>
          <w:color w:val="111111"/>
          <w:sz w:val="28"/>
          <w:sz w:val="28"/>
          <w:szCs w:val="28"/>
          <w:rtl w:val="true"/>
          <w:lang w:bidi="fa-IR"/>
        </w:rPr>
        <w:t xml:space="preserve">زندگی را درخور زیستن می‌کند؛ بنابراین اخلاق دربارۀ شیوۀ درست زیستن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بر باور دینی نیز، باید از طریق عمل و با اصلاح شیوه‌های زندگی فرد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ویتگنشتاین برون‌داد تفکر، رفتار و روحیات ما به‌طور همه‌جانبه‌ای مبین نگرش ما به جهان است و اندیشه و نگرش ما، جهان پیرامون را به همراه تفاوت‌هایی بنیادین برایمان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فرهنگ و ارزش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مردم معنای یکسانی از شوخ‌طبعی مراد نمی‌کنند؟ آنان نسبت به هم واکنش مناسبی نشان نمی‌دهند؛ برای نمونه، میان برخی آنها رسم است توپی را به سوی فرد دیگر پرت کنند و آن دیگری توپ را بگیرد و دوباره به سوی نفر اول بیندازد؛ ولی برخی انسان‌ها توپ را پس نمی‌اندازند، بلکه آن را توی جیبشان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ازاین‌رو ویتگنشتاین بیان می‌کند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شوخ‌طبعی خلق‌وخو نیست، بلکه گونه‌ای جهان‌بینی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شوخ‌طبعی شیوه‌ای از نگریستن به جهان را آشکار می‌کند 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سبک فرهنگی جامعه مربوط 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در حکم یک آیین‌گذاری است یا دست‌کم نوعی آیین‌گذاری را پیش‌فرض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و برداشت از واژه‌ها طی یک توافق انسانی در فرهنگ‌های گوناگون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ویتگنشتاین از این توافق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در عقیده‌ها نیست، بلکه در صورت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278" w:name="__RefHeading___Toc4693153_581953129"/>
      <w:bookmarkStart w:id="279" w:name="_Toc101"/>
      <w:bookmarkEnd w:id="278"/>
      <w:r>
        <w:rPr>
          <w:rtl w:val="true"/>
        </w:rPr>
        <w:t>ج</w:t>
      </w:r>
      <w:r>
        <w:rPr>
          <w:rtl w:val="true"/>
        </w:rPr>
        <w:t xml:space="preserve">) </w:t>
      </w:r>
      <w:r>
        <w:rPr>
          <w:rtl w:val="true"/>
        </w:rPr>
        <w:t>بازی‌های زبانی و زندگی واژه‌ها</w:t>
      </w:r>
      <w:bookmarkEnd w:id="2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ویتگنشتاین در پژوهش‌های فلسفی گام دیگری را بر می‌دارد و با سخن‌گفتن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واژه‌ها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یک واژه را زندگی آن در نظر می‌گیرد و با قول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نشانه به تنهایی مرده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کاربرد خاص یک واژه را زندگی آن می‌داند که لزوماً با کاربردهای دیگر آن واژه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این واژه‌ها در هر نوع خاص از زندگی معنایی متناسب با آن نوع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دارن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 واژه‌ها را باید از کاربرد آنها در آن شکل زندگی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بدون قرارگرفتن در یکی از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صورت‌های زندگی، معنایی ندارد و درواقع صورت‌های گوناگون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دگی معنای واژه‌ها را متعین می‌کند </w:t>
      </w:r>
      <w:r>
        <w:rPr>
          <w:rFonts w:eastAsia="Times New Roman" w:cs="Times New Roman" w:ascii="Times New Roman" w:hAnsi="Times New Roman"/>
          <w:color w:val="111111"/>
          <w:sz w:val="28"/>
          <w:szCs w:val="28"/>
          <w:lang w:val="en-US" w:bidi="en-US"/>
        </w:rPr>
        <w:t>Philips, 2005, pp.175-176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این اساس می‌توان گفت که معنای یک واژه در کاربردی خاص، با معنای همان واژه در کاربرد دیگر آن در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گوناگون زندگی تفاوت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Malcom, 1993, p.223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ما بیش از آنکه از اختلاف موجود میان کلمات نایکسان تعجب کنیم، باید از اختلاف‌هایی که یک ﻛﻠﻤﺔ واحد در زمینه‌ها و متن‌های مختلف پیدا می‌کند، دچار شگفتی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ویتگنشتاین تعریف ماهوی زبان را بیهوده می‌داند و به جای ارائۀ چنین تعریفی، برای انعکاس هرچه دقیق‌تر توصیفی که به دنبال آن است، نام بازی‌های زبانی را برای دیدگاه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بر می‌گزیند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بازی‌های زبانی متفاوت،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 دریافت معنای جمله‌ها، به جای توجه به معنای کلمات باید به کاربرد آنها در زندگی روزمره توجه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البته این مسئله بر اساس زبان ابتدایی می‌تواند برای حیوانات نیز ممکن باشد؛ همان‌گونه که در میان حیوانات نیز صداها و نشانه‌هایی را می‌بینیم که برای توجه‌دادن دیگران به برخی خواسته‌ها و تهدیدها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انجام‌دادن بازی‌های زبانی در چارچوب‌های گوناگون صورت‌های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محیطی متفاوت با محیط حیوانات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عنفوان دورۀ کودکی انسان که شروع به آموختن می‌کند، درواقع یک چارچوب صوری تام و تمام به منظور فهم جهان برای او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فردی از بدو کودکی در میان حیوانات زندگی، رشد و نمو کرده باشد، ویژگی‌ها و رفتار آنها را خواهد داشت و ازاین‌رو انجام بازی‌های زبانی و صورت‌های زندگی را در محیط جهان انسانی دریافت نخواهد کرد و اساساً با آن بیگانه خواهد بود؛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گادامر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زبانی حرف می‌زند که هیچ کس آن را نمی‌فهمد، چنان است که گویی اصلاً حرف نمی‌زند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Gadamer, 1976, p.85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بنابراین هر یک از جوامع گوناگون، خود مظهر یک صورت زندگی خاص هستند که هویت افراد هر جامعه و ذهنیت ایشان بر اساس بازی‌های زبانی و قواعد حاکم بر آن شکل می‌گیرد و بر همین اساس باید گفت برداشتی که از جهان داریم، ساختۀ جهان </w:t>
      </w:r>
      <w:bookmarkStart w:id="280" w:name="pg5834_41928"/>
    </w:p>
    <w:p>
      <w:pPr>
        <w:pStyle w:val="BookText"/>
        <w:rPr/>
      </w:pPr>
      <w:bookmarkEnd w:id="280"/>
      <w:r>
        <w:rPr>
          <w:rFonts w:ascii="IRNazanin" w:hAnsi="IRNazanin" w:eastAsia="IRNazanin"/>
          <w:color w:val="111111"/>
          <w:sz w:val="28"/>
          <w:sz w:val="28"/>
          <w:szCs w:val="28"/>
          <w:rtl w:val="true"/>
          <w:lang w:bidi="fa-IR"/>
        </w:rPr>
        <w:t xml:space="preserve">نیست؛ ساختۀ زبان ماست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1988, p.401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همین شکل، شناخت آن نیز به واسطۀ مفاهیمی که بر اساس آموزش قواعد بازی‌های زبانی برای افراد هر جامعه معنا می‌شود، ایجاد می‌شود؛ به عبارت دیگر، شناخت هر واقعیتی بر اساس زبان رایج در یک صورت زندگی شکل می‌گیرد؛ بنابراین به‌روشنی در می‌یابیم صورت‌های زندگی دقیقاً در بستر مناسبات فرهنگی و اجتماعی شکل می‌گیرد و هنگامی که ویتگنشتاین تأکید می‌کند بر اینکه ما باید توجه داشته باشیم که زندگی‌های عادی ما درواقع ساختارمند شده‌اند، ما را به این نکته رهنمون می‌شود که نمی‌توان انسان را یک گونۀ حیوانی صرف در نظر گرفت؛ بلکه باید نگرش ما به چیزها و امور پیرامون، بر پایۀ شیوه‌های فرهنگی موروثی‌مان شکل بگیرد؛ چراکه از نظر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یک بازی زبانی تعلق دارد یک فرهنگ کامل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Wittgenstein, 1966, p.8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نظر ویتگنشتاین توصیف واژه‌ها به صورت انفرادی و منصرف از کانون اجتماعی و فرهنگی‌ای که قواعد کاربرد واژه‌ها را تعیین می‌کند، ممکن نیست و ما برای توصیف یک واژه، در وهلۀ نخست باید یک فرهنگ را توصیف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ویتگنشتاین می‌گوید تصورکردن یک زبان به معنای تصورکردن صورتی از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در مشاهده و بازنمایی صورت‌های زندگی، ساختارها، سبک‌ها، آیین‌ها و صورت‌های فرهنگی را به‌طور برابر و درهم‌تنیده، در آن صورت‌ها می‌بینیم</w:t>
      </w:r>
      <w:r>
        <w:rPr>
          <w:rFonts w:eastAsia="IRNazanin" w:cs="IRNazanin"/>
          <w:color w:val="111111"/>
          <w:sz w:val="28"/>
          <w:szCs w:val="28"/>
          <w:rtl w:val="true"/>
          <w:lang w:bidi="fa-IR"/>
        </w:rPr>
        <w:t>.</w:t>
      </w:r>
    </w:p>
    <w:p>
      <w:pPr>
        <w:pStyle w:val="Heading3"/>
        <w:numPr>
          <w:ilvl w:val="2"/>
          <w:numId w:val="1"/>
        </w:numPr>
        <w:rPr/>
      </w:pPr>
      <w:bookmarkStart w:id="281" w:name="__RefHeading___Toc4693155_581953129"/>
      <w:bookmarkStart w:id="282" w:name="_Toc102"/>
      <w:bookmarkEnd w:id="281"/>
      <w:r>
        <w:rPr>
          <w:rtl w:val="true"/>
        </w:rPr>
        <w:t>د</w:t>
      </w:r>
      <w:r>
        <w:rPr>
          <w:rtl w:val="true"/>
        </w:rPr>
        <w:t xml:space="preserve">) </w:t>
      </w:r>
      <w:r>
        <w:rPr>
          <w:rtl w:val="true"/>
        </w:rPr>
        <w:t>تاریخ طبیعی و فرهنگ</w:t>
      </w:r>
      <w:bookmarkEnd w:id="28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ویتگنشتاین زبان را برای انسان‌ها امری طبیعی می‌داند که نظر به درهم‌تنیدگی پیچیده‌اش در فعالیت‌های انسانی در اجتماع، اساساً نمی‌توان آن را مستقل از آن فعالیت‌ها مطالعه کرد؛ ازاین‌رو در نظر او زبان وجودی جداگانه ندارد و واژه‌ها همواره در صورت زندگی مجسم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مان‌گونه که در مثال مهم بنّا و دستیارش مشاهده می‌کنیم، بازی زبانی که او فرض می‌کند، به صورتی پیچیده با فعالیت‌های هدفمند انسانی ترکیب شده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Harris, 1988, p.113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بنابراین، بدون شک فرهنگ نیز برای انسان‌ها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همان اندازه که راه‌رفتن، غذاخوردن و این دست امور، بخشی از تاریخ </w:t>
      </w:r>
    </w:p>
    <w:p>
      <w:pPr>
        <w:pStyle w:val="BookText"/>
        <w:rPr/>
      </w:pPr>
      <w:r>
        <w:rPr>
          <w:rFonts w:ascii="IRNazanin" w:hAnsi="IRNazanin" w:eastAsia="IRNazanin"/>
          <w:color w:val="111111"/>
          <w:sz w:val="28"/>
          <w:sz w:val="28"/>
          <w:szCs w:val="28"/>
          <w:rtl w:val="true"/>
          <w:lang w:bidi="fa-IR"/>
        </w:rPr>
        <w:t>طبیعی ما هستند، دستوردادن، پرسیدن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بخشی از تاریخ طبیعی ما باشند، پس سبک‌های فرهنگی‌ای که این رفتار در آنها بیان می‌شود نیز جنبه‌ای از تاریخ طبیعی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صورت‌های زندگی به عنوان داشتن یک فرهنگ، چارچوب و الگوهایی در بافت جامعه هستند که در جریان زیستن ما در جهان، به شیوۀ فرهنگی و در مدار تاریخ طبیعی ما ظهور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 نسبت دقیقی با ساختار هر طبقه، سبک زندگی، ارزش‌های آن، دین، اخلاق، هنر، تجارت و صنعت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 چارچوب زبان را الگوی متغیری از صورت‌های زندگی شکل می‌دهد؛ بنابراین فرهنگ یک چارچوب صوری نیست که از بیرون با رفتار انسانی مرتبط باشد، بلکه رفتار انسانی در قالب شیوۀ زندگی در چارچوب فرهنگ جامعه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ویتگنشتاین با قول به اینکه یادگیری یک زبان چونان شکلی از صورت‌های حیات ما یا بخشی از فرهنگ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فراگیری شناختی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درهم‌تنیدگی اینها را مورد اشاره قرار داده و تاریخ طبیعی و فرهنگی را در هم می‌آمیزد؛ چنان‌که صورت‌های زندگی نیز برگرفته از آن است و بدین شکل تاریخ طبیعی مترادف صورت زندگی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هنا پیتکین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Hanna Pitkin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ویتگنشتاین و عدالت تعریف مناسب و مختصری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نظم و ترکیب هستند، ویتگنشتاین آنها را صورت می‌نامد و چون تار و پود وجود و فعالیت‌های انسان را روی زمین تشکیل می‌دهند، وی آنها را</w:t>
      </w:r>
    </w:p>
    <w:p>
      <w:pPr>
        <w:pStyle w:val="BookText"/>
        <w:rPr/>
      </w:pPr>
      <w:r>
        <w:rPr>
          <w:rFonts w:ascii="IRNazanin" w:hAnsi="IRNazanin" w:eastAsia="IRNazanin"/>
          <w:color w:val="111111"/>
          <w:sz w:val="28"/>
          <w:sz w:val="28"/>
          <w:szCs w:val="28"/>
          <w:rtl w:val="true"/>
          <w:lang w:bidi="fa-IR"/>
        </w:rPr>
        <w:t xml:space="preserve">صورت زندگی می‌نامد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Pitkin, 1972, p.132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بعد صوری و زنده است و می‌توان آن را در پرتو نگاه فرهنگی یا بر حسب تاریخ طبیعی انواع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تحلیل این مفهوم دست‌کم چهار تفسیر ممکن می‌توان از آن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تفاسیر که در مقالۀ </w:t>
      </w:r>
    </w:p>
    <w:p>
      <w:pPr>
        <w:pStyle w:val="BookText"/>
        <w:rPr/>
      </w:pPr>
      <w:r>
        <w:rPr>
          <w:rFonts w:ascii="IRNazanin" w:hAnsi="IRNazanin" w:eastAsia="IRNazanin"/>
          <w:color w:val="111111"/>
          <w:sz w:val="28"/>
          <w:sz w:val="28"/>
          <w:szCs w:val="28"/>
          <w:rtl w:val="true"/>
          <w:lang w:bidi="fa-IR"/>
        </w:rPr>
        <w:t>هانتر به آنها اشاره شده است، عبارت‌اند از</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بر پایۀ بازی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صورت‌های زندگی با بازی‌های زبانی بالفعل ذاتاً یکی دانسته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بازی‌های زبانی ممکن بسیاری را در نظر بگیریم، ولی نمی‌توانیم لزوماً همۀ آنها را در زندگی روزمره نقش‌آفرین بدانیم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بسته – رفتار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Behavior- Pakage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اساس این دیدگاه، صورت‌های زندگی، بسته‌های رفتاری صوری‌شده مانند حالت‌های خاص چهره، حرکات سر و دست و افعال هستند که با بازی‌های زبانی ارتباط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همان‌گونه که به انجام رفتاری علاقه‌مند می‌شویم، اشتیاق داریم در موقعیت مناسبی سخنانی را بر زبان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فرهنگی –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یک صورت زندگی یک شیوۀ زندگی یا یک حالت، شیوه، روش یا سبک زندگی است که پیوند وثیقی با ساختار طبقه، ارزش‌ها، دین، انواع صنایع و بازرگانی و انواع بازآفرینی دارد که گروهی از مردم را توصیف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نظریۀ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یا تفسیر ارگانیک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سه تفسیر نخست متمرکز بر بعد صوری واژۀ آلمانی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تفسیر چهارم بر جنبۀ زیست‌شناختی واژۀ آلمانی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Leben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 صورت زندگی بیشتر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مختص یک 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همان طبقه‌ای قرار می‌گیرد که مفاهیمی چون رشد یا تغذیه در آن قرار می‌گیرند یا شبیه آن پیچیدگی اندامی است که اندام‌های زنده را قادر می‌سازد به روش پیچیده‌ای در برابر محیط اطراف خود واکنش نشان دهند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Hunter, 1968, pp.276-278</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هانتر خود در میان تفاسیری که به آنها اشاره می‌کند، تفسییر ارگانیک را می‌پذیرد و دربارۀ دیدگاه فرهنگی چونان حریف جدی تفسیر ارگانیک بحث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کاستی دیدگاه فرهنگی را در این می‌داند که چندان مؤیدی در آثار ویتگنشتاین ندارد و حتی </w:t>
      </w:r>
    </w:p>
    <w:p>
      <w:pPr>
        <w:pStyle w:val="BookText"/>
        <w:rPr/>
      </w:pPr>
      <w:r>
        <w:rPr>
          <w:rFonts w:ascii="IRNazanin" w:hAnsi="IRNazanin" w:eastAsia="IRNazanin"/>
          <w:color w:val="111111"/>
          <w:sz w:val="28"/>
          <w:sz w:val="28"/>
          <w:szCs w:val="28"/>
          <w:rtl w:val="true"/>
          <w:lang w:bidi="fa-IR"/>
        </w:rPr>
        <w:t>توانایی تفسیر این سخن ویتگنشتاین را ندارد که می‌گوید تصور یک زبان به معنای تصور یک صورت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نقد آن می‌گوید که در بازی زبانی بنّا و شاگرد چگونه شخص می‌تواند چیزی دربارۀ سبک زندگی یا فرهنگ بنّا و شاگرد بداند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Gier, 1980, pp.244-245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 وارد بر دیدگاه هانتر این است که می‌کوشد مفهوم صورت زندگی را در چارچوب مثال بنّا و شاگرد که پیوندی با بافت اجتماعی ندارد، تفسیر کند؛ درحالی‌که این مثال بیشتر به کار توضیح بازی زبانی می‌آید، نه صورت زندگی؛ زیرا وقتی ویتگنشتاین زندگی دیندارانه را یک صورت زندگی می‌داند، نمی‌تواند تأثیر بافت فرهنگی و اجتماعی را بر صورت زندگی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گیر، اگرچه در تعبیر ویتگنشتاین، اموری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به ریاضیات زندگی روزمره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صورت زندگی معرفی می‌شوند، بر حسب برخی عبارت‌های او می‌توان اموری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وانمودکردن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صورت زندگی به شمار آورد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 مفهوم صورت زندگی را در چهار سطح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سطح زیست‌شناختی که در آن با حیوانات دیگر مشترک‌ایم و از آن، سطح دوم منتشی می‌شود که دربردارندۀ فعالیت‌های انسانی منحصربه‌فرد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وانمودکردن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غمگین‌شدن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سطح سوم شامل سبک‌های فرهنگی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سبک‌ها به نوبۀ خود، زمینۀ صوری خود را در سطح چهارم دارند و این سطح چارچوب جامعه‌شناختی زبانی عام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 در جایگاه نقد دیدگاه هانتر می‌گوید که اگر همچون هانتر، ویتگنشتاین را همانند کسی تفسیر کنیم که می‌گوید زبان برای انسان‌ها امری طبیعی است، پس باید در همان راستا بپذیریم که فرهنگ نیز برای انسان‌ها امری طبیعی است و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و عرف را برخاسته از طبیعت انسان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دستوردادن، پرسیدن 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پیاده‌روی،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تاریخ طبیعی ما هستند، پس سبک‌های فرهنگی که در آنها این رفتار ظاهر می‌شود، نیز جنبه‌ای از تاریخ طبیعی ماست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هر حال اگر زبان یک ابزار غیرطبیعی و ساختگی نیست که به انداموارۀ انسان افزوده شده باشد، پس فرهنگ چارچوبی صوری نیست که به روش بیرونی با رفتار انسان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استعارۀ ارگانیک آنتونی کنی استعارۀ مناسبی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داده‌هایی که زبان بر آنها استوار است، چارچوبی که زبان با آن هماهنگ است، نه با یک ساختار اتم‌های متغیر، بلکه با یک نمونه متغیر از صورت‌های زندگی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که با طبیعت عام و اساسی انسان پیوند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ویتگنشتاین تاریخ طبیعی را با تاریخ فرهنگی در می‌آمیزد و این آمیختگی را می‌توان در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آبی و قهوه‌ای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پژوهشگران بر این باورند که او تعبیر صورت زندگی را جایگزین کاربرد پیشین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صورت‌های زندگی سنگ‌بنای پژوهش‌های فلسفی است، پس می‌توان پیشینۀ آن را در کاربرد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ملاحظه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پرسیدن خود را ادامه دهیم 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چرا شما تصور می‌کنید که دندان‌درد به گرفتن گونه‌اش ارتباط دارد؟ فقط چون دندان‌درد شما به گرفتن گونه‌تان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شما از پاسخ به این پرسش قاصر خواهد بود و در خواهید یافت که اینجا به آخر خط رسیده‌ایم؛ یعنی به سطح قراردادها تنزل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 می‌گوید که شاید هانتر در اینجا به عنوان جملۀ معترضه بگوید که گرفتن گونه در حال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بخشی از زبان طبیعی درد است که در آن با حیوانات دیگر مشترک‌ایم؛ یعنی آنها نیز برای ابراز درد حرکاتی را انجام می‌دهند؛ ولی بر خلاف نظر او باید گفت که ارجاع دیگر ویتگنشتاین به این تعبیر در کتاب‌های آبی و قهوه‌ای در قالب طرح مثالی از کشیدن نقشۀ یک کشور و قرارداد تقسیم مناطقی خاص از آن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واژۀ قرارداد در اینجا به همان معنای طبیعی تاریخی به کار نرفته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تفسیر ارگانیک حتی با توسل به مثال ابراز دندان‌درد از طریق گرفتن گونه، نمی‌تواند تفسیرهای رقیب را از صحنه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می‌بینیم که یک زیست‌شناسی </w:t>
      </w:r>
    </w:p>
    <w:p>
      <w:pPr>
        <w:pStyle w:val="BookText"/>
        <w:rPr/>
      </w:pPr>
      <w:r>
        <w:rPr>
          <w:rFonts w:ascii="IRNazanin" w:hAnsi="IRNazanin" w:eastAsia="IRNazanin"/>
          <w:color w:val="111111"/>
          <w:sz w:val="28"/>
          <w:sz w:val="28"/>
          <w:szCs w:val="28"/>
          <w:rtl w:val="true"/>
          <w:lang w:bidi="fa-IR"/>
        </w:rPr>
        <w:t>مشترک، نه شرط کافی، بلکه شرط لازم برای افعال معنادار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هکر می‌گوید کسی نمی‌تواند معنای واژۀ درد را بداند، بدون آنکه نقش آن را در جمله‌های دربردارندۀ این واژه در زندگی ما بداند؛ یعنی معنای آن را در اموری چون خواهش و التماس‌کردن، درخواست بخشش، کمک یا تسکین، ترس‌ها یا هشدارها، ابراز همدردی، دعاها و تعجب‌کردن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دردداشتن یک صورت زندگی نیست؛ زیرا احساسی است که دیگر حیوانات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ویتگنشتاین این را یک واکنش ابتدایی می‌داند که وقتی شخص دیگری درد دارد، همانند هنگامی که خود دردی داریم، برای درمان عضو آسیب‌دیده اقدام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تأکید می‌کند که مفهوم درد با کارکرد جزئی‌اش در زندگی ما توصیف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بندهای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گونه‌گرفتن کسی صرفاً یک واکنش حیوانی در برابر درد است، پس نمی‌توان توضیح داد که چرا ویتگنشتاین برای توصیف آن، از واژۀ قرارداد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گیر کاستی مهم دیدگاه ارگانیک در این است که به‌آسانی می‌تواند به یک مابعدالطبیعۀ نامعقول دربارۀ اشیا یا رویدادهای طبیعی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را از ادله‌ای می‌داند که نشان می‌دهد ویتگنشتاین نه فیزیکالیست بود و نه رفتارگرا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طبیعی عالم همان‌قدر می‌تواند قراردادی باشد که مرزهای دونشایر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Devonshire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ویتگنشتاین آنچه صورت طبیعی لازم می‌آورد، می‌تواند نه وجودشناختی، بلکه گرامری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دربارۀ طبیعت آب می‌گوید هرچه می‌خواهد در آینده رخ دهد، آب هر گونه که می‌خواهد در آینده عمل کند؛ ما می‌دانیم که تاکنون در موارد بی‌شمار اینگونه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به بنیان بازی زبانی ما جوش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558</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بیرون آوردن بایسته‌های قراردادگرایی منسوب به ویتگنشتاین جمع میان دو تفسیر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تقریباً ناممکن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بحث قراردادها گاهی چنان سخن می‌گوید که گویی قراردادها بر هر بعدی از زندگی ما سلطه دارند</w:t>
      </w:r>
      <w:r>
        <w:rPr>
          <w:rFonts w:eastAsia="IRNazanin" w:cs="IRNazanin"/>
          <w:color w:val="111111"/>
          <w:sz w:val="28"/>
          <w:szCs w:val="28"/>
          <w:rtl w:val="true"/>
          <w:lang w:bidi="fa-IR"/>
        </w:rPr>
        <w:t xml:space="preserve">. </w:t>
      </w:r>
      <w:bookmarkStart w:id="283" w:name="pg5834_41934"/>
    </w:p>
    <w:p>
      <w:pPr>
        <w:pStyle w:val="BookText"/>
        <w:rPr/>
      </w:pPr>
      <w:bookmarkEnd w:id="283"/>
      <w:r>
        <w:rPr>
          <w:rFonts w:ascii="IRNazanin" w:hAnsi="IRNazanin" w:eastAsia="IRNazanin"/>
          <w:color w:val="111111"/>
          <w:sz w:val="28"/>
          <w:sz w:val="28"/>
          <w:szCs w:val="28"/>
          <w:rtl w:val="true"/>
          <w:lang w:bidi="fa-IR"/>
        </w:rPr>
        <w:t>چگونگی کاربرد تعبیر تاریخ طبیعی در ویتگنشتاین بحث‌هایی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ویتگنشتاین اندیشۀ عمل به تاریخ طبیعی را رد می‌کند، آنچه مد نظر دارد در برابر علم طبیعی است؛ فعالیتی که او پیوسته از آن دوری می‌گزیند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کاربردهای دیگر این تعبیر، مفهوم عامی را از این تعبیر نشان می‌دهد که تاریخ فرهنگی را نیز آشکارا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شارحان ویتگنشتاین تعبیر تاریخ طبیعی را مترادف با صورت زندگی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ویتگنشتاین را که می‌گوید امید یک پدیدۀ عام تاریخ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با این سخن او در پژوهش‌های فلسفی سنجید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پدیده‌های امید،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پیچیدۀ زندگی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ادعای اوست که می‌گوید فراگیری یک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فراگیری یک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شناختی از تاریخ طبیعی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هنگامی که از تاریخ طبیعی اشیای ریاضی صحبت می‌کند یا سرانجام وقتی دربارۀ پدیدۀ محاسبه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تاریخ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می‌زند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Wittgenstein, 1956, p.60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4693157_581953129"/>
      <w:bookmarkStart w:id="285" w:name="_Toc103"/>
      <w:bookmarkEnd w:id="284"/>
      <w:r>
        <w:rPr>
          <w:rtl w:val="true"/>
        </w:rPr>
        <w:t>ه</w:t>
      </w:r>
      <w:r>
        <w:rPr>
          <w:rtl w:val="true"/>
        </w:rPr>
        <w:t xml:space="preserve">) </w:t>
      </w:r>
      <w:r>
        <w:rPr>
          <w:rtl w:val="true"/>
        </w:rPr>
        <w:t>وجه توصیفی و نه تبیینی صورت زندگی</w:t>
      </w:r>
      <w:bookmarkEnd w:id="28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صورت زندگی ویتگنشتاین را نباید دیدگاهی ناظر به واقع که به برخی واقعیت‌های زیست‌شناختی، روان‌شناختی یا فرهنگی مربوط می‌شود،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زندگی همانند یک چارچوب صوری هستند که جامعه و فرهنگ را امکان‌پذیر می‌کنند؛ ولی این بدان معنا نیست که صورت‌های زندگی به عنوان نظریه‌های جامعه‌شناختی یا روان‌شناختی به 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صورت‌های زندگی پاسخی برای موضوع‌ها نداشته و اصولاً نقش تبیینی ندارند و تنها در پایان هر توضیحی به عنوان یک امر متعین مشاهده می‌شوند؛ بنابراین ویتگنشتاین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به دنبال علت‌ها و محتوای تجربی زندگی نیست؛ بلکه معنای زندگی و مفاهیمی را که در آن به کار می‌بریم،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موضوع به درستی فهمیده نشود، چه‌بسا به نظر آید که صورت‌های زندگی ویتگنشتاین بر پایۀ امور روان‌شناختی و جامعه‌شناختی که نقش تبیینی دارند، </w:t>
      </w:r>
    </w:p>
    <w:p>
      <w:pPr>
        <w:pStyle w:val="BookText"/>
        <w:rPr/>
      </w:pP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می‌کند که ما نمی‌توانیم خارج از بافت یک بازی زبانی انسانی و یک صورت زندگی خاص، چیزی دربارۀ آن بفهمیم؛ زیرا همین که جمله را خارج از زمینۀ آن بیان کنیم، جلوۀ نادرستی پیدا می‌کند؛ چون در این صورت، چنان است که گویا بخواهیم اطمینان بدهیم چیزهایی هست که آنها را می‌دانیم؛ درحالی‌که حتی خود خدا نیز دربارۀ آنها نمی‌تواند چیزی به ما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ویتگنشتاین،</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ویتگنشتاین می‌گوید اشتباه ما در این است در جایی که باید به آنچه رخ می‌دهد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پدیدار نخستین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proto-phenomenon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نگاه کنیم، به دنبال تبیین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بدان معنا نیست که بگوییم ویتگنشتاین همه واقعیت را در پدیدارهای زبانی خلاصه می‌کند؛ چراکه او به هیچ روی صورت‌های زندگی را با بازی‌های زبانی یکسان نمی‌داند، بلکه از نظر او سخن‌گفتن به یک زبان، خود بخشی از یک فعالیت بنیادی‌تر است که آن صورت زندگی است؛ بنابراین باید توجه داشت که یک بازی زبانی بخشی از چارچوبی را تشکیل می‌دهد که کارکرد زبان ما بر آن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ویتگنشتاین از واژۀ چارچوب، ماهیت صوری صورت‌های زندگی است که درواقع زبان در آن بنیان نهاده شده است و همین تشخیص تنوع بازی، مفهوم صورت زندگی را در اندیشۀ او به مفهومی فوق‌العاده سودمند تبدیل می‌کند تا به یاری آن، یافته‌های جدیدش را دربارۀ گوناگونی کاربردهای زبانی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242</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گفت که اولاً ویتگنشتاین در پدیدارشناسی خود، صورت‌های زندگی را جایگزین هر گونه تبیین و تعلیل می‌کند که در یک نگاه کلی پدیدار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هر گونه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پیوندهای صوری میان چیزها را ممکن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فلسفه دیگر وظیفه ای در تبیین امور ندارد و روش‌های فلسفه کاملاً توصیفی است؛ زیرا تنها کار فلسفه این است که همه چیز را پیش روی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قرار دهد و نه چیزی را توضیح دهد و نه چیزی را استنتاج کند؛ چراکه همه چیز آشکار در معرض دید است؛ پس چیزی برای توضیح نمی‌ماند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ویتگنشتاین،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فلسفۀ متأخر ویتگنشتاین که ملکوم آن را نوعی مردم‌شناسی نامیده است، بیش و پیش از آنکه مترصد تحقیق و تبیین </w:t>
      </w:r>
      <w:bookmarkStart w:id="286" w:name="pg5834_41936"/>
    </w:p>
    <w:p>
      <w:pPr>
        <w:pStyle w:val="BookText"/>
        <w:rPr/>
      </w:pPr>
      <w:bookmarkEnd w:id="286"/>
      <w:r>
        <w:rPr>
          <w:rFonts w:ascii="IRNazanin" w:hAnsi="IRNazanin" w:eastAsia="IRNazanin"/>
          <w:color w:val="111111"/>
          <w:sz w:val="28"/>
          <w:sz w:val="28"/>
          <w:szCs w:val="28"/>
          <w:rtl w:val="true"/>
          <w:lang w:bidi="fa-IR"/>
        </w:rPr>
        <w:t>دربارۀ علت‌ها و درون‌مایۀ تجربی آنها باشد، به دنبال نوعی پدیدارشناسی توصیفی صورت‌های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صورت‌های زندگی اصولاً شرایط صوری و الگوهایی در بافت زندگی ما هستند که به واسطۀ زبان، جهان معنادار را امکان پذیر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یک ابزار است و مفاهیم آن همانند ابزارهایی است که ما را به انجام پژوهش‌هایی رهنمون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انسان‌ها ذاتاً موجودات ناطقی هستیم و زبان و صور‌ت‌های آن، قالب سرشت ما را می‌پذیرند، ماهیت اندیشه‌مان را می‌سازند و در اعماق زندگیمان نفوذ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این‌گونه به نظر می‌رسد که ویتگنشتاین در جریان معرفت، حدود زبان انسان را به جای حدود فاهمۀ انسان در فلسفۀ کانت می‌نشاند و ازاین‌رو صورت‌های زندگی را می‌توان با شرایط امکان تجربۀ کانت، به عنوان تجلی‌گاه وابستگی متقابل مفهوم و تجربه، معادل دانست که با این تعبیر، کارکردی استعلایی می‌یابند</w:t>
      </w:r>
      <w:r>
        <w:rPr>
          <w:rFonts w:eastAsia="IRNazanin" w:cs="IRNazanin"/>
          <w:color w:val="111111"/>
          <w:sz w:val="28"/>
          <w:szCs w:val="28"/>
          <w:rtl w:val="true"/>
          <w:lang w:bidi="fa-IR"/>
        </w:rPr>
        <w:t>.</w:t>
      </w:r>
    </w:p>
    <w:p>
      <w:pPr>
        <w:pStyle w:val="Heading3"/>
        <w:numPr>
          <w:ilvl w:val="2"/>
          <w:numId w:val="1"/>
        </w:numPr>
        <w:rPr/>
      </w:pPr>
      <w:bookmarkStart w:id="287" w:name="__RefHeading___Toc4693159_581953129"/>
      <w:bookmarkStart w:id="288" w:name="_Toc104"/>
      <w:bookmarkEnd w:id="287"/>
      <w:r>
        <w:rPr>
          <w:rtl w:val="true"/>
        </w:rPr>
        <w:t>نتیجه‌گیری</w:t>
      </w:r>
      <w:bookmarkEnd w:id="28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ویتگنشتاین در دورۀ دوم تفکرش به نظریۀ کاربردی معنا قائل شد که بر اساس آن، معنای هر واژه را مجموع کاربردهای آن واژه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چون ابزارهایی هستند که در بازی‌های زبانی گوناگون نقش‌های متفاوتی ایفا می‌کنند و متناسب با کاربرد آنها، در بازی‌های زبانی متفاوت معانی متفاوتی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زبانی که برسازندۀ معانی الفاظ هستند، پیوند عمیقی با زندگی انسان دارند؛ چنان‌که نمی‌توان آنها را به شیوۀ عینی و مستقل از زندگی انسان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امور مربوط به انسان بر خلاف امور مربوط به طبیعت که مطالعه و پژوهش دربارۀ آنها به روش عینی و فارغ از ملاحظات انسانی صورت می‌گیرد، کاملاً به زندگی انسانی وابسته است و چون زندگی انسان‌ها به تبع وجود تفاوت در مؤلفه‌های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 باورها، گرایش‌ها و دیدگاه‌ها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است، بازتاب بازی‌های زبانی در آن به صورت‌های مختلف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می‌شود در هر جامعه‌ای شاهد بازی‌های زبانی متناسب با آن جامعه باشیم و این چیزی است که ویتگنشتاین از آن به صورت زندگی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او انسان‌ها دارای انواع </w:t>
      </w:r>
    </w:p>
    <w:p>
      <w:pPr>
        <w:pStyle w:val="BookText"/>
        <w:rPr/>
      </w:pPr>
      <w:r>
        <w:rPr>
          <w:rFonts w:ascii="IRNazanin" w:hAnsi="IRNazanin" w:eastAsia="IRNazanin"/>
          <w:color w:val="111111"/>
          <w:sz w:val="28"/>
          <w:sz w:val="28"/>
          <w:szCs w:val="28"/>
          <w:rtl w:val="true"/>
          <w:lang w:bidi="fa-IR"/>
        </w:rPr>
        <w:t>صورت‌های زندگی‌اند که در هر یک، انواع بازی‌های زبانی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اساس قائل می‌شود به اینکه برای نمونه مفاهیم دینی در جامعۀ دینی، به دلیل وجود یک صورت زندگی دینی، در بازی یا بازی‌های زبانی مناسب آن جامعه که البته متفاوت با صورت زندگی موجود در جامعۀ غیردینی است، به معنای متفاوتی به کار می‌روند؛ چنان‌که در این نوشتار آوردیم، ویتگنشتاین مفهوم صورت زندگی را از یک سو به تاریخ طبیعی انسان و از سوی دیگر به فضای فرهنگی و اجتماعی انسان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یک سو می‌گوید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اموری تحمیلی بر زندگی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نیستند، بلکه تاریخ طبیعی حیات انسان نشان می‌دهد که در فرایند زندگی انسانی انواع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تحقق یافته است و آنچه نظریۀ او در مقام بیان آن است، صرف توصیف این واقعیت است؛ نه اینکه بخواهد راه جدیدی فراروی انسان بگذارد و از سوی دیگر بر این باور است صورت زندگی در یک جامعه، بازتاب ساختار فرهنگی و اجتماعی آن جامعه است؛ به‌گونه‌ای که شناخت صورت زندگی یک جامعه در گرو فهم عناصر فرهنگی و اجتماعی آن جامعه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 اینکه می‌توان با ویتگنشتاین در اینکه معنای واژه‌ها پیوند وثیقی با کاربرد آنها دارد، هم‌عقیده بود و در تأیید نظر او به کاربردهای جدیدی که یک واژه در زبان پیدا می‌کند، اشاره کرد که گسترۀ معنایی آن واژه را وسعت می‌بخشد؛ چنان‌که – 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دو واژۀ شیشه و گل، در گذشته هرگز بر مواد مخدر دلالت نمی‌کرد و اگر کسی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گل، زیان‌بار و خانمان‌برانداز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درستی سخنش پذیرفتنی نبود؛ درحالی‌که امروزه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کاربرد این دو واژه نمی‌توان معانی جدید آنها را نادیده گرفت و باید در عبارت، قراینی آورد که مشخص کند کدام معنای واژه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 با ویتگنشتاین موافق بود، در اینکه معانی واژگان با صورت‌های زندگی و صورت‌های زندگی با تاریخ طبیعی انسان و تاریخ طبیعی انسان با فضای فرهنگی و اجتماعی او پیوند دارد؛ اما اگر منظور ایشان این باشد که مطابقت تام میان اینها برقرار است، به‌گونه‌ای که هر تغییری در صورت‌های زندگی لزوماً به تغییر در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کاربرد واژه‌ها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معنای واژه‌ها منتهی می‌شود، پیداست که نمی‌توان با ایشان هم‌عقیده بود؛ زیرا ملاحظۀ آنچه بر حیات انسان و زبان گذشته است، به ما نشان می‌دهد چنین نیست که تغییرات همیشه متناظر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بدون تحقق تغییری در صورت زندگی، کاربردهای جدیدی برای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پدید آمده است و گاهی صورت‌های زندگی تغییر یافته، ولی در کاربرد واژه ها تحولی صورت نپذیرفته است</w:t>
      </w:r>
      <w:r>
        <w:rPr>
          <w:rFonts w:eastAsia="IRNazanin" w:cs="IRNazanin"/>
          <w:color w:val="111111"/>
          <w:sz w:val="28"/>
          <w:szCs w:val="28"/>
          <w:rtl w:val="true"/>
          <w:lang w:bidi="fa-IR"/>
        </w:rPr>
        <w:t xml:space="preserve">. </w:t>
      </w:r>
      <w:bookmarkStart w:id="289" w:name="pg5834_41939"/>
    </w:p>
    <w:p>
      <w:pPr>
        <w:pStyle w:val="Heading3"/>
        <w:numPr>
          <w:ilvl w:val="2"/>
          <w:numId w:val="1"/>
        </w:numPr>
        <w:rPr/>
      </w:pPr>
      <w:bookmarkStart w:id="290" w:name="__RefHeading___Toc4693161_581953129"/>
      <w:bookmarkStart w:id="291" w:name="_Toc105"/>
      <w:bookmarkEnd w:id="289"/>
      <w:bookmarkEnd w:id="290"/>
      <w:r>
        <w:rPr>
          <w:rtl w:val="true"/>
        </w:rPr>
        <w:t>منابع و مآخذ</w:t>
      </w:r>
      <w:bookmarkEnd w:id="2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فسنکول، ویلهلم؛ گفتنی‌ها – ناگفتنی‌ها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مقاله دربارۀ فلسفۀ ویتگنشتاین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مالک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 آنتونی؛ معماری زبان و ذهن در فلسفۀ ویتگنشتاین؛ ترجمۀ محمدرضا اسمخانی؛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ققنوس،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ملکوم، نورمن؛ دیدگاه دینی ویتگنشتاین؛ ترجمۀ علی زاهد؛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نو،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ویتگنشتاین، لودویک؛ پژوهش‌های فلسفی؛ ترجمۀ فریدون فاطمی؛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فرهنگ و ارزش؛ ترجمۀ امید مهرگان؛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نو،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برگه‌ها؛ ترجمۀ مالک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کتاب‌های آبی و قهوه‌ای؛ ترجمۀ ایرج قانونی؛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xml:space="preserve">؛ یادداشت‌ها </w:t>
      </w:r>
      <w:r>
        <w:rPr>
          <w:rFonts w:ascii="IRNazanin" w:hAnsi="IRNazanin" w:eastAsia="IRNazanin"/>
          <w:color w:val="111111"/>
          <w:sz w:val="28"/>
          <w:sz w:val="28"/>
          <w:szCs w:val="28"/>
          <w:lang w:bidi="fa-IR"/>
        </w:rPr>
        <w:t>۱۹۱</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ترجمۀ موسی دیباج و مریم حیات‌شاهی؛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سعاد، </w:t>
      </w:r>
      <w:r>
        <w:rPr>
          <w:rFonts w:eastAsia="IRNazanin" w:cs="IRNazanin"/>
          <w:color w:val="111111"/>
          <w:sz w:val="28"/>
          <w:szCs w:val="28"/>
          <w:lang w:bidi="fa-IR"/>
        </w:rPr>
        <w:t>1385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دربارۀ اخلاق و دین؛ ترجمۀ مالک حسینی و بابک عباسی؛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دربارۀ یقین؛ ترجمۀ مالک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هرمس،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دربارۀ رنگ‌ها؛ ترجمۀ لیلی گلستان؛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_____</w:t>
      </w:r>
      <w:r>
        <w:rPr>
          <w:rFonts w:ascii="IRNazanin" w:hAnsi="IRNazanin" w:eastAsia="IRNazanin"/>
          <w:color w:val="111111"/>
          <w:sz w:val="28"/>
          <w:sz w:val="28"/>
          <w:szCs w:val="28"/>
          <w:rtl w:val="true"/>
          <w:lang w:bidi="fa-IR"/>
        </w:rPr>
        <w:t>؛ رسالۀ منطقی فلسفی؛ ترجمۀ سروش دباغ؛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هکر، پیتر؛ ماهیت بشر از دیدگاه ویتگنشتاین؛ ترجمۀ سهراب علوی‌نیا؛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هرمس،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Gadamer, H.G; Philosophical Hermeneutics. Berkeley; CA: University of California Press, 1976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Truth and Method; London: Sheed and Ward: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Gier, Nicholas F; “Wittgenstein and Forms of life”; Philosophy of Social Sciences, Vol.10, 1980, pp.241-258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Grayling, A. C; Wittgenstein; Oxford: Oxford University Press,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Harris, R; Language, Sussure and Wittgenstein, How to Play Games with Words; London and New York: Routledge, 1988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Hunter, J. F. M; “Forms of Life in Wittgenstein’s Philosophical Investigations”; American Philosophical Quarterly, Vol.5, 1968, pp.43-233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Malcolm, Norman; Wittgenstein's Religious Point of View; London : Routledge, 1993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Thought and Knowledge; Cornell University Press, 1977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Philips, D. Z; Religion and Wittgenstein Legacy; Farnham: Ashgate Publishing Limited,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Pitkin, Hanna; Wittgenstein and Justice; Berkeley: University of California Press, 1972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Putnam, Hillary; Language, Belief and Metaphysics; ed. Kiefer and Munitz: Albany, 1970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Winch, Peter; The Idea of a Social Science and its Relation to Philosophy; London: Routledge and Kegan Paul, 1958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Wittgenstein, Ludwig; Remarks on the Foundation of Mathematics; trans. G. E. M Anscombe; London: Macmillan, 1956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Lectures and Conversations; ed. C. Barrett; Berkeley: University of California Press, 1966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Strawson, P. F; “Review of the Philosophical Investigations”, in Wittgenstein: the Philosophical Investigations, ed. G. Pitcher; London: Macmillan, 1968</w:t>
      </w:r>
      <w:r>
        <w:rPr>
          <w:rFonts w:eastAsia="Times New Roman" w:cs="Times New Roman" w:ascii="Times New Roman" w:hAnsi="Times New Roman"/>
          <w:color w:val="111111"/>
          <w:sz w:val="28"/>
          <w:szCs w:val="28"/>
          <w:rtl w:val="true"/>
          <w:lang w:val="en-US" w:bidi="en-US"/>
        </w:rPr>
        <w:t xml:space="preserve">. </w:t>
      </w:r>
      <w:bookmarkStart w:id="292" w:name="pg5834_41941"/>
    </w:p>
    <w:p>
      <w:pPr>
        <w:pStyle w:val="Heading2"/>
        <w:numPr>
          <w:ilvl w:val="1"/>
          <w:numId w:val="1"/>
        </w:numPr>
        <w:rPr/>
      </w:pPr>
      <w:bookmarkStart w:id="293" w:name="__RefHeading___Toc4693163_581953129"/>
      <w:bookmarkStart w:id="294" w:name="_Toc106"/>
      <w:bookmarkEnd w:id="292"/>
      <w:bookmarkEnd w:id="293"/>
      <w:r>
        <w:rPr>
          <w:rtl w:val="true"/>
        </w:rPr>
        <w:t xml:space="preserve">مبناگرایی در تقلیل‌گرایی اخلاقی طبیعت‌گرا </w:t>
      </w:r>
      <w:r>
        <w:rPr>
          <w:rtl w:val="true"/>
        </w:rPr>
        <w:t xml:space="preserve">/ </w:t>
      </w:r>
      <w:r>
        <w:rPr>
          <w:rtl w:val="true"/>
        </w:rPr>
        <w:t>بهروز محمدی‌منفرد</w:t>
      </w:r>
      <w:bookmarkEnd w:id="294"/>
    </w:p>
    <w:p>
      <w:pPr>
        <w:pStyle w:val="Heading3"/>
        <w:numPr>
          <w:ilvl w:val="2"/>
          <w:numId w:val="1"/>
        </w:numPr>
        <w:rPr/>
      </w:pPr>
      <w:bookmarkStart w:id="295" w:name="__RefHeading___Toc4693165_581953129"/>
      <w:bookmarkStart w:id="296" w:name="_Toc107"/>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بهروز محمدی‌منفرد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24/11/96</w:t>
      </w:r>
    </w:p>
    <w:p>
      <w:pPr>
        <w:pStyle w:val="Heading3"/>
        <w:numPr>
          <w:ilvl w:val="2"/>
          <w:numId w:val="1"/>
        </w:numPr>
        <w:rPr/>
      </w:pPr>
      <w:bookmarkStart w:id="297" w:name="__RefHeading___Toc4693167_581953129"/>
      <w:bookmarkStart w:id="298" w:name="_Toc108"/>
      <w:bookmarkEnd w:id="297"/>
      <w:r>
        <w:rPr>
          <w:rtl w:val="true"/>
        </w:rPr>
        <w:t>چکیده</w:t>
      </w:r>
      <w:bookmarkEnd w:id="298"/>
    </w:p>
    <w:p>
      <w:pPr>
        <w:pStyle w:val="BookText"/>
        <w:rPr/>
      </w:pPr>
      <w:r>
        <w:rPr>
          <w:rFonts w:ascii="IRNazanin" w:hAnsi="IRNazanin" w:eastAsia="IRNazanin"/>
          <w:color w:val="111111"/>
          <w:sz w:val="28"/>
          <w:sz w:val="28"/>
          <w:szCs w:val="28"/>
          <w:rtl w:val="true"/>
          <w:lang w:bidi="fa-IR"/>
        </w:rPr>
        <w:t>بر اساس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غیراخلاقی طبیعی و تجربی ازقبیل لذت و کامیابی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باورهای حاکی از مشاهده‌های غیراخلاقی به عنوان پایه و مبنا برای توجیه باورهای اخلاقی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بر پایۀ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استنتاج باید 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گسترش آن به حوزۀ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نگارنده این رویکرد با عنوان مبناگرایی اخلاقی غیرشهودگرا پاسخی به استدلال تسلسل قهقرایی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می‌آید؛ اگرچه با چالش‌هایی روبه‌روست که در این نوشتار به آن پرداخته شده است تا اینکه به موضع مختار نیز در حوزۀ توجیه باور اخلاقی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تبیین رویکرد حاضر این است که پیوندی وثیق میان اخلاق هنجاری و فرااخلاق وجود دارد؛ به این صورت که بحث توجیه باور اخلاقی تأثیرگذار در شناسایی قلمرو مصادیق نظریۀ هنجاری اخلاقی، به‌ویژه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خودگرایی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توجیه باور اخلاقی، مبناگرایی اخلاقی</w:t>
      </w:r>
      <w:r>
        <w:rPr>
          <w:rFonts w:eastAsia="IRNazanin" w:cs="IRNazanin"/>
          <w:color w:val="111111"/>
          <w:sz w:val="28"/>
          <w:szCs w:val="28"/>
          <w:rtl w:val="true"/>
          <w:lang w:bidi="fa-IR"/>
        </w:rPr>
        <w:t xml:space="preserve">. </w:t>
      </w:r>
      <w:bookmarkStart w:id="299" w:name="pg5834_41942"/>
    </w:p>
    <w:p>
      <w:pPr>
        <w:pStyle w:val="Heading3"/>
        <w:numPr>
          <w:ilvl w:val="2"/>
          <w:numId w:val="1"/>
        </w:numPr>
        <w:rPr/>
      </w:pPr>
      <w:bookmarkStart w:id="300" w:name="__RefHeading___Toc4693169_581953129"/>
      <w:bookmarkStart w:id="301" w:name="_Toc109"/>
      <w:bookmarkEnd w:id="299"/>
      <w:bookmarkEnd w:id="300"/>
      <w:r>
        <w:rPr>
          <w:rtl w:val="true"/>
        </w:rPr>
        <w:t>مقدمه</w:t>
      </w:r>
      <w:bookmarkEnd w:id="301"/>
    </w:p>
    <w:p>
      <w:pPr>
        <w:pStyle w:val="BookText"/>
        <w:rPr/>
      </w:pPr>
      <w:r>
        <w:rPr>
          <w:rFonts w:ascii="IRNazanin" w:hAnsi="IRNazanin" w:eastAsia="IRNazanin"/>
          <w:color w:val="111111"/>
          <w:sz w:val="28"/>
          <w:sz w:val="28"/>
          <w:szCs w:val="28"/>
          <w:rtl w:val="true"/>
          <w:lang w:bidi="fa-IR"/>
        </w:rPr>
        <w:t xml:space="preserve">سه برداشت و تصور محتمل دربارۀ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طبیعی‌بودن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معناست که آن ویژگی آشکارا مؤثر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آن ویژگی به‌طورطبیعی و در عالم طبیعت قابل کشف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آن ویژگی به وسیلۀ علوم طبیعی بررسی و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میلر در تأیید برداشت سوم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طبیعی ویژگی‌ای است که در علم طبیعی یا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می‌توان تصور کرد که نمونۀ آشکار آن عبارت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موجب بیشترین خوشبختی برای بیشترین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 اینکه حفاظت از نوع انسان شوند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Miller, 2003, p.4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که طیف وسیعی از دیدگاه‌های اخلاقی با رویکردهای بسیار متفاوت را در بر دارد، در نگاه نخست، عنوانی معناشناختی و وجودشناختی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اصطلاح را صرفاً نظریه‌ای دربارۀ معنا می‌داند؛ ولی اسمیت ضمن نپذیرفتن سخن ایر، بر این باور است که طبیعت‌گرایی اخلاقی نظریه‌ای معطوف به معنا و تعریف نبوده و دیدگاهی متافیزیکی است؛ زیرا صرفاً هویت اوصاف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بدون اینکه تعریفی ارائه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Smith, 1994, p.27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حوزۀ معرفتی نیز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اخلاق را به عنوان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جهان طبیعت ملاحظه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راه مطالعۀ طبیعت، فهمیده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Edel, 2001, p.1217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بر اساس آن، اخلاق بر حسب علم طبیعی فهم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Rachels, 2000, p.75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صورت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توانند گزاره‌های اخلاقی را بدون فرض هیچ مقدمۀ اخلاقی تأیید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Brandt, 1959, p.155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توضیحات تفسیری از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که در این نوشتار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تفسیر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فرااخلاقی متافیزیکی در حوزۀ معرفتی است که بر اساس آن فلسفۀ اخلاق به‌طور مبنایی متمایز از علوم طبیعی نیست و توجیه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مبتنی بر علوم طبیعی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درمجموع دو رویکرد کلی از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گرایان </w:t>
      </w:r>
    </w:p>
    <w:p>
      <w:pPr>
        <w:pStyle w:val="BookText"/>
        <w:rPr/>
      </w:pPr>
      <w:r>
        <w:rPr>
          <w:rFonts w:ascii="IRNazanin" w:hAnsi="IRNazanin" w:eastAsia="IRNazanin"/>
          <w:color w:val="111111"/>
          <w:sz w:val="28"/>
          <w:sz w:val="28"/>
          <w:szCs w:val="28"/>
          <w:rtl w:val="true"/>
          <w:lang w:bidi="fa-IR"/>
        </w:rPr>
        <w:t>اخلاقی ناتقلیل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ازقبیل استرجن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بوید </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ویژگی‌های اخلاقی اموری طبیعی هستند؛ ولی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و غیرارزشی دیگر فروکاهش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نمونه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خوب است،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برند و به جای سه نقطه، اصطلاحاتی غیرارزشی را قرار می‌دهند؛ ولی آنچه به جای نقطه‌ها قرار می‌گیرد، هم‌معنی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خوب‌بودن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غیراخلاقی طبیعی و تجربی ازقبیل لذت و کامیابی انسان یا میل انسان کاهش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فیلسوفانی چون ارسطو، بنتام و جان استارت میل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ذیل این مدل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قرار داد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از سوی برخی چون هارمن </w:t>
      </w:r>
      <w:r>
        <w:rPr>
          <w:rFonts w:eastAsia="IRNazanin" w:cs="IRNazanin"/>
          <w:color w:val="111111"/>
          <w:sz w:val="28"/>
          <w:szCs w:val="28"/>
          <w:rtl w:val="true"/>
          <w:lang w:bidi="fa-IR"/>
        </w:rPr>
        <w:t>(</w:t>
      </w:r>
      <w:r>
        <w:rPr>
          <w:rFonts w:eastAsia="IRNazanin" w:cs="IRNazanin"/>
          <w:color w:val="111111"/>
          <w:sz w:val="28"/>
          <w:szCs w:val="28"/>
          <w:lang w:bidi="fa-IR"/>
        </w:rPr>
        <w:t>1977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ریچارد برنت </w:t>
      </w:r>
      <w:r>
        <w:rPr>
          <w:rFonts w:eastAsia="IRNazanin" w:cs="IRNazanin"/>
          <w:color w:val="111111"/>
          <w:sz w:val="28"/>
          <w:szCs w:val="28"/>
          <w:rtl w:val="true"/>
          <w:lang w:bidi="fa-IR"/>
        </w:rPr>
        <w:t>(</w:t>
      </w:r>
      <w:r>
        <w:rPr>
          <w:rFonts w:eastAsia="IRNazanin" w:cs="IRNazanin"/>
          <w:color w:val="111111"/>
          <w:sz w:val="28"/>
          <w:szCs w:val="28"/>
          <w:lang w:bidi="fa-IR"/>
        </w:rPr>
        <w:t>1979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فرانک جکسون و فیلیپا فوت </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داده شد؛ برای نمونه جان استارت میل – به عنوان بانفوذترین فیلسوف زبان انگلیسی قرن نوزده – طبیعت‌گرا و فایده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گراست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 2001, 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نظر وی درظاهر نه تنها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برابر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خاص هستند، از حیث مفهومی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همان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Audi, 2011, p.174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تصور یک موضوع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پسندیده و تصور آن به خاطر لذت یک چیز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Mill, 2001, p.38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تنها دلیل بر اینکه چیزی مطلوب است، اینکه شخص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ادعا نمی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کند که همۀ چیزهایی که پسندیده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هستند باید توسط اشخاص پسندیده باشند؛ بلکه تنها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شخص اغلب در صورتی برخی چیزها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 که مطلوب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حقی </w:t>
      </w:r>
    </w:p>
    <w:p>
      <w:pPr>
        <w:pStyle w:val="BookText"/>
        <w:rPr/>
      </w:pPr>
      <w:r>
        <w:rPr>
          <w:rFonts w:ascii="IRNazanin" w:hAnsi="IRNazanin" w:eastAsia="IRNazanin"/>
          <w:color w:val="111111"/>
          <w:sz w:val="28"/>
          <w:sz w:val="28"/>
          <w:szCs w:val="28"/>
          <w:rtl w:val="true"/>
          <w:lang w:bidi="fa-IR"/>
        </w:rPr>
        <w:t xml:space="preserve">دارید برای اینکه کامیاب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Happiness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 فرد به او حق خوشی و کامیابی را می‌دهد؛ اما برخی انتقادها نشان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ممکن است مردم کارهایی بدون کامیابی خویش انجام دهند و بیشتر فلسفه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ادیان نیز به از خودگذشتگی و عدم صرف کامیابی خویش را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معتقد است زندگی بدون کامیابی، زندگی سزاواری نیست و به وضعیت‌های غیرطبیعی یأس و ناامیدی، قضا و قدر و خود‌ویرانگری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کامیابی عبارت است از به‌دست‌آوردن وضعیتی از خوب‌بودن برای خود و همسایگان؛ نه اینکه به معنای تجربۀ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تبیین اینکه چه چیزی ایجادکنندۀ خوشی و کامیابی است، سطحی از نخبه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را فهرست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تنها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دارای فکر روشن و عارف به حقایق، می‌توانند فهم کنند که کامیابی چیست و چه چیزی شایسته و سزاوار بوده و باعث کامیابی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چه چیزی چنین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 2001, ch2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درحقیقت در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غالباً اعمال و رفتارهای فردی و نتایج جمعی آنها در سطح اجتماعی، در قالب قوانین علمی روان‌شناختی یا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تبیین می‌شود و سپس در سطحی مبنایی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قانون‌های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شناسانه و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شناسانه فرو کاسته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نیز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به ویژگی‌های غیراخلاقی طبیعی و تجربی ازقبیل لذت و کامیابی انسان یا توافق جامعه کاهش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دانستیم از نظر میل، یک عمل از نظر اخلاقی درست است، به شرطی که کامیابی را محقق سازد و اگر چنین نباشد، خطاست؛ زیرا کامیابی بر حسب لذت و نداشتن رنج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طبیعی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بنابراین درستی یا نادرستی یک عمل بر حسب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طبیعی تبیین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اگرچه همۀ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تفسیر میل را دربارۀ تبیین درستی و خطای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همگی باور دارند که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بر حسب واقعیت‌های اخلاقی در مورد جهان فیزیکی و طبیعی فهم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به تحلیل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 گرایش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Taylor, 2008, p.783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اینجا روشن </w:t>
      </w:r>
      <w:bookmarkStart w:id="302" w:name="pg5834_41945"/>
    </w:p>
    <w:p>
      <w:pPr>
        <w:pStyle w:val="BookText"/>
        <w:rPr/>
      </w:pPr>
      <w:bookmarkEnd w:id="302"/>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معرفت اخلاقی و توجیه باورهای اخلاقی در بسیاری از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ازجمله دیدگاه میل و بنتام– بر پایۀ کشف کامیابی و لذت است که اموری طبیعی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توجه کرد که شیوۀ توجیه باور در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تقلیلی و غیرتقلیلی متفاوت است و تبیین دقیق رویکردهای متفاوت معطوف به هر یک از آنها، مجال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این پژوهش تبیین ساختار توجیه باورهای اخلاقی در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نخست گزارشی مختصر از جایگاه مبناگرایی و نحوۀ توجیه باور 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در طبیعت</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گرایی تقلیلی بررسی می‌شود، سپس ضمن تبیین چالش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شیوۀ توجیه باور در این نظریه، راهکاری برای برون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از این چالش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آن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Heading3"/>
        <w:numPr>
          <w:ilvl w:val="2"/>
          <w:numId w:val="1"/>
        </w:numPr>
        <w:rPr/>
      </w:pPr>
      <w:bookmarkStart w:id="303" w:name="__RefHeading___Toc4693171_581953129"/>
      <w:bookmarkStart w:id="304" w:name="_Toc110"/>
      <w:bookmarkEnd w:id="303"/>
      <w:r>
        <w:rPr>
          <w:rtl w:val="true"/>
        </w:rPr>
        <w:t>الف</w:t>
      </w:r>
      <w:r>
        <w:rPr>
          <w:rtl w:val="true"/>
        </w:rPr>
        <w:t xml:space="preserve">) </w:t>
      </w:r>
      <w:r>
        <w:rPr>
          <w:rtl w:val="true"/>
        </w:rPr>
        <w:t>مراد از مبناگرایی در تقلیل</w:t>
      </w:r>
      <w:r>
        <w:rPr>
          <w:rtl w:val="true"/>
        </w:rPr>
        <w:softHyphen/>
      </w:r>
      <w:r>
        <w:rPr>
          <w:rtl w:val="true"/>
        </w:rPr>
        <w:t>گرایی اخلاقی طبیعت</w:t>
      </w:r>
      <w:r>
        <w:rPr>
          <w:rtl w:val="true"/>
        </w:rPr>
        <w:softHyphen/>
      </w:r>
      <w:r>
        <w:rPr>
          <w:rtl w:val="true"/>
        </w:rPr>
        <w:t>گرا</w:t>
      </w:r>
      <w:bookmarkEnd w:id="30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نظر دارند که اگرچه باور و صدق برای معرفت لازم هستند، ولی کفایت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بلکه معرفت فرد به گزاره، به عنصری دیگر به نام توجیه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Justification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منوط است تا اینکه باورهای صادق حاصل حدس صائب و یا باورهایی که صرفاً به خاطر تصادف و اتفاق‌هایی مانند پریدن یک کلاغ صادق می‌شوند، از دایرۀ معرفت خارج شوند؛ یعنی فرد برای اینکه معرفت داشته باشد، باید دلایل و توجیهاتی قوی برای صدق باور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اخلاق نیز زمانی به معرفت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از توجیهاتی قوی برای باورهای اخلاقی برخوردار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مختلفی دربارۀ ساختار توجیه باور اخلاقی وجود دارد که ازجمله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انسجام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مبناگرایی اخلاقی اشاره کرد، اما پرسش این است که با فرض پذیرش موضع مبناگرایی،</w:t>
      </w:r>
      <w:r>
        <w:rPr>
          <w:rStyle w:val="FootnoteAnchor"/>
          <w:rtl w:val="true"/>
        </w:rPr>
        <w:footnoteReference w:id="57"/>
      </w:r>
      <w:r>
        <w:rPr>
          <w:rFonts w:ascii="IRNazanin" w:hAnsi="IRNazanin" w:eastAsia="IRNazanin"/>
          <w:color w:val="111111"/>
          <w:sz w:val="28"/>
          <w:sz w:val="28"/>
          <w:szCs w:val="28"/>
          <w:rtl w:val="true"/>
          <w:lang w:bidi="fa-IR"/>
        </w:rPr>
        <w:t>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نظریه را در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اخلاقی </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به کار برد؟</w:t>
      </w:r>
    </w:p>
    <w:p>
      <w:pPr>
        <w:pStyle w:val="BookText"/>
        <w:rPr/>
      </w:pPr>
      <w:r>
        <w:rPr>
          <w:rFonts w:ascii="IRNazanin" w:hAnsi="IRNazanin" w:eastAsia="IRNazanin"/>
          <w:color w:val="111111"/>
          <w:sz w:val="28"/>
          <w:sz w:val="28"/>
          <w:szCs w:val="28"/>
          <w:rtl w:val="true"/>
          <w:lang w:bidi="fa-IR"/>
        </w:rPr>
        <w:t>در پاسخ به این پرسش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یک نوع مبناگرایی اخلاقی غیرشهودگرا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مبناگرایی دیدگاهی در ساختار توجیه باور است که بر اساس آن، روند و سلسلۀ توجیه باور توسط باورهایی متوقف می‌شود که توجیه آنها مبتنی بر دیگر باورهای این سلسله نیست و به طور غیراستنتاجی موجه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مبناگرایی، باور موجه یا باید مبنا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تجربه به آن مبنا دست یافته شود و توجیه آن به دیگر باورها وابسته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قابل استنتاج از باورهای مبنا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Leplin, 2009, p.204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یعنی توجیه باورهای غیرمبنایی مشروط بر باورهای مبنایی است و توجیه از راه استنتاج تنها توجیه مشروط و مقید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Dancy, 1985, p.55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تصویر مهم‌ترین عنصر برای توجیه باورها، وجود باورهایی است که متوقف‌کنندۀ سلسلۀ توجیه باور هستند؛ یعنی پایه و مبنایی برای توجیه باورهای استنتاجی به شمار می‌آیند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BonJour, 1959, pp.19-20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نظر نگارنده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دو مدل مبناگرایی را نسبت به توجیه باور دربارۀ دیدگاه‌های اخلاقی تصور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مبناگرایی اخلاقی شهودگرا، کاربرد مبناگرایی را نسبت به توجیه باورهای اخلاقی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به این صورت که سلسلۀ توجیه باورهای اخلاقی صرفاً به باورهای بدیهی و پیشینی اخلاقی به عنوان مبنا و پایه برای باورهای دیگر منتهی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تصویر، باور اخلاقی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اینکه بر اساس نوعی شهود یا شناخت عقلی گزاره‌های اخلاقی خاص که از طریق فرایند تأمل برای فرد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 به‌طور پیشینی و غیراستنتاجی بدیهی و موجه بوده و به عنوان مبنا و پایه است و یا اینکه توجیه آن با کمک استنتاجی مناسب، بر پایۀ باورهای روشن اخلاقی پیشینی است که به عنوان مبنا و پایه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ناطبیعت‌گرایان شهودگرا بر این باورند که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اموری غیرطبیعی هستند که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برخی آنها از راه شهود و بدون استنتاج از باورهای اخلاقی دیگر ادراک</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Style w:val="FootnoteAnchor"/>
          <w:rtl w:val="true"/>
        </w:rPr>
        <w:footnoteReference w:id="58"/>
      </w:r>
      <w:r>
        <w:rPr>
          <w:rFonts w:ascii="IRNazanin" w:hAnsi="IRNazanin" w:eastAsia="IRNazanin"/>
          <w:color w:val="111111"/>
          <w:sz w:val="28"/>
          <w:sz w:val="28"/>
          <w:szCs w:val="28"/>
          <w:rtl w:val="true"/>
          <w:lang w:bidi="fa-IR"/>
        </w:rPr>
        <w:t xml:space="preserve">و به عنوان مبنا و یاپه برای دیگر باورهای اخلاقی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مبناگرایی اخلاقی غیرشهودگرا که ساختار توجیه باور در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یکی از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 اگرچه سلسله باورهای اخلاقی با ابتنای بر باورهای پایه و مبنایی توجیه می‌شوند، اما باورهای پایه، باورهایی‌اند که برایند تجربۀ مشاهده‌ها و امور غیراخلاقی ازقبیل کامیابی و لذت یا حتی توافق جامعه هستند؛ یعنی باور به اموری غیراخلاقی مانند کامیابی و لذت بیشتر و یا توافق جامعه به عنوان پایه و مبنا برای خوب‌بودن یک رفتار قلمداد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خاص در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تقلیلی، باورهای پایه و مقدمات غیراخلاقی بدون نیاز به توجیه استنتاجی از سوی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و تنها با تجربۀ مشاهده و به کمک یک روش علمی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طریق آن باورهای پایه و مقدمات غیراخلاقی، دیگر باورها و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را توجیه کرد؛ یعنی مقدمات غیراخلاقی تجربی مبنا برای توجیه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گمان شده است که توجیه باور اخلاقی در این رویکرد کلی نسبت به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به‌طور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قابل ارائه است؛ زیرا بهتر از مبناگرایی اخلاقی شهودگرا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نیهیلیسم اخلاقی را کنار بگذارد؛ توضیح اینکه نیهیلیست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به‌طورمعمول تنها واقعیت‌های اخلاقی را انکار می‌کنند و ممکن است کسی ادعا کند پذیرش مبناگرایی اخلاقی شهودگرا در مقابل نیهیلیسم اخلاقی مصادره به مطلوب است؛ اما این نیهیلیست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باورهای پایه و مقدمات غیراخلاقی را بپذیرند و باورهای اخلاقی دیگر را بر آنها استوار سازند و از این جهت وجه اشتراکی با مبناگرایان اخلاقی غیرشهودگرا داشته باشند؛ بنابراین استنتاج باورهای اخلاقی از مقدمات و باورهای پایۀ غیراخلاقی، در صورت پذیرفته‌شدن، در برابر نیهیلیسم اخلاقی، مصادره به مطلوب نیست؛ یعنی در راستای رد نیهیلیسم اخلاقی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این رویکرد کلی بهره برد؛ زیرا روشن است که نیهیلیست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نمی‌توانند وجود این </w:t>
      </w:r>
    </w:p>
    <w:p>
      <w:pPr>
        <w:pStyle w:val="BookText"/>
        <w:rPr/>
      </w:pPr>
      <w:r>
        <w:rPr>
          <w:rFonts w:ascii="IRNazanin" w:hAnsi="IRNazanin" w:eastAsia="IRNazanin"/>
          <w:color w:val="111111"/>
          <w:sz w:val="28"/>
          <w:sz w:val="28"/>
          <w:szCs w:val="28"/>
          <w:rtl w:val="true"/>
          <w:lang w:bidi="fa-IR"/>
        </w:rPr>
        <w:t>باورهای پایۀ غیراخلاقی را رد کنند، بر عکس مبناگرایی شهودگرا که نیهیلیست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بگویند که ما از اساس، وجود باورهای اخلاقی پایه را نمی‌پذیریم و فرض وجود چنین باورهایی را در رد نظریۀ خود مصادره به مطلوب به شمار می‌آوریم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درخور توجه اینکه چنین مدلی از مبناگرایی در صورتی محقق و پذیرفته می‌شود که برای توجیه باور اخلاقی، فرض منطقی امکان استنتاج نتایج اخلاقی از مقدمات غیراخلاقی را بپذیریم؛</w:t>
      </w:r>
      <w:r>
        <w:rPr>
          <w:rStyle w:val="FootnoteAnchor"/>
          <w:rtl w:val="true"/>
        </w:rPr>
        <w:footnoteReference w:id="59"/>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 جان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سرل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امور اخلاقی را از مقدمات غیراخلاقی و حتی غیرهنجاری استنتاج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جان سرل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بستگی منطقی میان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واقعی و ارزشی را اثبات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357</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برایند آن، این است که باورها و مقدمات غیراخلاقی مبنا و پایه برای نتایج اخلاقی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اگر به امکان استنتاج نتایج اخلاقی از مقدمات و باورهای پایۀ غیراخلاقی و ابتنای نتایج اخلاقی بر باورهایی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 مشاهدۀ کامیابی، لذت یا توافق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باشیم و بپذیریم که افزون بر اینکه محمولی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یک ویژگی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غیراخلاقی ازقبیل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میل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 بیشتر در درازمدت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مبتنی بر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متعلق میل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بیشترین کامیابی را در درازمدت برای بیشترین افراد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در این صورت زمانی باور 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و موجَه باشد که با تجربه مشاهده شود، عدالت فایدۀ بسیاری در درازمدت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جان استارت میل بیشترین کامیابی را برای همگان در درازمدت به دنبال داشته باشد؛ یعنی اینکه توجیه باورهای </w:t>
      </w:r>
    </w:p>
    <w:p>
      <w:pPr>
        <w:pStyle w:val="BookText"/>
        <w:rPr/>
      </w:pPr>
      <w:r>
        <w:rPr>
          <w:rFonts w:ascii="IRNazanin" w:hAnsi="IRNazanin" w:eastAsia="IRNazanin"/>
          <w:color w:val="111111"/>
          <w:sz w:val="28"/>
          <w:sz w:val="28"/>
          <w:szCs w:val="28"/>
          <w:rtl w:val="true"/>
          <w:lang w:bidi="fa-IR"/>
        </w:rPr>
        <w:t xml:space="preserve">صادق اخلاقی، ازقبیل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استنتاجی بر پایۀ مشاهده‌ها و تجربه‌های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 مشاهدۀ بیشترین لذت یا کامیابی برای همگان در درازمدت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توضیحات پیشین پذیرفته شود، در این صورت دقیقاً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جمله‌های عادی و ناظر به واقع را با پژوهش تجربی توجیه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احکام اخلاقی را نیز توجیه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فرانکنا،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با تجربۀ اینکه آب در موارد فراوان در صد درجۀ سانتیگراد به جوش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باور ما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 صد درجۀ سانتیگراد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امور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مشاهدۀ بیشترین کامیابی و لذت برای همگان در درازمدت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باور به گزارۀ معطوف به واقعیتی که این امور را در پی دارد، نیز برای ما موجه است؛ یعنی توجیه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 نسبت خوبی به عدالت و راستگویی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پایۀ این است که مشاهده می‌کنیم عدالت و راستگویی بیشترین کامیابی و لذت را برای بیشترین افراد در درازمدت و در بالاترین سطح کیفیت در پی دارند و این امر با مشاهده و تجربۀ ادراکی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درجۀ نخست آنچه اهمیت دارد، توجیه باور به آن امر غیراخلاقی بر اساس مشاهدۀ غیراخلاقی است تا اینکه بر مبنای آن به باور به امر اخلاقی برسیم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از نظر نگارنده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پنداشت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دیدگاه‌ها طبیعت‌گرایی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 دیدگاه جان استارت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باور اخلاقی مبتنی بر مشاهدات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باور به وجود بیشترین لذت یا کامیابی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یک رفتار است و از باور به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رفتار بیشترین لذت یا کامیابی دنیوی را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به‌طورمستقیم باور به این نتیجه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رفتار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معنای مبناگرایی در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نیز همین است که مبنا و پایه برای توجیه باورهای اخلاقی، باورهای برآمده از مشاهده‌ها و 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غیراخلاقی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فرااخلاق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طبیعت‌گرایی اخلاقی </w:t>
      </w:r>
      <w:bookmarkStart w:id="305" w:name="pg5834_41950"/>
    </w:p>
    <w:p>
      <w:pPr>
        <w:pStyle w:val="BookText"/>
        <w:rPr/>
      </w:pPr>
      <w:bookmarkEnd w:id="305"/>
      <w:r>
        <w:rPr>
          <w:rFonts w:ascii="IRNazanin" w:hAnsi="IRNazanin" w:eastAsia="IRNazanin"/>
          <w:color w:val="111111"/>
          <w:sz w:val="28"/>
          <w:sz w:val="28"/>
          <w:szCs w:val="28"/>
          <w:rtl w:val="true"/>
          <w:lang w:bidi="fa-IR"/>
        </w:rPr>
        <w:t>تقلیلی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بدین صورت که برای نمونه کامیابی و لذت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طبیعی هستند که خوبی یا درستی به آنها کاسته می‌شوند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با تجربه،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را کشف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اخلاقی برابر با ادعای ناظر به واقع است، نسبت به آنچه بیشترین کامیابی را در بیشترین تعداد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کیفیت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گرایان به‌ضرورت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 نیستند؛ بلکه ممکن است خودگرا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Egoism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Heading3"/>
        <w:numPr>
          <w:ilvl w:val="2"/>
          <w:numId w:val="1"/>
        </w:numPr>
        <w:rPr/>
      </w:pPr>
      <w:bookmarkStart w:id="306" w:name="__RefHeading___Toc4693173_581953129"/>
      <w:bookmarkStart w:id="307" w:name="_Toc111"/>
      <w:bookmarkEnd w:id="306"/>
      <w:r>
        <w:rPr>
          <w:rtl w:val="true"/>
        </w:rPr>
        <w:t>ب</w:t>
      </w:r>
      <w:r>
        <w:rPr>
          <w:rtl w:val="true"/>
        </w:rPr>
        <w:t xml:space="preserve">) </w:t>
      </w:r>
      <w:r>
        <w:rPr>
          <w:rtl w:val="true"/>
        </w:rPr>
        <w:t>چالش توجیه باور در تقلیل</w:t>
      </w:r>
      <w:r>
        <w:rPr>
          <w:rtl w:val="true"/>
        </w:rPr>
        <w:softHyphen/>
      </w:r>
      <w:r>
        <w:rPr>
          <w:rtl w:val="true"/>
        </w:rPr>
        <w:t>گرایی اخلاقی طبیعت</w:t>
      </w:r>
      <w:r>
        <w:rPr>
          <w:rtl w:val="true"/>
        </w:rPr>
        <w:softHyphen/>
      </w:r>
      <w:r>
        <w:rPr>
          <w:rtl w:val="true"/>
        </w:rPr>
        <w:t>گرا</w:t>
      </w:r>
      <w:bookmarkEnd w:id="307"/>
    </w:p>
    <w:p>
      <w:pPr>
        <w:pStyle w:val="BookText"/>
        <w:rPr/>
      </w:pPr>
      <w:r>
        <w:rPr>
          <w:rFonts w:ascii="IRNazanin" w:hAnsi="IRNazanin" w:eastAsia="IRNazanin"/>
          <w:color w:val="111111"/>
          <w:sz w:val="28"/>
          <w:sz w:val="28"/>
          <w:szCs w:val="28"/>
          <w:rtl w:val="true"/>
          <w:lang w:bidi="fa-IR"/>
        </w:rPr>
        <w:t>دانستیم که مبناگرایی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به منزلۀ ساختاری برای توجیه باور اخلاقی در نظریۀ کلی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اگر انسجام‌گرایی به عنوان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فرض پذیرفته شده باشد– همان‌گونه که برخی معرفت‌شناسان و فیلسوفان اخلاق این نظریه را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بررسی نظریۀ مبناگرایی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پذیرش مبناگرایی در گام نخست بر پایۀ رد انسجام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است؛ ولی ازآنجاکه فرض را بر تأیید کلی مبناگرایی در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نقدهایی که 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صرفاً معطوف به مبناگرایی به‌کاررفته در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تقلیلی است و به‌ضرورت مبناگرایی اخلاقی شهودگرا را شامل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اشکال‌های وارد بر توجیه تجربی در حوزۀ اخلاق نیز برای این نوع مبناگرایی مشکل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زیرا عنوان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باور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فرض پذیرش اصل مبناگرایی و رد انسجام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و زمینه‌گرایی و پذیرش اصل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تقلیلی به برخی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روی مبناگرایی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و البته توجیه باور اخلاقی در این رویکرد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گمان شود توجیه گزارۀ اخلاقی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پایۀ گزارۀ تجربی غیراخلاقی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در گام نخست مشکل این است که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گوناگونی وجود دارد که باور به آنها، حتی بدون مراجعه 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غیراخلاقی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بیشترین کامیابی را در درازمدت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قابل پذیرش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باور 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ازقبیل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اذیت‌کردن یک بچه صرفاً برای سرگرمی خطاست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آشکارا برای ما موجه است، بدون اینکه چنین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اذیت‌کردن بچه بیشترین رنج را برای بیشترین افراد در درازمدات در پی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کنیم؛ زیرا مردم نوعاً باورهایشان دربارۀ خطابودن اذیت‌کردن بچه یا اینکه خطابودن قتل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هیتلر را بر واقعیت‌های تجربی و طبیعی پیچیده مبتنی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کانتکس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نوع، ما بدون واسطۀ باورهای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با شهود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موجه هستیم و صرف این حقیقت که ممکن است واقعیت‌ها و مشاهده‌های غیراخلاقی سازگار با واقعیت‌های اخلاقی باشند،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دلیل و مبنای اصلی برای توجیه باور به گزاره‌های اخلاقی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به‌طورمستقیم، صرفاً بر اساس مشاهدۀ تجربی امور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استنتاج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اخلاقی دست یابیم، تبیین دقیق خطای عمل چندان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چند کودک، گربه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روی آتش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فرض کنید که آن شخص دقیق متوجه نیست که کار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گذاشتن گربه روی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نبودن این فرد در متوجه‌شدن، ممکن است با نقص در ابزار ادراکی او تبیین شود یا چه‌بسا شناختی از گربه نداشته باشد؛ یعنی تشخیص نمی‌دهد حیوانی که روی آتش است، گربه است؛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فرض کرد که اگرچه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گربه را روی آتش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صرفاً با این مشاهدۀ تجربی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تبیین دقیقی از خطابودن آن کار ارائه کند؛ بلکه شاید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تربیت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رفتار برآمده از چنین تربیتی است، نه اینکه درواقع رفتار آنان خطا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کل، دلیلی بر نقص در قوای ادراکی او نیست؛ بلکه ممکن است دلیلی در نقص فهم او از اخلاقیات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تبیین دقیق خطابودن رفتارهایی مانند قراردادن گربه روی آتش صرفاً با ابتنای بر مشاهده به‌طور همیشگی موفق نیست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نقش معرفتی حس اخلاقی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شایسته است از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غیر از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تقلیلی برای فهم درست یا خطابودن رفتارهای اختیاری بهره 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باید به ما بگوید که چگونه از راه استقرا و مشاهدۀ امور طبیعی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لذت و 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نتایج اخلاقی برای ما توجیه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برخی دیدگاه‌های اخلاقی توجیه باور بر پایۀ مشاهدات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ظاهر کلی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 این است که چنین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مشاهده‌ها را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فرض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مشخص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ما به عنوان مشاهده‌کننده چگونه می‌توانیم باورهای اخلاقی خود را بر اساس مقدمات غیراخلاقی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بیشتر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یا خودگرایی اخلاقی – برایند تأمل، اندیشه یا دلیل هستند؛ نه اینکه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پیشنهاد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نتیجۀ مستقیم مشاهدۀ تجربی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مشاهده به ما اطلاعاتی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مبنی بر اینکه فلان رفتار از نظر اخلاقی درست یا نادرست است، در ارائۀ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کلی برای توجیه باورهای اخلاقی موفق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ممکن است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اتانازیا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اخلاقاً حیران و سردرگم باشیم؛ حتی اگر به اندازۀ کافی از مشاهده‌های تجربی برخوردار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جهان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در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نوع مناسب استدلال و چگونگی دستیابی به حقایق تجربی، که این‌همان با حقایق اخلاقی هستند، مرهون اندیشه‌های ماست و لازم است تبیین کند که چگونه نوع استدلال اخلاقی مناسب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موجب شناخت شود، اگر، همان‌گونه که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حقایق و واقعیت‌های اخلاقی مبنایی تنها ممکن باشد که با تجربه یا مشاهده دانسته 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Copp, 2007, p.58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ویژگی‌های اخلاقی، قابل کاهش به اموری طبیعی ازجمله کامیابی، لذت یا توافق جامعه باشند، چگونه می‌توان با صرف مشاهده، حقایق اخلاقی را بشناسیم؟ ما نمی‌توانیم ببینیم چیزی خوب است؛ زیرا شیوۀ متمایزی برای مشاهده یا حس چیزهای خوب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اخلاق از دایرۀ علم طبیعی خارج است و جایی برای کشف، استقرا و مشاهدۀ تجربی حقایق اخلاقی باقی نمی‌ماند، در تفاوت علم تجربی و اخلاق و نقد علم تجربی‌بودن اخلاق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کمّی نیست و دقتی که در علم تجربی داریم، در اخلاق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تجربی، توصیه به عمل نمی‌کنیم، ولی در اخلاق، توصیه نهفته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علم تجربی، علیت وجود دارد، اما در اخلاق، حتی اگر علیت نیز وجود داشته باشد، ویژگی‌های اخلاقی را بر اساس علیتشان تفکیک نمی‌کنیم؛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اخلاقیات ضرورت متافیزیکی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قتل بد است، مراد این است که در هر جهان ممکنی قتل بد است؛ درحالی‌که اگر امور فیزیکی ضرورتی دارند، تنها در این جهان فیزیکی است، نه در هر جهان ممکن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دیدگاه کسانی که به شکاف باید و هست قائل هستند، اگر علم تنها کاشف و اثبات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کنندۀ هستی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تنهایی نتایج اخلاقی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اگر توجیه باور 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را مبتنی بر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علمی و تجربی،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موجب کامیابی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سبب لذت زیاد برای همگان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کنیم که از هست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خبر داده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به شیوۀ تجربی به آنها علم پیدا کنیم، لازم است به‌طورمستقیم از توجیه باور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تجربی غیراخلاقی به توجیه باور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گزارۀ اخلاقی دست یابیم؛ در این صورت چالش اساسی روش توجیه باور در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تقلیلی این است که صورت استدلال نامعتبر است و باید یک مقدمۀ پنهان اخلاقی را مکمل گزارۀ طبیعی و تجربی غیراخلاقی اضافه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تصویر اگر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کم برخی اصول اخلاقی مبنایی در مقدمات استدلال در کنار دیگر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غیراخلاقی وجود داشته باشند، ما می‌توانیم ادعاهای اخلاقی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وجود باورها و مقدمات غیراخلاقی به تنهایی مستلزم توجیه باور به یک نتیجه اخلاقی نیستند؛ درست همان‌گونه که وجود مقدمات غیر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به تنهایی مستلزم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نیستند یا اینکه باورها و مقدمات زیست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 مستلزم توجیه باور به نتیجه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زیست‌شناختی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می‌توان نمونه‌های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توجیه باور به نتایج اخلاقی از مقدمات غیراخلاقی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ازجمله استنتاج توجیه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درازمدت بیشترین سود را برای بیشترین افراد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بر ضرورت انجام عدالت توافق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سعادت اخروی و قرب الهی</w:t>
      </w:r>
    </w:p>
    <w:p>
      <w:pPr>
        <w:pStyle w:val="BookText"/>
        <w:rPr/>
      </w:pP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گونه‌ای تفسیر کرد که درواقع از مبناگرایی غیرشهودگرا بودن خارج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آرمسترانگ دربارۀ ادعای گفته‌شده، بر این باور است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از صرف تجربه مشاهده اموری از قبیل لذت یک رفتار به موجه بودن باور به خوبی آن رفتار اختیاری پی برد ؛ بلکه یک مقدمۀ اخلاقی پنهان نیز در استدلال وجود دارد که با وجود آن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توجیه باور به نتایج اخلاقی از مقدمات اخلاقی و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فرض اینکه مقدمات غیرهنجاری به نتایج اخلاقی ختم شوند، استدلال یا از حیث صوری معتبر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حیث صوری معتبر نباشد، برخی مقدمات پنهان، فرض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مقدمۀ پنهان به اندازۀ کافی قوی باشد، برای اینکه استدلالی از حیث صوری معتبر را برای نتایج اخلاقی برآمده از مقدمات غیراخلاقی، فراهم آورد، آن مقدمۀ پنهان باید محتوای اخلاقی داشته باشد؛ اما اگر استدلال از حیث صوری معتبر باشد، ضروری است مقدمات آشکار آن توجیه‌پذیر باشند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Sinnott – Armstrong, 2006, p.151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برای توضیح بهتر عبارت‌های پیش‌گفته می‌توان به نمونه‌ای از استنتاج توجیه باور به نتایج اخلاقی اشاره کرد که اگرچه به‌ظاهر بر پایۀ یک مشاهدۀ تجربی غیراخلاقی است، درواقع یک مقدمۀ پنهان اخلاقی نیز به عنوان کبرای استنتاج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شایسته است که از یک الگوی منطقی برای استدلال اخلاقی بهره برد؛ چنان‌که تامسون استنتاج اخلاقی را به استنتاجی تشبیه کرده که در صدد تحلیل یک گزاره است و به شکل ذیل صورت‌بندی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استدلال معتبر است؛ ولی از حیث صوری معتبر نیست؛ بنابراین به این مقدمه مخفی وابسته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عموها مرد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بیان دیگر این استدلال به شکل ذیل صورت‌بندی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عموها مرد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باید به‌طورمستقل به دنبال صدق این مقدمۀ مخفی باشیم و روشن است که درستی آن از راه تعریف تحلیلی به دست می‌آید و چون با تحلیل مفهوم عمو، مردبودن وجود دارد و انکار آن از حیث معناشناسی ناسازگار است، بنابراین مقدمۀ مخفی می‌تواند به‌طور مستقلی موجه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آرمسترانگ، تامسون درست تصور کرده است که اگر یک ادعای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مقدمۀ مخفی نمونۀ تحلیلی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پیش‌فرض و مقدمۀ پنهان، به‌ضرورت صادق باشد، استدلال منطقی همراه با مقدمات کاملاً غیرهنجاری و نتایج اخلاقی معتبر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pp.137-140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می‌توان در مورد نمونه‌های اخلاقی نیز اذعان داشت که استنتاج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بایدهای اخلاقی از هست‌های غیراخلاقی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مقدماتی مخفی دارند که به‌ضرورت صادق‌اند؛ در این صورت، به‌راحتی می‌توان نتیجه‌ای اخلاقی را از مقدمات غیرهنجاری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تامسون دیدگاه خود را با مثال ذیل صورت‌بندی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بهرام زنگ در خانۀ علی را بزند، باعث رنج علی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اتفاق خاصی رخ نداده باشد، بهرام از نظر اخلاقی نباید زنگ در خانۀ علی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تامسون گمان کرده است که مطمئناً یک صدق ضروری برای پیش‌فرض استدلال وجود دارد که عبارت است از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برابر، انسان از حیث اخلاق نباید موجب رنج دیگران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ازاین‌رو استدلال مذکور معتبر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Thomson, 1990, pp.15-16</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استدلال یادشده از حیث صوری معتبر نیست و استدلالی که از حیث صوری معتبر نباشد، به مقدمات پنهان وابسته است که به‌طورمستقلی موجه باشند؛ درنتیجه </w:t>
      </w:r>
    </w:p>
    <w:p>
      <w:pPr>
        <w:pStyle w:val="BookText"/>
        <w:rPr/>
      </w:pPr>
      <w:r>
        <w:rPr>
          <w:rFonts w:ascii="IRNazanin" w:hAnsi="IRNazanin" w:eastAsia="IRNazanin"/>
          <w:color w:val="111111"/>
          <w:sz w:val="28"/>
          <w:sz w:val="28"/>
          <w:szCs w:val="28"/>
          <w:rtl w:val="true"/>
          <w:lang w:bidi="fa-IR"/>
        </w:rPr>
        <w:t>می‌توان استدلال را به شکل ذیل صورت‌بندی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بهرام زنگ در خانۀ علی را بزند، موجب رنج علی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مقدمۀ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برابر، انسان از حیث اخلاق نباید سبب رنج دیگران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اینکه اتفاق خاصی رخ نداده است، بهرام از نظر اخلاقی نباید زنگ در خانۀ علی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نمونۀ تحلیل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می‌بینیم توجیه باور به یک نتیجۀ اخلاقی بر پایۀ باور به یک مقدمۀ غیراخلاقی است، درواقع یک مقدمۀ اخلاقی مخفی نیز وجود دارد که باید به‌طورمستقل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تصویر، توجیه آن نتیجۀ اخلاقی مبتنی بر آن مقدمۀ اخلاقی مخفی است؛ اما باید توجه داشت این مقدمۀ پنهان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عموها مرد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گزاره‌ای تحلیلی و درنتیجه آشکار است؛ زیرا در این جمله موضوعی وجود دارد که محمول جمله دربارۀ آن صحبت کرده و درواقع تفصیل آن است؛ درحالی‌که برای توجیه آن مقدمۀ مخفی اخلاقی باید مسیر دیگری را پیمود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پرسش این است که آن مقدمۀ مخفی توجیه خود را از کجا می‌گیرد؟ پاسخ به این پرسش، بسته به رویکردی است که فرد دربارۀ توجیه باور اخلاقی بپذیرد؛ اگر رویکرد مبناگرایی اخلاقی را بپذیریم یا اینکه آن مقدمۀ پنهان یک باور اخلاقی پایه است که توجیه آن از راه شهود اخلاقی به دست آمده است و یا اینکه سلسلۀ توجیه به یک باور اخلاقی پایه ختم می‌شود که با کمک یک شهود اخلاقی توجیه شده است، در مقابل، اگر رویکرد انسجام‌گرایی اخلاقی پذیرفته شود، آن مقدمۀ مخفی در شبکه و مجموعه‌ای از باورها قرار دارد که توجیه هر یک از آنها مبتنی بر وصف انسجام توجیه باورهای آن شبکه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نظریۀ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در ساختار توجیه باور اخلاقی را بپذیریم،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را بر اساس آن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آنچه اهمیت دارد، این است که اصل مبناگرایی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گرایی اخلاقی تقلیلی مناسب نیست و می‌توان راهی برای برون‌رفت از </w:t>
      </w:r>
      <w:bookmarkStart w:id="308" w:name="pg5834_41957"/>
    </w:p>
    <w:p>
      <w:pPr>
        <w:pStyle w:val="BookText"/>
        <w:rPr/>
      </w:pPr>
      <w:bookmarkEnd w:id="3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باید و ارزش 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حوزۀ توجیه باور یافت؛ به این صورت که نتیجۀ اخلاقی، بر پایۀ مقدمۀ مخفی اخلاقی است و باید به دنبال توجیه آن مقدمۀ مخفی اخلاقی به شیوۀ دیگری، غیر از طبیعت‌گرایی اخلاقی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آنچه سلسلۀ توجیه باورهای اخلاقی را متوقف می‌کند، مشاهدۀ واقعیت‌های غیراخلاقی نیست، بلکه مقدمات اخلاقی مخفی است که می‌توانند بدیهی یا منسجم با دیگر باورهای اخلاقی و غیراخلاقی فرد باشند</w:t>
      </w:r>
      <w:r>
        <w:rPr>
          <w:rFonts w:eastAsia="IRNazanin" w:cs="IRNazanin"/>
          <w:color w:val="111111"/>
          <w:sz w:val="28"/>
          <w:szCs w:val="28"/>
          <w:rtl w:val="true"/>
          <w:lang w:bidi="fa-IR"/>
        </w:rPr>
        <w:t>.</w:t>
      </w:r>
    </w:p>
    <w:p>
      <w:pPr>
        <w:pStyle w:val="Heading3"/>
        <w:numPr>
          <w:ilvl w:val="2"/>
          <w:numId w:val="1"/>
        </w:numPr>
        <w:rPr/>
      </w:pPr>
      <w:bookmarkStart w:id="309" w:name="__RefHeading___Toc4693175_581953129"/>
      <w:bookmarkStart w:id="310" w:name="_Toc112"/>
      <w:bookmarkEnd w:id="309"/>
      <w:r>
        <w:rPr>
          <w:rtl w:val="true"/>
        </w:rPr>
        <w:t>نتیجه‌گیری</w:t>
      </w:r>
      <w:bookmarkEnd w:id="310"/>
    </w:p>
    <w:p>
      <w:pPr>
        <w:pStyle w:val="BookText"/>
        <w:rPr/>
      </w:pPr>
      <w:r>
        <w:rPr>
          <w:rFonts w:ascii="IRNazanin" w:hAnsi="IRNazanin" w:eastAsia="IRNazanin"/>
          <w:color w:val="111111"/>
          <w:sz w:val="28"/>
          <w:sz w:val="28"/>
          <w:szCs w:val="28"/>
          <w:rtl w:val="true"/>
          <w:lang w:bidi="fa-IR"/>
        </w:rPr>
        <w:t>دانستیم که ساختار توجیه باور اخلاقی در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از نوع مبناگرایی اخلاقی غیرشهودگرا دانست؛ بدین صورت که باور به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حاکی از مشاهده‌های غیراخلاقی ازجمله مشاهدۀ بیشترین کامیابی و لذت برای همگان به عنوان پایه و مبنا برای توجیه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اخلاقی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کاربست پژوهشی نوشتار پیش رو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مبناگرایی در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نسبت به مبناگرایی اخلاقی شهودگرا برای پاسخ به نیهیلیسم اخلاقی موفق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اگر این رویکرد پذیرفته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 را پاسخی در تقابل با استدلال تسلسل قهقرایی که به سود شکاکیت اخلاقی در حوزۀ توجیه باور اخلاقی ارائه شده است، نیز به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شمار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مبناگرایی در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پذیرفته شود، باز هم مسیری برای رهایی از شکاکیت در اخلاق و اباحی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ولی با روشن‌شدن چالش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روی این رویکرد و درنتیجه موفق‌نبودن آن، برای رهایی از اباحی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باید توجیه باورهای اخلاقی را به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مبناگرایی اخلاقی شهودگرا و یا انسجام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نقد مبناگرایی در تقلیل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 زمینه برای تأیید رقیب اصلی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مبناگرایی اخلاقی شهودگرا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این رویکرد کلی از اشکال‌های وارد بر مبناگرایی طبیعت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گرایی اخلاقی تقلیلی برخوردار نیست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پیوندی وثیق میان اخلاق هنجاری و فرااخلاق وجود دارد و بحث توجیه باور اخلاقی تأثیرگذار در شناسایی قلمرو مصادیق دیدگاه هنجاری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توجیه باورهای اخلاقی به خوب یا بدبودن رفتارهای اخلاقی و درنتیجه تحقق مصادیق نظریه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 هنجاری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bookmarkStart w:id="311" w:name="pg5834_41959"/>
    </w:p>
    <w:p>
      <w:pPr>
        <w:pStyle w:val="Heading3"/>
        <w:numPr>
          <w:ilvl w:val="2"/>
          <w:numId w:val="1"/>
        </w:numPr>
        <w:rPr/>
      </w:pPr>
      <w:bookmarkStart w:id="312" w:name="__RefHeading___Toc4693177_581953129"/>
      <w:bookmarkStart w:id="313" w:name="_Toc113"/>
      <w:bookmarkEnd w:id="311"/>
      <w:bookmarkEnd w:id="312"/>
      <w:r>
        <w:rPr>
          <w:rtl w:val="true"/>
        </w:rPr>
        <w:t>منابع و مآخذ</w:t>
      </w:r>
      <w:bookmarkEnd w:id="3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محسن؛ مسئلۀ باید و هست؛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اسلامی‌حوزۀ علمیۀ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سرل،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افعال گفتاری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جستاری در فلسفۀ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فرانکنا، ویلیام کی؛ فلسفۀ اخلاق؛ ترجمۀ هادی صادقی؛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فرهنگی طه،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Audi, Robert; Can normativity be naturalized? in Ethical Naturalism: Current Debates, Susana Nuccetelli, Gary Seay; Cambridge University Press, 2011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BonJour, Laurence; The Structure of Empirical Knowledge. Cambridge; Mass: Harvard University Press,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Brandt, Richard B; Ethical Theory: The Problems of Normative and Critical Ethics. Englewood Cliffs; N.J: Prentice – Hall, 1959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Brandt, Richard; A Theory of Good and Right; New York: Oxford University Press,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Copp, David; Morality in a natural world; Cambridge University Press,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Dancy, Jonathan; Introduction to Contemporary Epistemology; Oxford: Blackwell Publishers Ltd, 1985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Edel, Abraham; “Nature and Ethics”; In Encyclopedia of Ethics, Ed by Lawrence Becker and Charlotte Becker, London: Rutledge. Vol.2,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Leplin, Jarrett; A Theory of Epistemic justification; springer, 2009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Levin, David Michael; “Some Remarks on Mill s Naturalism”; The Journal of Value Inquiry, Vol.3, N.4, 1969, pp.291-297</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Mill, John sturt; Utilitarianism, Kitchener; On: Batoche Books, 2001 [1863]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Miller, Alexander; An introduction to contemporary metaethics; Wiley-Blackwell, 2014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Rachels, James; "Naturalism"; in The Blackwell Guide to Ethical Theory, Hugh LaFollette, Oxford: Blackwell, 2000, pp.74-91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Sinnott – Armstrong, Walter; Moral Skepticism; Oxford,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Smith, Michael; The Moral Problem; Oxford: Blackwell Publishing, 1994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Stacey Taylor, James; “Ethical Naturalism”; in</w:t>
      </w:r>
    </w:p>
    <w:p>
      <w:pPr>
        <w:pStyle w:val="BookText"/>
        <w:rPr/>
      </w:pPr>
      <w:r>
        <w:rPr>
          <w:rFonts w:eastAsia="Times New Roman" w:cs="Times New Roman" w:ascii="Times New Roman" w:hAnsi="Times New Roman"/>
          <w:color w:val="111111"/>
          <w:sz w:val="28"/>
          <w:szCs w:val="28"/>
          <w:lang w:val="en-US" w:bidi="en-US"/>
        </w:rPr>
        <w:t>Encyclopedia of Business Ethics and Society, edited by Robert W. Kolb, Vol.1, Sage,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Thomson, Judith Jarvis; The Realm of Rights; Harvard University Press, 1990</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West, Henry R; “Mill s Naturalism”, Journal of Value Inquiry, Vol.9, N.1, 1975, pp.67-69</w:t>
      </w:r>
      <w:r>
        <w:rPr>
          <w:rFonts w:eastAsia="Times New Roman" w:cs="Times New Roman" w:ascii="Times New Roman" w:hAnsi="Times New Roman"/>
          <w:color w:val="111111"/>
          <w:sz w:val="28"/>
          <w:szCs w:val="28"/>
          <w:rtl w:val="true"/>
          <w:lang w:val="en-US" w:bidi="en-US"/>
        </w:rPr>
        <w:t xml:space="preserve">. </w:t>
      </w:r>
      <w:bookmarkStart w:id="314" w:name="pg5834_41961"/>
    </w:p>
    <w:p>
      <w:pPr>
        <w:pStyle w:val="Heading2"/>
        <w:numPr>
          <w:ilvl w:val="1"/>
          <w:numId w:val="1"/>
        </w:numPr>
        <w:rPr/>
      </w:pPr>
      <w:bookmarkStart w:id="315" w:name="__RefHeading___Toc4693179_581953129"/>
      <w:bookmarkStart w:id="316" w:name="_Toc114"/>
      <w:bookmarkEnd w:id="314"/>
      <w:bookmarkEnd w:id="315"/>
      <w:r>
        <w:rPr>
          <w:rtl w:val="true"/>
        </w:rPr>
        <w:t xml:space="preserve">شبکۀ شعاعی معنای ایمان از دیدگاه اندیشمندان اسلامی </w:t>
      </w:r>
      <w:r>
        <w:rPr>
          <w:rtl w:val="true"/>
        </w:rPr>
        <w:t xml:space="preserve">/ </w:t>
      </w:r>
      <w:r>
        <w:rPr>
          <w:rtl w:val="true"/>
        </w:rPr>
        <w:t>علیرضا قائمی‌نیا، شعبان نصرتی، سولماز ایرانی</w:t>
      </w:r>
      <w:bookmarkEnd w:id="316"/>
    </w:p>
    <w:p>
      <w:pPr>
        <w:pStyle w:val="Heading3"/>
        <w:numPr>
          <w:ilvl w:val="2"/>
          <w:numId w:val="1"/>
        </w:numPr>
        <w:rPr/>
      </w:pPr>
      <w:bookmarkStart w:id="317" w:name="__RefHeading___Toc4693181_581953129"/>
      <w:bookmarkStart w:id="318" w:name="_Toc115"/>
      <w:bookmarkEnd w:id="317"/>
      <w:r>
        <w:rPr>
          <w:rtl w:val="true"/>
        </w:rPr>
        <w:t>اشاره</w:t>
      </w:r>
      <w:bookmarkEnd w:id="318"/>
    </w:p>
    <w:p>
      <w:pPr>
        <w:pStyle w:val="BookText"/>
        <w:rPr/>
      </w:pPr>
      <w:r>
        <w:rPr>
          <w:rFonts w:ascii="IRNazanin" w:hAnsi="IRNazanin" w:eastAsia="IRNazanin"/>
          <w:color w:val="111111"/>
          <w:sz w:val="28"/>
          <w:sz w:val="28"/>
          <w:szCs w:val="28"/>
          <w:rtl w:val="true"/>
          <w:lang w:bidi="fa-IR"/>
        </w:rPr>
        <w:t>علیرضا قائمی‌نیا</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شعبان نصرتی</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سولماز ایرانی</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soliirani03@gmail.com</w:t>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24/11/96</w:t>
      </w:r>
    </w:p>
    <w:p>
      <w:pPr>
        <w:pStyle w:val="Heading3"/>
        <w:numPr>
          <w:ilvl w:val="2"/>
          <w:numId w:val="1"/>
        </w:numPr>
        <w:rPr/>
      </w:pPr>
      <w:bookmarkStart w:id="319" w:name="__RefHeading___Toc4693183_581953129"/>
      <w:bookmarkStart w:id="320" w:name="_Toc116"/>
      <w:bookmarkEnd w:id="319"/>
      <w:r>
        <w:rPr>
          <w:rtl w:val="true"/>
        </w:rPr>
        <w:t>چکیده</w:t>
      </w:r>
      <w:bookmarkEnd w:id="320"/>
    </w:p>
    <w:p>
      <w:pPr>
        <w:pStyle w:val="BookText"/>
        <w:rPr/>
      </w:pPr>
      <w:r>
        <w:rPr>
          <w:rFonts w:ascii="IRNazanin" w:hAnsi="IRNazanin" w:eastAsia="IRNazanin"/>
          <w:color w:val="111111"/>
          <w:sz w:val="28"/>
          <w:sz w:val="28"/>
          <w:szCs w:val="28"/>
          <w:rtl w:val="true"/>
          <w:lang w:bidi="fa-IR"/>
        </w:rPr>
        <w:t>واژه ایمان و مشتقاتش در بیش از هفتصد آیۀ قرآن یاد شده است که این خود اهمیت این واژه را در جهان‌بینی قرآن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تغییر معنای ایمان با توجه به دیدگاه افراد و با استفاده از نظریۀ شبکه شعاعی در معناشناسی شناختی به سازمان‌دهی معانی متفاوت ایمان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شعاعی مدل گرافیکی برای سازمان‌دادن معانی متفاوت یک واژه درباره یک معنای مرکزی است که به آن معنای مرکزی، پیش‌نمونه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در شبکۀ شعاعی و در این پژوهش بر اساس انواع تغییر معنایی است که واژه سیاق‌های گوناگون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دیدگاه‌های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تغییر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واژۀ ایمان نیز با توجه به دیدگاه لغت‌دانان، متکلمان اسلامی و مفسران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پیش‌نمونه از میان معانی متفاوت یک واژه انتخاب می‌شود و از معیارهای آن می‌توان به اولین معنای مورد قبول، تفوق در شبکۀ معنایی، رابطه با دیگر معانی واژه، پیش‌بینی دستوری و تصور راحت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پیش‌نمونۀ ایمان، تصدیق قلبی است که چهار دستۀ معنایی از آن انشعاب می‌شود؛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همراه با عمل، تصدیق قلبی افزون بر مولفۀ عمل؛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بدون قلب، تصدیق قلبی بدون مؤلفۀ قلب؛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مساوی با ایمان که همان معرفت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 قلبی، شبکۀ شعاعی، پیش‌نمونه، تغییر معنا</w:t>
      </w:r>
      <w:r>
        <w:rPr>
          <w:rFonts w:eastAsia="IRNazanin" w:cs="IRNazanin"/>
          <w:color w:val="111111"/>
          <w:sz w:val="28"/>
          <w:szCs w:val="28"/>
          <w:rtl w:val="true"/>
          <w:lang w:bidi="fa-IR"/>
        </w:rPr>
        <w:t xml:space="preserve">. </w:t>
      </w:r>
      <w:bookmarkStart w:id="321" w:name="pg5834_41962"/>
    </w:p>
    <w:p>
      <w:pPr>
        <w:pStyle w:val="Heading3"/>
        <w:numPr>
          <w:ilvl w:val="2"/>
          <w:numId w:val="1"/>
        </w:numPr>
        <w:rPr/>
      </w:pPr>
      <w:bookmarkStart w:id="322" w:name="__RefHeading___Toc4693185_581953129"/>
      <w:bookmarkStart w:id="323" w:name="_Toc117"/>
      <w:bookmarkEnd w:id="321"/>
      <w:bookmarkEnd w:id="322"/>
      <w:r>
        <w:rPr>
          <w:rtl w:val="true"/>
        </w:rPr>
        <w:t>مقدمه</w:t>
      </w:r>
      <w:bookmarkEnd w:id="323"/>
    </w:p>
    <w:p>
      <w:pPr>
        <w:pStyle w:val="BookText"/>
        <w:rPr/>
      </w:pPr>
      <w:r>
        <w:rPr>
          <w:rFonts w:ascii="IRNazanin" w:hAnsi="IRNazanin" w:eastAsia="IRNazanin"/>
          <w:color w:val="111111"/>
          <w:sz w:val="28"/>
          <w:sz w:val="28"/>
          <w:szCs w:val="28"/>
          <w:rtl w:val="true"/>
          <w:lang w:bidi="fa-IR"/>
        </w:rPr>
        <w:t>چندمعنایی و تغییر معنا از مباحثی هستند که در معناشناسی واژگانی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تغییر معنا سیاق و بافتی است که واژه در آن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روش مشاهدۀ فرد بر اساس اطلاعاتی است که از پیش دارد؛ یعنی فرد در جایگاه چه کسی، به معناکردن واژگان می‌پردازد و اینکه تجربیات و علومی که در آن مهارت یا به آن باور دارد، در برداشت و معناکردن آن واژه تفاوت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برای معناکردن ایمان نظر لغت‌دان با متکلم متفاوت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ما در این پژوهش بر این است که تغییرات معنای ایمان را بر اساس دیدگاه لغت‌دانان، متکلمان و مفسران بررسی کنیم و معناهای گوناگون آن را با توجه به این دیدگاه‌ها به دست آوریم و با استفاده از قواعد معناشناسی شناختی در معناشناسی واژگانی و شبکۀ شعاعی، این معناهای متفاوت را سامان‌دهی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معنای ایمان در این نوشتار بر اساس طریقۀ مشاهده بررسی خواهد شد و در پایان با استفاده از شبکۀ شعاعی، این معناها دسته‌بندی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شبکۀ شعاعی مدل گرافیکی برای سازمان‌دادن معانی متفاوت یک واژه دربارۀ یک معنای مرکزی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این مقاله‌هایی دربارۀ کاربرد شبکۀ شعاعی نگارش یافته است که می‌توان به مقاله‌های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شبکۀ معنایی حرف اضافۀ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چارچوب معناشناسی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کیوان زاهدی و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شناختی شبکۀ معنایی حرف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 مختاری اشاره کرد؛ اما می‌توان دو مقاله نیز دربارۀ شبکۀ شعاعی و کارکرد آن در قرآن نام برد؛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شبکۀ معنایی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آن در ترجمۀ قرآن از منظر معناشناسی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محمود ایمانی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کاربست نظریۀ پیش‌نمونه و شبکۀ شعاعی در معناشناسی شناختی تقوا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مریم نیلی‌پور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اندیشوران اسلامی از ابتدا تاکنون تلاش‌های بسیاری برای مشخص‌کردن معنا و مفهوم ایمان کرده‌اند و تعریف‌های گوناگونی از آن و حدود و ثغورش کرده‌اند؛ ولی تاکنون نتوانسته‌اند تعریف یک‌دست و جامعی از آن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معانی متفاوتی از </w:t>
      </w:r>
      <w:bookmarkStart w:id="324" w:name="pg5834_41963"/>
    </w:p>
    <w:p>
      <w:pPr>
        <w:pStyle w:val="BookText"/>
        <w:rPr/>
      </w:pPr>
      <w:bookmarkEnd w:id="324"/>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پیدایش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که دسته‌بندی و سامان‌دادن این معانی اجتناب‌ناپذیر است و ازاین‌رو ما در این نوشتار به دسته‌بندی و سامان‌دادن معانی گوناگون ایمان با استفاده از شبکۀ شعاعی پرداخته‌ایم</w:t>
      </w:r>
      <w:r>
        <w:rPr>
          <w:rFonts w:eastAsia="IRNazanin" w:cs="IRNazanin"/>
          <w:color w:val="111111"/>
          <w:sz w:val="28"/>
          <w:szCs w:val="28"/>
          <w:rtl w:val="true"/>
          <w:lang w:bidi="fa-IR"/>
        </w:rPr>
        <w:t>.</w:t>
      </w:r>
    </w:p>
    <w:p>
      <w:pPr>
        <w:pStyle w:val="Heading3"/>
        <w:numPr>
          <w:ilvl w:val="2"/>
          <w:numId w:val="1"/>
        </w:numPr>
        <w:rPr/>
      </w:pPr>
      <w:bookmarkStart w:id="325" w:name="__RefHeading___Toc4693187_581953129"/>
      <w:bookmarkStart w:id="326" w:name="_Toc118"/>
      <w:bookmarkEnd w:id="325"/>
      <w:r>
        <w:rPr>
          <w:rtl w:val="true"/>
        </w:rPr>
        <w:t>الف</w:t>
      </w:r>
      <w:r>
        <w:rPr>
          <w:rtl w:val="true"/>
        </w:rPr>
        <w:t xml:space="preserve">) </w:t>
      </w:r>
      <w:r>
        <w:rPr>
          <w:rtl w:val="true"/>
        </w:rPr>
        <w:t>چندمعنایی</w:t>
      </w:r>
      <w:bookmarkEnd w:id="326"/>
    </w:p>
    <w:p>
      <w:pPr>
        <w:pStyle w:val="BookText"/>
        <w:rPr/>
      </w:pPr>
      <w:r>
        <w:rPr>
          <w:rFonts w:ascii="IRNazanin" w:hAnsi="IRNazanin" w:eastAsia="IRNazanin"/>
          <w:color w:val="111111"/>
          <w:sz w:val="28"/>
          <w:sz w:val="28"/>
          <w:szCs w:val="28"/>
          <w:rtl w:val="true"/>
          <w:lang w:bidi="fa-IR"/>
        </w:rPr>
        <w:t xml:space="preserve">از اساسی‌ترین پدیده‌های دیده‌شده در زبان، وجود گوناگونی معانی برای یک واحد واژگانی است که این معانی با هم مرتبط هستند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Riemer, 2005, p.128/ zawada, 1997, p.10/ taylor, 1995, p.99/ Geeraerts, 2006, p.109</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این ارتباط به صورت سیستماتیک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Lakoff, 1987, p.136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واحد واژگانی با هر بسامدی، همیشه چند معنا دارد که هر کدام از این معانی درجه‌ای از عرفی‌شدن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برایند مطالعات در زمینۀ چندمعنایی موجب ایجاد مطالعات در زمینۀ تغییر معنا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واژگان همیشه وابسته به سیاق است؛ یعنی می‌توان گفت چندمعنایی بیشتر در کاربرد کلمات در متن ظاهر می‌شود و بیشتر معنایی متفاوت کلمات در کابردشان در متن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چندمعنایی در این نوشتار به شکل گسترده‌تری به کار می‌رود که شامل تغییر معنای کلمه در موقعیت‌های گوناگونی است که در آن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نمی‌توان گفت چندمعنایی یک فرایند سرخود و بی‌قانون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واژه می‌توان یک محدودۀ معنایی تعریف کرد که معناکردن واژۀ خارج از این محدوده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کلمه در موقعیت‌های مختلف قرار می‌گیرد، مرزهای این محدوده مشخص می‌شود و معنای مد نظر را نمایان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پتانسیل معنایی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پتانسیل است که قابلیت تقسیم به اجزا، قرارگرفتن در موقعیت‌های گوناگون و ترکیب با عناصر دیگر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اصلی در این فرایند سیاق و بافتی است که واژه در آن قرار می‌گیرد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Croft &amp; Cruse, 2004, p.110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4693189_581953129"/>
      <w:bookmarkStart w:id="328" w:name="_Toc119"/>
      <w:bookmarkEnd w:id="327"/>
      <w:r>
        <w:rPr>
          <w:rtl w:val="true"/>
        </w:rPr>
        <w:t>ب</w:t>
      </w:r>
      <w:r>
        <w:rPr>
          <w:rtl w:val="true"/>
        </w:rPr>
        <w:t xml:space="preserve">) </w:t>
      </w:r>
      <w:r>
        <w:rPr>
          <w:rtl w:val="true"/>
        </w:rPr>
        <w:t>شبکۀ شعاعی</w:t>
      </w:r>
      <w:bookmarkEnd w:id="32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زبان‌شناسی شناختی معنا انعطاف‌پذیر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p.97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امر و ارتباط معانی </w:t>
      </w:r>
    </w:p>
    <w:p>
      <w:pPr>
        <w:pStyle w:val="BookText"/>
        <w:rPr/>
      </w:pPr>
      <w:r>
        <w:rPr>
          <w:rFonts w:ascii="IRNazanin" w:hAnsi="IRNazanin" w:eastAsia="IRNazanin"/>
          <w:color w:val="111111"/>
          <w:sz w:val="28"/>
          <w:sz w:val="28"/>
          <w:szCs w:val="28"/>
          <w:rtl w:val="true"/>
          <w:lang w:bidi="fa-IR"/>
        </w:rPr>
        <w:t xml:space="preserve">گوناگون واژه‌ها موجب شد که زبان‌شناسان شناختی معنا را به صورت شبکه‌ای در نظر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قائمی‌نیا،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واژه‌ها نیز پیرامون یک معنای مرکزی که همان معنای پیش‌نمونه است، شکل می‌گیرند و معانی دیگر با بسط و توسعۀ این معنای مرکزی پدید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گیرارتس و هیچنز،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ورایمر،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ایجاد این معانی، شبکه‌ای ساخته می‌شود که آن را شبکۀ شعاعی می‌نامند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ایوانز و گرین،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در هر سیاقی جرح و تعدیل خاصی پیدا می‌کنند که البته این معنا دارای محدوده‌ها و مرزهای مشخصی است که اگر از آن خارج شود، دیگر استعمال واژه در آن کاربرد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مرکزی را می‌توانیم به وسیلۀ تحلیل‌های شناختی و طرح‌واره‌های تصویری تعیین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قائمی‌نیا،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شبکۀ شعاعی روشی گرافیکی برای نشان‌دادن مفاهیم است که دربردارندۀ مجموعه‌ای از گره‌ها و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گره‌ها نمایان‌گر مفاهیم و پیوندهای نشان‌دهندۀ روابط میان آن معانی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ایوانز و گرین،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نظریۀ پیش‌نمونه نخست دربارۀ مقوله‌بندی مطرح شد که در زمینۀ تحلیل چگونگی پیدایش مقول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راه‌گشا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پیش‌نمونه‌ها ابزاری برای مقوله‌بندی‌اند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افراشی و روشن،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می‌کوشد برای سهولت یادسپاری، اشیا و پدیده‌های همسان را در یک گروه قرار دهد و به جای اینکه در شناخت خود با جزئیات و مصادیق فراوان روبه‌رو باشد، از دسته‌ها و گروه‌های کلی‌تر کمک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عمل مقوله‌بندی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نصرتی و رکعی،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بیان دیگر مقوله‌بندی توانایی انسان در تشخیص و دسته‌بندی اشیای پیرامون، به عنوان اعضای یک گروه یا گروه‌های مشخص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و روشن،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راه‌های مقوله‌بندی برای انسان استفاده از پیش‌نمونه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پیش‌نمونه مفهومی است که نمایندۀ اصلی مقوله‌ها در ذهن است و هنگام شنیدن نام یک مقولۀ خاص، نخستین مفهومی است که به ذهن متبادر می‌شود و عضویت اعضای دیگر در مقوله، از رهگذر مقایسۀ آنها با پیش‌نمونه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زاوادا و هیچنز،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bookmarkStart w:id="329" w:name="pg5834_41965"/>
    </w:p>
    <w:p>
      <w:pPr>
        <w:pStyle w:val="BookText"/>
        <w:rPr/>
      </w:pPr>
      <w:bookmarkEnd w:id="32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درجاتی از ویژگی‌ها، از نقطۀ کانونی پیش‌نمونه تا نقاط حاشیه‌ای و پیرامونی گسترش می‌یابند و بازیابی آن سریع‌تر از اعضای دیگر مقوله صورت می‌گیرد و همیشه ثابت نیست و با توجه به فرهنگ‌ها، موقعیت‌ها و بافت‌های گوناگون متغیر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اردبیلی و روشن،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به‌کارگیری نظریۀ مقوله‌بندی و پیش‌نمونه در اموری مانند خوراکی‌ها، اجسام و حیوانات آسان است؛ اما باید گفت می‌توان از این روش در مفاهیم انتزاعی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به‌کار‌گیری این روش در مفاهیم همان مقوله‌های شعاعی است که یک مفهوم پیش‌نمونه به عنوان معنای مرکزی تعیین می‌شود و معانی دیگر واژه از آنجا گسترش می‌یابند؛ بنابراین می‌توان گفت نظریۀ پیش‌نمونه هم در مقوله‌بندی و هم در شبکۀ شعاعی کاربرد دارد؛ ولی این پیش‌نمونه در مقوله‌بندی برای مصادیق گوناگون یک واژه و در شبکۀ شعاعی برای مفاهیم مختلف یک واژه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می‌توان گفت مقوله‌بندی برای مصادیق است و شبکۀ شعاعی نیز برای مفاهیم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ایوانز و گرین،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گیرارتس و هیچنز،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وانهوف،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داشتن پیش‌نمونه با هم مشترک‌اند</w:t>
      </w:r>
      <w:r>
        <w:rPr>
          <w:rFonts w:eastAsia="IRNazanin" w:cs="IRNazanin"/>
          <w:color w:val="111111"/>
          <w:sz w:val="28"/>
          <w:szCs w:val="28"/>
          <w:rtl w:val="true"/>
          <w:lang w:bidi="fa-IR"/>
        </w:rPr>
        <w:t>.</w:t>
      </w:r>
    </w:p>
    <w:p>
      <w:pPr>
        <w:pStyle w:val="Heading3"/>
        <w:numPr>
          <w:ilvl w:val="2"/>
          <w:numId w:val="1"/>
        </w:numPr>
        <w:rPr/>
      </w:pPr>
      <w:bookmarkStart w:id="330" w:name="__RefHeading___Toc4693191_581953129"/>
      <w:bookmarkStart w:id="331" w:name="_Toc120"/>
      <w:bookmarkEnd w:id="330"/>
      <w:r>
        <w:rPr>
          <w:rtl w:val="true"/>
        </w:rPr>
        <w:t>ج</w:t>
      </w:r>
      <w:r>
        <w:rPr>
          <w:rtl w:val="true"/>
        </w:rPr>
        <w:t xml:space="preserve">) </w:t>
      </w:r>
      <w:r>
        <w:rPr>
          <w:rtl w:val="true"/>
        </w:rPr>
        <w:t>انواع تغییر معنا</w:t>
      </w:r>
      <w:bookmarkEnd w:id="331"/>
    </w:p>
    <w:p>
      <w:pPr>
        <w:pStyle w:val="Heading4"/>
        <w:numPr>
          <w:ilvl w:val="3"/>
          <w:numId w:val="1"/>
        </w:numPr>
        <w:rPr/>
      </w:pPr>
      <w:bookmarkStart w:id="332" w:name="__RefHeading___Toc4693193_581953129"/>
      <w:bookmarkStart w:id="333" w:name="_Toc121"/>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 xml:space="preserve">در این بخش ما سه روش از تغییر معنا در درون متن را بررسی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ایوانز و گرین،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کرافت و کروز،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Heading4"/>
        <w:numPr>
          <w:ilvl w:val="3"/>
          <w:numId w:val="1"/>
        </w:numPr>
        <w:rPr/>
      </w:pPr>
      <w:bookmarkStart w:id="334" w:name="__RefHeading___Toc4693195_581953129"/>
      <w:bookmarkStart w:id="335" w:name="_Toc122"/>
      <w:bookmarkEnd w:id="334"/>
      <w:r>
        <w:rPr/>
        <w:t>1</w:t>
      </w:r>
      <w:r>
        <w:rPr>
          <w:rtl w:val="true"/>
        </w:rPr>
        <w:t xml:space="preserve">. </w:t>
      </w:r>
      <w:r>
        <w:rPr>
          <w:rtl w:val="true"/>
        </w:rPr>
        <w:t>سیاق جمله‌ای یا جنبه‌های معنایی</w:t>
      </w:r>
      <w:bookmarkEnd w:id="33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جنبه‌های یک معنا، بخش‌های قابل تشخیص آن از کل هستند که دربارۀ ساختار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یک وجود است و به وسیلۀ یک سیاق جمله‌ای خاص انتخاب می‌شود که خود نیز دارای سطحی از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وابسته‌بودن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تمایز مفهومی و دستوری‌اند؛ اما از معانی کلمه که در فرهنگ‌های لغت بیان شده، به شمار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واژۀ کتاب را در نظر بگیرید؛ در خارج از متن معنای این واژه هم شامل محتواست و هم شکل فیزیکی آن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وجوه با ریزمفهوم در این است که در ریزمفهوم، </w:t>
      </w:r>
      <w:bookmarkStart w:id="336" w:name="pg5834_41966"/>
    </w:p>
    <w:p>
      <w:pPr>
        <w:pStyle w:val="BookText"/>
        <w:rPr/>
      </w:pPr>
      <w:bookmarkEnd w:id="336"/>
      <w:r>
        <w:rPr>
          <w:rFonts w:ascii="IRNazanin" w:hAnsi="IRNazanin" w:eastAsia="IRNazanin"/>
          <w:color w:val="111111"/>
          <w:sz w:val="28"/>
          <w:sz w:val="28"/>
          <w:szCs w:val="28"/>
          <w:rtl w:val="true"/>
          <w:lang w:bidi="fa-IR"/>
        </w:rPr>
        <w:t>ساختار، نوع آن وجود را تعیین می‌کند، ولی در وجوه اشاره به اجزای تشکیل‌دهندۀ آن 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واقعاً ضخیم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واقعاً جالب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جملۀ اول منظور از کتاب شکل فیزیکی آن است و در جملۀ دوم منظور درون‌مایۀ آن است</w:t>
      </w:r>
      <w:r>
        <w:rPr>
          <w:rFonts w:eastAsia="IRNazanin" w:cs="IRNazanin"/>
          <w:color w:val="111111"/>
          <w:sz w:val="28"/>
          <w:szCs w:val="28"/>
          <w:rtl w:val="true"/>
          <w:lang w:bidi="fa-IR"/>
        </w:rPr>
        <w:t>.</w:t>
      </w:r>
    </w:p>
    <w:p>
      <w:pPr>
        <w:pStyle w:val="Heading4"/>
        <w:numPr>
          <w:ilvl w:val="3"/>
          <w:numId w:val="1"/>
        </w:numPr>
        <w:rPr/>
      </w:pPr>
      <w:bookmarkStart w:id="337" w:name="__RefHeading___Toc4693197_581953129"/>
      <w:bookmarkStart w:id="338" w:name="_Toc123"/>
      <w:bookmarkEnd w:id="337"/>
      <w:r>
        <w:rPr/>
        <w:t>2</w:t>
      </w:r>
      <w:r>
        <w:rPr>
          <w:rtl w:val="true"/>
        </w:rPr>
        <w:t xml:space="preserve">. </w:t>
      </w:r>
      <w:r>
        <w:rPr>
          <w:rtl w:val="true"/>
        </w:rPr>
        <w:t>سیاق کاربرد یا ریزمفهوم‌ها</w:t>
      </w:r>
      <w:bookmarkEnd w:id="338"/>
    </w:p>
    <w:p>
      <w:pPr>
        <w:pStyle w:val="BookText"/>
        <w:rPr/>
      </w:pPr>
      <w:r>
        <w:rPr>
          <w:rFonts w:ascii="IRNazanin" w:hAnsi="IRNazanin" w:eastAsia="IRNazanin"/>
          <w:color w:val="111111"/>
          <w:sz w:val="28"/>
          <w:sz w:val="28"/>
          <w:szCs w:val="28"/>
          <w:rtl w:val="true"/>
          <w:lang w:bidi="fa-IR"/>
        </w:rPr>
        <w:t>ریزمفهوم، معنای متفاوتی از کلمه است که در نتیجۀ انگیزه به وسیلۀ سیاق کاربرد ظاهر می‌شود و موقعیت خاصی که کلمه در آن به کار می‌رود و این معنا در بافت دیگر از بین می‌رود؛ یعنی آن معنای متفاوت تنها در آن موقعیت خاص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معنای پیش‌فرضی که ما از آن واژه در ذهن داریم، متفاوت است و این تفاوت به موقعیتی ربط دارد که گوینده در آن قرار دارد و تا مخاطب از آن موقعیت خبر نداشته باشد، معنا را متوجه نمی‌شود؛ به بیان دیگر این معنا به کاربرد متفاوت واژه در آن سیاق مربوط است؛ یعنی کاربرد معنای جدید برای واژه به شمار می‌آید؛ برای نمونه مادر در حال خوردکردن گوشت روی تخته است و از پسرش می‌پرسد که چاقو داری؟ پسر با اینکه در جیبش یک چاقوی جیبی دارد،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چاقوی جیبی برای خوردکردن گوشت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توجه به موقعیتی که چاقو در آن استفاده می‌شود، منظور از چاقو، ساتور است</w:t>
      </w:r>
      <w:r>
        <w:rPr>
          <w:rFonts w:eastAsia="IRNazanin" w:cs="IRNazanin"/>
          <w:color w:val="111111"/>
          <w:sz w:val="28"/>
          <w:szCs w:val="28"/>
          <w:rtl w:val="true"/>
          <w:lang w:bidi="fa-IR"/>
        </w:rPr>
        <w:t>.</w:t>
      </w:r>
    </w:p>
    <w:p>
      <w:pPr>
        <w:pStyle w:val="Heading4"/>
        <w:numPr>
          <w:ilvl w:val="3"/>
          <w:numId w:val="1"/>
        </w:numPr>
        <w:rPr/>
      </w:pPr>
      <w:bookmarkStart w:id="339" w:name="__RefHeading___Toc4693199_581953129"/>
      <w:bookmarkStart w:id="340" w:name="_Toc124"/>
      <w:bookmarkEnd w:id="339"/>
      <w:r>
        <w:rPr/>
        <w:t>3</w:t>
      </w:r>
      <w:r>
        <w:rPr>
          <w:rtl w:val="true"/>
        </w:rPr>
        <w:t xml:space="preserve">. </w:t>
      </w:r>
      <w:r>
        <w:rPr>
          <w:rtl w:val="true"/>
        </w:rPr>
        <w:t>سیاق اطلاعات یا روش مشاهده</w:t>
      </w:r>
      <w:bookmarkEnd w:id="34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سیاق به جای سیاق کاربرد یا جمله، به اطلاعات دایرةالمعارفی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تجربه‌های متفاوتی دارد که مستلزم این است که بازنمایی ذهنی هر فرد نسبت به وجودهای خاص نیز متفاوت باشد که باعث ایجاد دانش دایرةالمعارفی می‌شود که در چگونگی تفسیر کلمات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هتل گران‌قیمت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به </w:t>
      </w:r>
      <w:bookmarkStart w:id="341" w:name="pg5834_41967"/>
    </w:p>
    <w:p>
      <w:pPr>
        <w:pStyle w:val="BookText"/>
        <w:rPr/>
      </w:pPr>
      <w:bookmarkEnd w:id="341"/>
      <w:r>
        <w:rPr>
          <w:rFonts w:ascii="IRNazanin" w:hAnsi="IRNazanin" w:eastAsia="IRNazanin"/>
          <w:color w:val="111111"/>
          <w:sz w:val="28"/>
          <w:sz w:val="28"/>
          <w:szCs w:val="28"/>
          <w:rtl w:val="true"/>
          <w:lang w:bidi="fa-IR"/>
        </w:rPr>
        <w:t>سه صورت می‌تواند تفسیر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هتلی که برای خریدن گران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هتلی که برای ماندن گران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هتلی که ساختن آن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انواع شیوۀ مشاهده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کیفیات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کیفیات ذهنی به چهار دسته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شیوۀ مشاهدۀ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یک وجود به عنوان یک کل به همراه اجزایش، همچون مشاهدۀ اسب به وسیلۀ دام‌پزشک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شیوۀ مشاهدۀ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وجود به عنوان نوعی در میان انواع دیگر، همچون مشاهدۀ اسب توسط یک جانورشناس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شیوۀ مشاهده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یک وجود و هستی از نظر، در غالب فعل و انفعالات آن، دربارۀ موجود دیگر، همچون مشاهدۀ یک سوارکار به 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شیوۀ مشاهدۀ تاریخ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مشاهدۀ یک هستی از نظر در غالب اینکه چگونه به وجود آمده است، همچون مشاهدۀ کتاب توسط ناشر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کرافت و کروز،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طریقۀ مشاهده بر اساس دیدگاه لغت‌دانان، متکلمان و مفسران از نوع اول است</w:t>
      </w:r>
      <w:r>
        <w:rPr>
          <w:rFonts w:eastAsia="IRNazanin" w:cs="IRNazanin"/>
          <w:color w:val="111111"/>
          <w:sz w:val="28"/>
          <w:szCs w:val="28"/>
          <w:rtl w:val="true"/>
          <w:lang w:bidi="fa-IR"/>
        </w:rPr>
        <w:t>.</w:t>
      </w:r>
    </w:p>
    <w:p>
      <w:pPr>
        <w:pStyle w:val="Heading3"/>
        <w:numPr>
          <w:ilvl w:val="2"/>
          <w:numId w:val="1"/>
        </w:numPr>
        <w:rPr/>
      </w:pPr>
      <w:bookmarkStart w:id="342" w:name="__RefHeading___Toc4693201_581953129"/>
      <w:bookmarkStart w:id="343" w:name="_Toc125"/>
      <w:bookmarkEnd w:id="342"/>
      <w:r>
        <w:rPr>
          <w:rtl w:val="true"/>
        </w:rPr>
        <w:t>د</w:t>
      </w:r>
      <w:r>
        <w:rPr>
          <w:rtl w:val="true"/>
        </w:rPr>
        <w:t xml:space="preserve">) </w:t>
      </w:r>
      <w:r>
        <w:rPr>
          <w:rtl w:val="true"/>
        </w:rPr>
        <w:t xml:space="preserve">بررسی تغییر معنای واژۀ </w:t>
      </w:r>
      <w:r>
        <w:rPr>
          <w:rtl w:val="true"/>
        </w:rPr>
        <w:t>«</w:t>
      </w:r>
      <w:r>
        <w:rPr>
          <w:rtl w:val="true"/>
        </w:rPr>
        <w:t>ایمان</w:t>
      </w:r>
      <w:r>
        <w:rPr>
          <w:rtl w:val="true"/>
        </w:rPr>
        <w:t>»</w:t>
      </w:r>
      <w:bookmarkEnd w:id="34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پژوهش تغییر معنای ایمان را تنها با توجه به طریقۀ مشاهده بررسی می‌کنیم و در ادامه، معناهای متفاوت به‌دست‌آمده از این شیوه را بر اساس شبکۀ شعاعی سازمان‌دهی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تغییر معنا بر اساس طریقۀ مشاهده این است که مخاطب هرگاه با متن روبه‌رو می‌شود، دربارۀ واژۀ به‌کاررفته در آن متن خالی‌الذهن نیست و بی‌گمان اطلاعاتی از پیش دربارۀ آن واژه در ذهن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دانش و اطلاعاتی که از طریق لغت‌نامه‌ها، تفاسیر و گفته‌های گوناگون به دست آورده‌ایم، سراغ قرآن می‌رویم؛ در ابتدا معنای ایمان را از دیدگاه لغت‌دانان مطرح می‌کنیم، سپس به بررسی معنای ایمان از دیدگاه </w:t>
      </w:r>
      <w:bookmarkStart w:id="344" w:name="pg5834_41968"/>
    </w:p>
    <w:p>
      <w:pPr>
        <w:pStyle w:val="BookText"/>
        <w:rPr/>
      </w:pPr>
      <w:bookmarkEnd w:id="344"/>
      <w:r>
        <w:rPr>
          <w:rFonts w:ascii="IRNazanin" w:hAnsi="IRNazanin" w:eastAsia="IRNazanin"/>
          <w:color w:val="111111"/>
          <w:sz w:val="28"/>
          <w:sz w:val="28"/>
          <w:szCs w:val="28"/>
          <w:rtl w:val="true"/>
          <w:lang w:bidi="fa-IR"/>
        </w:rPr>
        <w:t>متکلمان و مفسران می‌پردازیم</w:t>
      </w:r>
      <w:r>
        <w:rPr>
          <w:rFonts w:eastAsia="IRNazanin" w:cs="IRNazanin"/>
          <w:color w:val="111111"/>
          <w:sz w:val="28"/>
          <w:szCs w:val="28"/>
          <w:rtl w:val="true"/>
          <w:lang w:bidi="fa-IR"/>
        </w:rPr>
        <w:t>.</w:t>
      </w:r>
    </w:p>
    <w:p>
      <w:pPr>
        <w:pStyle w:val="Heading3"/>
        <w:numPr>
          <w:ilvl w:val="2"/>
          <w:numId w:val="1"/>
        </w:numPr>
        <w:rPr/>
      </w:pPr>
      <w:bookmarkStart w:id="345" w:name="__RefHeading___Toc4693203_581953129"/>
      <w:bookmarkStart w:id="346" w:name="_Toc126"/>
      <w:bookmarkEnd w:id="345"/>
      <w:r>
        <w:rPr>
          <w:rtl w:val="true"/>
        </w:rPr>
        <w:t>ه</w:t>
      </w:r>
      <w:r>
        <w:rPr>
          <w:rtl w:val="true"/>
        </w:rPr>
        <w:t xml:space="preserve">) </w:t>
      </w:r>
      <w:r>
        <w:rPr>
          <w:rtl w:val="true"/>
        </w:rPr>
        <w:t>معنای ایمان از دیدگاه لغت‌دانان</w:t>
      </w:r>
      <w:bookmarkEnd w:id="346"/>
    </w:p>
    <w:p>
      <w:pPr>
        <w:pStyle w:val="BookText"/>
        <w:rPr/>
      </w:pPr>
      <w:r>
        <w:rPr>
          <w:rFonts w:ascii="IRNazanin" w:hAnsi="IRNazanin" w:eastAsia="IRNazanin"/>
          <w:color w:val="111111"/>
          <w:sz w:val="28"/>
          <w:sz w:val="28"/>
          <w:szCs w:val="28"/>
          <w:rtl w:val="true"/>
          <w:lang w:bidi="fa-IR"/>
        </w:rPr>
        <w:t>در ابتدا باید اشاره کرد شیوۀ مشاهدۀ لغت‌دانان به واژۀ ایمان نگاه کاربردی است؛ زیرا لغت‌دانان واژه را با توجه به کاربرد واژه معنا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مصدر باب افعال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قرآن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آمنوا، یؤمنون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صورت اسم فاعل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مؤمنین و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اختلاف‌نظر فراوانی وجود ندارد و در بیشتر کتاب‌های لغت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ابن‌سیده،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مقاییس‌اللغۀ دو اصل برای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والمیم والنون اصلان متقاربان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الأمانة التی هی ضدّ الخیانة، و معناها سُکون القلب، و الآخر التصدیق و المعنیان کما قلنا متدانیان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ابن‌فارس،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در مفردات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طمأنینة‌النفس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خاطر و آرامش نفس و ازبین‌رفتن بیم و هراس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مصدر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یؤمن،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واژه‌شناسان معنای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ازهری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ابن‌منظور،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فیروزآبادی،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معنای اذعان و اعتقاد و راست‌دانستن مطلب و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جاءَ بِالْحَقِّ وَصَدَّقَ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 را آورد و مرسلین را در نبوت تصدیق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در مواردی به کار می‌رود که نیاز به تحقیق و پژوهش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یومن،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در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دارد؛ یکی متعدی به خود، بدون </w:t>
      </w:r>
    </w:p>
    <w:p>
      <w:pPr>
        <w:pStyle w:val="BookText"/>
        <w:rPr/>
      </w:pPr>
      <w:r>
        <w:rPr>
          <w:rFonts w:ascii="IRNazanin" w:hAnsi="IRNazanin" w:eastAsia="IRNazanin"/>
          <w:color w:val="111111"/>
          <w:sz w:val="28"/>
          <w:sz w:val="28"/>
          <w:szCs w:val="28"/>
          <w:rtl w:val="true"/>
          <w:lang w:bidi="fa-IR"/>
        </w:rPr>
        <w:t xml:space="preserve">حروف اضافه، مانند آمنته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له الامن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امنیت ایجاد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از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در این معنا نسبت داده شده است؛ یعنی خدا امنیت می‌دهد، وجه دوم متعدی نیست 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تهذیب‌اللغۀ ایمان را در برابر نفاق قرار داده است و بیان می‌کند که ایمان یعنی داخل‌شدن در درستی امانتی که خداوند به او اعتماد کرده و این امانت را به او سپرده است؛ اگر به این امر، همچنان‌که زبانش اعتراف می‌کند، قلبش نیز باور داشته باشد، حق امانت را به جا آورده و مؤمن است؛ وگرنه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صاحبان مفردات و التحقیق بر این است که معنای لغوی و اصطلاحی ایمان را یک‌جا گرد آورند و میان آنها رابطه ایجاد کنند؛ ولی حق مطلب این است هرگاه با کاربردهای گوناگون ایمان در قرآن روبه‌رو می‌شویم، خطور این معانی ذکرشده به ذهن دور از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دربارۀ کاربردهایی از ایمان در قرآن می‌تواند نتیجه دهد که ایمان همراه با متعلقش یا متعلقاتش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که ایمان بدون متعلق ذکر شده است، این معنا به ذهن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وقتی خداوند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متعلق ندارد، نمی‌توان گفت این امنیت از چه راهی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دنبال معنای دیگری برای ایمان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دیگری نیز در کتاب‌های لغت برای ایمان گفته شده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ضدالکفر و ثقۀ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همۀ معانی ذکرشده برای ایمان را می‌توان چهار معنا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التصدیق؛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ضدالکفر؛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صار ذا امن؛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ثقۀ</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ما در این پژوهش بررسی معنای خود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صورت‌های دیگر ایمان را مانند حالت فعلی و صفتی بررسی نمی‌کنیم</w:t>
      </w:r>
      <w:r>
        <w:rPr>
          <w:rFonts w:eastAsia="IRNazanin" w:cs="IRNazanin"/>
          <w:color w:val="111111"/>
          <w:sz w:val="28"/>
          <w:szCs w:val="28"/>
          <w:rtl w:val="true"/>
          <w:lang w:bidi="fa-IR"/>
        </w:rPr>
        <w:t xml:space="preserve">. </w:t>
      </w:r>
      <w:bookmarkStart w:id="347" w:name="pg5834_41970"/>
    </w:p>
    <w:p>
      <w:pPr>
        <w:pStyle w:val="Heading3"/>
        <w:numPr>
          <w:ilvl w:val="2"/>
          <w:numId w:val="1"/>
        </w:numPr>
        <w:rPr/>
      </w:pPr>
      <w:bookmarkStart w:id="348" w:name="__RefHeading___Toc4693205_581953129"/>
      <w:bookmarkStart w:id="349" w:name="_Toc127"/>
      <w:bookmarkEnd w:id="347"/>
      <w:bookmarkEnd w:id="348"/>
      <w:r>
        <w:rPr>
          <w:rtl w:val="true"/>
        </w:rPr>
        <w:t>و</w:t>
      </w:r>
      <w:r>
        <w:rPr>
          <w:rtl w:val="true"/>
        </w:rPr>
        <w:t xml:space="preserve">) </w:t>
      </w:r>
      <w:r>
        <w:rPr>
          <w:rtl w:val="true"/>
        </w:rPr>
        <w:t>معنای ایمان از دیدگاه متکلمان اسلامی</w:t>
      </w:r>
      <w:bookmarkEnd w:id="349"/>
    </w:p>
    <w:p>
      <w:pPr>
        <w:pStyle w:val="BookText"/>
        <w:rPr/>
      </w:pPr>
      <w:r>
        <w:rPr>
          <w:rFonts w:ascii="IRNazanin" w:hAnsi="IRNazanin" w:eastAsia="IRNazanin"/>
          <w:color w:val="111111"/>
          <w:sz w:val="28"/>
          <w:sz w:val="28"/>
          <w:szCs w:val="28"/>
          <w:rtl w:val="true"/>
          <w:lang w:bidi="fa-IR"/>
        </w:rPr>
        <w:t>متکلمان ایمان را یک وجود و هستی به همراه اجزای تشکیل‌دهندۀ آن در نظر می‌گیرند و از این راه به معناکردن ایمان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آنان به خاطر این است که بتوانند به‌درستی ایمان را درک کرده و به همۀ جوانب آن آگاه باشند تا بتوانند در برابر معاندان از آن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ایمان از سوی متکلمان، چند مؤلفه نقش اساسی دارند؛ ازجمله می‌توان به تصدیق قلبی، اقرار زبانی، معرفت، شناخت و عمل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معناهای ایمان که از سوی متکلمان بیان شده است،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به معنای اقرار زبانی صرف است؛ یعنی اگر انسان تنها با زبان به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کافی است و اینکه در قلبش چه می‌گذرد یا چه اعمالی را انجام می‌دهد،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به فرقۀ کرامیه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همان معرفت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ایمان برابر با معرفت و شناخت معنا شده است و عوامل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تصدیق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به فرقۀ جبریه و جهم بن صفوان نسبت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تفتازانی،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انجام همۀ طاعات اعم از واجبات، مستحبات و اجتناب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منسوب به خوارج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معنای انجام واجبات و ترک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اهل معتزلۀ بصره بر این دیدگاه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معنای تصدیق قلبی، اقرار زبانی و عمل به طاعات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به اهل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علمای امامیه، مانند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مقداد،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همان تصدیق به قلب و اقرار به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برخی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bookmarkStart w:id="350" w:name="pg5834_41971"/>
    </w:p>
    <w:p>
      <w:pPr>
        <w:pStyle w:val="BookText"/>
        <w:rPr/>
      </w:pPr>
      <w:bookmarkEnd w:id="350"/>
      <w:r>
        <w:rPr>
          <w:rFonts w:ascii="IRNazanin" w:hAnsi="IRNazanin" w:eastAsia="IRNazanin"/>
          <w:color w:val="111111"/>
          <w:sz w:val="28"/>
          <w:sz w:val="28"/>
          <w:szCs w:val="28"/>
          <w:rtl w:val="true"/>
          <w:lang w:bidi="fa-IR"/>
        </w:rPr>
        <w:t>شیخ طوسی و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351" w:name="__RefHeading___Toc4693207_581953129"/>
      <w:bookmarkStart w:id="352" w:name="_Toc128"/>
      <w:bookmarkEnd w:id="351"/>
      <w:r>
        <w:rPr>
          <w:rtl w:val="true"/>
        </w:rPr>
        <w:t>ز</w:t>
      </w:r>
      <w:r>
        <w:rPr>
          <w:rtl w:val="true"/>
        </w:rPr>
        <w:t xml:space="preserve">) </w:t>
      </w:r>
      <w:r>
        <w:rPr>
          <w:rtl w:val="true"/>
        </w:rPr>
        <w:t>ایمان از دیدگاه مفسران</w:t>
      </w:r>
      <w:bookmarkEnd w:id="352"/>
    </w:p>
    <w:p>
      <w:pPr>
        <w:pStyle w:val="Heading4"/>
        <w:numPr>
          <w:ilvl w:val="3"/>
          <w:numId w:val="1"/>
        </w:numPr>
        <w:rPr/>
      </w:pPr>
      <w:bookmarkStart w:id="353" w:name="__RefHeading___Toc4693209_581953129"/>
      <w:bookmarkStart w:id="354" w:name="_Toc129"/>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مفسر کسی است که می‌کوشد پردۀ ابهام را از روی آیات قرآن بردارد و مراد و مقصود آیات قرآن را بیان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ایمان از سوی مفسران، کوشش شده است همۀ مؤلفه‌هایی که خدا برای ایمان در قرآن بیان کرده است، بیان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متعلقات ایمان، کم‌وزیاد شدن ایمان، ایمان حقیقی و ظاهری</w:t>
      </w:r>
      <w:r>
        <w:rPr>
          <w:rFonts w:eastAsia="IRNazanin" w:cs="IRNazanin"/>
          <w:color w:val="111111"/>
          <w:sz w:val="28"/>
          <w:szCs w:val="28"/>
          <w:rtl w:val="true"/>
          <w:lang w:bidi="fa-IR"/>
        </w:rPr>
        <w:t>.</w:t>
      </w:r>
    </w:p>
    <w:p>
      <w:pPr>
        <w:pStyle w:val="Heading4"/>
        <w:numPr>
          <w:ilvl w:val="3"/>
          <w:numId w:val="1"/>
        </w:numPr>
        <w:rPr/>
      </w:pPr>
      <w:bookmarkStart w:id="355" w:name="__RefHeading___Toc4693211_581953129"/>
      <w:bookmarkStart w:id="356" w:name="_Toc130"/>
      <w:bookmarkEnd w:id="355"/>
      <w:r>
        <w:rPr/>
        <w:t>1</w:t>
      </w:r>
      <w:r>
        <w:rPr>
          <w:rtl w:val="true"/>
        </w:rPr>
        <w:t>.</w:t>
      </w:r>
      <w:r>
        <w:rPr>
          <w:rtl w:val="true"/>
        </w:rPr>
        <w:t>ایمان از دیدگاه طبرسی صاحب تفسیر مجمع‌البیان</w:t>
      </w:r>
      <w:bookmarkEnd w:id="356"/>
    </w:p>
    <w:p>
      <w:pPr>
        <w:pStyle w:val="BookText"/>
        <w:rPr/>
      </w:pPr>
      <w:r>
        <w:rPr>
          <w:rFonts w:ascii="IRNazanin" w:hAnsi="IRNazanin" w:eastAsia="IRNazanin"/>
          <w:color w:val="111111"/>
          <w:sz w:val="28"/>
          <w:sz w:val="28"/>
          <w:szCs w:val="28"/>
          <w:rtl w:val="true"/>
          <w:lang w:bidi="fa-IR"/>
        </w:rPr>
        <w:t xml:space="preserve">شیخ طبرسی معنای لغوی ایمان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والتصدیق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معنای اصطلاحی نیز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 الشریعة فالایمان هو التصدیق بکل ما یلزم التصدیق به من الله تعالی وأنبیائه وملائکته وکتبه والبعث والنشور والجنة والنار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تفسیر مجمع‌البیان مرحوم طبرسی معنای ایمان را معرفت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أصل الایمان هو المعرفة بالله وبرسله وبجمیع ماجاءت به رسله، وکل عارف بشیء فهو مصدّق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عبارت، صاحب مجمع‌البیان ایمان را معرفت می‌داند، اما نتیجۀ معرفت را تصدیق می‌نامد؛ بنابراین در دیدگاه مرحوم طبرسی ایمان، معرفت است، ولی هر معرفتی ایمان نیست؛ بلکه معرفتی ایمان است که به تصدیق ختم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طبرسی عمل را خارج از حوزه و معنای ایمان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357" w:name="__RefHeading___Toc4693213_581953129"/>
      <w:bookmarkStart w:id="358" w:name="_Toc131"/>
      <w:bookmarkEnd w:id="357"/>
      <w:r>
        <w:rPr/>
        <w:t>2</w:t>
      </w:r>
      <w:r>
        <w:rPr>
          <w:rtl w:val="true"/>
        </w:rPr>
        <w:t xml:space="preserve">. </w:t>
      </w:r>
      <w:r>
        <w:rPr>
          <w:rtl w:val="true"/>
        </w:rPr>
        <w:t>ایمان از دیدگاه فخر رازی</w:t>
      </w:r>
      <w:bookmarkEnd w:id="358"/>
    </w:p>
    <w:p>
      <w:pPr>
        <w:pStyle w:val="BookText"/>
        <w:rPr/>
      </w:pPr>
      <w:r>
        <w:rPr>
          <w:rFonts w:ascii="IRNazanin" w:hAnsi="IRNazanin" w:eastAsia="IRNazanin"/>
          <w:color w:val="111111"/>
          <w:sz w:val="28"/>
          <w:sz w:val="28"/>
          <w:szCs w:val="28"/>
          <w:rtl w:val="true"/>
          <w:lang w:bidi="fa-IR"/>
        </w:rPr>
        <w:t>فخر رازی در تفسیر خود ایمان را این‌گونه تعریف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من الایمان الاعتقاد المبنی علی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ایمان از دیدگاه ایشان ایمانی یقینی بر پایۀ تعقل است</w:t>
      </w:r>
      <w:r>
        <w:rPr>
          <w:rFonts w:eastAsia="IRNazanin" w:cs="IRNazanin"/>
          <w:color w:val="111111"/>
          <w:sz w:val="28"/>
          <w:szCs w:val="28"/>
          <w:rtl w:val="true"/>
          <w:lang w:bidi="fa-IR"/>
        </w:rPr>
        <w:t>.</w:t>
      </w:r>
    </w:p>
    <w:p>
      <w:pPr>
        <w:pStyle w:val="Heading4"/>
        <w:numPr>
          <w:ilvl w:val="3"/>
          <w:numId w:val="1"/>
        </w:numPr>
        <w:rPr/>
      </w:pPr>
      <w:bookmarkStart w:id="359" w:name="__RefHeading___Toc4693215_581953129"/>
      <w:bookmarkStart w:id="360" w:name="_Toc132"/>
      <w:bookmarkEnd w:id="359"/>
      <w:r>
        <w:rPr/>
        <w:t>3</w:t>
      </w:r>
      <w:r>
        <w:rPr>
          <w:rtl w:val="true"/>
        </w:rPr>
        <w:t xml:space="preserve">. </w:t>
      </w:r>
      <w:r>
        <w:rPr>
          <w:rtl w:val="true"/>
        </w:rPr>
        <w:t>ایمان از دیدگاه علامه طباطبائی</w:t>
      </w:r>
      <w:bookmarkEnd w:id="36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تعریف از ایمان عبارت‌های متفاوتی 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ایمان را تصدیق، علم یا اعتقاد تفضیلی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ایشان میان تصدیق و علم و </w:t>
      </w:r>
      <w:bookmarkStart w:id="361" w:name="pg5834_41972"/>
    </w:p>
    <w:p>
      <w:pPr>
        <w:pStyle w:val="BookText"/>
        <w:rPr/>
      </w:pPr>
      <w:bookmarkEnd w:id="361"/>
      <w:r>
        <w:rPr>
          <w:rFonts w:ascii="IRNazanin" w:hAnsi="IRNazanin" w:eastAsia="IRNazanin"/>
          <w:color w:val="111111"/>
          <w:sz w:val="28"/>
          <w:sz w:val="28"/>
          <w:szCs w:val="28"/>
          <w:rtl w:val="true"/>
          <w:lang w:bidi="fa-IR"/>
        </w:rPr>
        <w:t>اعتقاد ناهمگونی وجود ندارد؛ زیرا تصدیق در نظر ایشان منطقی است، نه نفسانی؛ ازاین‌رو با علم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قید التزام عملی نیز جزو تعریف ایشان از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نگاه متفاوت به بیان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است؛ ایشان گاه به ماهیت و سرشت ایمان نظر دارد و گاه به لوازم و نشانه‌هایی که به تبع ایمان صادر می‌شوند؛ درواقع در بسیاری از این تعبیرها، به بحث هستی‌شناختی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ندارد؛ بلکه صرفاً لوازم آن 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نکته می‌توان گفت که علامه با لحاظ چیستی و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امری قلبی می‌داند و امور دیگر مانند شناخت و التزام عملی به متعلَّق ایمان را جزو لوازم آن می‌داند؛ ازاین‌رو برخی تعابیر وی به سرشت ایمان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طباطبائی،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لحاظ نشانه‌ها و لوازم آن و برخی دیگر به ایمان با توجه به لوازم و نشانه‌های آن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هرچند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التزام عملی تأکید می‌کند، نباید دیدگاه ایشان را در زمرۀ دیدگاه‌هایی قرار دهیم که عمل را در ماهیت ایمان شرط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درواقع عبارت است از همان تصدیق قلبی؛ ازاین‌رو از نگاه علامه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عملی در ماهیت آن و در تحقق اصل ایمان دخالتی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3"/>
        <w:numPr>
          <w:ilvl w:val="2"/>
          <w:numId w:val="1"/>
        </w:numPr>
        <w:rPr/>
      </w:pPr>
      <w:bookmarkStart w:id="362" w:name="__RefHeading___Toc4693217_581953129"/>
      <w:bookmarkStart w:id="363" w:name="_Toc133"/>
      <w:bookmarkEnd w:id="362"/>
      <w:r>
        <w:rPr>
          <w:rtl w:val="true"/>
        </w:rPr>
        <w:t>ز</w:t>
      </w:r>
      <w:r>
        <w:rPr>
          <w:rtl w:val="true"/>
        </w:rPr>
        <w:t xml:space="preserve">) </w:t>
      </w:r>
      <w:r>
        <w:rPr>
          <w:rtl w:val="true"/>
        </w:rPr>
        <w:t>تعیین پیش‌نمونه</w:t>
      </w:r>
      <w:bookmarkEnd w:id="363"/>
    </w:p>
    <w:p>
      <w:pPr>
        <w:pStyle w:val="BookText"/>
        <w:rPr/>
      </w:pPr>
      <w:r>
        <w:rPr>
          <w:rFonts w:ascii="IRNazanin" w:hAnsi="IRNazanin" w:eastAsia="IRNazanin"/>
          <w:color w:val="111111"/>
          <w:sz w:val="28"/>
          <w:sz w:val="28"/>
          <w:szCs w:val="28"/>
          <w:rtl w:val="true"/>
          <w:lang w:bidi="fa-IR"/>
        </w:rPr>
        <w:t xml:space="preserve">تایلر و ایوانز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ایوانز، برگن و زینکن،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ایوانز و گرین،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معیارهایی را برای تعیین معنای پیش‌نمونه‌ای حروف اضافه نام برده‌اند که در این پژوهش به عنوان معیار ما در تعیین معنای اولیه درون شبکۀ معنایی در نظر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معیارها برای حروف اضافه بیان شده‌اند، با کمی تغییر می‌توان از آنها در موارد دیگر غیر از حروف نیز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معنای پذیرفته‌شده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دارای مفاهیم گوناگونی هستند که در طول تاریخ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معنای حرف اضافه در تاریخ را می‌توان به عنوان معنای پیش‌نمونه‌ای مطرح کرد</w:t>
      </w:r>
      <w:r>
        <w:rPr>
          <w:rFonts w:eastAsia="IRNazanin" w:cs="IRNazanin"/>
          <w:color w:val="111111"/>
          <w:sz w:val="28"/>
          <w:szCs w:val="28"/>
          <w:rtl w:val="true"/>
          <w:lang w:bidi="fa-IR"/>
        </w:rPr>
        <w:t>.</w:t>
      </w:r>
      <w:bookmarkStart w:id="364" w:name="pg5834_41973"/>
    </w:p>
    <w:p>
      <w:pPr>
        <w:pStyle w:val="BookText"/>
        <w:rPr/>
      </w:pPr>
      <w:bookmarkEnd w:id="3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تفوق یک معنا در شبکۀ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شبکۀ معنایی حاوی مفاهیم گوناگونی است که مستقیم یا غیرمستقیم با هم ارتباط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در بیشتر معانی دیگر دیده می‌شود، می‌تواند معنای پیش‌نمونه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با دیگر مفاهیم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اسم‌ها جفت‌های متضادی وجود دارند که انتخاب هر یک از سوی سخنگو، به تعبیر و زاویۀ دید او بستگی دارد؛ مانند ایمان یا ضدالکفر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پیش‌نمونه‌ای اسم، مفهومی است که در تضاد میان دو جفت اسم نقش کلیدی‌تری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بتوانیم تشخیص دهیم که معانی گوناگون موجود برای یک اسم، زمانی از یک معنای خاص گرفته شده‌اند و سپس بخشی از شبکۀ معنایی مرتبط با آن اسم را تشکیل داده‌اند، می‌توانیم پیش‌بینی کنیم که برخی معانی، به‌طورمستقیم از معنای سرنمونی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تصور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نصرتی،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پیش‌نمونه باید به‌گونه‌ای باشد که هنگام بیان آن واژه، به‌راحتی به ذهن متبادر شود و به تفکر زیاد نیاز نداشته باشد</w:t>
      </w:r>
      <w:r>
        <w:rPr>
          <w:rFonts w:eastAsia="IRNazanin" w:cs="IRNazanin"/>
          <w:color w:val="111111"/>
          <w:sz w:val="28"/>
          <w:szCs w:val="28"/>
          <w:rtl w:val="true"/>
          <w:lang w:bidi="fa-IR"/>
        </w:rPr>
        <w:t>.</w:t>
      </w:r>
    </w:p>
    <w:p>
      <w:pPr>
        <w:pStyle w:val="Heading3"/>
        <w:numPr>
          <w:ilvl w:val="2"/>
          <w:numId w:val="1"/>
        </w:numPr>
        <w:rPr/>
      </w:pPr>
      <w:bookmarkStart w:id="365" w:name="__RefHeading___Toc4693219_581953129"/>
      <w:bookmarkStart w:id="366" w:name="_Toc134"/>
      <w:bookmarkEnd w:id="365"/>
      <w:r>
        <w:rPr>
          <w:rtl w:val="true"/>
        </w:rPr>
        <w:t>ح</w:t>
      </w:r>
      <w:r>
        <w:rPr>
          <w:rtl w:val="true"/>
        </w:rPr>
        <w:t xml:space="preserve">) </w:t>
      </w:r>
      <w:r>
        <w:rPr>
          <w:rtl w:val="true"/>
        </w:rPr>
        <w:t>تعیین معنای پیش‌نمونۀ ایمان</w:t>
      </w:r>
      <w:bookmarkEnd w:id="366"/>
    </w:p>
    <w:p>
      <w:pPr>
        <w:pStyle w:val="BookText"/>
        <w:rPr/>
      </w:pPr>
      <w:r>
        <w:rPr>
          <w:rFonts w:ascii="IRNazanin" w:hAnsi="IRNazanin" w:eastAsia="IRNazanin"/>
          <w:color w:val="111111"/>
          <w:sz w:val="28"/>
          <w:sz w:val="28"/>
          <w:szCs w:val="28"/>
          <w:rtl w:val="true"/>
          <w:lang w:bidi="fa-IR"/>
        </w:rPr>
        <w:t>با توجه به معانی بیان‌شده برای ایمان، می‌توانیم معنای پیش‌نمونه‌ای ایمان را با توجه به اصول آن تعیین کنیم؛ سپس شبکۀ شعاعی معنای ایمان را ترسیم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معانی ذکرشده برای ایمان از سوی متکلمان و همچنین معانی کتاب‌های لغت به نظر می‌رسد ایمان در اسلام به یک اصطلاح دینی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کتاب‌های لغت ما را در یافتن معنای پیش‌نمونه‌ای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ما برای تعیین معنای پیش‌نمونۀ ایمان سراغ کتاب‌های لغت می‌رویم؛ زیرا با توجه به معیارهای بیان‌شده در تعیین پیش‌نمونه، قدیمی‌ترین معنایی که برای ایمان می‌توان یافت، از میان کتاب‌های لغت است، نه آرای متکلمان</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میان معنای تصدیق و امنیت جمع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الایمان هو التصدیق الذی معه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تصدیقی است که همراهش آرامش و امنیت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راغب اصفهانی، </w:t>
      </w:r>
    </w:p>
    <w:p>
      <w:pPr>
        <w:pStyle w:val="BookText"/>
        <w:rPr/>
      </w:pP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التحقیق ایمان قراردادن خود یا دیگری در امنیت و آرامش معنا شده است و معنای دیگر ایمان با مفعول باواسطه، حصول آرامش به وسیلۀ ایمان به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والایمان جعل نفسه أو غیره فی الأمن والسکون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والایمان به حصول السکون والطمأنینة به وَالَّذِینَ آمَنُوا بِاللَّهِ وَرُسُلِهِ أی اطمأنّوا وحصل لهم الأمن؛ وآمَنَ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له الاطمینان والسکون باللّه المتعال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مصطفوی،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مطالب بیان‌شده می‌توان این چنین گفت که ایمان تصدیق قلبی است که امنیت و آرامش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معیارهای بیان‌شده برای تعیین پیش‌نمونه، معنای پیش‌نمونۀ ایمان به شرح 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ایوانز، برگن و زینکن،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ایوانز و گرین،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قدیمی‌ترین معنایی که برای ایمان در کتاب‌های لغت بیان شده، تصدیق است؛ مانند العین و تهذیب‌اللغة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گفت معنای تصدیق پرتکرارترین معنا برای ایمان در کتاب‌های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تصدیق همراه با آرامش و اطمینان است که خود برخاسته از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معنایی صلاحیت معنای پیش‌نمونه را دارد که بتواند در یک 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دیدگاه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متضاد خود جایگزین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ویژگی را دارد؛ زیرا تصدیق متضاد تکذیب است که بیشتر برای معنای کفر به 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اینجا مؤمن کسی است که قلباً تکذیب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گفت تصدیق قلبی در بیشتر معانی بیان‌شده برای ایمان وجود دارد و پایۀ توسعۀ مجازی و حقیقی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دربارۀ خرید و فروش ایمان، مانند اینکه تصدیق قلبی معامله می‌شود یا در افزایش ایمان، این تصدیق است که در ظرف قلب کیفیتش بهبود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از ایمان است، نخستین چیزی که به ذهنمان می‌رسد، باور 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7" w:name="pg5834_41975"/>
    </w:p>
    <w:p>
      <w:pPr>
        <w:pStyle w:val="Heading3"/>
        <w:numPr>
          <w:ilvl w:val="2"/>
          <w:numId w:val="1"/>
        </w:numPr>
        <w:rPr/>
      </w:pPr>
      <w:bookmarkStart w:id="368" w:name="__RefHeading___Toc4693221_581953129"/>
      <w:bookmarkStart w:id="369" w:name="_Toc135"/>
      <w:bookmarkEnd w:id="367"/>
      <w:bookmarkEnd w:id="368"/>
      <w:r>
        <w:rPr>
          <w:rtl w:val="true"/>
        </w:rPr>
        <w:t>ط</w:t>
      </w:r>
      <w:r>
        <w:rPr>
          <w:rtl w:val="true"/>
        </w:rPr>
        <w:t xml:space="preserve">) </w:t>
      </w:r>
      <w:r>
        <w:rPr>
          <w:rtl w:val="true"/>
        </w:rPr>
        <w:t>ترسیم شبکۀ شعاعی معنای ایمان در قرآن</w:t>
      </w:r>
      <w:bookmarkEnd w:id="369"/>
    </w:p>
    <w:p>
      <w:pPr>
        <w:pStyle w:val="BookText"/>
        <w:rPr/>
      </w:pPr>
      <w:r>
        <w:rPr>
          <w:rFonts w:ascii="IRNazanin" w:hAnsi="IRNazanin" w:eastAsia="IRNazanin"/>
          <w:color w:val="111111"/>
          <w:sz w:val="28"/>
          <w:sz w:val="28"/>
          <w:szCs w:val="28"/>
          <w:rtl w:val="true"/>
          <w:lang w:bidi="fa-IR"/>
        </w:rPr>
        <w:t>در 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مرکزی و پیش‌نمونه‌ای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دسته‌بندی معنای ذکرشده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بالا، می‌توان معانی تصدیق قلبی، ثقه، صار ذا امن، اقرار زبانی، معرفت و شناخت، تصدیق قلبی و اقرار زبانی و عمل را معانی متفاوت ایمان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تصدیق قلب معنای پیش‌نمونه است که دیگر معانی از این معنا توسعه می‌یابند</w:t>
      </w:r>
      <w:r>
        <w:rPr>
          <w:rFonts w:eastAsia="IRNazanin" w:cs="IRNazanin"/>
          <w:color w:val="111111"/>
          <w:sz w:val="28"/>
          <w:szCs w:val="28"/>
          <w:rtl w:val="true"/>
          <w:lang w:bidi="fa-IR"/>
        </w:rPr>
        <w:t>.</w:t>
      </w:r>
    </w:p>
    <w:p>
      <w:pPr>
        <w:pStyle w:val="Heading3"/>
        <w:numPr>
          <w:ilvl w:val="2"/>
          <w:numId w:val="1"/>
        </w:numPr>
        <w:rPr/>
      </w:pPr>
      <w:bookmarkStart w:id="370" w:name="__RefHeading___Toc4693223_581953129"/>
      <w:bookmarkStart w:id="371" w:name="_Toc136"/>
      <w:bookmarkEnd w:id="370"/>
      <w:r>
        <w:rPr>
          <w:rtl w:val="true"/>
        </w:rPr>
        <w:t>ی</w:t>
      </w:r>
      <w:r>
        <w:rPr>
          <w:rtl w:val="true"/>
        </w:rPr>
        <w:t xml:space="preserve">) </w:t>
      </w:r>
      <w:r>
        <w:rPr>
          <w:rtl w:val="true"/>
        </w:rPr>
        <w:t>چگونگی توسعۀ معنای ایمان از معنای پیش‌نمونه</w:t>
      </w:r>
      <w:bookmarkEnd w:id="371"/>
    </w:p>
    <w:p>
      <w:pPr>
        <w:pStyle w:val="BookText"/>
        <w:rPr/>
      </w:pPr>
      <w:r>
        <w:rPr>
          <w:rFonts w:ascii="IRNazanin" w:hAnsi="IRNazanin" w:eastAsia="IRNazanin"/>
          <w:color w:val="111111"/>
          <w:sz w:val="28"/>
          <w:sz w:val="28"/>
          <w:szCs w:val="28"/>
          <w:rtl w:val="true"/>
          <w:lang w:bidi="fa-IR"/>
        </w:rPr>
        <w:t>توسعۀ معنای ایمان را با توجه به معنای پیش‌نمونۀ تصدیق قلبی می‌توان در چهار دستۀ معنایی به این ترتیب سازمان‌دهی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پیش‌نمونه‌ای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علاوه بر تصدیق قلبی در معنای ایمان مد نظر است که آن همان عمل است که در معنای اول این عمل اقرار به لسان است و در معنای بعدی اقرار به لسان و عمل با جوارح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پیش‌نمونه‌ای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مؤلفۀ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دربردارندۀ معنای اقرار لسانی بدون تصدیق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اقرار زبانی باید گفت خود اقرار زبانی نوعی تصدیق است؛ با این تفاوت که مؤلفۀ قلب در آن حذف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دسته حاصل معنای پیش‌نمونه مد نظر است که شامل سه معنای ثقه، ضدالکفر و صار ذا 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ثقه پس از اینکه فرد با قلبش کس دیگری را تصدیق کرد، او را قابل اعتماد و اطمینان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صار ذا امن نیز باید گفت اگر انسان چیزی یا کسی را با قلبش تصدیق کند، از سوی او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ضدالکفر نیز وقتی به ایمان اطلاق می‌شود که ایمان به دست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دستۀ چهارم نیز معنایی برابر با معنای پیش نمونه دارد که همان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قائلان به این نظر معتقد هستند بدون معرفت و شناخت، تصدیق قلبی به دست نمی‌آید و از سویی معرفت و شناخت از طریق قلب حاصل می‌شود؛ پس درواقع معرفت و شناخت مقدمه و زمینه‌ای برای تحقق تصدیق قلبی هستند یا به بیان دیگر نتیجۀ معرفت </w:t>
      </w:r>
      <w:bookmarkStart w:id="372" w:name="pg5834_41976"/>
    </w:p>
    <w:p>
      <w:pPr>
        <w:pStyle w:val="BookText"/>
        <w:rPr/>
      </w:pPr>
      <w:bookmarkEnd w:id="372"/>
      <w:r>
        <w:rPr>
          <w:rFonts w:ascii="IRNazanin" w:hAnsi="IRNazanin" w:eastAsia="IRNazanin"/>
          <w:color w:val="111111"/>
          <w:sz w:val="28"/>
          <w:sz w:val="28"/>
          <w:szCs w:val="28"/>
          <w:rtl w:val="true"/>
          <w:lang w:bidi="fa-IR"/>
        </w:rPr>
        <w:t>و شناخت تصدیق قلبی است</w:t>
      </w:r>
      <w:r>
        <w:rPr>
          <w:rFonts w:eastAsia="IRNazanin" w:cs="IRNazanin"/>
          <w:color w:val="111111"/>
          <w:sz w:val="28"/>
          <w:szCs w:val="28"/>
          <w:rtl w:val="true"/>
          <w:lang w:bidi="fa-IR"/>
        </w:rPr>
        <w:t>.</w:t>
      </w:r>
    </w:p>
    <w:p>
      <w:pPr>
        <w:pStyle w:val="Heading3"/>
        <w:numPr>
          <w:ilvl w:val="2"/>
          <w:numId w:val="1"/>
        </w:numPr>
        <w:rPr/>
      </w:pPr>
      <w:bookmarkStart w:id="373" w:name="__RefHeading___Toc4693225_581953129"/>
      <w:bookmarkStart w:id="374" w:name="_Toc137"/>
      <w:bookmarkEnd w:id="373"/>
      <w:r>
        <w:rPr>
          <w:rtl w:val="true"/>
        </w:rPr>
        <w:t>نتیجه‌گیری</w:t>
      </w:r>
      <w:bookmarkEnd w:id="374"/>
    </w:p>
    <w:p>
      <w:pPr>
        <w:pStyle w:val="BookText"/>
        <w:rPr/>
      </w:pPr>
      <w:r>
        <w:rPr>
          <w:rFonts w:ascii="IRNazanin" w:hAnsi="IRNazanin" w:eastAsia="IRNazanin"/>
          <w:color w:val="111111"/>
          <w:sz w:val="28"/>
          <w:sz w:val="28"/>
          <w:szCs w:val="28"/>
          <w:rtl w:val="true"/>
          <w:lang w:bidi="fa-IR"/>
        </w:rPr>
        <w:t xml:space="preserve">شبکۀ شعاعی معنا، نظریه‌ای در معناشناسی شناختی است که با انتخاب معنای مرکزی برای پیش‌نمونه به بررسی چگونگی گسترش دیگر معانی واژه در بافت‌ها و ترکیبات گوناگون می‌پردازد و هدف این مقاله سامان‌دادن به معانی مختلف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 این بود معنای واژۀ ایمان در سیاق‌های مختلف، با توجه به قیدهایی که مفهوم ایمان را گسترش داده، بررسی شود و از این راه نیز چندمعنایی در ایمان اثبات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بررسی‌های انجام‌شده مشخص شد معانی مختلف ایمان پیرامون یک معنای پیش‌نمونه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تشکیل یک شبکۀ شعاعی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معنا می‌توان چهار دستۀ کلی معنایی دیگر منشعب کرد که دیگر معانی ایمان از این چهار دسته توسعه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معنایی ایمان به همراه عمل که منظور از عمل اقرار با زبان و عمل به جوارح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معنایی ایمان بدون قلب که همان معنای اقرار زبانی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معنایی حاصل ایمان که معانی ثقه، ضدالکفر و صار ذا امن را در بر می‌گیرد و معنای آخر که برابر با ایمان فرض‌شده، همان معرفت و شناخت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دیدگاه‌ها دربارۀ مفهوم ایمان میان اندیشوران اسلامی بسیار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کمک می‌کند تا با درنظرگرفتن شبکۀ شعاعی معنای ایمان هنگام تعریف این مفهوم، این شبکه را تصور کرده و تعریف جامع و کاملی از آن ارائه کند</w:t>
      </w:r>
      <w:r>
        <w:rPr>
          <w:rFonts w:eastAsia="IRNazanin" w:cs="IRNazanin"/>
          <w:color w:val="111111"/>
          <w:sz w:val="28"/>
          <w:szCs w:val="28"/>
          <w:rtl w:val="true"/>
          <w:lang w:bidi="fa-IR"/>
        </w:rPr>
        <w:t xml:space="preserve">. </w:t>
      </w:r>
      <w:bookmarkStart w:id="375" w:name="pg5834_41977"/>
    </w:p>
    <w:p>
      <w:pPr>
        <w:pStyle w:val="Heading3"/>
        <w:numPr>
          <w:ilvl w:val="2"/>
          <w:numId w:val="1"/>
        </w:numPr>
        <w:rPr/>
      </w:pPr>
      <w:bookmarkStart w:id="376" w:name="__RefHeading___Toc4693227_581953129"/>
      <w:bookmarkStart w:id="377" w:name="_Toc138"/>
      <w:bookmarkEnd w:id="375"/>
      <w:bookmarkEnd w:id="376"/>
      <w:r>
        <w:rPr>
          <w:rtl w:val="true"/>
        </w:rPr>
        <w:t>منابع و مآخذ</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مبارک بن محمد؛ النهایۀ فی غریب الحدیث والاثر؛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ابن‌سیده، علی بن اسماعیل؛ المحکم والمحیط؛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اکتب العلمیة،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ابن‌فارس، احمد؛ معجم مقاییس اللغة؛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محمد بن 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ازهری، محمد بن احمد؛ تهذیب اللغة؛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العربی،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ابوالحسن؛ مقالات الاسلامیین واختلاف المصلین؛ تحقیق فرانس شتاینر؛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ویسبادن،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افراشی، آزیتا، بلقیس روشن و شهرام رنجبری؛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متغیرهای اجتماعی در تعیین پیش‌نمونه‌های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پازند، 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ایجی، میر سید شریف؛ شرح المواقف؛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تفتازانی، سعدالدین؛ شرح المقاصد؛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علی‌اصغر؛ تاریخ علم کلام در ایران و جهان؛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اساطیر،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الفاظ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بلقیس و لیلا اردبیلی؛ مقدمۀ معناشناسی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علم، </w:t>
      </w:r>
    </w:p>
    <w:p>
      <w:pPr>
        <w:pStyle w:val="BookText"/>
        <w:rPr/>
      </w:pP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زین‌الدین بن علی؛ حقائق الایمان مع رسالتی الاقتصاد والعدالة؛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آیت‌الله مرعشی 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سیدمحمدحسین؛ المیزان فی تفسیر القرآن؛ چ</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جامعۀ مدرسین حوزۀ علمیۀ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مجمع البیان فی تفسیر القرآن؛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 ارشاد الطالبین الی نهج المسترشدین؛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کتابخانۀ آیت‌الله مرعشی،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محمد بن عمر؛ مفاتیح الغیب؛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هجرت،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محمد بن یعقوب؛ القاموس والمحیط؛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قائمی‌نیا، علیرضا؛ معناشناسی شناختی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سازمان انتشارات پژوهشگاه فرهنگ و اندیشۀ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عبدالجبار؛ شرح الاصول الخمسة؛ چ</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علی‌اکبر؛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الاسلامیۀ،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زبیدی؛ محمد بن محمد؛ تاج العروس؛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حسن؛ التحقیق فی کلمات القرآن الکریم؛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نصرتی، شعبان و محمد رکعی؛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سرشت مقوله‌بندی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فصلنامۀ ذهن، ش</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نصرتی، شعبان؛ معناشناسی شناختی قلب در قرآن؛ پایاننامۀ دکتری رشتۀ کلام امامیه، پاییز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نصیری،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از دیدگاه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فصلنامۀ قبسات، 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Taylor, john; linguistic categorization; New York: Clearndon press,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Evans, Vyvyan &amp; Benjamin Bergen &amp; Jorg Zinken; The Cognitive linguistic Reader Equinox First Published; Londan,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Evans, Vyvyan &amp; Melanie green; Cognitive Linguistics an Introduction; Edinburgh: Edinburgh University Press, 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Croft, william; D.alan cruse; Cognitive Linguistics; New York: Cambridge university press,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oxford handbook of cognitive linguistics; dirk geeraerts and Hubert cuyckens; New York: Oxford university press,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Nerlich, Brigitte &amp; Zazie Todd; Polysemy Flexible Patterns of Meaning in Mind and Language; Berlin &amp; New York, 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Riemer, Nick; The Semantics of Polysemy; Berlin &amp; New York: Moutin de Gruyter,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Cuyckens, Hubert &amp; Britta Zawada; Polysemy in Cognitive linguistics; Amsterdam: John Benjamins Publishing Company,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Martin Vanhove; From Polysemy to Semantic Change; Amsterdam: John Benjamins Publishing Company, 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Geeraerts, Dirk; Cognitive Linguistics: Basic Readings; berlin &amp; new York: Moutin de Gruyter, 2006</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Lakoff, George; Women, Fire and Dangerous Things; Chicago and London: University of Chicago press, 1987</w:t>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8" w:name="pg5834_41981"/>
      <w:bookmarkStart w:id="379" w:name="pg5834_41981"/>
      <w:bookmarkEnd w:id="379"/>
    </w:p>
    <w:p>
      <w:pPr>
        <w:pStyle w:val="Heading2"/>
        <w:numPr>
          <w:ilvl w:val="1"/>
          <w:numId w:val="1"/>
        </w:numPr>
        <w:rPr/>
      </w:pPr>
      <w:bookmarkStart w:id="380" w:name="pg5834_41981"/>
      <w:bookmarkStart w:id="381" w:name="__RefHeading___Toc4693229_581953129"/>
      <w:bookmarkStart w:id="382" w:name="_Toc139"/>
      <w:bookmarkEnd w:id="380"/>
      <w:bookmarkEnd w:id="381"/>
      <w:r>
        <w:rPr>
          <w:rtl w:val="true"/>
        </w:rPr>
        <w:t xml:space="preserve">بررسی انتقادی رویکردهای سرل، دنت و پاتنم به جایگاه فلسفی هوش مصنوعی </w:t>
      </w:r>
      <w:r>
        <w:rPr>
          <w:rtl w:val="true"/>
        </w:rPr>
        <w:t xml:space="preserve">/ </w:t>
      </w:r>
      <w:r>
        <w:rPr>
          <w:rtl w:val="true"/>
        </w:rPr>
        <w:t>محمدحسین محمدعلی‌خلج</w:t>
      </w:r>
      <w:bookmarkEnd w:id="382"/>
    </w:p>
    <w:p>
      <w:pPr>
        <w:pStyle w:val="Heading3"/>
        <w:numPr>
          <w:ilvl w:val="2"/>
          <w:numId w:val="1"/>
        </w:numPr>
        <w:rPr/>
      </w:pPr>
      <w:bookmarkStart w:id="383" w:name="__RefHeading___Toc4693231_581953129"/>
      <w:bookmarkStart w:id="384" w:name="_Toc140"/>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محمدحسین محمدعلی‌خلج</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تاریخ دریافت</w:t>
      </w:r>
      <w:r>
        <w:rPr>
          <w:rFonts w:eastAsia="IRNazanin" w:cs="IRNazanin"/>
          <w:color w:val="111111"/>
          <w:sz w:val="28"/>
          <w:szCs w:val="28"/>
          <w:rtl w:val="true"/>
          <w:lang w:bidi="fa-IR"/>
        </w:rPr>
        <w:t xml:space="preserve">: </w:t>
      </w:r>
      <w:r>
        <w:rPr>
          <w:rFonts w:eastAsia="IRNazanin" w:cs="IRNazanin"/>
          <w:color w:val="111111"/>
          <w:sz w:val="28"/>
          <w:szCs w:val="28"/>
          <w:lang w:bidi="fa-IR"/>
        </w:rPr>
        <w:t>15/6/96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تأیید</w:t>
      </w:r>
      <w:r>
        <w:rPr>
          <w:rFonts w:eastAsia="IRNazanin" w:cs="IRNazanin"/>
          <w:color w:val="111111"/>
          <w:sz w:val="28"/>
          <w:szCs w:val="28"/>
          <w:rtl w:val="true"/>
          <w:lang w:bidi="fa-IR"/>
        </w:rPr>
        <w:t xml:space="preserve">: </w:t>
      </w:r>
      <w:r>
        <w:rPr>
          <w:rFonts w:eastAsia="IRNazanin" w:cs="IRNazanin"/>
          <w:color w:val="111111"/>
          <w:sz w:val="28"/>
          <w:szCs w:val="28"/>
          <w:lang w:bidi="fa-IR"/>
        </w:rPr>
        <w:t>24/11/96</w:t>
      </w:r>
    </w:p>
    <w:p>
      <w:pPr>
        <w:pStyle w:val="Heading3"/>
        <w:numPr>
          <w:ilvl w:val="2"/>
          <w:numId w:val="1"/>
        </w:numPr>
        <w:rPr/>
      </w:pPr>
      <w:bookmarkStart w:id="385" w:name="__RefHeading___Toc4693233_581953129"/>
      <w:bookmarkStart w:id="386" w:name="_Toc141"/>
      <w:bookmarkEnd w:id="385"/>
      <w:r>
        <w:rPr>
          <w:rtl w:val="true"/>
        </w:rPr>
        <w:t>چکیده</w:t>
      </w:r>
      <w:bookmarkEnd w:id="386"/>
    </w:p>
    <w:p>
      <w:pPr>
        <w:pStyle w:val="BookText"/>
        <w:rPr/>
      </w:pPr>
      <w:r>
        <w:rPr>
          <w:rFonts w:ascii="IRNazanin" w:hAnsi="IRNazanin" w:eastAsia="IRNazanin"/>
          <w:color w:val="111111"/>
          <w:sz w:val="28"/>
          <w:sz w:val="28"/>
          <w:szCs w:val="28"/>
          <w:rtl w:val="true"/>
          <w:lang w:bidi="fa-IR"/>
        </w:rPr>
        <w:t>این مقاله به دو بخش کلی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صورت‌بندی پاتنم، دنت و سرل به جایگاه فلسفی هوش مصنوعی به صورت کلی، طرح شده و نقاط ضعف هر یک نشان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صورت‌بندی برگزیده با تفکیک دو تراز فلسفه‌علمی و فلسفه‌ذهنی شرح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 فلسفه‌علمی مسئله آن است که آیا هوش مصنوعی می‌تواند دستگاهی بسازد که در آزمون نامحدود تورینگ پیروز شود؟ اما در تراز فلسفه‌ذهنی مسئله این است که اگر چنین دستگاهی ساخته شد، آیا ذهن دارد؟ در بخش دوم از نوشتار مهم‌ترین مسئله‌های طرح‌شده در این دو تراز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در تراز فلسفۀ علمی، مسئلۀ چارچوب، یعنی مسئلۀ چگونگی روبه‌رویی با رویدادهای تعریف‌ناشده و غیرمنتظره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بزرگ‌ترین مانع بر سر راه پیروزی هوش مصنوعی در آزمون تورینگ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در تراز فلسفه‌ذهنی سه مسئله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مغالطۀ آدمک، استدلال اتاق چینی و نقد بر اساس تئوری گودل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مغالطۀ آدمک نشان می‌دهد هوش مصنوعی امر ذهنی را به امری دلخواه تبدیل می‌کند، اما دو نقددیگر، اگرچه بر پارادایم کلاسیک هوش مصنوعی وارد است، بر شبکه‌های عصبی پیوندگرا وارد نیست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سرل، دنت، پاتنم</w:t>
      </w:r>
      <w:r>
        <w:rPr>
          <w:rFonts w:eastAsia="IRNazanin" w:cs="IRNazanin"/>
          <w:color w:val="111111"/>
          <w:sz w:val="28"/>
          <w:szCs w:val="28"/>
          <w:rtl w:val="true"/>
          <w:lang w:bidi="fa-IR"/>
        </w:rPr>
        <w:t xml:space="preserve">. </w:t>
      </w:r>
      <w:bookmarkStart w:id="387" w:name="pg5834_41982"/>
    </w:p>
    <w:p>
      <w:pPr>
        <w:pStyle w:val="Heading3"/>
        <w:numPr>
          <w:ilvl w:val="2"/>
          <w:numId w:val="1"/>
        </w:numPr>
        <w:rPr/>
      </w:pPr>
      <w:bookmarkStart w:id="388" w:name="__RefHeading___Toc4693235_581953129"/>
      <w:bookmarkStart w:id="389" w:name="_Toc142"/>
      <w:bookmarkEnd w:id="387"/>
      <w:bookmarkEnd w:id="388"/>
      <w:r>
        <w:rPr>
          <w:rtl w:val="true"/>
        </w:rPr>
        <w:t>مقدمه</w:t>
      </w:r>
      <w:bookmarkEnd w:id="389"/>
    </w:p>
    <w:p>
      <w:pPr>
        <w:pStyle w:val="BookText"/>
        <w:rPr/>
      </w:pPr>
      <w:r>
        <w:rPr>
          <w:rFonts w:ascii="IRNazanin" w:hAnsi="IRNazanin" w:eastAsia="IRNazanin"/>
          <w:color w:val="111111"/>
          <w:sz w:val="28"/>
          <w:sz w:val="28"/>
          <w:szCs w:val="28"/>
          <w:rtl w:val="true"/>
          <w:lang w:bidi="fa-IR"/>
        </w:rPr>
        <w:t xml:space="preserve">از زمانی که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کنفرانس دارثموث، جان مک‌کارتی واژۀ هوش مصنوعی را برای این رشته برگزید تا به امروز، همۀ دانشمندان بزرگ هوش مصنوعی بر ماهیت میان‌رشته‌ای این دانش نوین تأکید داشته‌اند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Russell and Norvig, 2003, p.16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استوآرت راسل در کتاب مشهورش به نام هوش مصنوعی رویکرد نوین جایگاه هوش مصنوعی را در هفت دانش ریاضیات، مهندسی رایانه و رباتیک، تئوری کنترل و سایبرنتیک، نوروساینس، روان‌شناسی، زبان‌شناسی و فلسفه ارزیابی کرده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2003, pp.5-16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دانش‌های دیگری همچون منطق و زیست‌شناسی را نیز به این لیست افزود؛ اما در میان این رشته‌ها فلسفه در نسبت با هوش مصنوعی همواره جایگاه ویژه‌ای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پنجاه میلادی و با تولد هوش مصنوعی، پدران این رشته مدعی بودند که هوش مصنوعی به پرسش‌های ما دربارۀ ذهن، یعنی پرسش‌هایی که فیلسوفان دو هزار سال است که پاسخ آنها را نیافته‌اند، پاسخ خواهد داد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Dreyfus, 1979, p.xxx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امروزه برخی از همان دانشمندان، موفقیت هوش مصنوعی را منوط به حل مسئله‌های فلسفی می‌دانند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McCarthy, 1995, 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مقاله جایگاه فلسفی هوش مصنوعی نه از منظر آن دانشمندان، بلکه از دیدگاه خود فیلسوفان روایت می‌شود و ارزیابی انتقادی نیز خواهد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فلسفی هوش مصنوعی در این نوشتار در دو سطح بررسی می‌شود؛ در سطح نخست صورت‌بندی کلی مسئلۀ فلسفی در هوش مصنوعی مد نظر قرار می‌گیرد و در سطح دوم بر پایۀ این صورتبندی، مهم‌ترین مسئله‌های این حوزه ازجمله مسئلۀ چارچوب، مغاطلۀ آدمک و آزمون اتاق چینی سرل مطرح می‌شود و پاسخ‌های داده‌شده به آنها به بحث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متناظر با این دو سطح این نوشتار نیز به دو بخش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صورت‌بندی کلی مسئلۀ فلسفی هوش مصنوعی و بخش دوم مهم‌ترین مسئله‌های فلسفی هوش مصنوعی و پاسخ‌های داده‌شده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bookmarkStart w:id="390" w:name="pg5834_41983"/>
    </w:p>
    <w:p>
      <w:pPr>
        <w:pStyle w:val="Heading3"/>
        <w:numPr>
          <w:ilvl w:val="2"/>
          <w:numId w:val="1"/>
        </w:numPr>
        <w:rPr/>
      </w:pPr>
      <w:bookmarkStart w:id="391" w:name="__RefHeading___Toc4693237_581953129"/>
      <w:bookmarkStart w:id="392" w:name="_Toc143"/>
      <w:bookmarkEnd w:id="390"/>
      <w:bookmarkEnd w:id="391"/>
      <w:r>
        <w:rPr>
          <w:rtl w:val="true"/>
        </w:rPr>
        <w:t>الف</w:t>
      </w:r>
      <w:r>
        <w:rPr>
          <w:rtl w:val="true"/>
        </w:rPr>
        <w:t xml:space="preserve">) </w:t>
      </w:r>
      <w:r>
        <w:rPr>
          <w:rtl w:val="true"/>
        </w:rPr>
        <w:t>صورت‌بندی کلی مسئلۀ فلسفی در هوش مصنوعی</w:t>
      </w:r>
      <w:bookmarkEnd w:id="392"/>
    </w:p>
    <w:p>
      <w:pPr>
        <w:pStyle w:val="Heading4"/>
        <w:numPr>
          <w:ilvl w:val="3"/>
          <w:numId w:val="1"/>
        </w:numPr>
        <w:rPr/>
      </w:pPr>
      <w:bookmarkStart w:id="393" w:name="__RefHeading___Toc4693239_581953129"/>
      <w:bookmarkStart w:id="394" w:name="_Toc144"/>
      <w:bookmarkEnd w:id="393"/>
      <w:r>
        <w:rPr>
          <w:rtl w:val="true"/>
        </w:rPr>
        <w:t>اشاره</w:t>
      </w:r>
      <w:bookmarkEnd w:id="394"/>
    </w:p>
    <w:p>
      <w:pPr>
        <w:pStyle w:val="BookText"/>
        <w:rPr/>
      </w:pPr>
      <w:r>
        <w:rPr>
          <w:rFonts w:ascii="IRNazanin" w:hAnsi="IRNazanin" w:eastAsia="IRNazanin"/>
          <w:color w:val="111111"/>
          <w:sz w:val="28"/>
          <w:sz w:val="28"/>
          <w:szCs w:val="28"/>
          <w:rtl w:val="true"/>
          <w:lang w:bidi="fa-IR"/>
        </w:rPr>
        <w:t>دیدگاه فیلسوفان دربارۀ هوش مصنوعی طیف گسترده‌ای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سر این طیف پاتنم قرار دارد که مدعی است هوش مصنوعی چیزی بیش از یک رشتۀ مهندسی نیست و ازاین‌رو شایستگی پرداختن به مسئله‌های فلسفی را ندارد؛ اما در سر دیگر این طیف دنت جای دارد که از اساس هوش مصنوعی را نوعی فلسفه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صورت‌بندی فیلسوفان دیگری همچون سرل، دریفوس و چالمرز نیز در میانۀ این طیف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پژوهش نخست صورت‌بندی پاتنم و دنت به عنوان دو سر طیف نظرات فیلسوفان در مورد هوش مصنوعی روایت می‌شود و در ادامه رویکرد سرل بر پایۀ تفکیک هوش مصنوعی قوی از هوش مصنوعی ضعیف به عنوان مشهورترین صورت‌بندی در این حوزه به بحث گذاشته می‌شود و در پایان با ارزیابی این نظرات، صورت‌بندی درست‌تر معرفی می‌شود</w:t>
      </w:r>
      <w:r>
        <w:rPr>
          <w:rFonts w:eastAsia="IRNazanin" w:cs="IRNazanin"/>
          <w:color w:val="111111"/>
          <w:sz w:val="28"/>
          <w:szCs w:val="28"/>
          <w:rtl w:val="true"/>
          <w:lang w:bidi="fa-IR"/>
        </w:rPr>
        <w:t>.</w:t>
      </w:r>
    </w:p>
    <w:p>
      <w:pPr>
        <w:pStyle w:val="Heading4"/>
        <w:numPr>
          <w:ilvl w:val="3"/>
          <w:numId w:val="1"/>
        </w:numPr>
        <w:rPr/>
      </w:pPr>
      <w:bookmarkStart w:id="395" w:name="__RefHeading___Toc4693241_581953129"/>
      <w:bookmarkStart w:id="396" w:name="_Toc145"/>
      <w:bookmarkEnd w:id="395"/>
      <w:r>
        <w:rPr/>
        <w:t>1</w:t>
      </w:r>
      <w:r>
        <w:rPr>
          <w:rtl w:val="true"/>
        </w:rPr>
        <w:t xml:space="preserve">. </w:t>
      </w:r>
      <w:r>
        <w:rPr>
          <w:rtl w:val="true"/>
        </w:rPr>
        <w:t>صورت‌بندی پاتنم</w:t>
      </w:r>
      <w:bookmarkEnd w:id="396"/>
    </w:p>
    <w:p>
      <w:pPr>
        <w:pStyle w:val="Heading5"/>
        <w:numPr>
          <w:ilvl w:val="4"/>
          <w:numId w:val="1"/>
        </w:numPr>
        <w:rPr/>
      </w:pPr>
      <w:bookmarkStart w:id="397" w:name="__RefHeading___Toc4693243_581953129"/>
      <w:bookmarkStart w:id="398" w:name="_Toc146"/>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 xml:space="preserve">در آغاز دهۀ شصت میلادی، پاتنم با نوشتن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اذهان و ماشین‌ها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Putnam, 1960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رویکردی را در فلسفۀ ذهن بنا نهاد که بعدها به کارکردگرایی ماشینی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کارکردگرایی ماشینی همواره از مهم‌ترین پشتوانه‌های فلسفی یک سری از جریان‌های هوش مصنوعی بوده است؛ اما پاتنم خود در اواخر دهۀ هشتاد هم کارکردگرایی را به‌طورکامل نقد کرده و هم در برابر هوش مصنوعی صریحاً موضع‌گیری کرد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او به‌صراحت مدعی شد که هوش مصنوعی هیچ دستاورد فلسفی به همراه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هوش مصنوعی برای ما چیز مهمی‌در مورد ذهن دارد؟ من فکرمی‌کنم که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رایانه‌ای ذهن همان هوش مصنوعی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الگوی رایانه‌ای ذهن را ساخته باشد، آن کس آلن تورینگ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تئوری ماشین تورینگ، نه فلسفۀ آلن تورینگ، بلکه چیزی بسیار </w:t>
      </w:r>
      <w:bookmarkStart w:id="399" w:name="pg5834_41984"/>
    </w:p>
    <w:p>
      <w:pPr>
        <w:pStyle w:val="BookText"/>
        <w:rPr/>
      </w:pPr>
      <w:bookmarkEnd w:id="399"/>
      <w:r>
        <w:rPr>
          <w:rFonts w:ascii="IRNazanin" w:hAnsi="IRNazanin" w:eastAsia="IRNazanin"/>
          <w:color w:val="111111"/>
          <w:sz w:val="28"/>
          <w:sz w:val="28"/>
          <w:szCs w:val="28"/>
          <w:rtl w:val="true"/>
          <w:lang w:bidi="fa-IR"/>
        </w:rPr>
        <w:t>دم‌ِدستی‌تر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رایانه، شاخه‌ای از مهندسی است که ابتدا تنها در مورد طراحی نرم‌افزار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مصنوعی نیز زیرشاخه‌ای از این شاخۀ مهندسی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Putnam(2), 1988, pp.269-270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از نظر پاتنم حساب الگوی رایانه‌ای ذهن و هوش مصنوعی از هم جداست و هوش مصنوعی به‌مثابه رشته‌ای مهندسی، از نظر فلسفی اهمیت ندارد</w:t>
      </w:r>
      <w:r>
        <w:rPr>
          <w:rFonts w:eastAsia="IRNazanin" w:cs="IRNazanin"/>
          <w:color w:val="111111"/>
          <w:sz w:val="28"/>
          <w:szCs w:val="28"/>
          <w:rtl w:val="true"/>
          <w:lang w:bidi="fa-IR"/>
        </w:rPr>
        <w:t>.</w:t>
      </w:r>
    </w:p>
    <w:p>
      <w:pPr>
        <w:pStyle w:val="Heading5"/>
        <w:numPr>
          <w:ilvl w:val="4"/>
          <w:numId w:val="1"/>
        </w:numPr>
        <w:rPr/>
      </w:pPr>
      <w:bookmarkStart w:id="400" w:name="__RefHeading___Toc4693245_581953129"/>
      <w:bookmarkStart w:id="401" w:name="_Toc147"/>
      <w:bookmarkEnd w:id="400"/>
      <w:r>
        <w:rPr>
          <w:rtl w:val="true"/>
        </w:rPr>
        <w:t>ارزیابی صورت‌بندی پاتنم</w:t>
      </w:r>
      <w:bookmarkEnd w:id="401"/>
    </w:p>
    <w:p>
      <w:pPr>
        <w:pStyle w:val="BookText"/>
        <w:rPr/>
      </w:pPr>
      <w:r>
        <w:rPr>
          <w:rFonts w:ascii="IRNazanin" w:hAnsi="IRNazanin" w:eastAsia="IRNazanin"/>
          <w:color w:val="111111"/>
          <w:sz w:val="28"/>
          <w:sz w:val="28"/>
          <w:szCs w:val="28"/>
          <w:rtl w:val="true"/>
          <w:lang w:bidi="fa-IR"/>
        </w:rPr>
        <w:t>چنان‌که تعابیر خود پاتنم نشان می‌دهد، صورت‌بندی وی بر دو گزاره شکل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رایانه‌ای ذهن چیزی متفاوت با هوش مصنوعی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 مصنوعی اهمیت فلسفی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 دیگری به‌تفصیل گزارۀ نخست و دلایل پاتنم را برای طرح آن نقد و ارزیابی کرده‌ایم و در اینجا به آن نخواهیم پرداخت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اما ارزیابی گزارۀ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مسائل فلسفی که در بخش دوم این مقاله ارزیابی شده‌اند، نادرستیِ این گزاره را نشان می‌دهند؛ چراکه همگی آنها به نوعی در نسبت با هوش مصنوعی قرار دارند و پیشاپیش، اهمیت فلسفی هوش مصنوعی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دست‌کم می‌توان گفت در پایانِ مقاله و با ارزیابی این مسائل مشخص خواهد شد که آیا ادعای پاتنم درست و هوش مصنوعی فاقد اهمیت فلسفی است یا خیر</w:t>
      </w:r>
      <w:r>
        <w:rPr>
          <w:rFonts w:eastAsia="IRNazanin" w:cs="IRNazanin"/>
          <w:color w:val="111111"/>
          <w:sz w:val="28"/>
          <w:szCs w:val="28"/>
          <w:rtl w:val="true"/>
          <w:lang w:bidi="fa-IR"/>
        </w:rPr>
        <w:t>.</w:t>
      </w:r>
    </w:p>
    <w:p>
      <w:pPr>
        <w:pStyle w:val="Heading4"/>
        <w:numPr>
          <w:ilvl w:val="3"/>
          <w:numId w:val="1"/>
        </w:numPr>
        <w:rPr/>
      </w:pPr>
      <w:bookmarkStart w:id="402" w:name="__RefHeading___Toc4693247_581953129"/>
      <w:bookmarkStart w:id="403" w:name="_Toc148"/>
      <w:bookmarkEnd w:id="402"/>
      <w:r>
        <w:rPr/>
        <w:t>2</w:t>
      </w:r>
      <w:r>
        <w:rPr>
          <w:rtl w:val="true"/>
        </w:rPr>
        <w:t xml:space="preserve">. </w:t>
      </w:r>
      <w:r>
        <w:rPr>
          <w:rtl w:val="true"/>
        </w:rPr>
        <w:t>صورت‌بندی دنت</w:t>
      </w:r>
      <w:bookmarkEnd w:id="403"/>
    </w:p>
    <w:p>
      <w:pPr>
        <w:pStyle w:val="Heading5"/>
        <w:numPr>
          <w:ilvl w:val="4"/>
          <w:numId w:val="1"/>
        </w:numPr>
        <w:rPr/>
      </w:pPr>
      <w:bookmarkStart w:id="404" w:name="__RefHeading___Toc4693249_581953129"/>
      <w:bookmarkStart w:id="405" w:name="_Toc149"/>
      <w:bookmarkEnd w:id="404"/>
      <w:r>
        <w:rPr>
          <w:rtl w:val="true"/>
        </w:rPr>
        <w:t>اشاره</w:t>
      </w:r>
      <w:bookmarkEnd w:id="40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دنت دقیقاً در نقطۀ مقابل پاتنم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هوش مصنوعی در معنایی عام نوعی فلسفه‌ورزی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دنت به‌صراحت موضوع و مسائل هوش مصنوعی را موضوع و مسائل </w:t>
      </w:r>
    </w:p>
    <w:p>
      <w:pPr>
        <w:pStyle w:val="BookText"/>
        <w:rPr/>
      </w:pPr>
      <w:r>
        <w:rPr>
          <w:rFonts w:ascii="IRNazanin" w:hAnsi="IRNazanin" w:eastAsia="IRNazanin"/>
          <w:color w:val="111111"/>
          <w:sz w:val="28"/>
          <w:sz w:val="28"/>
          <w:szCs w:val="28"/>
          <w:rtl w:val="true"/>
          <w:lang w:bidi="fa-IR"/>
        </w:rPr>
        <w:t>فلسفی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هوش مصنوعی در معنایی گسترده، فلسفه است و به‌طورمستقیم با یک سری مسئله‌های فلسفی، ازجمله اینکه ذهن چیست؟ معنی چیست؟ عقلانیت چیست؟ چه شرایط ضروری برای شناخت وجود دارد؟ و چنین پرسش‌هایی سروکار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Dennett, 1988, p.212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نظر دنت روش پاسخ به این مسئله‌های مشترک در فلسفه و هوش مصنوعی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در پاسخ به مسئلۀ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سنت فلسفی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پیشینی و برهان بیشتر و پاسخ محققان هوش مصنوعی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بساز و ببین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p.273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اما از نظر دنت این روش متفاوتِ هوش مصنوعی، یعنی محدودیتش به کار بر روی رایانه‌ها، مانعی برای پاسخ به مسئله‌های کلیِ فلسفی ایجاد نمی‌کند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 برای نشان‌دادن این امر، هندسه را مثال می‌زند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آیا رایانه به هوش مصنوعی نامربوط است؟ نامربوط است به همان معنا که کشیدن شکل بر روی صفحه در فهم هندسه نامربوط است؛ یعنی در عمل بدون آن ممکن نیست؛ اما در اصل نامربوط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1981, p.118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دیگر هوش مصنوعی نیز همچون فلسفه در پی شرایط امکانِ برخورداری از ذهن و هوشمندی است و با انتزاع این شرایط از شرایط ویژۀ هر آزمایش و سخت‌افزار آزمایشگاهی در پی یافتن قواعد کلی معرفت‌شناسی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فرد می‌تواند از مدل‌های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بسیار غیرواقع‌گرایانۀ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مصنوعی چیزهای بسیاری را بیاموزد؛ همان‌گونه که از ذهن یک مریخی </w:t>
      </w:r>
      <w:bookmarkStart w:id="406" w:name="pg5834_41986"/>
    </w:p>
    <w:p>
      <w:pPr>
        <w:pStyle w:val="BookText"/>
        <w:rPr/>
      </w:pPr>
      <w:bookmarkEnd w:id="406"/>
      <w:r>
        <w:rPr>
          <w:rFonts w:ascii="IRNazanin" w:hAnsi="IRNazanin" w:eastAsia="IRNazanin"/>
          <w:color w:val="111111"/>
          <w:sz w:val="28"/>
          <w:sz w:val="28"/>
          <w:szCs w:val="28"/>
          <w:rtl w:val="true"/>
          <w:lang w:bidi="fa-IR"/>
        </w:rPr>
        <w:t>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روان‌شناسی خوب می‌تواند از یک مریخی، اگرچه شبیه ما نباشد، مبنایی برای قواعد کلی معرفت‌شناسی و روان‌شناسی به دست دهد که در موجود انسانی نیز به کار گرفته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p.113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4693251_581953129"/>
      <w:bookmarkStart w:id="408" w:name="_Toc150"/>
      <w:bookmarkEnd w:id="407"/>
      <w:r>
        <w:rPr>
          <w:rtl w:val="true"/>
        </w:rPr>
        <w:t>ارزیابی صورت‌بندی دنت</w:t>
      </w:r>
      <w:bookmarkEnd w:id="408"/>
    </w:p>
    <w:p>
      <w:pPr>
        <w:pStyle w:val="BookText"/>
        <w:rPr/>
      </w:pPr>
      <w:r>
        <w:rPr>
          <w:rFonts w:ascii="IRNazanin" w:hAnsi="IRNazanin" w:eastAsia="IRNazanin"/>
          <w:color w:val="111111"/>
          <w:sz w:val="28"/>
          <w:sz w:val="28"/>
          <w:szCs w:val="28"/>
          <w:rtl w:val="true"/>
          <w:lang w:bidi="fa-IR"/>
        </w:rPr>
        <w:t>صورت‌بندی دنت ابهام شدیدی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به‌خودی‌خود روشن نیست که روش آزمایشگاهی هوش مصنوعی چه کمکی به حل مسئله‌های انتزاعی فلسفه و معرفت‌شناسی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دنت وقتی قابل اعتنا خواهد بود که وی نمونه‌هایی از کمک هوش مصنوعی به فلسفه را مثال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که می‌توان صورت‌بندی وی را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از این نگاشته دو نمونه از کمک‌های ادعایی دنت بیان می‌شود؛ یکی صورت‌بندی مسئلۀ چارچوب و دیگری حل مسئلۀ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 یک از این دو مسئله نشان داده می‌شود که ادعای دنت مبنی بر کمک هوش مصنوعی به فلسفه قابل دفاع نیست و درنتیجه صورت‌بندی کلی وی نیز مخدوش است</w:t>
      </w:r>
      <w:r>
        <w:rPr>
          <w:rFonts w:eastAsia="IRNazanin" w:cs="IRNazanin"/>
          <w:color w:val="111111"/>
          <w:sz w:val="28"/>
          <w:szCs w:val="28"/>
          <w:rtl w:val="true"/>
          <w:lang w:bidi="fa-IR"/>
        </w:rPr>
        <w:t>.</w:t>
      </w:r>
    </w:p>
    <w:p>
      <w:pPr>
        <w:pStyle w:val="Heading4"/>
        <w:numPr>
          <w:ilvl w:val="3"/>
          <w:numId w:val="1"/>
        </w:numPr>
        <w:rPr/>
      </w:pPr>
      <w:bookmarkStart w:id="409" w:name="__RefHeading___Toc4693253_581953129"/>
      <w:bookmarkStart w:id="410" w:name="_Toc151"/>
      <w:bookmarkEnd w:id="409"/>
      <w:r>
        <w:rPr/>
        <w:t>3</w:t>
      </w:r>
      <w:r>
        <w:rPr>
          <w:rtl w:val="true"/>
        </w:rPr>
        <w:t xml:space="preserve">. </w:t>
      </w:r>
      <w:r>
        <w:rPr>
          <w:rtl w:val="true"/>
        </w:rPr>
        <w:t>صورت‌بندی سرل</w:t>
      </w:r>
      <w:bookmarkEnd w:id="410"/>
    </w:p>
    <w:p>
      <w:pPr>
        <w:pStyle w:val="Heading5"/>
        <w:numPr>
          <w:ilvl w:val="4"/>
          <w:numId w:val="1"/>
        </w:numPr>
        <w:rPr/>
      </w:pPr>
      <w:bookmarkStart w:id="411" w:name="__RefHeading___Toc4693255_581953129"/>
      <w:bookmarkStart w:id="412" w:name="_Toc152"/>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سرل با تفکیک هوش مصنوعی ضعیف از هوش مصنوعی قوی، صورت‌بندی خود از مسئلۀ فلسفی در هوش مصنوعی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صورت‌بندی، هوش مصنوعی ضعیف به خودی خود یک شاخه از مهندسی است که می‌تواند به عنوان ابزار به شناخت ذهن کمک کند؛ اما هوش مصنوعی قوی ادعایی فلسفی دربارۀ ذهن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با هوش مصنوعی ضعیف، ارزش رایانه در آموزش در مورد ذهن، آن است که ابزاری بسیار قوی را به دست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مطابق با هوش مصنوعی قوی، رایانه تنها یک ابزار در مطالعۀ ذهن نیست؛ بلکه رایانه‌های به‌درستی برنامه‌ریزی‌شده، همان ذهن هستند؛ بدین معنا می‌توان گفت که رایانه‌ای که برنامۀ درستی را اجرا می‌کند، می‌فهمد و حالت‌های شناختی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Searle, 1980, p.2</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 هوش مصنوعی ضعیف رایانه را صرفاً ابزاری برای مطالعۀ ذهن می‌داند </w:t>
      </w:r>
      <w:bookmarkStart w:id="413" w:name="pg5834_41987"/>
    </w:p>
    <w:p>
      <w:pPr>
        <w:pStyle w:val="BookText"/>
        <w:rPr/>
      </w:pPr>
      <w:bookmarkEnd w:id="413"/>
      <w:r>
        <w:rPr>
          <w:rFonts w:ascii="IRNazanin" w:hAnsi="IRNazanin" w:eastAsia="IRNazanin"/>
          <w:color w:val="111111"/>
          <w:sz w:val="28"/>
          <w:sz w:val="28"/>
          <w:szCs w:val="28"/>
          <w:rtl w:val="true"/>
          <w:lang w:bidi="fa-IR"/>
        </w:rPr>
        <w:t>و خود رایانه را به‌خودی خود الگویی برای ذهن به شمار نمی‌آورد؛ اما هوش مصنوعی قوی دقیقاً در نقطۀ مقابل قرار دارد و مدعی است رایانه الگو و نمونه‌ای برای ذهن است و به همان معنایی که انسان‌ها دارای ذهن و حالت‌های شناختی هستند، رایانه‌ها نیز ذهن و حالت‌های شناختی دارند</w:t>
      </w:r>
      <w:r>
        <w:rPr>
          <w:rFonts w:eastAsia="IRNazanin" w:cs="IRNazanin"/>
          <w:color w:val="111111"/>
          <w:sz w:val="28"/>
          <w:szCs w:val="28"/>
          <w:rtl w:val="true"/>
          <w:lang w:bidi="fa-IR"/>
        </w:rPr>
        <w:t>.</w:t>
      </w:r>
    </w:p>
    <w:p>
      <w:pPr>
        <w:pStyle w:val="Heading5"/>
        <w:numPr>
          <w:ilvl w:val="4"/>
          <w:numId w:val="1"/>
        </w:numPr>
        <w:rPr/>
      </w:pPr>
      <w:bookmarkStart w:id="414" w:name="__RefHeading___Toc4693257_581953129"/>
      <w:bookmarkStart w:id="415" w:name="_Toc153"/>
      <w:bookmarkEnd w:id="414"/>
      <w:r>
        <w:rPr>
          <w:rtl w:val="true"/>
        </w:rPr>
        <w:t>ارزیابی صورت‌بندی سرل</w:t>
      </w:r>
      <w:bookmarkEnd w:id="4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نقد اساسی بر این صورت‌بندی سرل وارد است؛ نخستین نقد اینکه در بیان سرل جایگاه فلسفی هوش مصنوعی ضعیف چندان روشن نیست و گویا در این سطح مسئلۀ فلسفی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صورت‌بندی سرل در حالی بر اهمیت فلسفی هوش مصنوعی ضعیف سرپوش می‌نهد که بخش مهمی از مسئله‌های فلسفی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مسئلۀ چارچوب یا خود آزمون تورینگ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سطح 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صورت‌بندی‌های گوناگون ایدۀ اصلی آزمون تورینگ این است که آیا می‌توان کارکردهای هوشمندانۀ انسانی را در رایانه پیاده‌سازی کرد؟ فارغ از اینکه رایانه حالت شناختی دارد یا ندارد، آیا می‌تواند به‌طورکامل همانند ما رفتار کند؟ این مسئله‌ای فلسفی است که در تراز هوش مصنوعی قوی قرار ندارد و سرل جای دیگری برای آن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دوم بر صورت‌بندی سرل نیز آن است که بر پایۀ آن، سخن بسیاری از مدافعان هوش مصنوعی نادرست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سرل موضع خود را مبنا قرار داده است و رویکرد مخالفان خود را به‌اشتباه، بر اساس آن صورت‌بندی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سرل به ذهن در ادامه و در ذیل بحث از اتاق چینی شرح داده شده است؛ اما در اینجا کافی است به یکی از اصول اساسی آن اشاره کنیم؛ بنا بر این اصل، حالت‌های شناختی و سوبژکتیو وجود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1992, pp.18-19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لحاظ رویکرد سرل شبیه دوگانه‌انگاری خاصه‌ای است؛ زیرا ویژگی‌های ذهنی را نیز اموری موجود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ذهن‌مندی از نگاه سرل مستلزم وجود حالت‌های شناختی سوبژکتیو درون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کسی که مدعی است رایانه‌ها دارای ذهن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هوش مصنوعی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که در رایانه‌ها جدا از مدارهای الکتریکی، چیز دیگری به عنوان حالت سوبژکتیو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سرل چنین دیدگاهی را به مدافعان هوش مصنوعی قوی نسبت می‌دهد؛ درحالی‌که تقریباً هیچ یک از مدافعان هوش مصنوعی قوی این سخن را نمی‌پذیرد و بر این باور نیستند که در رایانه‌ها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مدارهای الکتریکی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به منزلۀ حالت سوبژکتیو وجود داشته باشد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با این حساب صورت‌بندی سرل نیز از این جهت که بخش مهمی‌از مسئله‌های فلسفی در هوش مصنوعی را نادیده می‌گیرد و از جهتی که رویکرد مدافعان هوش مصنوعی را به اشتباه روایت می‌کند، صورت‌بندی مناسبی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سرل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ده سال پس از نخستین صورت‌بندی‌اش، با قراردادن شناخت‌گرایی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Cognitivism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کنار هوش مصنوعی قوی و ضعیف تا حدودی صورت‌بندی خود را تصحیح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صورت‌بندی جدید، وی میان این سه پرسش تفکیک قائل می‌شود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مغز یک رایانۀ دیجیتال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ذهن یک برنامۀ رایانه‌ای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مغز می‌تواند بر روی یک رایانۀ دیجیتال شبیه‌سازی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Searle, 1990, p.21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سرل در پاسخ به این سه پرسش، شناخت‌گرایی، هوش مصنوعی قوی و هوش مصنوعی ضعیف را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دیدگاهی که داشتن ذهن را همان داشتن یک برنامۀ رایانه‌ای می‌داند، هوش مصنوعی قوی و دیدگاهی را که بر این باور است که پردازش‌های مغزی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پردازش‌های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صورت محاسبه‌گرایانه شبیه‌سازی شود، هوش مصنوعی ضعیف و دیدگاهی را که معتقد است مغز یک رایانۀ دیجیتال است، شناخت‌گرایی می‌نامم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صورت‌بندی جدید از جهاتی صورت‌بندی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صورت‌بندی رویکرد اصلی مدافعان هوش مصنوعی که مدعی‌اند تفکر در انسان چیزی جز پردازشگری دیجیتالی مغز نیست، در ذیل شناخت‌گرایی آورده شده است؛ اما در این </w:t>
      </w:r>
      <w:bookmarkStart w:id="416" w:name="pg5834_41989"/>
    </w:p>
    <w:p>
      <w:pPr>
        <w:pStyle w:val="BookText"/>
        <w:rPr/>
      </w:pPr>
      <w:bookmarkEnd w:id="416"/>
      <w:r>
        <w:rPr>
          <w:rFonts w:ascii="IRNazanin" w:hAnsi="IRNazanin" w:eastAsia="IRNazanin"/>
          <w:color w:val="111111"/>
          <w:sz w:val="28"/>
          <w:sz w:val="28"/>
          <w:szCs w:val="28"/>
          <w:rtl w:val="true"/>
          <w:lang w:bidi="fa-IR"/>
        </w:rPr>
        <w:t>صورت‌بندی نیز نسبت شناخت‌گرایی با هوش مصنوعی قوی تا حدودی مبهم است و همچنان اهمیت فلسفی هوش مصنوعی ضعیف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بسیاری از کسانی که مغز را یک سخت‌افزار دیجیتال می‌دانند، ذهن را برنامۀ نرم‌افزاری آن به شمار می‌آورند و با توجه به نقل آورده‌شدۀ پیشین، بر پایۀ تقسیم‌بندی سرل همۀ ایشان هم در شمار شناخت‌گرایان قرار می‌گیرند و هم در شمار مدافعان هوش مصنوعی قوی؛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 از این هم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 باور دیگری را نیز به مدافعان هوش مصنوعی قوی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به‌طورکلی حالت‌های ذهنی یک هستی‌شناسی سوبژکتیو غیرقابل فروکاهی را دارد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1992, p.19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ولی بیشتر مدافعان هوش مصنوعی نمی‌پذیرند که در رایانه‌ها افزون بر مدارهای الکتریکی، چیزی به منزلۀ حالت‌های سوبژکتیو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هیچ یک از شناخت‌گرایان مدافع هوش مصنوعی قوی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زاویه، شناخت‌گرایان مدافع هوش مصنوعی قوی و از زاویۀ دیگر مخالف آن هستند؛ ازاین‌رو نسبت شناخت‌گرایی و هوش مصنوعی قوی روشن نیست؛ به‌طورکلی صورت‌بندی سرل از مسئلۀ فلسفی در هوش مصنوعی بسیار آمیخته به رویکرد ویژۀ خودش در فلسفۀ ذهن است و نمی‌تواند یک صورت‌بندی کلی مناسب برای معرفی جایگاه فلسفی هوش مصنوعی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اصطلاح هوش مصنوعی قوی و ضعیف در ادبیات تئوریک هوش مصنوعی تعبیرهایی بسیار پرکاربرد هستند و باید تعبیر درستی از این دو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کوشیده‌ایم در ذیل صورت‌بندی درست، تعابیر سرلی از هوش مصنوعی ضعیف و قوی را بهبود ببخشیم</w:t>
      </w:r>
      <w:r>
        <w:rPr>
          <w:rFonts w:eastAsia="IRNazanin" w:cs="IRNazanin"/>
          <w:color w:val="111111"/>
          <w:sz w:val="28"/>
          <w:szCs w:val="28"/>
          <w:rtl w:val="true"/>
          <w:lang w:bidi="fa-IR"/>
        </w:rPr>
        <w:t>.</w:t>
      </w:r>
    </w:p>
    <w:p>
      <w:pPr>
        <w:pStyle w:val="Heading4"/>
        <w:numPr>
          <w:ilvl w:val="3"/>
          <w:numId w:val="1"/>
        </w:numPr>
        <w:rPr/>
      </w:pPr>
      <w:bookmarkStart w:id="417" w:name="__RefHeading___Toc4693259_581953129"/>
      <w:bookmarkStart w:id="418" w:name="_Toc154"/>
      <w:bookmarkEnd w:id="417"/>
      <w:r>
        <w:rPr/>
        <w:t>4</w:t>
      </w:r>
      <w:r>
        <w:rPr>
          <w:rtl w:val="true"/>
        </w:rPr>
        <w:t>.</w:t>
      </w:r>
      <w:r>
        <w:rPr>
          <w:rtl w:val="true"/>
        </w:rPr>
        <w:t>صورت‌بندی درست</w:t>
      </w:r>
      <w:bookmarkEnd w:id="4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دیدیم که صورت‌بندی‌های پاتنم، دنت و سرل از مسائل فلسفی مرتبط با هوش مصنوعی، هر یک با مشکلاتی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ما آن است که می‌توان بر اساس آزمون تورینگ صورت‌بندی ساده‌ای ارائه داد که به هیچ یک از این مشکلات دچار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و همراه با شرح این صورت‌بندی، از این مدعا نیز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مفصل آزمون تورینگ برای صورت‌بندی مد نظر ما، مورد نیاز نیست؛ بلکه دانستن همین امر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که گذشته از محتوای خاص این آزمون، آزمون نامحدود تورینگ معیاری است از توانایی پیاده‌سازی رفتارهای هوشمندانۀ انسانی؛ یعنی سخت‌افزاری که از این آزمون پیروز بیرون بیاید، می‌تواند کارکردهای هوشمندانۀ انسانی را پیاده‌سازی نماید و مانند یک انسان رفتار کند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با درنظرگرفتن این آزمون می‌توان دو پرسش کاملاً متفاوت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پرسش آن است که آیا ساختن چنین سخت‌افزاری ممکن است یا خیر؟ اگر آری،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در درجۀ نخست در تراز دانش هوش مصنوعی به منزلۀ یکی از زیرشاخه‌های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رایانه‌ای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مهندسان هوش مصنوعی باید به این پرسش پاسخ دهند که چگونه سخت‌افزاری بسازند که توانایی پیاده‌سازی کارکردهای هوشمندانۀ انسانی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پرسش از چگونگی پیروزی </w:t>
      </w:r>
    </w:p>
    <w:p>
      <w:pPr>
        <w:pStyle w:val="BookText"/>
        <w:rPr/>
      </w:pPr>
      <w:r>
        <w:rPr>
          <w:rFonts w:ascii="IRNazanin" w:hAnsi="IRNazanin" w:eastAsia="IRNazanin"/>
          <w:color w:val="111111"/>
          <w:sz w:val="28"/>
          <w:sz w:val="28"/>
          <w:szCs w:val="28"/>
          <w:rtl w:val="true"/>
          <w:lang w:bidi="fa-IR"/>
        </w:rPr>
        <w:t>هوش مصنوعی در آزمون تورینگ به‌خودی‌خود پرسشی علمی‌است؛ ولی می‌دانیم که متناظر با هر علمی می‌توان از فلسفۀ آن علم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یک رشتۀ علمی مبادی تصوری، تصدیقی و روش‌شناختی آن علم را از منظری فلسفی ارزیابی می‌کند؛ برای نمونه می‌توان متناظر با علوم گوناگون از فلسفۀ علم فیزیک، فلسفۀ علم زیست‌شناسی، فلسفۀ ریاضیات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قیاس می‌توان از فلسفۀ علوم رایانه‌ای و مشخصاً فلسفۀ هوش مصنوعی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فلسفۀ هوش مصنوعی به این معنا، مبادی فلسفی دانشمندان هوش مصنوعی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پایۀ صورت‌بندی ما، پرسش نخست دربارۀ آزمون تورینگ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سخت‌افزاری ساخت که کارکردهای هوشمندانۀ انسانی را پیاده‌سازی کند؟ چنان‌که گفتیم، این پرسش در درجۀ نخست پرسش دانشمند هوش مصنوعی است؛ ولی فیلسوف نیز می‌تواند سراغ پاسخ‌های دانشمندان به این پرسش برود و پیش‌فرض‌های فلسفی آنان را در پاسخ به این پرسش نقد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صورت‌بندی ما، این نخستین تراز از مسئلۀ فلسفی در هوش مصنوعی است که می‌توان آن را تراز فلسفه‌علمی نامید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دوم دربارۀ آزمون تورینگ آن است که به فرض اگر سخت‌افزاری ساخته شد که از آزمون تورینگ موفق بیرون آمد و توانست همۀ رفتارهای هوشمندانۀ انسانی را پیاده‌سازی کند، آیا این امر کافی است تا این سخت‌افزار را دارای ذهن بدانیم؟ این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علمی نیست؛ بلکه پرسشی فلسفی است و در تراز فلسفۀ ذهن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تراز پرسش اصلی آن است که ذهن چیست و چه موجودی دارای ذهن است؟ در پاسخ به این پرسش جریان‌هایی در فلسفۀ ذهن بر این باورند هر موجودی که بتواند در آزمون تورینگ پیروز شود، دارای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تراز نخست از پرسش فلسفی، نوعی نقادی درجۀ دوم از دانش هوش مصنوعی است که بر اساس آن، مبادی معرفتی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و امکانات و محدودیت‌های این دانش ارزیابی می‌شود؛ اما تراز دوم، یک تئوری فلسفه‌ذهنی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صورت‌بندی درست را با تفکیک این دو تراز و پرسش‌های متناظر با هر یک بیان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تراز فلسفه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 هوش مصنوعی کنونی می‌تواند برنامه‌ای طراحی کند که در آزمون تورینگ پیروز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تراز فلسفه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آزمون تورینگ معیار درستی برای ذهن‌مندی است؟</w:t>
      </w:r>
    </w:p>
    <w:p>
      <w:pPr>
        <w:pStyle w:val="BookText"/>
        <w:rPr/>
      </w:pPr>
      <w:r>
        <w:rPr>
          <w:rFonts w:ascii="IRNazanin" w:hAnsi="IRNazanin" w:eastAsia="IRNazanin"/>
          <w:color w:val="111111"/>
          <w:sz w:val="28"/>
          <w:sz w:val="28"/>
          <w:szCs w:val="28"/>
          <w:rtl w:val="true"/>
          <w:lang w:bidi="fa-IR"/>
        </w:rPr>
        <w:t>مدافع هوش مصنوعی در تراز فلسفه‌علمی ادعای کمینه و ضعیف‌تری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او آن است که رایانه می‌تواند مانند انسان رفتار کند؛ اما مدافع هوش مصنوعی در تراز فلسفه‌ذهنی ادعای بیشینه و قوی‌تری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نه تنها رایانه می‌تواند شبیه انسان رفتار کند، بلکه همین برای ذهن‌مند دانستن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جریان مدافع هوش مصنوعی در تراز فلسفه‌علمی را هوش مصنوعی ضعیف و جریان مدافع هوش مصنوعی در تراز فلسفه‌ذهنی را هوش مصنوعی قوی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نقد هوش مصنوعی ضعیف باید نشان داد که این رشته به سبب پذیرش پیش‌فرض‌های فلسفی نادرست، نمی‌تواند در آزمون تورینگ موفق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نقد هوش مصنوعی قوی باید نشان داد که آزمون تورینگ از اساس معیار مناسبی برای ذهن‌مندی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گفتیم ادعای ما آن است که این صورت‌بندی با مشکلات صورت‌بندی‌های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صورت‌بندی سرل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اشکال‌های صورت‌بندی سرل این بود که اهمیت فلسفی هوش مصنوعی ضعیف را نادیده می‌گرفت؛ اما از نظرگاه صورت‌بندی ما، هوش مصنوعی ضعیف نیز در تراز فلسفه‌علمی دارای جذابیت‌های فلسفی ویژۀ خود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سرل را نمونۀ فیلسوفانی بدانیم که در تراز فلسفه‌ذهنی نقدهایش را بر هوش مصنوعی قوی وارد آورده است، دریفوس مشخصاً فیلسوفی بوده است که در تراز فلسفه‌علمی نقدهای فلسفی‌اش را بر هوش مصنوعی ضعیف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نقد هوش مصنوعی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تراز فلسفه‌ذهنی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آزمون تورینگ به عنوان معیاری برای ذهن‌مندی شک می‌شود؛ ولی در نقد هوش مصنوعی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تراز فلسفه‌علمی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تشکیکی صورت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این سخن دریفوس که در گفت‌وگو با دنت دربارۀ برداشت اشتباه وی از سخنانش </w:t>
      </w:r>
    </w:p>
    <w:p>
      <w:pPr>
        <w:pStyle w:val="BookText"/>
        <w:rPr/>
      </w:pPr>
      <w:r>
        <w:rPr>
          <w:rFonts w:ascii="IRNazanin" w:hAnsi="IRNazanin" w:eastAsia="IRNazanin"/>
          <w:color w:val="111111"/>
          <w:sz w:val="28"/>
          <w:sz w:val="28"/>
          <w:szCs w:val="28"/>
          <w:rtl w:val="true"/>
          <w:lang w:bidi="fa-IR"/>
        </w:rPr>
        <w:t>اعتراض می‌کند،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کرده‌ای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جان سرل در استدلال اتاق چینی در پی این بوده‌ام که رایانه چیزی بیش از رفتاری را انجام دهد که گویا دارد زبان طبیعی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هرگز چنین چیزی نخواسته‌ام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راضی بوده‌ام با قواعد آزمون نامحدود تورینگ بازی انجام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Dreyfus, 1997, p.267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تعبیر دریفوس به‌خوبی گواه آن است که وی نقدش را در ترازی متفاوت نسبت به سرل مطرح می‌کند و نقدهای دریفوس نه به هوش مصنوعی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تراز فلسفه‌ذهنی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هوش مصنوعی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تراز فلسفه‌علمی‌– باز می‌گردد؛ به بیان دیگر چنان‌که خودش می‌گوید، او به معیار آزمون تورینگ شک نمی‌کند و مسئله‌اش این است که آیا هوش مصنوعی می‌تواند در آزمون تورینگ موفق باشد و کارکردهای هوشمندانۀ انسانی را پیاده کند یا خیر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که پرسش از امکان موفقیت هوش مصنوعی در پیاده‌سازی‌های کارکردهای انسانی در درجۀ نخست پرسشی علمی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مطرح می‌شود؛ ولی همان‌گونه که متناظر با علم فیزیک و ریاضی می‌توان از فلسفۀ علم فیزیک و فلسفۀ ریاضی سخن گفت، می‌توان از فلسفۀ علوم کامپیوتر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هوش مصنوعی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علم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نقادی درجۀ دوم این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مبادی تصدیقی، تصوری و روش‌شناسی این دانش را ارزیابی فلسفی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باید به دنبال پژوهش‌های دانشمندان هوش مصنوعی رفت و پیش‌فرض‌های ایشان، نرم‌افزارها و سخت‌افزارهای طراحی‌شده از سوی آنان را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کاری است که دریفوس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 که در تراز فلسفه‌ذهنی موضع می‌گیرد، کاری به پژوهش‌های دانشمندان هوش مصنوعی ندارد؛ اما دریفوس مستقیم به دنبال برنامه‌های پژوهشی دانشمندان هوش مصنوعی رفته است و مبادی فلسفی آنان را نقد و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فلسفه‌علمی نقدهای دریفوس را از تعابیر خود وی دربارۀ الگووارۀ کلاسیک هوش مصنوعی نیز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w:t>
      </w:r>
      <w:bookmarkStart w:id="419" w:name="pg5834_41994"/>
    </w:p>
    <w:p>
      <w:pPr>
        <w:pStyle w:val="BookText"/>
        <w:rPr/>
      </w:pPr>
      <w:bookmarkEnd w:id="419"/>
      <w:r>
        <w:rPr>
          <w:rFonts w:ascii="IRNazanin" w:hAnsi="IRNazanin" w:eastAsia="IRNazanin"/>
          <w:color w:val="111111"/>
          <w:sz w:val="28"/>
          <w:sz w:val="28"/>
          <w:szCs w:val="28"/>
          <w:rtl w:val="true"/>
          <w:lang w:bidi="fa-IR"/>
        </w:rPr>
        <w:t>هوگلند هوش مصنوعی کلاسیک می‌نامد، نمونۀ سرمشق‌گونه‌ای از چیزی است که فیلسوفان علم برنامۀ پژوهشی رو به زوال می‌نامند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1992, p.xi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لاکاتوش برنامه‌های پژوهشی علمی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پژوهشی پیش‌رونده و برنامه‌های پژوهشی روبه‌زوال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Degenerating research program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برنامه‌ای پیش‌رونده است که هر چه پیش می‌رود، مسئله‌های علمی بیشتری را حل کند؛ اما برنامۀ علمی رو به زوال می‌کوشد با وصله‌زدن و به کمک‌آوردن تبصره‌های پی‌درپی، هستۀ سخت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پیش‌رونده یا روبه‌زوال بودن هوش مصنوعی کلاسیک، آنچه برای ما موضوعیت دارد، آن است که دریفوس با ارجاع به فیلسوفان علم و با وام‌گیری از لاکاتوش از اصطلاح فلسفه‌علمی برنامۀ پژوهشی روبه‌زوال در وصف یک جریان هوش مصنوعی استفاده می‌کند و این امر به‌روشنی گواه آن است که او در تراز فلسفه‌علمی هوش مصنوعی را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می‌بینیم که صورت‌بندی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صورت‌بندی‌های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سرشت متفاوت نقدهای دریفوس و سرل بر هوش مصنوعی را آشکار می‌کند، بر ماهیت فلسفی نقد هر یک از ایشان نیز پرتو می‌افکند</w:t>
      </w:r>
      <w:r>
        <w:rPr>
          <w:rFonts w:eastAsia="IRNazanin" w:cs="IRNazanin"/>
          <w:color w:val="111111"/>
          <w:sz w:val="28"/>
          <w:szCs w:val="28"/>
          <w:rtl w:val="true"/>
          <w:lang w:bidi="fa-IR"/>
        </w:rPr>
        <w:t>.</w:t>
      </w:r>
    </w:p>
    <w:p>
      <w:pPr>
        <w:pStyle w:val="Heading3"/>
        <w:numPr>
          <w:ilvl w:val="2"/>
          <w:numId w:val="1"/>
        </w:numPr>
        <w:rPr/>
      </w:pPr>
      <w:bookmarkStart w:id="420" w:name="__RefHeading___Toc4693261_581953129"/>
      <w:bookmarkStart w:id="421" w:name="_Toc155"/>
      <w:bookmarkEnd w:id="420"/>
      <w:r>
        <w:rPr>
          <w:rtl w:val="true"/>
        </w:rPr>
        <w:t>ب</w:t>
      </w:r>
      <w:r>
        <w:rPr>
          <w:rtl w:val="true"/>
        </w:rPr>
        <w:t xml:space="preserve">) </w:t>
      </w:r>
      <w:r>
        <w:rPr>
          <w:rtl w:val="true"/>
        </w:rPr>
        <w:t>مهم‌ترین مسئله‌های فلسفی هوش مصنوعی و پاسخ‌های داده‌شده</w:t>
      </w:r>
      <w:bookmarkEnd w:id="421"/>
    </w:p>
    <w:p>
      <w:pPr>
        <w:pStyle w:val="Heading4"/>
        <w:numPr>
          <w:ilvl w:val="3"/>
          <w:numId w:val="1"/>
        </w:numPr>
        <w:rPr/>
      </w:pPr>
      <w:bookmarkStart w:id="422" w:name="__RefHeading___Toc4693263_581953129"/>
      <w:bookmarkStart w:id="423" w:name="_Toc156"/>
      <w:bookmarkEnd w:id="422"/>
      <w:r>
        <w:rPr>
          <w:rtl w:val="true"/>
        </w:rPr>
        <w:t>اشاره</w:t>
      </w:r>
      <w:bookmarkEnd w:id="42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این نوشتار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صورت‌بندی برگزیده در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مسئله‌های فلسفی در هوش مصنوعی را ارزیابی می‌کنیم؛ بر این اساس در دو بخش، مهم‌ترین مسئله‌های هر یک از دو تراز فلسفه‌علمی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مصنوعی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فلسفه‌ذهنی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مصنوعی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می‌کنیم و پاسخ‌های داده‌شده به آنها را ارزیابی می‌کنیم</w:t>
      </w:r>
      <w:r>
        <w:rPr>
          <w:rFonts w:eastAsia="IRNazanin" w:cs="IRNazanin"/>
          <w:color w:val="111111"/>
          <w:sz w:val="28"/>
          <w:szCs w:val="28"/>
          <w:rtl w:val="true"/>
          <w:lang w:bidi="fa-IR"/>
        </w:rPr>
        <w:t>.</w:t>
      </w:r>
      <w:r>
        <w:rPr>
          <w:rStyle w:val="FootnoteAnchor"/>
          <w:rtl w:val="true"/>
        </w:rPr>
        <w:footnoteReference w:id="70"/>
      </w:r>
      <w:bookmarkStart w:id="424" w:name="pg5834_41995"/>
    </w:p>
    <w:p>
      <w:pPr>
        <w:pStyle w:val="Heading4"/>
        <w:numPr>
          <w:ilvl w:val="3"/>
          <w:numId w:val="1"/>
        </w:numPr>
        <w:rPr/>
      </w:pPr>
      <w:bookmarkStart w:id="425" w:name="__RefHeading___Toc4693265_581953129"/>
      <w:bookmarkStart w:id="426" w:name="_Toc157"/>
      <w:bookmarkEnd w:id="424"/>
      <w:bookmarkEnd w:id="425"/>
      <w:r>
        <w:rPr/>
        <w:t>1</w:t>
      </w:r>
      <w:r>
        <w:rPr>
          <w:rtl w:val="true"/>
        </w:rPr>
        <w:t xml:space="preserve">. </w:t>
      </w:r>
      <w:r>
        <w:rPr>
          <w:rtl w:val="true"/>
        </w:rPr>
        <w:t xml:space="preserve">مهم‌ترین مسئله‌های فلسفه‌علمی </w:t>
      </w:r>
      <w:r>
        <w:rPr>
          <w:rtl w:val="true"/>
        </w:rPr>
        <w:t>(</w:t>
      </w:r>
      <w:r>
        <w:rPr>
          <w:rtl w:val="true"/>
        </w:rPr>
        <w:t>هوش مصنوعی ضعیف</w:t>
      </w:r>
      <w:r>
        <w:rPr>
          <w:rtl w:val="true"/>
        </w:rPr>
        <w:t>)</w:t>
      </w:r>
      <w:bookmarkEnd w:id="426"/>
    </w:p>
    <w:p>
      <w:pPr>
        <w:pStyle w:val="BookText"/>
        <w:rPr/>
      </w:pPr>
      <w:r>
        <w:rPr>
          <w:rFonts w:ascii="IRNazanin" w:hAnsi="IRNazanin" w:eastAsia="IRNazanin"/>
          <w:color w:val="111111"/>
          <w:sz w:val="28"/>
          <w:sz w:val="28"/>
          <w:szCs w:val="28"/>
          <w:rtl w:val="true"/>
          <w:lang w:bidi="fa-IR"/>
        </w:rPr>
        <w:t>پیش از این نشان دادیم نقدهای دریفوس بر هوش مصنوعی در این تراز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طی بیش از نیم قرن نقد جریان‌های گوناگون در هوش مصنوعی، بیان‌های متفاوتی از نقدش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دست‌کم چهار بیان گوناگون از مسئلۀ واحد دریفوس در هوش مصنوعی را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دورۀ نخست مسئلۀ پایگاه بزرگ و شرایط امکان هوشمندی به‌طورکلی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Dreyfus, 1979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دورۀ دوم مسئلۀ شرایط امکان خبرگی در فضای ایزوله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1984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دورۀ سوم مسئلۀ فهم عرفی در مرکز نقد دریفوس قرار داشته‌اند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1988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دورۀ چهارم و پایانی دریفوس مسئله‌ای با نام مسئلۀ چارچوب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Frame Problem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معیار نقد نظریه‌های هوش مصنوعی می‌پذیرد؛ چنان‌که به‌صراحت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ویلر به‌درستی می‌اندیشد که ساده‌ترین آزمون برای تحقق هر برنامۀ هوش مصنوعی شرح‌داده شده این است که آیا می‌تواند مسئلۀ چارچوب را حل کند یا 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Dreyfus, 2007, p.26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چارچوب که نخستین بار از سوی جان مک‌کارتی و پس از آن دنت صورت‌بندی شده است، چنان در ادبیات تئوریک هوش مصنوعی پذیرفته شده است که دریفوس خود نیز آن را به رسمیت می‌شناسد؛ اما دنت بیان‌های متفاوتی در شرح این مسئله دارد و به‌صراحت بر پیچیده‌بودن آن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به‌طورکلی مسئلۀ چارچوب یک نوع از مسئلۀ یافتن امر مربوط در هر موقعیت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یعنی این مسئله که در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موقعیت کدام گزاره‌ها برای یافتن پاسخ مناسب، مربوط و کدام نامربوط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 برای توضیح، مسئلۀ چارچوب رباتی را مثال می‌زند که سه بار یا به دلیل روی‌دادن اتفاقات پیش‌بینی‌نشده یا عدم موفقیت در تفکیک امور مربوط و نامربوط، در موقعیت ناکام می‌ماند و می‌ترکد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به باور دنت ریشۀ مشکل در این است که ما باید در یک برنامۀ رایانه‌ای بر اساس پیش‌بینی‌هایمان از هر موقعیت، آن را صوری نماییم و بر اساس یک سری تعاریف و پیش‌فرض‌های صوری صورت‌بندی آگزیوماتیک از جهان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همان کاری که در یک برنامۀ نرم‌افزاری رایانه‌ای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از همین‌جا بر می‌خیزد که این آگزیوم‌های ایزوله، هرگز انعطاف طرح‌افکنی انسان بر پدیدارها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انسان‌ها می‌توانند با احساسات سوبژکتیوشان چیزهای پیرامونشان را برای خودشان معنادار کنند؛ برای نمونه یک موجود ناشناخته می‌تواند برای انسان‌ها با حس سوبژکتیو ترس معنادار شود و انسان‌ها نیازی ندارند که همۀ ابژه‌های پیرامونشان پیشاپیش به شیوه‌ای ابژکتیو تعریف شده باشد؛ اما ربات‌ها از این حس سوبژکتیو </w:t>
      </w:r>
    </w:p>
    <w:p>
      <w:pPr>
        <w:pStyle w:val="BookText"/>
        <w:rPr/>
      </w:pPr>
      <w:r>
        <w:rPr>
          <w:rFonts w:ascii="IRNazanin" w:hAnsi="IRNazanin" w:eastAsia="IRNazanin"/>
          <w:color w:val="111111"/>
          <w:sz w:val="28"/>
          <w:sz w:val="28"/>
          <w:szCs w:val="28"/>
          <w:rtl w:val="true"/>
          <w:lang w:bidi="fa-IR"/>
        </w:rPr>
        <w:t>برخوردار نیستند و ازاین‌رو هر تغییر در هر موقعیت باید پیشاپیش برایشان تعریف‌شده باشد و برای تغییر غیرقابل انتظار جایی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 برای به‌چنگ‌آوردن این آگزیوم‌ها با این بینش شروع شد که هیچ تغییری در موقعیت رخ نمی‌دهد، جز آنچه توسط عمل تعریف‌شده به روشنی آمده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Dennett, 1988, p.196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مشکل اصلی به امور تعریف‌ناشده و غیرمنتظره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 به پیرامون خود حسی دارند که به کمک این حس، امور غیرمنتظره و تعریف‌ناشده را برای خود معنادار می‌کنند؛ برای نمونه اگر انسان موجودی را ببیند که تاکنون برایش ناشناخته است، با حس ترس یا حس کنجکاوی، آن موجود را برای خود معنادار می‌کند و واکنش مناسب را نسبت به آن نشان می‌دهد؛ اما اگر یک ربات با موجودی روبه‌رو شود که برایش تعریف نشده است، قادر به بازنمایی آن نخواهد بود و بدین ترتیب واکنشی به آن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چارچوب با یک تعبیر مشکل امور غیرمنتظره و برنامه‌ریزی‌نشده است و با تعبیر دیگر مشکل یافتن چارچوبی است که بتوان به کمک آن در هر موقعیت امور مربوط را از امور نامربوط به گونه‌ای تفکیک کرد که ربات با امری برنامه‌ریزی‌نشده روبه‌رو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اینکه پروژه‌های هوش مصنوعی در حل مشکل چارچوب ناکام مانده‌اند، نمی‌توانند همۀ کارکردهای هوشمندانه را در تراز انسانی انجام دهند و ازاین‌رو همۀ این پروژه‌ها در آزمون نامحدود تورینگ ناکام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دنت که خود همواره بزرگ‌ترین فیلسوف مدافع هوش مصنوعی بوده است، ناتوانی در پاسخ به این مسئله را می‌پذیرد؛ چنان‌که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اینجا هیچ راه‌حلی برای مسئلۀ چارچوب عرضه نخواهم کرد؛ حتی هیچ پیشنهادی ندارم که کجا می‌توان راه‌حلی یافت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p.183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اعتراف دنت به‌خوبی گواه آن است که مسئلۀ چارچوب از مهم‌ترین مسئله‌های تراز فلسفه‌علمی در هوش مصنوعی است که مانعی بزرگ بر سر راه پیروزی هوش مصنوعی ضعیف ایجاد کرده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دنت به گونه‌ای هوشمندانه می‌کوشد صورت‌بندی مسئلۀ چارچوب در هوش </w:t>
      </w:r>
    </w:p>
    <w:p>
      <w:pPr>
        <w:pStyle w:val="BookText"/>
        <w:rPr/>
      </w:pPr>
      <w:r>
        <w:rPr>
          <w:rFonts w:ascii="IRNazanin" w:hAnsi="IRNazanin" w:eastAsia="IRNazanin"/>
          <w:color w:val="111111"/>
          <w:sz w:val="28"/>
          <w:sz w:val="28"/>
          <w:szCs w:val="28"/>
          <w:rtl w:val="true"/>
          <w:lang w:bidi="fa-IR"/>
        </w:rPr>
        <w:t>مصنوعی را گواهی بر ادعای همسانی فلسفه و هوش مصنوعی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نخست از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از نظر دنت هوش مصنوعی همان فلسفه است و گفتیم در بخش دوم، دو نمونه از فرآورده‌های فلسفی هوش مصنوعی از نظر وی ارزیابی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چارچوب یکی از این دو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راه‌حل‌ها نیستند که برای مشکلات ارزشمند هستند؛ بلکه مسئله‌های جدید نیز به‌خودی‌خود ارزشمند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مشارکت هوش مصنوعی در فلسفه، مسئلۀ حل‌ناشدۀ معرفت‌شناسانۀ عمیق و جدیدی است که در تولیدهای فلاسفه نادیده گرفته می‌شد؛ یعنی مسئلۀ چارچوب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p.274</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دست‌کم این بخش از ادعای دنت مبنی بر اینکه فیلسوفان پیش از هوش مصنوعی، مسئلۀ چارچوب را نادیده گرفته‌اند،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دنت می‌پذیرد نقدهای دریفوس بر هوش مصنوعی ریشه در مسئلۀ چارچوب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p.184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روشن است که سرچشمۀ اصلی نقدهای دریفوس بر هوش مصنوعی فلسفۀ پدیدارشناسی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مشکل چارچوب به گونه‌ای در فلسفۀ پدیدارشناسی مد نظر بوده است که دریفوس توانسته است بینش‌هایش را از آن وام بگیرد؛ چنان‌که در یک تعبیر از این مسئله بیان شد مسئلۀ چارچوب مسئلۀ چگونگیِ معنادارکردن امور تعریف‌ناشده و غیرمنتظره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هوسرل، هیدگر و مرلوپونتی، هر کدام به شیوۀ خودشان به این مسئله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هوسرل در چنین مواردی ما مادۀ محض را تجربه می‌کنیم و افق درونی تازه‌ای در ما دربارۀ امر رخ‌داده شکل خواهد گرفت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Dreyfus, 1979, p.242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بیان هیدگر در این موارد رویا‌رویی، تودستی ما با چیزها مختل می‌شود و آنها به صورت چیزهای فرادستی برای ما آشکار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1991, pp.76-77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به بیان مرلوپونتی در مواجهه با امر غیرمنتظره مطابقت و تعادل بدنی ما با پیرامون به هم می‌خورد و تشویش درونی برخاسته از آن، امر غیرمنتظره را معنادار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2007, p.16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محتوای مسئلۀ چارچوب در فلسفۀ پدیدارشناسی با تعبیرهای گوناگون بیان شده است و دریفوس نیز از آنها در نقدهایش بر هوش مصنوعی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فلسفه پیش از هوش مصنوعی این مسئله را مطرح کرده است و بر خلاف ادعای دنت از این جهت </w:t>
      </w:r>
      <w:bookmarkStart w:id="427" w:name="pg5834_41999"/>
    </w:p>
    <w:p>
      <w:pPr>
        <w:pStyle w:val="BookText"/>
        <w:rPr/>
      </w:pPr>
      <w:bookmarkEnd w:id="427"/>
      <w:r>
        <w:rPr>
          <w:rFonts w:ascii="IRNazanin" w:hAnsi="IRNazanin" w:eastAsia="IRNazanin"/>
          <w:color w:val="111111"/>
          <w:sz w:val="28"/>
          <w:sz w:val="28"/>
          <w:szCs w:val="28"/>
          <w:rtl w:val="true"/>
          <w:lang w:bidi="fa-IR"/>
        </w:rPr>
        <w:t>وام‌دار هوش مصنوعی نیست</w:t>
      </w:r>
      <w:r>
        <w:rPr>
          <w:rFonts w:eastAsia="IRNazanin" w:cs="IRNazanin"/>
          <w:color w:val="111111"/>
          <w:sz w:val="28"/>
          <w:szCs w:val="28"/>
          <w:rtl w:val="true"/>
          <w:lang w:bidi="fa-IR"/>
        </w:rPr>
        <w:t>.</w:t>
      </w:r>
    </w:p>
    <w:p>
      <w:pPr>
        <w:pStyle w:val="Heading4"/>
        <w:numPr>
          <w:ilvl w:val="3"/>
          <w:numId w:val="1"/>
        </w:numPr>
        <w:rPr/>
      </w:pPr>
      <w:bookmarkStart w:id="428" w:name="__RefHeading___Toc4693267_581953129"/>
      <w:bookmarkStart w:id="429" w:name="_Toc158"/>
      <w:bookmarkEnd w:id="428"/>
      <w:r>
        <w:rPr/>
        <w:t>2</w:t>
      </w:r>
      <w:r>
        <w:rPr>
          <w:rtl w:val="true"/>
        </w:rPr>
        <w:t xml:space="preserve">. </w:t>
      </w:r>
      <w:r>
        <w:rPr>
          <w:rtl w:val="true"/>
        </w:rPr>
        <w:t xml:space="preserve">مهم‌ترین مسئله‌های فلسفه‌ذهنی </w:t>
      </w:r>
      <w:r>
        <w:rPr>
          <w:rtl w:val="true"/>
        </w:rPr>
        <w:t>(</w:t>
      </w:r>
      <w:r>
        <w:rPr>
          <w:rtl w:val="true"/>
        </w:rPr>
        <w:t>هوش مصنوعی قوی</w:t>
      </w:r>
      <w:r>
        <w:rPr>
          <w:rtl w:val="true"/>
        </w:rPr>
        <w:t>)</w:t>
      </w:r>
      <w:bookmarkEnd w:id="429"/>
    </w:p>
    <w:p>
      <w:pPr>
        <w:pStyle w:val="Heading5"/>
        <w:numPr>
          <w:ilvl w:val="4"/>
          <w:numId w:val="1"/>
        </w:numPr>
        <w:rPr/>
      </w:pPr>
      <w:bookmarkStart w:id="430" w:name="__RefHeading___Toc4693269_581953129"/>
      <w:bookmarkStart w:id="431" w:name="_Toc159"/>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در قسمت اول، بحث بر سر این بود که آیا هوش مصنوعی می‌تواند رفتارهای هوشمندانۀ انسانی را پیاده‌سازی کند؛ اما در این بخش بحث بر سر آن است که اگر به فرض توانست این رفتارها را پیاده کند، آیا این امر دلیلی بر ذهن‌مندی رایانه‌هاست یا خیر؟ به بیان دیگر آیا هوش مصنوعی می‌تواند به پرسش اصلی فلسفۀ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پرسش ذهن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گوید یا خیر؟ بحث‌های بسیاری در این حیطه میان فیلسوفان در گرفته است؛ اما می‌توان مهم‌ترین گفت‌وگوها را در این تراز، در ذیل سه بحث کلی گنجاند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مغالطۀ آدمک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Homunculus fallacy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مسئلۀ هیوم؛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اتاق چینی سرل؛</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ذهن‌مندی رایانه‌ها بر پایۀ تئوری گودل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هر یک از این مباحث را به بحث خواهیم گذاشت؛ اما پیش از آن نیاز است دو الگوی اصلی در هوش مصنوعی را معرفی کنیم؛ زیرا نسبت این نقدها با این دو الگو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مصنوعی نمادی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Symbolic AI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محاسبه‌گرا، پارادایم کلاسیک در هوش مصنوعی است که تفکر را پردازشگری اطلاعات و محاسبه بر روی نمادهای اتمیک می‌داند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Dennett, 1998, p.217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از دهۀ هشتاد میلادی جریانی در هوش مصنوعی قوت گرفت که به شبکه‌های عصبی پیوندگرا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Connectionist Neural network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درکی از شیوۀ پردازشگری یک سامانۀ محاسباتی نمادی همچون ماشین‌حساب داریم؛ ولی برای آشنایی با شبکه‌های پیوندگرا نیاز است شرحی کوتاه از آنها به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 کلارک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اصلی‌ترین حامیان پیوندگرایی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پارادایم جایگزین می‌نویسد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رویکرد پیوندگرای بسط‌یافته خودش را به منزلۀ یک جایگزین حقیقی برای </w:t>
      </w:r>
    </w:p>
    <w:p>
      <w:pPr>
        <w:pStyle w:val="BookText"/>
        <w:rPr/>
      </w:pPr>
      <w:r>
        <w:rPr>
          <w:rFonts w:ascii="IRNazanin" w:hAnsi="IRNazanin" w:eastAsia="IRNazanin"/>
          <w:color w:val="111111"/>
          <w:sz w:val="28"/>
          <w:sz w:val="28"/>
          <w:szCs w:val="28"/>
          <w:rtl w:val="true"/>
          <w:lang w:bidi="fa-IR"/>
        </w:rPr>
        <w:t xml:space="preserve">سامانه‌های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و 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کلاسیک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جدید 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صورت جایگزین بازنمایی معرفت؛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شیوۀ جایگزین عمل بنیادین پردازشگری؛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مجموعه از الگوریتم‌های آموزشی قوی مبتنی شده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Clark, 1996, p.7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چنانکه کلارک توضیح می‌دهد این‌گونه نیست که بازنمایی در این الگوواره به وسیلۀ محاسبه بر روی بازنمودهای اتمیک نمادی بر اساس یک سری قواعد صوری انجام شود؛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آن پیوندگرایی از الگوهای فعال‌ساز در میان شمار بسیار زیادی نورون‌های ایدئال‌شده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واحدهای پردازشگر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کدگذاری محتویات معین بهره می‌گیرد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نوع بازنمایی، چند محتوا و ارتباطاتشان به وسیلۀ همۀ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الگویی از ارتباطات میان نورون‌ها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پردازشگری نیز در آنها به شیوه‌ای متفاوت است و به وسیلۀ بردارهای عددی تعریف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یک بردار ناقص به عنوان راهنما، بازیابی اطلاعات شامل فرایند تکمیل بردارها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تعمیم نیز به وسیلۀ ذخیره‌سازی الگوهای فعال فراتر از موقعیت در یک مجموعۀ منفرد از وزن‌دهی‌ها در درازمدت ممکن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بردارها وزن‌دهی چگونگی ارتباطات میان نورون‌ها را مشخص می‌کند و معیاری از بازنمایی ارتباطات میان محتواهای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اساس کار شبکه‌های پیوندگرا بر آموزش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شبکه‌های برون‌داد الگوریتم‌های آموزشی قدرتمندی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شبکه ابتدا با وزن‌دهی تصادفی شروع می‌کند و در ادامه می‌تواند به صورت اتوماتیک این وزن‌دهی‌ها را به شیوه‌ای تغییر دهد که یک الگوی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مطلوب را کدگذاری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آموزش به‌طورمعمول به وسیلۀ نمایش‌دادن یک مجموعه از ورودی‌ها به همراه یک مجموعه از خروجی‌های مطلوب هدایت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شبکه‌های پیوندگرا بر خلاف سامانه‌های نمادی یک معادله و فرایندهای محاسباتی مشخص ندارند؛ بلکه مجموعه‌ای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خروجی برای نمونه دارند که شبکۀ خود را با آنها تطبیق می‌دهد و یاد می‌گیرد با تعمیم آنها، 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خروجی‌های درست </w:t>
      </w:r>
      <w:bookmarkStart w:id="432" w:name="pg5834_42001"/>
    </w:p>
    <w:p>
      <w:pPr>
        <w:pStyle w:val="BookText"/>
        <w:rPr/>
      </w:pPr>
      <w:bookmarkEnd w:id="432"/>
      <w:r>
        <w:rPr>
          <w:rFonts w:ascii="IRNazanin" w:hAnsi="IRNazanin" w:eastAsia="IRNazanin"/>
          <w:color w:val="111111"/>
          <w:sz w:val="28"/>
          <w:sz w:val="28"/>
          <w:szCs w:val="28"/>
          <w:rtl w:val="true"/>
          <w:lang w:bidi="fa-IR"/>
        </w:rPr>
        <w:t>دیگر را نیز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درکی شهودی و معنایی از شیوۀ کار این شبکه‌ها بیابیم، شبکۀ پیوندگرای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در تصاویری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می‌شود، این شبکه اسب‌ها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نشان‌دادن چند تصویر که در آن اسب‌هایی با رنگ‌های مختلف وجود دارد، شبکۀ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می‌گیرد به رنگ‌ها حساس نباشد و می‌تواند با تعمیم این وضعیت، اسب‌هایی با رنگ‌های دیگر را نیز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شیوۀ پردازش این شبکه‌ها بر پایۀ معادله‌های محاسباتی از پیش‌داده‌شده نیست، بلکه بر پایۀ آزمون و خطا به وسیلۀ نمونه‌های آغازین و تعمیم آنها به موقعیت‌های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شبکه‌ها کل‌گرایانه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در تصاویر شبکۀ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اسب‌ها انسانی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به وسیلۀ نمونه‌های زیادی که به آن نشان داده شده است، آموخته است میان مفهوم اسب و مفهوم چهارپا ارتباط درونی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زیادی از پیوندهای نورونی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که تصویری را به شبکه نشان می‌دهند که انسانی شبیه چهارپایان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می‌آموزد که میان مفهوم انسان و مفهوم چهارپا نیز می‌تواند ارتباطی درونی وجود داشته باشد؛ چون این وضعیت تنها یک بار رخ داده است، وزن بسیار کمی از پیوندهای نورونی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مفاهیمی که در یک شبکه بازنمایی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مفهوم انسان و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از درون با هم ارتباط داشته باشند، اما ارتباط نزدیک‌تر میان دو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مفهوم اسب و چهارپا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وزن‌دهی بیشتر پیوندهای نورونی میان الگوهای مختص به آنها بازنمایی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درنظرگرفتن اختلاف‌های بنیادین میان این دو الگو در ادامه سراغ سه مسئلۀ اصلی در تراز فلسفۀ ذهن، در هوش مصنوعی می‌رویم</w:t>
      </w:r>
      <w:r>
        <w:rPr>
          <w:rFonts w:eastAsia="IRNazanin" w:cs="IRNazanin"/>
          <w:color w:val="111111"/>
          <w:sz w:val="28"/>
          <w:szCs w:val="28"/>
          <w:rtl w:val="true"/>
          <w:lang w:bidi="fa-IR"/>
        </w:rPr>
        <w:t>.</w:t>
      </w:r>
    </w:p>
    <w:p>
      <w:pPr>
        <w:pStyle w:val="Heading5"/>
        <w:numPr>
          <w:ilvl w:val="4"/>
          <w:numId w:val="1"/>
        </w:numPr>
        <w:rPr/>
      </w:pPr>
      <w:bookmarkStart w:id="433" w:name="__RefHeading___Toc4693271_581953129"/>
      <w:bookmarkStart w:id="434" w:name="_Toc160"/>
      <w:bookmarkEnd w:id="433"/>
      <w:r>
        <w:rPr/>
        <w:t>1-2</w:t>
      </w:r>
      <w:r>
        <w:rPr>
          <w:rtl w:val="true"/>
        </w:rPr>
        <w:t xml:space="preserve">. </w:t>
      </w:r>
      <w:r>
        <w:rPr>
          <w:rtl w:val="true"/>
        </w:rPr>
        <w:t>مغالطۀ آدمک و مسئلۀ هیوم</w:t>
      </w:r>
      <w:bookmarkEnd w:id="43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مغالطۀ آدمک در تاریخ فلسفه چالشی دامنه‌دار بوده است و بسیاری از فیلسوفان در چاه آن گرفتار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 در بستر مسئلۀ امکان ذهن‌مندی ماشین‌ها گفت‌وگوی نقادانۀ سرل و دنت پیرامون این مغالطه را بازسازی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دغدغۀ دنت را می‌توان در ادامۀ </w:t>
      </w:r>
    </w:p>
    <w:p>
      <w:pPr>
        <w:pStyle w:val="BookText"/>
        <w:rPr/>
      </w:pPr>
      <w:r>
        <w:rPr>
          <w:rFonts w:ascii="IRNazanin" w:hAnsi="IRNazanin" w:eastAsia="IRNazanin"/>
          <w:color w:val="111111"/>
          <w:sz w:val="28"/>
          <w:sz w:val="28"/>
          <w:szCs w:val="28"/>
          <w:rtl w:val="true"/>
          <w:lang w:bidi="fa-IR"/>
        </w:rPr>
        <w:t>تلاش گیلبرت رایل برای رسیدن به زبانی تماماً فیزیکالیستی دربارۀ امر واقع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رایل تا به امروز ما چیزی به‌مثابه ذهن درون مغز را به سخره گرفته‌ایم؛ اما تمسخر کافی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Dennett, 1969, p.99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باور دنت قیاس انسان و رایانه‌ها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تورینگ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کنارگذاشتن این ذهن درون مغز یا همان آدمک فهم‌کننده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مقایسۀ انسان و رایانه در رویکرد کارکردگرایانۀ دنت، بدن و مغز انسان متناظر با سخت‌افزار رایانه‌ای و ذهن انسان متناظر با نرم‌افزار رایانه‌ای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همان‌گونه که در رایانه‌ها فقط سخت‌افزار وجود دارد و نرم‌افزارها اموری ارجاع‌پذیر نیستند، در انسان نیز تنها مغز و بدن وجود دارد و ذهن امری ارجاع‌پذیر نیست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سرل مدعی است که در این صورت ذهن‌مندی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زیرا باید فردی باشد که از عملکرد مدارهای الکتریکی رایانه‌ها توصیفی انتزاعی به عنوان نرم‌افزار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 و غیرذهنی نباید یک وصف در نگاه بیننده باشد؛ بلکه باید ذاتیِ سامانه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Searle, 1980, p.7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باور سرل اگر ذهن‌مندی را امری در نگاه بیننده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ذاتی – بدانیم، اگر بیننده بخواهد، می‌تواند هیچ انسانی را ذهن‌مند به شمار نیاورد؛ درحالی‌که سامانه‌های اکتشافی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Heuristic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ذهن‌مند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این 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تمایز ذهنی و غیرذهنی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نوشته‌های هوش مصنوعی، در راه‌های مصیبت‌باری که طی می‌کنند، برای اینکه نشان دهند، هوش مصنوعی یک تحقیق شناختی است، محو می‌شود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آموزش دربارۀ ذهن به‌طوردقیق از آنجایی آغاز می‌شود که ما بپذیریم که ذهن بر خلاف ترموستات و اتومبیل دارای باور است و اگر شما این را رد کنید، تئوری دربارۀ ذهن را به‌کلی رد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به دنبالش هستیم، این است که چه چیزی ذهن را از ترموستات و کبد جدا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 با برشمردن این پیامدهای ناگوار، مشکل آدمک را نه حل، بلکه منحل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دنت کوشید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فلسفه و روان‌شناسی با صورت‌بندی تازه‌ای از مشکل آدمک، به مسئله‌ای که سرل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میلادی پیش پایش گذاشته بود،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این صورت‌بندی تازه را مسئلۀ هیوم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دنت، هوش مصنوعی این مشکل فلسفی را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استدلال دنت را در این باره چنین بازگویی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در هر الگوریتم نرم‌افزاری، هر حالت منطقی را به شیوۀ دنت با یک کارکرد منطقی – محاسباتی، مثلاً ضرب دو در دو، یعنی با یک ورودی و خروجی مشخص، درون یک جعبۀ سیاه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آدمکی در این جعبۀ سیاه وجود دارد و فهمی از این عمل منطقی محاسباتی داشته است و بر پایۀ آن فهم، آن کارکرد را به اجرا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کاری که هوش مصنوعی انجام می‌دهد، این است که می‌کوشد هر کارکرد منطقی را به فرایندی از چندین کارکرد منطقی ساده‌تر دیگر تحویل برد؛ به این ترتیب، هر جعبۀ سیاه، در یک فرایند مشخص به چندین جعبۀ سیاه تجزیه می‌شود و یک آدمک تبدیل به چندین آدمک می‌شود که این بار هر یک کارکردی ساده‌تر را به انجام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ساده‌ترین تراز کارکردی، به جایی می‌رسیم که انجام کارکرد، آن‌قدر ساده است که به آدمک دارای فهم نیازی نیست و ما در اینجا ساختار فیزیکی را با آدمک جایگزین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با رسیدن به پایین‌ترین لایۀ کارکردی، آدمک‌ها محو می‌شوند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See: Dennett, 1981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اما سرل، در ادامۀ گفت‌وگوی نقادانه‌اش با دنت بر سر مسئلۀ آدمک،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برابر این استدلال دنت، کاملاً موضع‌گیری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مثل دنت فکر می‌کنند مغالطۀ آدمک اصلاً مشکلی اساسی نیست؛ چراکه آدمک می‌تواند نادید گرفته شود و کنار گذاشته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ایدۀ ایشان این است که اگر ما به پایین‌ترین تراز یک فیلیپ فلاپ ساده برسیم، دیگر یک آدمک واقعی وجود نخواهد داشت؛ یعنی تجزیۀ بازگشتی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Recursive decomposition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آدمک‌ها را خواهد زدود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Searle, 1990, p.28</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سرل بر پایۀ جداسازی میان امر سینتتیک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برنامۀ نرم‌افزاری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فیزیکی به دنت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مدافعان هوش مصنوعی باور دارند یک نرم‌افزار و سینتکس رایانه‌ای می‌تواند بر روی ساختارهای فیزیکی گوناگون پیاده‌سازی شود؛ درنتیجه، تعریف یک نرم‌افزار برای رایانه‌ها، هیچ ربطی به تحقق فیزیکی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بیان سرل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سینتتیک برای امر فیزیکی ذاتی و اصلی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p.26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حال مغالطه‌ای که دنت انجام می‌دهد، به‌طوردقیق در همین‌جا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پایین‌ترین درجۀ تراز سینتتیک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نرم‌افزاری، ناگهان به تراز فیزیکی پرش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پایین‌ترین تراز تنها کاری ساده انجام می‌شود، اما در اینجا نیز همچنان نرم‌افزار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ذهن برنامه‌نویس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که فرایند محاسبه را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فیزیکی این کار ساده‌ای که انجام می‌شود، به‌خودی‌خود قابل تعریف است؛ اما هویت نرم‌افزاری آن در ارتباط با کارهای دیگر و در یک الگوریتم کلی معنادار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 با نادیده‌گرفتن ارتباطات این کار ساده با دیگر کارهای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که دقیقاً آدمک آن را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تراز سینتتیک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نرم‌افزاری به تراز فیزیکی جهش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 همین نکته را از زاویه‌ای دیگر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دنت خود در این فرایند بازگشتی، یک آدمک دیگر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وجود یک آدمک که بیرون از این فرایند تجزیۀ بازگشتی به ترازهای پایین‌تر ایستاده باشد، حتی یک سینتکس برای عمل نداریم؛ پس تلاش برای رفع مغالطۀ آدمک به کمک تجزیه‌های بازگشتی شکست می‌خورد؛ زیرا تنها راهی که می‌توان امر سینتتیک را چیزی ذاتاً متعلق به امر فیزیکی دانست، آن است که یک آدمک را در فیزیک وارد کنیم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 p.29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باور سرل، تجزیۀ بازگشتی، خود پیشاپیش یک سینتکس تعریف‌شده‌ای را پیش‌فرض می‌گیرد و بر پایۀ آن، نقش‌ها را ساده‌سازی می‌کند؛ یعنی همان نرم‌افزاری که باید در ذهن آدمکی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برنامه‌نویس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روش هرگز نمی‌توان به مغالطۀ آدمک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سرل به‌روشنی نشان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کسانی که در نظریۀ محاسبه‌گرایانه عمل می‌کنند، به گونه‌های متفاوت مغالطۀ آدمک دچار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بدین ترتیب نتیجۀ سخن همۀ ایشان آن است که امر ذهنی صفتی در نگاه بیننده و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استدلال سرل در نقد دنت کاملاً به‌جاست و به صورت یکسان بر هر دو </w:t>
      </w:r>
      <w:bookmarkStart w:id="435" w:name="pg5834_42005"/>
    </w:p>
    <w:p>
      <w:pPr>
        <w:pStyle w:val="BookText"/>
        <w:rPr/>
      </w:pPr>
      <w:bookmarkEnd w:id="435"/>
      <w:r>
        <w:rPr>
          <w:rFonts w:ascii="IRNazanin" w:hAnsi="IRNazanin" w:eastAsia="IRNazanin"/>
          <w:color w:val="111111"/>
          <w:sz w:val="28"/>
          <w:sz w:val="28"/>
          <w:szCs w:val="28"/>
          <w:rtl w:val="true"/>
          <w:lang w:bidi="fa-IR"/>
        </w:rPr>
        <w:t>پارادایم هوش مصنوعی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استدلال را نیز به کار نبریم، دنت به‌هیچ‌وجه توضیح نمی‌دهد که چگونه در پایین‌ترین تراز نرم‌افزاری، ناگهان به ترازی سخت‌افزاری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دنت به‌صراحت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هوش مصنوعی هنوز هیچ مسئله‌ای را دربارۀ ذهن حل نکرده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Dennett, 1988, p.276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نشان می‌دهد که خود نیز نسبت به ضعف استدلالش در پاسخ به مغالطۀ آدمک واقف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مغالطۀ آدمک نخستین مسئله‌ای است که در تراز فلسفه‌ذهنی پیش پای هوش مصنوعی قوی قرار دارد و ایشان باید بازتعریفی از رویکردشان ارائه دهند که امر ذهنی را تبدیل به امری در نگاه بیننده و دلخواهانه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این نکته اشاره کرد که پاسخ به مغالطۀ آدمک دومین مسئله‌ای بوده است که بنا بر ادعای دنت، فلسفه در آن وامدار هوش مصنوعی است؛ ولی دیدیم پاسخ وی به هیچ روی قانع‌کننده نیست و ازاین‌رو دنت نمی‌تواند مثالی از کمک هوش مصنوعی به فلسفه بیاورد و درنتیجه صورت‌بندی کلی‌اش از هوش مصنوعی به‌مثابه نوعی فلسفه‌ورزی نیز به کلی مخدوش است</w:t>
      </w:r>
      <w:r>
        <w:rPr>
          <w:rFonts w:eastAsia="IRNazanin" w:cs="IRNazanin"/>
          <w:color w:val="111111"/>
          <w:sz w:val="28"/>
          <w:szCs w:val="28"/>
          <w:rtl w:val="true"/>
          <w:lang w:bidi="fa-IR"/>
        </w:rPr>
        <w:t>.</w:t>
      </w:r>
    </w:p>
    <w:p>
      <w:pPr>
        <w:pStyle w:val="Heading5"/>
        <w:numPr>
          <w:ilvl w:val="4"/>
          <w:numId w:val="1"/>
        </w:numPr>
        <w:rPr/>
      </w:pPr>
      <w:bookmarkStart w:id="436" w:name="__RefHeading___Toc4693273_581953129"/>
      <w:bookmarkStart w:id="437" w:name="_Toc161"/>
      <w:bookmarkEnd w:id="436"/>
      <w:r>
        <w:rPr/>
        <w:t>2-2</w:t>
      </w:r>
      <w:r>
        <w:rPr>
          <w:rtl w:val="true"/>
        </w:rPr>
        <w:t xml:space="preserve">. </w:t>
      </w:r>
      <w:r>
        <w:rPr>
          <w:rtl w:val="true"/>
        </w:rPr>
        <w:t>استدلال اتاق چینی سرل</w:t>
      </w:r>
      <w:bookmarkEnd w:id="4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برنامۀ رایانه‌ای به‌خودی‌خود هرگز شرط کافی برای قصدیت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اصلی مقاله، مربوط به این مدعاست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Searle, 1980, 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جملۀ سرل، محتوای اصلی برهان اتاق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در صدد است تا مثال نقضی برای ادعای کلی همسانی برنامۀ نرم‌افزاری و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سرل وضعیتی خیالی را ترتیب می‌دهد که برنامۀ نرم‌افزاری داریم، اما فهم و قصدیتی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استدلالش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برهان به این صورت است که نشان دهد عامل انسانی می‌تواند یک برنامه را لحاظ کند، بی‌آنکه نیازی به فرض قصدیت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آزمایش ذهنی اتاق چینی را می‌توان چنین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داستانی به زبان چینی برای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خود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در اتاق‌های جداگانه‌ای قرار داریم،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چینی بلدند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پرسش‌هایی را به زبان چینی </w:t>
      </w:r>
    </w:p>
    <w:p>
      <w:pPr>
        <w:pStyle w:val="BookText"/>
        <w:rPr/>
      </w:pPr>
      <w:r>
        <w:rPr>
          <w:rFonts w:ascii="IRNazanin" w:hAnsi="IRNazanin" w:eastAsia="IRNazanin"/>
          <w:color w:val="111111"/>
          <w:sz w:val="28"/>
          <w:sz w:val="28"/>
          <w:szCs w:val="28"/>
          <w:rtl w:val="true"/>
          <w:lang w:bidi="fa-IR"/>
        </w:rPr>
        <w:t>به صورت نوشته، به درون اتاق می‌فرستند و پاسخ‌هایی را به صورت نوشته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من متناظر با هر پرسش دستورالعمل‌هایی به زبان فارسی یا انگلیسی دارم که بر اساس آنها شکلک‌هایی را که همان الفبای چینی هستند، در کنار هم می‌گذارم و به بیرون اتاق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 به‌گونه‌ای تنظیم شده است که وقتی حروف الفبای چینی در کنار هم قرار می‌گیرند، پاسخ پرسشی را بدهند که به زبان چینی به درون اتاق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من هیچ فهمی از داستان، پرسش‌ها و پاسخ‌های چینی نداشته‌ام؛ اما از بیرون تفاوتی میان پاسخ‌های من و افراد چینی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جز خود من نمی‌تواند به این امر پی ببرد که من چینی بلد نیستم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فرض کنید داستان، پرسش‌ها و پاسخ‌ها به زبان انگلیسی و یا فارسی که من بنا به فرض بلد هستم، طرح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کنید من همان داستان‌ها را در انگلیسی بشنوم و به پرسش‌های آنها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بیرون نمی‌توان تمایزی میان پاسخ انگلیسی و چینی من یافت؛ ولی من انگلیسی را می‌فهمم و چینی را تنها با تولید نمادهای صوری فهم‌ناشده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تاآنجاکه چینی مد نظر باشد، شبیه یک رایانه عمل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اعمال محاسباتی را بر روی نمادهای معین، به صورت صوری انجام می‌دهم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آن مثال نقضی که سرل به دنبال آن بود، یافت می‌شود؛ چراکه ما در اینجا برنامۀ رایانه‌ای داریم، ولی هیچ فهم، تفکر و حالت شناختی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رایانه‌ها نیز همواره همانند عملکرد من دربارۀ پرسش‌های چینی است؛ یعنی رایانه بدون اینکه هیچ فهمی از آنچه با آن سروکار دارد، داشته باشد، تنها یک سری دستورالعمل‌ها را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انجام دستورالعمل‌ها، بدون داشتن درکی از محتوای دستورها، به‌هیچ‌روی برابر با فهم و تفکر انسانی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بیان دیگری که سرل به کار می‌گیرد، رایانه‌های دیجیتال تنها سینتکس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سمنتیک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Searle, 1980, p.12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یعنی الگوریتم‌های برنامه‌ها را می‌توان همچون مجموعه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آورد؛ اما اینها برای تولید معنا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داوری به‌کلی به رویکرد معناشناسانۀ سرل بسته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معناداری را همسان با برخورداری از محتوا و قصدمندی به سوی آن محتوا می‌داند؛ یعنی هر حالت ذهنی، قصدیتی به سوی یک محتواست و به‌هیچ‌رو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صرفاً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آنها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رایانه‌ای کاملاً صوری است؛ گو اینکه حالت‌های قصدی در این معنا صوری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واسطۀ محتوایشان تعریف می‌شوند و نه به واسطه صورتشان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سرل برهان اتاق چینی را این‌گونه خلاصه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برهان اتاق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حقیقت سادۀ منطقی بنا شده است که وجه سینتتیک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همان وجه سمانتیک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شرط کافی برای وجه معنایی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1990, p.21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ارزیابی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در تاریخ تأمل فلسفی دربارۀ هوش مصنوعی، هیچ موضوعی به اندازۀ استدلال اتاق چینی سرل بحث و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در استدلال اتاق چینی از خود مقالۀ سرل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کوشید شش نقدی را که ممکن است به این استدلال وارد شود، خود تقریر نماید و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بادن، بلاک، تاگارد، هیوزر، بیل، دنت و هر یک از فیلسوفان ذهن دیگر نیز پاسخ‌هایی درخور درنگ به این استدلال داده‌اند؛ ولی عمیق‌ترین پاسخ از آنِ دیوید چالمرز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بنیادین در اینجاست که برای هر یک از نمادهای صوری در یک نرم‌افزار رایانه‌ای هیچ یک از ابژه‌های بیرونی 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اسب که قرار است اسب را بازنمایی کند، می‌تواند بار دیگر برای نشان‌گری انسان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نماد اسب با مفهوم چهارپا، با نسبت نماد انسان با این مفهوم تفاوتی ندارد؛ اما تصورات ما پندارهایی خنثی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اسب برای ما، هرگز انسان را برای ما نشان‌گری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نماد اسب و نماد انسان نسبت به مفهوم چهارپا در یک جایگاه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نمادهای درونی انسانی و مجموعۀ مفاهیم و درون‌مایه‌هایی که این نمادها بازنمایی می‌کنند، ارتباطی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ارتباطی در نمادهای رایانه‌ای و ابژه‌های بیرونی به چشم نمی‌خورد و برای این نمادها همۀ ابژه‌ها در یک تراز یکسان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چالمرز خود با مثالی این نکته را بازگویی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نشانه‌ای که مفهوم فیل را بازنمایی می‌کند، می‌تواند با برچسب فیل نشانه‌گذاری شود؛ اما به همان میزان ممکن است با برچسب سیب نشانه‌گذاری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ویژگی درونی نشانۀ فیل را به مفهوم فیل، نسبت به مفهوم سیب نزدیک‌تر نمی‌کند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Chalmers, 1992, p.13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سرل می‌گوید نمادهای صوری بی‌محتوا هستند، دقیقاً چنین سخنی را مد نظر دارد؛ یعنی هیچ ویژگی درونی، نماد سیب را به معنای سیب و ارتباطات آن با دیگر معانی پیوند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حالت‌های ذهنی به گونه‌ای درونی، دارای معنا و محتوا هستند؛ درحالی‌که نمادهای برنامه‌های رایانه‌ای فاقد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وجود به‌دست‌دادن این بینش، چالمرز خود چگونه به استدلال اتاق چینی پاسخ می‌دهد؟ اگر بتوان به نوعی نمادها را از این حالت خنثی خارج کرد، آن‌گاه وجه سمانتیک نیز پیدا می‌کنند؛ یعنی اگر بتوان کاری کرد که نماد سیب به بازنمایی مفهوم سیب به همراه ارتباطات معنایی نسبت به هر مفهوم دیگری نزدیک‌تر باشد، آن‌گاه می‌توان نماد سیب را به‌گونه‌ای درونی دارای معنا و محتوای سیب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چالمرز چارۀ این مشکل را در ایجاد ساختاری درونی در لایه‌ای زیرین برای نمادها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رویکرد پیوندگرا به‌طوردقیق در همین جهت گام بر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با ادعای پیوندگرایان بازنمودهای توسعه‌یافته، دقیقاً به جهت ساختار درونی قوی‌شان، می‌توانند محتوایی را حمل کنند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ما در هر رویکرد پیوندگرا، دو تراز داریم؛ یکی تراز بازنمودهای معنادار است که قرار است هر یک با معنایشان و همچنین شبکه‌ای از معانی دیگر پیوندی درونی با قوت و ضعف گوناگون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ترازی زیرین که خود معنا ندارد، اما ساختاری را فراهم می‌کند که بازنمودها در تراز بالاتر را به سوی معنایشان جهت‌مند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چالمرز بر آن است که در پیوندگرایی تراز بی‌معنای زیرین همان تراز محاسباتی است که با گره‌های خنثی سروکار دارد و تراز بازنمودی، همان تراز رویین بازنمایی‌های معنادار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سراغ مقدمۀ اصلی استدلال سرل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سینتکس برای سمانتیک نه لازم است و نه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چالمرز می‌کوشد معنای دقیق‌تری از این مدعا به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p>
    <w:p>
      <w:pPr>
        <w:pStyle w:val="BookText"/>
        <w:rPr/>
      </w:pPr>
      <w:r>
        <w:rPr>
          <w:rFonts w:ascii="IRNazanin" w:hAnsi="IRNazanin" w:eastAsia="IRNazanin"/>
          <w:color w:val="111111"/>
          <w:sz w:val="28"/>
          <w:sz w:val="28"/>
          <w:szCs w:val="28"/>
          <w:rtl w:val="true"/>
          <w:lang w:bidi="fa-IR"/>
        </w:rPr>
        <w:t>نخست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سینتتیک‌بودن چه معنایی برای یک سامانه دارد؟ این دقیقاً به این معناست که سامانه به واسطۀ دنبال‌کردن قواعد کار 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برخورداری از وجه محتوای سمانتیک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دیدیم، اندیشۀ محتوا در اینجا درون‌گرایانه است؛ یعنی محتوایی قصدی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حال می‌توان این مقدمۀ اصلی را چنین ترجمه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سامانه‌ای که رفتاری بر اساس قاعده از خود نشان دهد، نمی‌تواند محتوای درونی داشته باشد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مغز انسان دقیقاً مثال نقضی برای این سخن است؛ زیرا اگر سامانه‌ای دارای محتوای درونی باشد، آن سامانه مغز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مغز می‌تواند به‌مثابه سامانه‌ای در نظر گرفته شود که مجموعۀ قواعد محکم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Iron-clad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دنبال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قواعد فیزیکی</w:t>
      </w:r>
    </w:p>
    <w:p>
      <w:pPr>
        <w:pStyle w:val="BookText"/>
        <w:rPr/>
      </w:pPr>
      <w:r>
        <w:rPr>
          <w:rFonts w:ascii="IRNazanin" w:hAnsi="IRNazanin" w:eastAsia="IRNazanin"/>
          <w:color w:val="111111"/>
          <w:sz w:val="28"/>
          <w:sz w:val="28"/>
          <w:szCs w:val="28"/>
          <w:rtl w:val="true"/>
          <w:lang w:bidi="fa-IR"/>
        </w:rPr>
        <w:t>دست‌کم از دیدگاه طبیعت‌گرایانۀ بیشتر فیلسوفان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خود سرل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سامانه‌ای است که می‌تواند رفتار معنادار تولید کند و به این معنا دارای محتوای معنادار و وجه سمانتیک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سینتتیکی که چالمرز مد نظر دارد، پیروی از قواعد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سینتتیک‌بودن را به پیروی از قواعد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روشن است که مغز سامانه‌ای است که از قواعد فیزیکی پیروی می‌کند و درنتیجه دارای وجه سینتتیک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مغز،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بالا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پیوندگرا که در اصل از مغز الگوبرداری شده‌اند، نیز مثال نقضی بر این مدعایند؛ چراکه این شبکه‌ها نیز در تراز محاسباتی زیرین فاقد معنا و در تراز بازنمودی رویین دارای محتوای معنایی‌اند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استناد به مغز و شبکه‌های عصبی پیوندگرا اگر مراد سرل از مقدمۀ اصلی‌اش ترجمه‌ای باشد که چالمرز از آن به دست می‌دهد، آشکارا نادرست است؛ ولی به نظر می‌رسد که به گونه‌ای شهودی این مقدمه همچنان باورپذیر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چالمرز در پاسخ به این پرسش که قدرت شهودی ادعای اصلی سرل از کجا می‌آید، چنین پاسخ می‌دهد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یقین از امر زبانی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دستوری که واژه‌ها اطاعت می‌کنند، برای اینکه این واژه‌ها محتوای معنایی از خود نشان دهند، کافی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برای یک جمله، این درست است که بگوییم سینتکس برای سمانتیک کافی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امر زبانی، سینتکس و سمانتیک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 جمله در نظر گرفته شده‌اند؛ درحالی‌که در مغز، سینتکس برای نورون‌ها و سلول‌های عصبی در نظر گرفته می‌شد و سمانتیک برای واژه‌ها و جمله‌ها به کار می‌رفت و هر یک در ترازی جداگانه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جایی که سینتکس و سمانتیک در ترازی یکسان قرار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امر 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مقدمۀ اصلی سرل درست و جایی که این دو در دو تراز جدا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مقدمۀ سرل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چالمرز به جای مقدمۀ اصلی سرل این گزاره را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سینتکس در یک تراز معین، هرگز شرط لازم و کافی برای سمانتیک در همان تراز نیست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 p.17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سرل دربارۀ ذهن چیزی بیش از استدلال اتاق چینی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باور دارد که ذهن مجموعۀ حالت‌های شناختی وجودی است که تنها و تنها معلول مغز ارگانیسم‌های جاندار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پیش‌فرض درست باشد، هیچ سخت‌افزار رایانه‌ای نمی‌تواند حالت‌های شناختی ایجاد کند و درنتیجه ذهن داشته باشد؛ ولی حکایت این پیش‌فرض با استدلال اتاق چینی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به این استدلال مربوط است، چالمرز صورت‌بندی درستی از آن ارائه می‌دهد و مغز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شبکه‌های عصبی پیوندگرا از دیدگاهی طبیعت‌گرایانه مثال نقضی بر ادعای سرل است و بر این اساس چالمرز نشان می‌دهد که نقد سرل بر سامانه‌های پیوندگرا در هوش مصنوعی وارد نخواهند بود؛ زیرا در این سامانه‌ها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سمانتیک و امر سینتتیک در یک تراز نیستند؛ درنتیجه استدلال اتاق چینی به‌خودی‌خود امتناع ذاتی هوش مصنوعی قوی را به اثبات نمی‌رساند</w:t>
      </w:r>
      <w:r>
        <w:rPr>
          <w:rFonts w:eastAsia="IRNazanin" w:cs="IRNazanin"/>
          <w:color w:val="111111"/>
          <w:sz w:val="28"/>
          <w:szCs w:val="28"/>
          <w:rtl w:val="true"/>
          <w:lang w:bidi="fa-IR"/>
        </w:rPr>
        <w:t>.</w:t>
      </w:r>
      <w:r>
        <w:rPr>
          <w:rStyle w:val="FootnoteAnchor"/>
          <w:rtl w:val="true"/>
        </w:rPr>
        <w:footnoteReference w:id="74"/>
      </w:r>
      <w:bookmarkStart w:id="438" w:name="pg5834_42011"/>
    </w:p>
    <w:p>
      <w:pPr>
        <w:pStyle w:val="Heading5"/>
        <w:numPr>
          <w:ilvl w:val="4"/>
          <w:numId w:val="1"/>
        </w:numPr>
        <w:rPr/>
      </w:pPr>
      <w:bookmarkStart w:id="439" w:name="__RefHeading___Toc4693275_581953129"/>
      <w:bookmarkStart w:id="440" w:name="_Toc162"/>
      <w:bookmarkEnd w:id="438"/>
      <w:bookmarkEnd w:id="439"/>
      <w:r>
        <w:rPr/>
        <w:t>3-2</w:t>
      </w:r>
      <w:r>
        <w:rPr>
          <w:rtl w:val="true"/>
        </w:rPr>
        <w:t xml:space="preserve">. </w:t>
      </w:r>
      <w:r>
        <w:rPr>
          <w:rtl w:val="true"/>
        </w:rPr>
        <w:t>نقد هوش مصنوعی بر پایۀ نظریۀ گودل</w:t>
      </w:r>
      <w:bookmarkEnd w:id="440"/>
    </w:p>
    <w:p>
      <w:pPr>
        <w:pStyle w:val="BookText"/>
        <w:rPr/>
      </w:pPr>
      <w:r>
        <w:rPr>
          <w:rFonts w:ascii="IRNazanin" w:hAnsi="IRNazanin" w:eastAsia="IRNazanin"/>
          <w:color w:val="111111"/>
          <w:sz w:val="28"/>
          <w:sz w:val="28"/>
          <w:szCs w:val="28"/>
          <w:rtl w:val="true"/>
          <w:lang w:bidi="fa-IR"/>
        </w:rPr>
        <w:t>از مباحث پیچیده و پردامنه در تاریخ هوش مصنوعی گفت‌وگوهایی است که پیرامون نظریۀ گودل و نتایج آن دربارۀ هوش مصنوعی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استدلال بر نادرستی یکی‌دانستن ذهن و هوش مصنوعی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استدلال منظور از آن همان الگوی تورینگ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پایۀ همین نظریه و از سوی نیگل و نیومن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پاتنم مهم‌ترین فیلسوفی بود که از هوش مصنوعی در برابر نقد این دو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و در دهۀ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راجر پن‌رز این استدلال را در یک صورت‌بندی متفاوت عرضه کرد و چالمرز و سرل مهم‌ترین ناقدان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صورت فشرده مهم‌ترین بحث‌های مطرح‌شده در این گفت‌وگوها را طرح و ارزیابی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پاتنم استدلال نیگل و نیومن را به این شیوه بازسازی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نیگل و نیومن در کتاب برهان گودل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تئوری گودل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Godel's theorem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داده است که ساختار و قدرت ذهن انسان، پیچیده و ماهرانه‌تر از آن است که از هر ماشین نازنده‌ای بتوان انتظار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ماشین تورینگ نمی‌تواند همچون الگویی برای ذهن انسان به شمار آید؛ اما این یک اشتباه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بگیرید که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ماشین تورینگ باشد که برای من در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می‌تواند قضایای ریاضی را که من می‌توانم اثبات کنم،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نیگل و نیومن برهانی نمی‌آورند؛ بلکه من فرض می‌کنم که چنین برهانی در ذهنشان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به واسطۀ تکنیک گودل، من می‌توانم گزاره‌ای را کشف کنم که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نمی‌تواند اثبات 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Putnam, 1975, p.366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این استدلال را در سه مقدمه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تئوری گودل برای هر نظام منطقی سازواری، می‌توان قضیه‌ای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یافت که تصمیم‌ناپذیر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این نظام نمی‌تواند درستی آن را نشان دهد، اما ذهن من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نظام منطقی سازوار نظامی است که در آن گزاره‌ای وجود ندارد که هم خودش و هم نقیضش بر پایۀ آگزیوم‌ها قابل اثبات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ماشین تورینگ در ذهن من به عنوان یک نظام منطقی سازوار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هم می‌توانم هر یک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ها را تعریف کنم، هم می‌توانم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کدام از 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را اثبات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من هیچ یک از این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ها نیستم؛ یعنی من یک ماشین تورینگ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نظام منطقی سازوار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صورت‌بندی، نقد پاتنم به نیگل و نیومن و استدلالشان نیز تا حدود زیادی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خطای این دو نفر را برآمده از کاربرد نادرست نظریۀ گودل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پاتنم میان تعریف یک ماشین تورینگ برای ذهن با برابری ذهن با یک ماشین تورینگ تفاوت قائل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نیگل و نیومن فرض گرفته‌اند، تعریف یک ماشین تورینگ برای ذهن است؛ یعنی هم نظام منطقی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 گزارۀ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برای ماشین تورینگ تصمیم‌ناپذیر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نظام منطقی ذهن من جای می‌گیرند؛ اما گزارۀ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خواهد داشت که برای ذهن من تصمیم‌ناپذیر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نظریه کاملاً محتمل است گزاره‌ای وجود داشته باشد که برای ذهن تصمیم‌ناپذیر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حرف درست است که ذهن هیچ یک از ماشین‌های تورینگ تعریف‌شده برای خودش نیست؛ چراکه برای همۀ این ماشین‌ها به‌مثابه نظام‌های بستۀ منطقی، یک گزارۀ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 وجود دارد که برای آنها تصمیم‌ناپذیر و برای ذهن تصمیم‌پذیر است؛ ولی ممکن است گزارۀ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ای وجود داشته باشد که برای ذهن تصمیم‌ناپذیر باشد؛ ازاین‌رو اگر وجود چنین گزاره‌ای ممکن است، به فرض ماشین تورینگ‌بودن ذهن نیز تناقضی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پاتنم بدین معناست که ما نمی‌توانیم ذهن خود را به‌مثابه یک سیستم منطقی سازوار برای خود تعریف کنیم؛ یعنی ما نمی‌توانیم سازواری خود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پاتنم به این مدعا ختم خواهد شد که ذهن ما می‌تواند ماشینی تورینگ باشد که قابل تعریف‌کردن نیست و سازواری‌اش را نمی‌توان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نیگل و نیومن به‌شدت دربارۀ این موضع پاتنم واکنش نشان دادند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پاتنم این تأمل نتیجه‌بخش ما را که تئوری گودل نشان می‌دهد ذهن انسان </w:t>
      </w:r>
    </w:p>
    <w:p>
      <w:pPr>
        <w:pStyle w:val="BookText"/>
        <w:rPr/>
      </w:pPr>
      <w:r>
        <w:rPr>
          <w:rFonts w:ascii="IRNazanin" w:hAnsi="IRNazanin" w:eastAsia="IRNazanin"/>
          <w:color w:val="111111"/>
          <w:sz w:val="28"/>
          <w:sz w:val="28"/>
          <w:szCs w:val="28"/>
          <w:rtl w:val="true"/>
          <w:lang w:bidi="fa-IR"/>
        </w:rPr>
        <w:t xml:space="preserve">پیچیده‌تر از هر ماشین است که تحقق یافته است، به‌مثابه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 اشتباه از تئوری محض و سادۀ گودل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ما موضع نقد دکتر پاتنم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جزمیت خالص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Nagel and Newman, 1961, pp.210-211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این دو، هر ماشین تورینگی فرض سازواری را در خود دارد و اگر پاتنم مدعی است می‌توان ذهن انسان را یک ماشین تورینگ دانست، باید بتوان سازواری آن را نشان داد؛ یعنی بر خلاف نظر پاتنم باید بتوان ذهن را به عنوان یک ماشین تورینگ برای خودش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چالش‌برانگیزترین نقطۀ این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خواهیم دید که گفت‌وگوهای بعدی دربارۀ این استدلال نیز به همین‌جا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پن‌رز صورت‌بندی متفاوتی از استدلال بر نقد همسانی ذهن و ماشین تورینگ بر پایۀ نظریۀ گودل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بر چندین مقدمه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فرض کنیم که ذهن من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یک سیستم فورمال سازوار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گزارۀ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گزارۀ درستی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می‌دانیم بر پایۀ تئوری گودل برای 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 یک قضیۀ تصمیم‌ناپذیر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که برای ذهن من تصمیم‌پذیر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فرض کنید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باشد با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اضافۀ این گزاره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ازآن‌رو که هر سیستم سازوار به اضافۀ یک گزارۀ درست، یک سیستم سازوار را نتیجه می‌دهد؛ درنتیجه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سازوار است و در قضیۀ گودل جای می‌گیرد و در نتیجه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اش برای من تصمیم‌ناپذیر خواهد بود؛ درنتیجه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مقدمۀ سوم 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ای برای من تصمیم‌پذیر است و بر اساس مقدمۀ چهارم، اما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سیستم ویژه برای من تصمیم‌ناپذیر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پایۀ فرضیۀ گودل این فرض که من یک سیستم فورمال سازوار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یک ماشین تورینگ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به تناقض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فرض نادرست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Penrose, 1996, p.3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چالمرز در نقد پن‌رز اگرچه وجود تناقض را می‌پذیرد، نتیجه‌گیری پن‌رز را به چالش می‌کشد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هنگامی‌که تناقض ایجاد می‌شود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 را که نیروی استدلال ما می‌تواند با یک سیستم فورمال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مثال ما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منطبق شود، مقصر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تناقض در جایی به جز این فرض محاسبه‌گرا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دانستن سازواری است که باید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 سازوار باشیم، اما ما نمی‌توانیم ضرورتاً بدانیم که سازوار هستیم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Chalmers, 1995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پیش از این دیدیم، پاتنم هم مشکل را دقیقاً در همین فرض دانسته بود و درنتیجه چالمرز نیز با او هم‌عقیده است که ما نمی‌توانیم به‌ضرورت سازواربودن خودمان را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گره اصلی بحث همین‌جاست و برای ارزیابی استدلال‌های مربوط به قضیۀ گودل در هوش مصنوعی باید دربارۀ این ادعا داوری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ارزیابی</w:t>
      </w:r>
    </w:p>
    <w:p>
      <w:pPr>
        <w:pStyle w:val="BookText"/>
        <w:rPr/>
      </w:pPr>
      <w:r>
        <w:rPr>
          <w:rFonts w:ascii="IRNazanin" w:hAnsi="IRNazanin" w:eastAsia="IRNazanin"/>
          <w:color w:val="111111"/>
          <w:sz w:val="28"/>
          <w:sz w:val="28"/>
          <w:szCs w:val="28"/>
          <w:rtl w:val="true"/>
          <w:lang w:bidi="fa-IR"/>
        </w:rPr>
        <w:t>به نظر می‌رسد دست‌کم تا جایی که به ذهنیت پژوهشگران هوش مصنوعی و تعریف خود تورینگ از ماشین تورینگ باز می‌گردد، چالمرز و پاتنم در اشتباه باشند و به فرض ماشین تورینگ سازواری نیز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اصلی روش تورینگ آن است که تفکر و پردازشگری ذهنی چیزی جز همین محاسبۀ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ریاضیاتی نیست؛ یعنی یک سری آگزیوم و قواعد محاسباتی وجود دارد که می‌توان همۀ کارکردهای ذهنی را به وسیلۀ الگوریتم‌های نوشته‌شده بر اساس آنها در ماشین تورینگ پیاده‌سازی کرد؛ اما اگر این نظام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محاسباتی با تناقض درونی همراه باشد، ایدۀ تورینگ از اساس به چالش کشیده خواهد 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Turing, 1950, p.449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چالمرز بار دیگر راه چاره را در استناد به شبکه‌های عصبی پیوندگرا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نقد پن‌رز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پن‌رز چگونه استدلال می‌کند که ما می‌توانیم ببینیم که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مثال ما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سازوار است؟ او در بخش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می‌کند که ما می‌توانیم </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به‌مثابه یک سیستمی از آگزیوم‌ها و قواعد استنباط در نظر آوریم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Chalmers, 1995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سیستم ساخته‌شده از آگزیوم‌های سازوار به اضافۀ قواعد استنباط سازوار خود نیز سازوار است؛ ولی چالمرز در ادامه معتقد است که همۀ پروژه‌های هوش مصنوعی را </w:t>
      </w:r>
      <w:bookmarkStart w:id="441" w:name="pg5834_42015"/>
    </w:p>
    <w:p>
      <w:pPr>
        <w:pStyle w:val="BookText"/>
        <w:rPr/>
      </w:pPr>
      <w:bookmarkEnd w:id="441"/>
      <w:r>
        <w:rPr>
          <w:rFonts w:ascii="IRNazanin" w:hAnsi="IRNazanin" w:eastAsia="IRNazanin"/>
          <w:color w:val="111111"/>
          <w:sz w:val="28"/>
          <w:sz w:val="28"/>
          <w:szCs w:val="28"/>
          <w:rtl w:val="true"/>
          <w:lang w:bidi="fa-IR"/>
        </w:rPr>
        <w:t>نمی‌توان به این آگزیوم‌ها و قواعد تجزیه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در حوزۀ موجود تحقیق هوش مصنوعی فرایندهای محاسباتی بسیاری وجود دارند، برای نمونه شبکه‌های پیوندگرا که به آگزیوم‌ها و قواعد استنباط تجزیه نمی‌شود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Ibid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شبکه‌ها به گونه‌ای کل‌گرایانه به سوی پاسخ حرکت می‌کنند و هیچ الگوریتم برنامه‌نویسی شدۀ جامعی بر آنها حاکم نیست که سازواری آنها را تضمین کند؛ پس نمی‌توان سازواری این شبکه‌ها را نشان داد و ازاین‌رو نقد پن‌رز بر آنها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دفاع پاتنم از هوش مصنوعی در برابر نقد نیگل و نیومن نادرست است؛ چراکه وی تنها ماشین‌های تورینگ کلاسیک را مد نظر داشته است؛ اما چالمرز تا جایی که سخنش را به شبکه‌های عصبی پیوندگرا محدود نماید، دفاع درستی از هوش مصنوعی در برابر نقدِ پن‌رز و هر نوع نقد دیگری که بر پایۀ فرضیۀ گودل صورت‌بندی شده باشد، عرضه کرده است</w:t>
      </w:r>
      <w:r>
        <w:rPr>
          <w:rFonts w:eastAsia="IRNazanin" w:cs="IRNazanin"/>
          <w:color w:val="111111"/>
          <w:sz w:val="28"/>
          <w:szCs w:val="28"/>
          <w:rtl w:val="true"/>
          <w:lang w:bidi="fa-IR"/>
        </w:rPr>
        <w:t>.</w:t>
      </w:r>
    </w:p>
    <w:p>
      <w:pPr>
        <w:pStyle w:val="Heading3"/>
        <w:numPr>
          <w:ilvl w:val="2"/>
          <w:numId w:val="1"/>
        </w:numPr>
        <w:rPr/>
      </w:pPr>
      <w:bookmarkStart w:id="442" w:name="__RefHeading___Toc4693277_581953129"/>
      <w:bookmarkStart w:id="443" w:name="_Toc163"/>
      <w:bookmarkEnd w:id="442"/>
      <w:r>
        <w:rPr>
          <w:rtl w:val="true"/>
        </w:rPr>
        <w:t>نتیجه‌گیری</w:t>
      </w:r>
      <w:bookmarkEnd w:id="44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هدف مقالۀ پیش رو این بوده است که یک صورت‌بندی کلی از جایگاه فلسفی هوش مصنوعی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مهم‌ترین صورت‌بندی‌های عرضه‌شده از این جایگاه از سوی پاتنم، دنت و سرل طرح و ارزیابی شد و نقاط ضعف هر یک از اینها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صورت‌بندی برگزیده به کمک آزمون تورینگ و با تفکیک دو تراز فلسفه‌علمی و فلسفه‌ذهنی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پرسش اصلی در تراز فلسفه‌علمی‌این بود که آیا دانش هوش مصنوعی می‌تواند ماشینی بسازد که در آزمون نامحدود تورینگ پیروز شود؛ یعنی همۀ مهارت‌های هوشمندانۀ انسانی را پیاده‌سازی کند یا خیر؟ به بیان دیگر و با استفاده از تعابیر سرل، آیا هوش مصنوعی ضعیف پیروز خواهد شد؟ بدین ترتیب، بر خلاف باور عمومی که هوش مصنوعی ضعیف را فاقد اهمیت فلسفی می‌داند، در این پژوهش نشان داده شد که بسیاری از مهم‌ترین گفت‌وگوهای فلسفی در هوش مصنوعی، ازجمله بیشتر نقدهای دریفوس و دفاع‌های دنت، دربارۀ هوش مصنوعی ضعیف و در تراز فلسفه‌علمی بوده است؛ اما پرسش اصلی در تراز فلسفه‌ذهنی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ماشینی ساخته شود که همۀ کارکردهای هوشمندانه را پیاده‌سازی کند و در آزمون </w:t>
      </w:r>
    </w:p>
    <w:p>
      <w:pPr>
        <w:pStyle w:val="BookText"/>
        <w:rPr/>
      </w:pPr>
      <w:r>
        <w:rPr>
          <w:rFonts w:ascii="IRNazanin" w:hAnsi="IRNazanin" w:eastAsia="IRNazanin"/>
          <w:color w:val="111111"/>
          <w:sz w:val="28"/>
          <w:sz w:val="28"/>
          <w:szCs w:val="28"/>
          <w:rtl w:val="true"/>
          <w:lang w:bidi="fa-IR"/>
        </w:rPr>
        <w:t>تورینگ پیروز شود، آیا بدین معناست که ذهن دارد؟ به بیان دیگر آیا هوش مصنوعی الگوی مناسبی برای ذهن فراهم می‌آورد؟</w:t>
      </w:r>
    </w:p>
    <w:p>
      <w:pPr>
        <w:pStyle w:val="BookText"/>
        <w:rPr/>
      </w:pPr>
      <w:r>
        <w:rPr>
          <w:rFonts w:ascii="IRNazanin" w:hAnsi="IRNazanin" w:eastAsia="IRNazanin"/>
          <w:color w:val="111111"/>
          <w:sz w:val="28"/>
          <w:sz w:val="28"/>
          <w:szCs w:val="28"/>
          <w:rtl w:val="true"/>
          <w:lang w:bidi="fa-IR"/>
        </w:rPr>
        <w:t>با داشتن این صورت‌بندی کلی، فرد می‌تواند ترازهای گوناگون بحث فلسفی در هوش مصنوعی را از هم تفکیک کند و لابه‌لای گفت‌وگوهای پیچیدۀ فیلسوفان در این حوزه سردرگم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ادامۀ مقاله بر پایۀ این صورت‌بندی مهم‌ترین مسئله‌های هر یک از دو تراز فلسفه‌علمی و فلسفه‌ذهنی را طرح و ارزیابی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 فلسفه‌علمی دیدیم که دریفوس، پس از آنکه در طی پنجاه سال، صورت‌بندی‌های گوناگونی از چالش اصلی هوش مصنوعی ارائه می‌کند، سرانجام صورت‌بندی دنت ذیل مسئلۀ چارچوب را مهم‌ترین معیار برای موفقیت هوش مصنوعی در آزمون تورینگ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مشاهده کردیم دنت که خود همواره بزرگ‌ترین مدافع هوش مصنوعی بوده است، این نقد را می‌پذیرد که تابه‌حال هیچ راه‌حل روشنی برای مسئلۀ چارچوب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گواه بر این مدعاست که هوش مصنوعی ضعیف با سدی بلند به نام مسئلۀ چارچوب در راه موفقیت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دیدیم دنت کاملاً در اشتباه است که فکر می‌کند پیش از هوش مصنوعی مسئلۀ چارچوب در فلسفه صورت‌بندی نشده است و مسئلۀ چارچوب به عنوان مسئلۀ چگونگی روبه‌رویی با امر غیرمنتظره و پیش‌بینی‌ناشده در فلسفه‌های پدیدارشناختی با تعابیر گوناگون صورت‌بندی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تراز فلسفه‌ذهنی نیز سه مسئلۀ اصلی را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مسئلۀ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مغالطۀ آدمک به کمک نقد سرل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دادیم که ادعای دنت مبنی بر اینکه هوش مصنوعی با تجزیۀ بازگشتی، مغالطۀ آدمک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 دنت، مسئلۀ 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کرده است، از اساس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 در مغالطه‌ای آشکار از تراز معنادار ذهنی به تراز فاقد معنای فیزیکی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هوش مصنوعی با ارتکاب مغالطۀ آدمک امر ذهنی را به چیزی در نگاه بیننده و درنتیجه نسبی و دلخواهانه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دو مسئلۀ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استدلال اتاق چینی و نقد بر پایۀ فرضیۀ گودل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چالمرز دفاع نسبتاً مناسبی از شبکه‌های عصبی پیوندگرا در هوش مصنوعی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هستۀ اصلی استدلال اتاق </w:t>
      </w:r>
    </w:p>
    <w:p>
      <w:pPr>
        <w:pStyle w:val="BookText"/>
        <w:rPr/>
      </w:pPr>
      <w:r>
        <w:rPr>
          <w:rFonts w:ascii="IRNazanin" w:hAnsi="IRNazanin" w:eastAsia="IRNazanin"/>
          <w:color w:val="111111"/>
          <w:sz w:val="28"/>
          <w:sz w:val="28"/>
          <w:szCs w:val="28"/>
          <w:rtl w:val="true"/>
          <w:lang w:bidi="fa-IR"/>
        </w:rPr>
        <w:t>چینی آن است که سینتکس برای سمانتیک کافی نیست؛ ولی چالمرز نشان داد که این گزارۀ زمانی درست است که امر سینتتیک و امر سمانتیک در یک تراز باشند؛ مانند جمله‌های زبانی که در آنها سینتکس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تولید معنا کافی نیست؛ اما اگر در یک تراز نباشند، این گزاره درست نیست؛ برای نمونه رفتار مغز در تراز فیزیکی از سینتکس فیزیکی پیروی می‌کند و در ترازی دیگر، همین مغز معنا را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شبکه‌های عصبی پیوندگرا که در آنها تراز سینتتیک متفاوت با تراز سمانتیک است، از نقد سرل مصون خواهند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مسئلۀ سوم نیز چالمرز نشان می‌دهد شبکه‌های عصبی پیوندگرا از گزند نقد بر پایۀ فرضیۀ گودل در امان هستند؛ زیرا این شبکه‌ها از اساس یک سیستم فورمال سازوار با الگوریتم‌های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محاسباتی نیستند که تئوری گودل دربارۀ آنها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نقد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استدلال اتاق چینی و نقد بر پایۀ تئوری گودل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شبکه‌های عصبی پیوندگرا وارد نیست؛ اما اولاً نقد نخست، یعنی مغالطۀ آدمک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نوع صورت‌بندی دیگری از مسئلۀ امر سوبژکتیو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جریان پیوندگرا نیز وارد است؛ ثانیاً نکتۀ مهم آن است که این دو نقد در صدد بوده‌اند که نشان دهند هوش مصنوعی به عنوان یک تئوری برای ذهن، غلط است و از اینکه این دو نقد وارد نیست، هرگز نمی‌توان نتیجه گرفت که هوش مصنوعی الگوی درستی برای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در این مورد به حل مسئله‌های کلان فلسفۀ ذهن منوط است و ازاین‌رو هوش مصنوعی در همۀ اشکالش راه درازی تا موفقیت در تراز فلسفۀ ذهن دارد</w:t>
      </w:r>
      <w:r>
        <w:rPr>
          <w:rFonts w:eastAsia="IRNazanin" w:cs="IRNazanin"/>
          <w:color w:val="111111"/>
          <w:sz w:val="28"/>
          <w:szCs w:val="28"/>
          <w:rtl w:val="true"/>
          <w:lang w:bidi="fa-IR"/>
        </w:rPr>
        <w:t xml:space="preserve">. </w:t>
      </w:r>
      <w:bookmarkStart w:id="444" w:name="pg5834_42018"/>
    </w:p>
    <w:p>
      <w:pPr>
        <w:pStyle w:val="Heading3"/>
        <w:numPr>
          <w:ilvl w:val="2"/>
          <w:numId w:val="1"/>
        </w:numPr>
        <w:rPr/>
      </w:pPr>
      <w:bookmarkStart w:id="445" w:name="__RefHeading___Toc4693279_581953129"/>
      <w:bookmarkStart w:id="446" w:name="_Toc164"/>
      <w:bookmarkEnd w:id="444"/>
      <w:bookmarkEnd w:id="445"/>
      <w:r>
        <w:rPr>
          <w:rtl w:val="true"/>
        </w:rPr>
        <w:t>منابع و مآخذ</w:t>
      </w:r>
      <w:bookmarkEnd w:id="4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خلج، محمدحسین و محمدتقی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کارکردگرایی تا بسترگرایی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گفت‌وگوی دریفوس و پاتنم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مجلۀ فلسفه، ش</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محمدعلی خلج،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دریفوس و تاریخ فلسفی هوش مصنوعی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مجلۀ غرب‌شناسی بنیادی، ش</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Chalmers, D; “Subsymbolic Computation and the Chinese Room The Symbolic and Connectionist Paradigms: Closing the Gap”; Lawrence Erlbaum, J Dinsmore Addressing from this site: http://consc.net/papers/subsymbolic.pdf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softHyphen/>
        <w:softHyphen/>
        <w:softHyphen/>
        <w:t>_____; “</w:t>
      </w:r>
      <w:r>
        <w:rPr>
          <w:rFonts w:eastAsia="Times New Roman" w:cs="Times New Roman" w:ascii="Times New Roman" w:hAnsi="Times New Roman"/>
          <w:color w:val="111111"/>
          <w:sz w:val="28"/>
          <w:szCs w:val="28"/>
          <w:lang w:val="en-US" w:bidi="en-US"/>
        </w:rPr>
        <w:t>Minds, Machines, and Mathematics. Published in a PSYCHE symposium on Roger Penrose's book Shadows of the Mind in 1995”; http://consc.net/papers/penrose.html,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A Computational Foundation for the Study of Cognition; http://moodle.tau.ac.il/mod/resource/view.php?id=341764&amp;redirect=1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Clark 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Philosophical Foundations” in Artificial intelligence, edit. Margaret Boden, Academic Press, Ing,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Dennett, D.C; Content and Consciousness; Routledge &amp; Kegan Paul, 1969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Cognitive Wheels: The Frame Problem of AI”; Minds, Machines and Evolution; Cambridge: Cambridge University Press, 1984, pp.129–151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Artificial intelligence as Philosophy and Psychology”; in Brainchildren Essays on Designing Minds; Cambridge, Mass.: MIT Press,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When philosophers encounter Artificial intelligence”; Brainchildren Essays on Designing Minds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Cambridge, Mass.: MIT Press, 1981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Dreyfus, Hubert L; “Phenomenology and Mechanism”; Noûs; Vol.5, Feb., 1971, pp.9-81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What Computers Can't Do: A Critique of Artificial Reason; Harper and Row, 1979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Being-in-the-world: A Commentary on Heidegger's Being and Time; División I, MIT Press, 1991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What Computers Still Can't Do; New York: MIT Press,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Why Heideggerian AI Failed and how Fixing it would Require making it more Heideggerian”; Addressing from this site: http://leidlmair.at/doc/WhyHeideggerianAIFailed.pdf,2007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Dreyfus, H. and Dennett; Mechanical Bodies; Computational Minds A Bradford Book,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Dreyfus, H and Stuart Dreyfus; Mind Over Machine: The Power of Human Intuition and Expertise in the Era of the Computer; New York: Free Press, 1986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McCarthy, J; “What has AI in common with philosophy”; Addressing from this site: http://www-formal.stanford.edu/jmc/,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Nagel and Newman; “Communication”; The Journal of Philosophy, Vol.58, N.8, 1961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Penrose, Roger; Beyond the Doubting of a Shadow: A Reply to Commentaries on Shadows of the Mind, Cambridge: Cambridge University Press, 1996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Putnam, H; “Minds and machines; Dimensions of Mind, ed. Sidney Hook”; New York: Published in Mind, Language and Reality; Philosophical Papers, Vol.2, Cambridge University Press 1975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Russell, S and p. Norvig; “Modern Approach”; Pearson Education International, Second edition, 2003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Searle, J.R; “Minds, brains, and programs”; Behavioral and Brain Sciences, Vol.3, 1980, pp.417-457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Rediscovery of the mind; Cambridge, Mass.: MIT Press, 1992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._____; “</w:t>
      </w:r>
      <w:r>
        <w:rPr>
          <w:rFonts w:eastAsia="Times New Roman" w:cs="Times New Roman" w:ascii="Times New Roman" w:hAnsi="Times New Roman"/>
          <w:color w:val="111111"/>
          <w:sz w:val="28"/>
          <w:szCs w:val="28"/>
          <w:lang w:val="en-US" w:bidi="en-US"/>
        </w:rPr>
        <w:t>Is the brain a digital computer?”; Proceeding and addresses of the American philosophical association, Vol.64, N.3, 1990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._____; </w:t>
      </w:r>
      <w:r>
        <w:rPr>
          <w:rFonts w:eastAsia="Times New Roman" w:cs="Times New Roman" w:ascii="Times New Roman" w:hAnsi="Times New Roman"/>
          <w:color w:val="111111"/>
          <w:sz w:val="28"/>
          <w:szCs w:val="28"/>
          <w:lang w:val="en-US" w:bidi="en-US"/>
        </w:rPr>
        <w:t>The Mystery Of Consciousness; New York: The New York Review of Books, 1997</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Turing, A.M. “Computing machinery and intelligence”; Mind, Vol.59, 1950, pp.433-460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منطق فهم دین پژوهشگاه فرهنگ و اندیشه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shakerinh@gmail.com</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فالارواح کلها حتی روح نبینا واوصیائه جسم و مادی ولیست بمجردۀ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ن حال تا عن الماده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واعظ حلبی،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مهدی اصفهانی،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رحمة الله در تفسیر گران‌قدر المیزان با استفاده از قرائن داخلی آیات، اطلاق آیه را ناظر به علوم حصولی اکتسابی در دنیا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داند، نه علم حضوری نفس به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طباطبائی،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نویسنده این مبحث را در مقالة دیگری بررسی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شاکرین،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 بذلک أنّک لو سألتهم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تعلمون حضور الشی‌ء عند النفس أو هل تعلمون الصورة الحاصلة، أو حصول تلک الصورة عند النفس لقالوا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ذا تعلمونها؟ وبم صارت معلومة عندکم؟ فما یعلم به تلک الامور هو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مروارید،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التعلیم فی العلوم الالهیه انما هو باخراج الناس من ظلمات التصورات والتصدیقات المظلمة بالذات التی لا امان من خطائها، وادخالهم و سوقهم الی النور بوجدانهم للانوار القدسیة التی هی نور العقل والعلم والفهم، فیعرفوها بها لا بغیرها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اصفهانی،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ان وجدان هذه النوار یکون باذن الله، وهو – ای الوجدان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القرب والکرامه، فهو یدور مدار الطاعة والتقوی، فیختلف درجات الناس فی وجدانهم لتلک الانوار حسب افاضته جل جلاله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حضور شیئی نزد نفس، حضور امری مجرد است و آن یا حقیقتی است که وجود عینی آن مجرد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نفس و حالت‌های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صورتی از واقعیتی است که اگر خود آن، شیئی مجرد نباشد، صورت علمیة بیانگر آن، مجرد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نشان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دهد که این نور خارجی خارج از ذات معلومات است و تعبیر‌های بعدی نشان‌دهندۀ خارجی‌بودن آن از نفس انسان نیز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خوانندۀ محترم توجه دارد که این حضور، اولاً حضور امر مجرد است، مانند حالت‌های نفسانی؛ ثانیاً نزد خود نفس است، نه مانند حضور اشیای خارجی در کنار بدن یا در میدان دید و امثال آن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مسئلۀ مطابقت ناظر به علم حصولی و قضایاست؛ اما در علم حضوری که عین معلوم نزد عالم است یا متحد با آن است و واسطه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ای در کار نیست، جایی برای این مسئله وجود ندارد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مطالعۀ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فعالی،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حکیمی،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خسروپناه،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حکمت متعالیه پژوهشگاه علوم انسانی و مطالعات فرهنگی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پژوهشی حکمت معاصر پژوهشگاه علوم انسانی و مطالعات فرهنگی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پژوهشی حکمت معاصر پژوهشگاه علوم انسانی و مطالعات فرهنگی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دارونما قرصی است که کاملاً شبیه قرص اصلی ساخته شده است، ولی هیچ خاصیتی یا عوارضی ندارد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داروی روان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گردان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بْنِ زِیَادٍ وَأَحْمَدَ بْنِ مُحَمَّدٍ عَنْ عَلِیِّ بْنِ أَحْمَدَ بْنِ أَشْیَمَ عَنِ الْقَاسِمِ بْنِ مُحَمَّدٍ الْجَوْهَرِیِّ عَنْ حَرِیزِ بْنِ عَبْدِ اللَّهِ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وُلِدَ عَلَی عَهْدِ أَمِیرِ الْمُؤْمِنِینَ علیه السلام مَوْلُودٌ لَهُ رَأْسَانِ وَصَدْرَانِ فِی حَقْوٍ وَاحِدٍ فَسُئِلَ أَمِیرُ الْمُؤْمِنِینَ علیه السلام یُوَرَّثُ مِیرَاثَ اثْنَیْنِ أَوْ وَاحِدٍ فَقَالَ یُتْرَکُ حَتَّی یَنَامَ ثُمَّ یُصَاحُ بِهِ فَإِنِ انْتَبَهَا جَمِیعاً مَعاً کَانَ لَهُ مِیرَاثُ وَاحِدٍ وَإِنِ انْتَبَهَ وَاحِدٌ وَبَقِیَ الْآخَرُ نَائِماً یُوَرَّثُ مِیرَاثَ اثْنَیْنِ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معرفت‌شناسی پژوهشگاه فرهنگ و اندیشه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idadjoo@gmail.com</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ذات‌گرایی به معنای باور به وجود داشتن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خواص ذاتی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چیز، و واقع‌گرایی به معنای باور به مطابقت معرفت ما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ذات‌گرایی در هستی‌شناسی پایه واقع‌گرایی در معرفت‌شناسی و روش‌شناسی، و ضدّذات‌گرایی در هستی‌شناسی پایه ضدّواقع‌گرایی در معرفت‌شناسی و روش‌شناسی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حوزه سنّت اروپایی فلسفه، در هر دو عرصه علوم‌طبیعی و علوم‌انسانی، می‌توان سه دیدگاه غیرذات‌گرایانه وغیرواقع‌گرایانه را نیز از یکدیگر تشخیص داد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 ارسطو و ارسطوئیان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لا فی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 است که نه بر موضوعی حمل می‌شود و نه در موضوعی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Aristotl, 1995, 5, P.12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چیزی است که به چیزی متعلق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1025a, p.15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این روی، موجودی که قائم بالذات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موجودی که قائم بالعرض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ارسطو فقط افراد و اشخاص را که موضوع همه محمول‌ها واقع می‌شوند امّا خود محمول چیزی واقع نمی‌شوند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در نزد ارسطو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92b, p.9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هم در فلسفه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الفارابی،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ابن‌سینا،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گذاشته شده است، اما از آنجا که این فرق‌گذاری در ذهن و عقل است و در خارج وجود و ذات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 و اشخاص از یکدیگر جدا نیست و بلکه عین هم هستند و بلکه اصلاً در خارج چیزی جز وجود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قوی‌ترین تفسیری است که از اصالت وجود صدرائی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فیاضی،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می‌رسد در میان ممکن‌الوجودها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 لا فی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بالذات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همان افراد و اشخاص،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روی، در میان متقدمان،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چیز عبارت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حقیقت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ذات‌گرایی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ذات‌گرایی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آورده‌ام که عمدتاً ذات‌گرایان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طریق جنس و فصل قابل شناخت می‌دانستند، هرچند عده‌ای همچون ابن‌سینا نیز شناخت فصل حقیقی و از این روی شناخت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بسیار دشوار دانسته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قسمت ج مقاله به استناد اشاره خواهم داشت که پژوهش‌های دانشمندان گویای این هستند که کودکان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دنیا می‌آیند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ارسطو جوهر و ذات یک چیز همۀ حقیقت یک چیز است؛ ولی بعدها نزد امثال ابن‌سینا هر شیء ممکن مرکب از ذات و وجود است و بنابراین ذات نه همۀ حقیقت یک چیز، بلکه ماهیت و چیستی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ذات‌گرایی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به‌ویژه در سال‌های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بحث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گره خورده است و 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مستلزم موجودبودن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دستۀ خواص با هم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Bird, 2015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 Bird, 2009, p.497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استرول،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رعایت جهرمی،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مشاهدۀ برداشت سنکی و الیس از این جریان،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Sankey, 2013, p.82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لیزا فلدمن بارت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Lisa Feldman Barrett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گزارش خود به بنیاد مرز 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Edge</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دربارۀ دیدگاه‌های ذات‌گرایانه، در باب ذهن، درحالی‌که عوامل طبیعی را پیچیده دانسته و هشدار می‌دهد نباید عوامل روانی را به عامل واحد ذات تحویل برد، تصریح دارد پژوهش‌های دانشمندان بیانگر آن است که کودکان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دنیا می‌آیند و در روان‌شناسی هنوز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نظریۀ رایجی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همان‌گونهکه در درون جریان انگلیسی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آمریکایی افرادی چون پوپر، اتریشی است و از اهالی انگلیس و آمریکا نیست، در درون جریان آمریکایی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استرالیایی نیز افرادی همچون پسیلوس، یونانی و برد، انگلیسی هستند و از اهالی آمریکا و استرالیا نیستند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جایی دیگر به این بحث پرداخته‌ام که فیلسوف مسلمانی همچون ابن‌سینا نیز استقرای مبتنی بر کشف خواص ذاتی شیء را مفید علم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دادجو،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 دوم، فصل چهارم، فقرۀ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روش علوم طبیعی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نسبیّت از نسبیت خاص و نسبیت عام تشکیل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نسبیت خاص بر دو پایه‌ای استوار است که در تناقض با فیزیک نیوتنی قرار 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فیزیک در هر دستگاه لختی برای همه اجسام یکسان و واحد هستند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سرعت نور در خلاء برای همه ناظران، صرفنظر از حرکت نسبی‌شان یا حرکت منبع تولیدکننده نور،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نسبیت عام بیان می‌کند که نسبیت خاص و گرانش نیوتن توصیف یکتایی از گرانش را به عنوان ویژگی هندسی کلّ فضا و زمان به دست می‌دهند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نسبیت بیان می‌کند که معادلات بیان‌کننده قوانین طبیعی در همه چهاچوب‌های مرجع به نحو واحدی هستند و از این جهت که همخوانی بهتری با آزمایش‌های تجربی دارد ابزار بسیار مهمی برای کشف شکل صحیح جهان فرامیکروسکوپی و قوانین طبیعی حاکم بر آن واقع شده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کوانتوم شاخه‌ای بنیادی از فیزیک نظری است که با پدیده‌های فیزیکی در مقیاس میکروسکوبی سروکار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اصلی‌ترین تفاوت فیزیک کوانتومی با فیزیک کلاسیک در این است که فیزیک کوانتومی از ذرات در اندازه‌های اتمی و زیراتمی توصیفی سازگار با آزمایش‌ها به دست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 کوانتوم به همراه فیزیک نسبیت پایه‌های فیزیک جدید را تشکیل می‌دهند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ذات‌گرایی فیزیک پیشانیوتنی، همچون فیزیک ارسطوئی، بطلمیوسی، سینوی و آکوئینی، برای مثال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کرومبی،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دادجو،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واقعیت‌های کوانتومی و فیزیک کوانتوم دو تفسیر به دست داده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تفسیری است که تحت تأثیر پوزیتیویسم آن زمان، جهان کوانتومی و ذرّات مشاهده‌ناپذیر را نه موجود بلکه مخلوق ناظران ذی‌شعور و بنابراین نوعی صوری‌سازی ریاضی می‌داند و به مکتب کپنهاکی مشهور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دیگری تفسیری است که جهان کوانتومی و ذرّات مشاهده‌ناپذیر را مستقل از ذهن آدمی موجود و دارای ذات و خواص ذاتی واقعی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خصوص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ذات‌گرایی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پی تفسیر دوم به بار نشسته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ایران با مبانی فلسفی فیزیک کوانتوم، خود فیزیک کوانتوم و لوازم علمی آن آشناییم، اما از لوازم فلسفی و بهخصوص از لوازم فلسفه علمی آن، که عمدتاً همین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جریان ذات‌گرایی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ناآگاهیم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فلسفه علم یا فلسفه‌ای بر بنیاد فیزیک کوانتوم بنا نشود اگر هم ضدّواقع‌گرا نباشد واقع‌گرای خام و غیرعلمی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واقع‌گرایی علمی به تبع فیزیک کوانتوم به وجود آمده است و اکنون مسائل را بدون واقع‌گرایی علمی نمی‌توان حلّ کرد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بدون اینکه توجه داشته باشیم علم دینی یا علوم انسانی اسلامی نیز یک واقعیتی است و هر واقعیتی دارای خواص ذاتی و عرضی است و علم دینی یا علوم انسانی اسلامی بودن یک علم به خواص ذاتی آن است، این ادعا به وجود آمده است که با نگاه پارادایمی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نگاه نسبی‌گرایانه امثال توماس کوهن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دینی را از منظر پارادایم دینی توضیح دهند و چون از منظر پارادایم دینی توضیح می‌دهند، در پارادایم خود دچار تشتّت شده و از علم دینی تفسیرهای بسیار گوناگونی به دست می‌دهند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اکنون واقع‌گرایی در این حدود را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واقع‌گرایی خام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واقع‌گرایی غیرعلمی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تعبیری ساده‌تر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واقع‌گرایی عامیانه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کرد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هرچند واقع‌گراییم، واقع‌گرایی ما واقع‌گرایی غیرعلمی است و روش علمی واقع‌بینانه حلّ مسائل را نمی‌دانیم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نمی‌دانیم که علوم و بهخصوص علوم انسانی، دارای کدامین روش علمی واقع‌بینانه‌اند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ضدّواقع‌گرایی ضدّواقع‌گرایان در عرصه عالم طبیعت و علوم طبیعی به ضدّواقع‌گرایی آنان در سایر عرصه‌ها نیز دامن زد، واقع‌گرایی ما در عرصه علوم طبیعی و به‌تبع آن در عرصه فلسفه علم، می‌تواند به واقع‌گرایی ما در سایر عرصه‌ها رهنمون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علم و فناوری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صنعتی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ahangir_m@mehr.sharif.ir</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فلسفه دانشگاه مفید قم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فلسفه دانشگاه بین‌المللی امام خمینی رحمة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mdahaqin@gmail.com</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فلسفه دانشگاه بین‌المللی امام خمینی رحمة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ahesamifar@yahoo.com</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گروه فلسفه دانشگاه بین‌المللی امام خمینی رحمة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dr-sayf2003@yahoo.com</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فلسفه دانشگاه بین‌المللی امام خمینی رحمة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mh.haydari@yahoo.com</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دیگر کاربرد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آثار ویتگنشتاین عبارت‌اند از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نقد تفاسیری که ویتگنشتاین را قائل به تکثر صورت‌های زندگی می‌دانند، می‌گوید که از میان پنج کاربرد این تعبیر در پژوهش‌های فلسفی، تنها یک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تعبیر به صورت جمع به کار رفته است و در آنجا هم ظاهراً کاربرد صیغه جمع بخش ضروری از پیش‌فرض بحث دربارۀ زبان نیست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Garver, 1990, p.179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ملکوم مفهوم خدا چونان خالق جهان کمتر مطمح نظر ویتگنشتاین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گواینکه مفهوم داوری آخر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Last Judgment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وی اساسی و قابل توجه بوده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Malcolm,1993, p.9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نظر ویتگنشتاین رنگ‌ها، اشیایی مانند نمک یا علف</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تنها در اشیا و در وابستگی به اشیا وجود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سرخ در گل رز، ماشین و خون وجود ندارد؛ هرچند این چیزها همه سرخ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رنگ‌ها اشیایی از نوع متفاوت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سفید و خاکستری مثلاً مشترکاتی دارند که سرخ و سبز ندارند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فسنکول،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نیکولاس گیر در 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ویتگنشتاین و صورت‌های زندگی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اشاره به اقسام تفاسیری که هانتر به آنها اشاره می‌کند، فهرست فیلسوفان قائل به هر یک از این تفاسیر را با ذکر مشخصات آثار ایشان بیان می‌کند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Gier, 1980, p.243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اخلاق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muhammadimunfared@ut.ac.ir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دریافت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تعبیر طبیعت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گرایی در زمان این فیلسوفان رایج و متعارف نبوده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لوین نیز میل را به عنوان یک طبیعت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گرای فرااخلاقی توصیف کرده 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 وی یک معنای تحلیلی از مفهوم مطلوب ارائه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کند، برای آنچه صلاحیت دارند، مردم انجام دهند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Levin, 1969, p.294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وست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گوید که اخلاق میل به این معنا طبیعت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گرایانه است که توسل او به واقعیاتی که مردم به آن گرایش دارند و دلیلی است برای آنچه مطلوب است؛ عبارت از توسل به واقعیاتی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ناطبیعی یا فوق 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ممکن است به وسیلۀ پژوهش‌های علمی توصیف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به وسیلۀ 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این یک معنای تحلیلی نیست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West, 1975, p.67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تبیین دقیق وجه پذیرش مبناگرایی بر انسجام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گرایی و زمینه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گرایی مجال گسترده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طلبد و در این نوشتار فرض را بر پذیرش مبناگرایی دانسته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ایم؛ چنان‌که بیشتر اندیشوران اسلامی نیز مبناگرایی در توجیه را بر انسجام</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گرایی و زمینه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گرایی غلبه داده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برخی اندیشوران گزاره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اخلاقی بدیهی را گزاره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هایی تحلیلی و یا اولی می‌دانند که در این صورت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توان آن را متفاوت از شهود عقلی به شمار آورد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 منطقی بسیاری در مورد شکاف باید – هست صورت گرفته است و ازآنجاکه تمرکز این نوشتار بر حیث معرفت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شناختی است، مباحث منطقی را در فرصت دیگری بررسی کرده و در اینجا تنها به پیش</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فرض</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بسنده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دیدگاه جان آر سرل همراه با نقدهای وارد بر آن، از سوی فیلسوفان، مفصل در کتاب ذیل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معرفت‌شناسی پژوهشگاه فرهنگ و اندیشه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qaeminia@yahoo.com</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گروه کلام امامیه دانشگاه قرآن و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nosrati546@yahoo.com</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دکترا رشته علوم قرآن و حدیث دانشگاه قرآن وحدیث قم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 مسئول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فلسفه غرب معاصر دانشگاه شهید بهشتی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mhmakh@gmail.com</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کارکردگرایی ماشینی پاتنم و دلایل چرخش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محمدعلی‌خلج،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دریفوس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پدیدارشناسی و مکانیزم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می‌دهد که الگوی تورینگ از ذهن که از سوی پاتنم ارائه شده است، فاقد محتواست؛ یعنی ورودی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خروجی‌ها و قواعد حاکم بر ذهن به‌مثابه ماشین تورینگ مشخص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پژوهشگران هوش مصنوعی می‌کوشند همین ورودی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خروجی‌ها و قواعد را کشف کنند و به تئوری پاتنم محتوا ببخشند؛ اما اگر ایشان شکست بخورند، تئوری پاتنم دربارۀ ذهن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الگوی تورینگ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شکست خورده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سرنوشت هوش مصنوعی و الگوی تورینگ از هم جدا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محمدعلی‌خلج،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مثال هندسه، دنت مثال دیگر چرخ را نیز برای رساندنِ منظورش می‌زند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دنت می‌گوید ما در طبیعت برای حرکت چرخ نداریم و چرخ ساختۀ بشر است؛ اما می‌دانیم قواعد حرکت چه در چرخ چه در طبیعت، یکسان است و با کشف قواعد کلی حاکم بر حرکت چرخ می‌توان قواعد حاکم بر حرکت در طبیعت را نیز کشف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همین قیاس دربارۀ شناخت نیز ما در طبیعت نرم‌افزار نداریم، اما قواعد کلیِ حاکم بر شناخت چه در طبیعت چه در نرم‌افزار یکی است؛ ازاین‌رو دنت نرم‌افزارهای هوش مصنوعی را چرخ‌های شناختی می‌نامد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Dennet 1984, p200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دیوید چالمرز به صورتی عجیب، از یک سو مدافع ذهن‌مندی هوش مصنوعی است و از سوی دیگر حالت‌های شناختی را موجود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سرل به‌خوبی تضاد این دو رویکرد را که چالمرز می‌کوشد با هم جمع کند، نشان می‌دهد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See: Searle, 1997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تورینگ آزمونش را همچون یک بازی این‌گونه توصیف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بازی با سه نفر انجام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یک زن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یک بازپرس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می‌تواند هر جنسیتی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بازپرس در یک اتاقی جدا از دو نفر دیگر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بازی برای بازپرس این است که باید تعیین کند که کدام یک از این دو، مرد و کدام یک، زن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آنها را با برچسب‌های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می‌شناسد و در پایان بازی می‌گوید یا </w:t>
      </w:r>
      <w:r>
        <w:rPr>
          <w:rFonts w:eastAsia="IRNazanin" w:cs="IRNazanin"/>
          <w:b w:val="false"/>
          <w:bCs w:val="false"/>
          <w:i w:val="false"/>
          <w:iCs w:val="false"/>
          <w:color w:val="333333"/>
          <w:sz w:val="20"/>
          <w:szCs w:val="20"/>
        </w:rPr>
        <w:t>X</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Pr>
        <w: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w:t>
      </w:r>
      <w:r>
        <w:rPr>
          <w:rFonts w:eastAsia="IRNazanin" w:cs="IRNazanin"/>
          <w:b w:val="false"/>
          <w:bCs w:val="false"/>
          <w:i w:val="false"/>
          <w:iCs w:val="false"/>
          <w:color w:val="333333"/>
          <w:sz w:val="20"/>
          <w:szCs w:val="20"/>
        </w:rPr>
        <w:t>X</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w:t>
      </w:r>
      <w:r>
        <w:rPr>
          <w:rFonts w:eastAsia="IRNazanin" w:cs="IRNazanin"/>
          <w:b w:val="false"/>
          <w:bCs w:val="false"/>
          <w:i w:val="false"/>
          <w:iCs w:val="false"/>
          <w:color w:val="333333"/>
          <w:sz w:val="20"/>
          <w:szCs w:val="20"/>
        </w:rPr>
        <w:t>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بازپرس اجازه دارد تا از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بپرسد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که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مویش را به من بگوید؟ حالا فرض کن که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درنتیجه باید جواب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بازی این است که بکوشد و سبب شود که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اشتباهی داشته باشد؛ بنابراین پاسخ او ممکن است این چنین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بلندترین دستۀ موی من بیست سانتی‌متر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حالت ایدئال این است که ایشان به صورت تلگرافی ارتباط داشته باشند و صدای ایشان نباید به تشخیص </w:t>
      </w:r>
      <w:r>
        <w:rPr>
          <w:rFonts w:eastAsia="IRNazanin" w:cs="IRNazanin"/>
          <w:b w:val="false"/>
          <w:bCs w:val="false"/>
          <w:i w:val="false"/>
          <w:iCs w:val="false"/>
          <w:color w:val="333333"/>
          <w:sz w:val="20"/>
          <w:szCs w:val="20"/>
        </w:rPr>
        <w:t>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برساند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بازی برای </w:t>
      </w:r>
      <w:r>
        <w:rPr>
          <w:rFonts w:eastAsia="IRNazanin" w:cs="IRNazanin"/>
          <w:b w:val="false"/>
          <w:bCs w:val="false"/>
          <w:i w:val="false"/>
          <w:iCs w:val="false"/>
          <w:color w:val="333333"/>
          <w:sz w:val="20"/>
          <w:szCs w:val="20"/>
        </w:rPr>
        <w:t>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به تشخیص بازپرس کمک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راهبرد برای وی این است که پاسخ‌های حقیقی بدهد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Turing, 1950, p.441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تورینگ خودش نام این بازی را که بعدها به آزمون تورینگ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Turing test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 شد، بازی تقلید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Imitation Game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برای روشن‌کردن نسبت این بازی و پرسش از امکان اندیشیدن ماشین، مقاله را این‌گونه ادامه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حال ما می‌پرسیم هنگامی‌که یک ماشین به جای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بازی شرکت کند، چه اتفاقی خواهد افتاد؟ اگر بازی به این ترتیب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حضور یک ماشین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شود، آیا بازپرس اغلب دچار اشتباه خواهد شد؛ همان‌گونه که بازی میان یک مرد و یک زن انجام می‌شود؟ این پرسش‌ها جایگزین پرسش اصلی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آیا ماشین می‌تواند تفکر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گسترۀ بحث‌های صورت‌گرفته دربارۀ هر یک از چهار مسئلۀ طرح‌شده در این بخش بسیار زیاد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مشکل چارچوب افزون بر دنت و دریفوس، صاحب‌نظرانی همچون فودور، مکدرمت، پیلیشین، کلارک، مککارتی، ویلر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دیدگاه‌های مستقل خود را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استدلال اتاق چینی لیست افراد صاحب‌نظر بسیار بیش از اینهاست که به چند موردشان در متن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استدلال بر پایۀ فرضیۀ گودل نیز لوئیز، بارز، ففرمن، مککلوچ و همچنین مکدرمت و مککارتی صاحب‌نظر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شک روایت همۀ این دیدگاه‌ها در یک مقاله ممکن نیست و ما در اینجا تنها نظریه‌های اصیل و قوی‌تر را به بحث گذاشته‌ایم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یک از این مسائل می‌تواند به خودیِ خود موضوع یک پایان‌نامۀ فلسفی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ما در اینجا تنها این بود که یک دیدگاه جامع و کلی از ترازهای بحثِ فلسفی در هوش مصنوعی، جدی‌ترین مسائلِ هر یک از این ترازها و اصلی‌ترین رویکردهای هوش مصنوعی ارائه دهیم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اینجا برای رعایت اختصار تنها صورت‌بندی پایانی دریفوس مبتنی بر مسئلۀ چارچوب را ارزیابی کرده‌ایم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آشنایی کامل با رویکرد دریفوس به هوش مصنوعی در دوره‌های مختلف،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محمدعلی‌خلج،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نمونه از رباتی که دنت مثال می‌زند </w:t>
      </w:r>
      <w:r>
        <w:rPr>
          <w:rFonts w:eastAsia="IRNazanin" w:cs="IRNazanin"/>
          <w:b w:val="false"/>
          <w:bCs w:val="false"/>
          <w:i w:val="false"/>
          <w:iCs w:val="false"/>
          <w:color w:val="333333"/>
          <w:sz w:val="20"/>
          <w:szCs w:val="20"/>
        </w:rPr>
        <w:t>R1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R1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داده شده بود که باتری ذخیره‌اش را که در یک واگن کوچک در یک اتاق است، پیدا کند؛ اما همزمان بمبی ساعتی نیز در واگن قرار داده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ربات در هنگام خارج‌کردن باتری از واگن بمب را هم حرکت می‌دهد و می‌ترکد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ربات می‌دانسته است که بمب در واگن است؛ ولی پیش‌بینی نمی‌کرده که بیرون‌کشیدن باتری از واگن به حرکتِ واگن و انفجار بمب بینجامد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درنتیجه سازندگان به گفتۀ دنت نتیجه می‌گیرند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ربات بعدی ما باید به‌گونه‌ای ساخته شود که دلالت‌های قصدشدۀ اعمالش بلکه دلالت‌های مربوط به عوارض جانبی‌اش را هم بشناسد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Dennett, 1981,p.183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ربات دوم به نام </w:t>
      </w:r>
      <w:r>
        <w:rPr>
          <w:rFonts w:eastAsia="IRNazanin" w:cs="IRNazanin"/>
          <w:b w:val="false"/>
          <w:bCs w:val="false"/>
          <w:i w:val="false"/>
          <w:iCs w:val="false"/>
          <w:color w:val="333333"/>
          <w:sz w:val="20"/>
          <w:szCs w:val="20"/>
        </w:rPr>
        <w:t>R1D1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به‌گونه‌ای ساختند که بتواند عوارض جانبی رفتارش را استنتاج کند؛ اما این ربات نیز به دلیل استنتاجی اشتباه که هل‌دادن واگن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به اینکه به داخل واگن برود و باتری‌اش را بردارد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می‌تواند سرعت حرکت چرخ‌هایش را افزایش دهد و این ربات نیز با همین استنباط اشتباه ترکید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گفتۀ دنت سازندگان نتیجه گرفتند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باید به او تفاوت دلالت‌های مربوط و نامربوط را بیاموزیم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اینها ربات </w:t>
      </w:r>
      <w:r>
        <w:rPr>
          <w:rFonts w:eastAsia="IRNazanin" w:cs="IRNazanin"/>
          <w:b w:val="false"/>
          <w:bCs w:val="false"/>
          <w:i w:val="false"/>
          <w:iCs w:val="false"/>
          <w:color w:val="333333"/>
          <w:sz w:val="20"/>
          <w:szCs w:val="20"/>
        </w:rPr>
        <w:t>R2D1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این منظور ساختند؛ اما دیدند که این ربات هم به طرز عجیبی در جلوی در اتاقی که واگن در آن بود، نشست تا مهلت بمب ساعتی سر برسد و بترکد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دنت نتیجه‌گیری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این ربات‌ها با مشکل چارچوب مواجه بوده‌اند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اگرچه مغالطۀ آدمک در بیشتر موراد در سایۀ استدلال اتاق چینی قرار می‌گیرد، اما سرل که طراح هر دو مسئله است، اصرار دارد اینها دو مسئلۀ کاملا متفاوت هستند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Searle, 1990, pp.26-27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چالمرز در یک مبنای محاسبه‌گرایانه برای هوش مصنوعی، پاسخ دیگری را ذیل یکی از مشهورترین پاسخ‌های داده‌شده به استدلال اتاق چینی به نام پاسخ سامانه، به این استدلال می‌دهد که به‌هیچ‌روی خلاقیت موجود در پاسخی را که در اینجا از وی نقل کردیم، ندارد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224</Pages>
  <Words>57618</Words>
  <Characters>260240</Characters>
  <CharactersWithSpaces>316472</CharactersWithSpaces>
  <Paragraphs>1553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2026-08-19T05:12:23Z</dcterms:created>
  <dc:creator>ghaemiyeh.com</dc:creator>
  <dc:description/>
  <dc:language>en-US</dc:language>
  <cp:lastModifiedBy/>
  <dcterms:modified xsi:type="dcterms:W3CDTF">2026-08-19T08:42:29Z</dcterms:modified>
  <cp:revision>1</cp:revision>
  <dc:subject/>
  <dc:title>فصلنامه علمی پژوهشی معرفت شناسی و حوزه های مرتبط شماره 74 - سال نوزدهم- تابستان 1397</dc:title>
</cp:coreProperties>
</file>

<file path=docProps/custom.xml><?xml version="1.0" encoding="utf-8"?>
<Properties xmlns="http://schemas.openxmlformats.org/officeDocument/2006/custom-properties" xmlns:vt="http://schemas.openxmlformats.org/officeDocument/2006/docPropsVTypes"/>
</file>