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دست بسته نماز خواندن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10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410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4108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374110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74112_581953129">
            <w:r>
              <w:rPr>
                <w:webHidden/>
                <w:rStyle w:val="IndexLink"/>
                <w:rtl w:val="true"/>
              </w:rPr>
              <w:t>تکتّف در نماز</w:t>
            </w:r>
            <w:r>
              <w:rPr>
                <w:rStyle w:val="IndexLink"/>
                <w:rtl w:val="true"/>
              </w:rPr>
              <w:tab/>
            </w:r>
            <w:r>
              <w:rPr>
                <w:rStyle w:val="IndexLink"/>
              </w:rPr>
              <w:t>18</w:t>
            </w:r>
          </w:hyperlink>
        </w:p>
        <w:p>
          <w:pPr>
            <w:pStyle w:val="Contents3"/>
            <w:tabs>
              <w:tab w:val="clear" w:pos="8459"/>
              <w:tab w:val="right" w:pos="9026" w:leader="dot"/>
            </w:tabs>
            <w:rPr/>
          </w:pPr>
          <w:hyperlink w:anchor="__RefHeading___Toc374114_581953129">
            <w:r>
              <w:rPr>
                <w:webHidden/>
                <w:rStyle w:val="IndexLink"/>
                <w:rtl w:val="true"/>
              </w:rPr>
              <w:t>تکتّف در نماز</w:t>
            </w:r>
            <w:r>
              <w:rPr>
                <w:rStyle w:val="IndexLink"/>
                <w:rtl w:val="true"/>
              </w:rPr>
              <w:tab/>
            </w:r>
            <w:r>
              <w:rPr>
                <w:rStyle w:val="IndexLink"/>
              </w:rPr>
              <w:t>18</w:t>
            </w:r>
          </w:hyperlink>
        </w:p>
        <w:p>
          <w:pPr>
            <w:pStyle w:val="Contents3"/>
            <w:tabs>
              <w:tab w:val="clear" w:pos="8459"/>
              <w:tab w:val="right" w:pos="9026" w:leader="dot"/>
            </w:tabs>
            <w:rPr/>
          </w:pPr>
          <w:hyperlink w:anchor="__RefHeading___Toc374116_581953129">
            <w:r>
              <w:rPr>
                <w:webHidden/>
                <w:rStyle w:val="IndexLink"/>
                <w:rtl w:val="true"/>
              </w:rPr>
              <w:t>توضیح مسأله</w:t>
            </w:r>
            <w:r>
              <w:rPr>
                <w:rStyle w:val="IndexLink"/>
                <w:rtl w:val="true"/>
              </w:rPr>
              <w:tab/>
            </w:r>
            <w:r>
              <w:rPr>
                <w:rStyle w:val="IndexLink"/>
              </w:rPr>
              <w:t>18</w:t>
            </w:r>
          </w:hyperlink>
        </w:p>
        <w:p>
          <w:pPr>
            <w:pStyle w:val="Contents3"/>
            <w:tabs>
              <w:tab w:val="clear" w:pos="8459"/>
              <w:tab w:val="right" w:pos="9026" w:leader="dot"/>
            </w:tabs>
            <w:rPr/>
          </w:pPr>
          <w:hyperlink w:anchor="__RefHeading___Toc374118_581953129">
            <w:r>
              <w:rPr>
                <w:webHidden/>
                <w:rStyle w:val="IndexLink"/>
                <w:rtl w:val="true"/>
              </w:rPr>
              <w:t>تکتّف در نماز، بدعت است یا سنّت؟</w:t>
            </w:r>
            <w:r>
              <w:rPr>
                <w:rStyle w:val="IndexLink"/>
                <w:rtl w:val="true"/>
              </w:rPr>
              <w:tab/>
            </w:r>
            <w:r>
              <w:rPr>
                <w:rStyle w:val="IndexLink"/>
              </w:rPr>
              <w:t>21</w:t>
            </w:r>
          </w:hyperlink>
        </w:p>
        <w:p>
          <w:pPr>
            <w:pStyle w:val="Contents3"/>
            <w:tabs>
              <w:tab w:val="clear" w:pos="8459"/>
              <w:tab w:val="right" w:pos="9026" w:leader="dot"/>
            </w:tabs>
            <w:rPr/>
          </w:pPr>
          <w:hyperlink w:anchor="__RefHeading___Toc374120_581953129">
            <w:r>
              <w:rPr>
                <w:webHidden/>
                <w:rStyle w:val="IndexLink"/>
                <w:rtl w:val="true"/>
              </w:rPr>
              <w:t>دلایل معتقدان به مشروعیت تکتّف در نماز</w:t>
            </w:r>
            <w:r>
              <w:rPr>
                <w:rStyle w:val="IndexLink"/>
                <w:rtl w:val="true"/>
              </w:rPr>
              <w:tab/>
            </w:r>
            <w:r>
              <w:rPr>
                <w:rStyle w:val="IndexLink"/>
              </w:rPr>
              <w:t>22</w:t>
            </w:r>
          </w:hyperlink>
        </w:p>
        <w:p>
          <w:pPr>
            <w:pStyle w:val="Contents4"/>
            <w:tabs>
              <w:tab w:val="clear" w:pos="8176"/>
              <w:tab w:val="right" w:pos="9026" w:leader="dot"/>
            </w:tabs>
            <w:rPr/>
          </w:pPr>
          <w:hyperlink w:anchor="__RefHeading___Toc374122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74124_581953129">
            <w:r>
              <w:rPr>
                <w:webHidden/>
                <w:rStyle w:val="IndexLink"/>
                <w:rtl w:val="true"/>
              </w:rPr>
              <w:t>ادله روایی تکتّف و نقد آنها</w:t>
            </w:r>
            <w:r>
              <w:rPr>
                <w:rStyle w:val="IndexLink"/>
                <w:rtl w:val="true"/>
              </w:rPr>
              <w:tab/>
            </w:r>
            <w:r>
              <w:rPr>
                <w:rStyle w:val="IndexLink"/>
              </w:rPr>
              <w:t>22</w:t>
            </w:r>
          </w:hyperlink>
        </w:p>
        <w:p>
          <w:pPr>
            <w:pStyle w:val="Contents5"/>
            <w:tabs>
              <w:tab w:val="clear" w:pos="7892"/>
              <w:tab w:val="right" w:pos="9026" w:leader="dot"/>
            </w:tabs>
            <w:rPr/>
          </w:pPr>
          <w:hyperlink w:anchor="__RefHeading___Toc374126_581953129">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374128_581953129">
            <w:r>
              <w:rPr>
                <w:webHidden/>
                <w:rStyle w:val="IndexLink"/>
                <w:rtl w:val="true"/>
              </w:rPr>
              <w:t>الف</w:t>
            </w:r>
            <w:r>
              <w:rPr>
                <w:rStyle w:val="IndexLink"/>
                <w:rtl w:val="true"/>
              </w:rPr>
              <w:t xml:space="preserve">: </w:t>
            </w:r>
            <w:r>
              <w:rPr>
                <w:rStyle w:val="IndexLink"/>
                <w:rtl w:val="true"/>
              </w:rPr>
              <w:t>حدیث سهل بن سعد</w:t>
            </w:r>
            <w:r>
              <w:rPr>
                <w:rStyle w:val="IndexLink"/>
                <w:rtl w:val="true"/>
              </w:rPr>
              <w:tab/>
            </w:r>
            <w:r>
              <w:rPr>
                <w:rStyle w:val="IndexLink"/>
              </w:rPr>
              <w:t>23</w:t>
            </w:r>
          </w:hyperlink>
        </w:p>
        <w:p>
          <w:pPr>
            <w:pStyle w:val="Contents5"/>
            <w:tabs>
              <w:tab w:val="clear" w:pos="7892"/>
              <w:tab w:val="right" w:pos="9026" w:leader="dot"/>
            </w:tabs>
            <w:rPr/>
          </w:pPr>
          <w:hyperlink w:anchor="__RefHeading___Toc374130_581953129">
            <w:r>
              <w:rPr>
                <w:webHidden/>
                <w:rStyle w:val="IndexLink"/>
                <w:rtl w:val="true"/>
              </w:rPr>
              <w:t>ب</w:t>
            </w:r>
            <w:r>
              <w:rPr>
                <w:rStyle w:val="IndexLink"/>
                <w:rtl w:val="true"/>
              </w:rPr>
              <w:t xml:space="preserve">: </w:t>
            </w:r>
            <w:r>
              <w:rPr>
                <w:rStyle w:val="IndexLink"/>
                <w:rtl w:val="true"/>
              </w:rPr>
              <w:t>حدیث وائل بن حجر</w:t>
            </w:r>
            <w:r>
              <w:rPr>
                <w:rStyle w:val="IndexLink"/>
                <w:rtl w:val="true"/>
              </w:rPr>
              <w:tab/>
            </w:r>
            <w:r>
              <w:rPr>
                <w:rStyle w:val="IndexLink"/>
              </w:rPr>
              <w:t>28</w:t>
            </w:r>
          </w:hyperlink>
        </w:p>
        <w:p>
          <w:pPr>
            <w:pStyle w:val="Contents5"/>
            <w:tabs>
              <w:tab w:val="clear" w:pos="7892"/>
              <w:tab w:val="right" w:pos="9026" w:leader="dot"/>
            </w:tabs>
            <w:rPr/>
          </w:pPr>
          <w:hyperlink w:anchor="__RefHeading___Toc374132_581953129">
            <w:r>
              <w:rPr>
                <w:webHidden/>
                <w:rStyle w:val="IndexLink"/>
                <w:rtl w:val="true"/>
              </w:rPr>
              <w:t>ج</w:t>
            </w:r>
            <w:r>
              <w:rPr>
                <w:rStyle w:val="IndexLink"/>
                <w:rtl w:val="true"/>
              </w:rPr>
              <w:t xml:space="preserve">: </w:t>
            </w:r>
            <w:r>
              <w:rPr>
                <w:rStyle w:val="IndexLink"/>
                <w:rtl w:val="true"/>
              </w:rPr>
              <w:t>حدیث عبد الله بن مسعود</w:t>
            </w:r>
            <w:r>
              <w:rPr>
                <w:rStyle w:val="IndexLink"/>
                <w:rtl w:val="true"/>
              </w:rPr>
              <w:tab/>
            </w:r>
            <w:r>
              <w:rPr>
                <w:rStyle w:val="IndexLink"/>
              </w:rPr>
              <w:t>29</w:t>
            </w:r>
          </w:hyperlink>
        </w:p>
        <w:p>
          <w:pPr>
            <w:pStyle w:val="Contents6"/>
            <w:tabs>
              <w:tab w:val="clear" w:pos="7609"/>
              <w:tab w:val="right" w:pos="9026" w:leader="dot"/>
            </w:tabs>
            <w:rPr/>
          </w:pPr>
          <w:hyperlink w:anchor="__RefHeading___Toc374134_581953129">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374136_581953129">
            <w:r>
              <w:rPr>
                <w:webHidden/>
                <w:rStyle w:val="IndexLink"/>
                <w:rtl w:val="true"/>
              </w:rPr>
              <w:t>نقد حدیث</w:t>
            </w:r>
            <w:r>
              <w:rPr>
                <w:rStyle w:val="IndexLink"/>
                <w:rtl w:val="true"/>
              </w:rPr>
              <w:tab/>
            </w:r>
            <w:r>
              <w:rPr>
                <w:rStyle w:val="IndexLink"/>
              </w:rPr>
              <w:t>30</w:t>
            </w:r>
          </w:hyperlink>
        </w:p>
        <w:p>
          <w:pPr>
            <w:pStyle w:val="Contents4"/>
            <w:tabs>
              <w:tab w:val="clear" w:pos="8176"/>
              <w:tab w:val="right" w:pos="9026" w:leader="dot"/>
            </w:tabs>
            <w:rPr/>
          </w:pPr>
          <w:hyperlink w:anchor="__RefHeading___Toc374138_581953129">
            <w:r>
              <w:rPr>
                <w:webHidden/>
                <w:rStyle w:val="IndexLink"/>
                <w:rtl w:val="true"/>
              </w:rPr>
              <w:t>دلیل استحسانی و نقد آن</w:t>
            </w:r>
            <w:r>
              <w:rPr>
                <w:rStyle w:val="IndexLink"/>
                <w:rtl w:val="true"/>
              </w:rPr>
              <w:tab/>
            </w:r>
            <w:r>
              <w:rPr>
                <w:rStyle w:val="IndexLink"/>
              </w:rPr>
              <w:t>30</w:t>
            </w:r>
          </w:hyperlink>
        </w:p>
        <w:p>
          <w:pPr>
            <w:pStyle w:val="Contents4"/>
            <w:tabs>
              <w:tab w:val="clear" w:pos="8176"/>
              <w:tab w:val="right" w:pos="9026" w:leader="dot"/>
            </w:tabs>
            <w:rPr/>
          </w:pPr>
          <w:hyperlink w:anchor="__RefHeading___Toc374140_581953129">
            <w:r>
              <w:rPr>
                <w:webHidden/>
                <w:rStyle w:val="IndexLink"/>
                <w:rtl w:val="true"/>
              </w:rPr>
              <w:t>دلایل عدم مشروعیت تکتّف</w:t>
            </w:r>
            <w:r>
              <w:rPr>
                <w:rStyle w:val="IndexLink"/>
                <w:rtl w:val="true"/>
              </w:rPr>
              <w:tab/>
            </w:r>
            <w:r>
              <w:rPr>
                <w:rStyle w:val="IndexLink"/>
              </w:rPr>
              <w:t>32</w:t>
            </w:r>
          </w:hyperlink>
        </w:p>
        <w:p>
          <w:pPr>
            <w:pStyle w:val="Contents3"/>
            <w:tabs>
              <w:tab w:val="clear" w:pos="8459"/>
              <w:tab w:val="right" w:pos="9026" w:leader="dot"/>
            </w:tabs>
            <w:rPr/>
          </w:pPr>
          <w:hyperlink w:anchor="__RefHeading___Toc374142_581953129">
            <w:r>
              <w:rPr>
                <w:webHidden/>
                <w:rStyle w:val="IndexLink"/>
                <w:rtl w:val="true"/>
              </w:rPr>
              <w:t>تکتّف از دیدگاه اهل بیت</w:t>
            </w:r>
            <w:r>
              <w:rPr>
                <w:rStyle w:val="IndexLink"/>
                <w:rtl w:val="true"/>
              </w:rPr>
              <w:t>(</w:t>
            </w:r>
            <w:r>
              <w:rPr>
                <w:rStyle w:val="IndexLink"/>
                <w:rtl w:val="true"/>
              </w:rPr>
              <w:t>علیهم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374144_581953129">
            <w:r>
              <w:rPr>
                <w:webHidden/>
                <w:rStyle w:val="IndexLink"/>
                <w:rtl w:val="true"/>
              </w:rPr>
              <w:t>تکتّف در فتاوای فقهای شیعه</w:t>
            </w:r>
            <w:r>
              <w:rPr>
                <w:rStyle w:val="IndexLink"/>
                <w:rtl w:val="true"/>
              </w:rPr>
              <w:tab/>
            </w:r>
            <w:r>
              <w:rPr>
                <w:rStyle w:val="IndexLink"/>
              </w:rPr>
              <w:t>40</w:t>
            </w:r>
          </w:hyperlink>
        </w:p>
        <w:p>
          <w:pPr>
            <w:pStyle w:val="Contents2"/>
            <w:tabs>
              <w:tab w:val="clear" w:pos="8743"/>
              <w:tab w:val="right" w:pos="9026" w:leader="dot"/>
            </w:tabs>
            <w:rPr/>
          </w:pPr>
          <w:hyperlink w:anchor="__RefHeading___Toc374146_581953129">
            <w:r>
              <w:rPr>
                <w:webHidden/>
                <w:rStyle w:val="IndexLink"/>
                <w:rtl w:val="true"/>
              </w:rPr>
              <w:t>چکیدۀ بحث</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41_29769"/>
      <w:bookmarkStart w:id="1" w:name="pg5241_29769"/>
      <w:bookmarkEnd w:id="1"/>
    </w:p>
    <w:p>
      <w:pPr>
        <w:pStyle w:val="Heading2"/>
        <w:numPr>
          <w:ilvl w:val="1"/>
          <w:numId w:val="1"/>
        </w:numPr>
        <w:rPr/>
      </w:pPr>
      <w:bookmarkStart w:id="2" w:name="pg5241_29769"/>
      <w:bookmarkStart w:id="3" w:name="__RefHeading___Toc37410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بسته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مترجمان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 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 السلام،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 السلام؛ </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۳۸۲۸۳۵۲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10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دست بسته نماز خواندن</w:t>
      </w:r>
    </w:p>
    <w:p>
      <w:pPr>
        <w:pStyle w:val="BookText"/>
        <w:rPr/>
      </w:pPr>
      <w:r>
        <w:rPr>
          <w:rFonts w:ascii="IRNazanin" w:hAnsi="IRNazanin" w:eastAsia="IRNazanin"/>
          <w:color w:val="111111"/>
          <w:sz w:val="28"/>
          <w:sz w:val="28"/>
          <w:szCs w:val="28"/>
          <w:rtl w:val="true"/>
          <w:lang w:bidi="fa-IR"/>
        </w:rPr>
        <w:t>گروه پژوهش و پاسخ به شبهات</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مترجمان</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241_29784"/>
    </w:p>
    <w:p>
      <w:pPr>
        <w:pStyle w:val="Heading2"/>
        <w:numPr>
          <w:ilvl w:val="1"/>
          <w:numId w:val="1"/>
        </w:numPr>
        <w:rPr/>
      </w:pPr>
      <w:bookmarkStart w:id="8" w:name="__RefHeading___Toc374108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241_29792"/>
    </w:p>
    <w:p>
      <w:pPr>
        <w:pStyle w:val="Heading2"/>
        <w:numPr>
          <w:ilvl w:val="1"/>
          <w:numId w:val="1"/>
        </w:numPr>
        <w:rPr/>
      </w:pPr>
      <w:bookmarkStart w:id="11" w:name="__RefHeading___Toc374110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یُعط أحداً بفُرقةٍ خیراً ممّن مضی ولاممّن بقی </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241_29807"/>
    </w:p>
    <w:p>
      <w:pPr>
        <w:pStyle w:val="Heading2"/>
        <w:numPr>
          <w:ilvl w:val="1"/>
          <w:numId w:val="1"/>
        </w:numPr>
        <w:rPr/>
      </w:pPr>
      <w:bookmarkStart w:id="14" w:name="__RefHeading___Toc374112_581953129"/>
      <w:bookmarkStart w:id="15" w:name="_Toc5"/>
      <w:bookmarkEnd w:id="13"/>
      <w:bookmarkEnd w:id="14"/>
      <w:r>
        <w:rPr>
          <w:rtl w:val="true"/>
        </w:rPr>
        <w:t>تکتّف در نماز</w:t>
      </w:r>
      <w:bookmarkEnd w:id="15"/>
    </w:p>
    <w:p>
      <w:pPr>
        <w:pStyle w:val="Heading3"/>
        <w:numPr>
          <w:ilvl w:val="2"/>
          <w:numId w:val="1"/>
        </w:numPr>
        <w:rPr/>
      </w:pPr>
      <w:bookmarkStart w:id="16" w:name="__RefHeading___Toc374114_581953129"/>
      <w:bookmarkStart w:id="17" w:name="_Toc6"/>
      <w:bookmarkEnd w:id="16"/>
      <w:r>
        <w:rPr>
          <w:rtl w:val="true"/>
        </w:rPr>
        <w:t>تکتّف در نماز</w:t>
      </w:r>
      <w:bookmarkEnd w:id="17"/>
    </w:p>
    <w:p>
      <w:pPr>
        <w:pStyle w:val="BookText"/>
        <w:rPr/>
      </w:pPr>
      <w:r>
        <w:rPr>
          <w:rFonts w:ascii="IRNazanin" w:hAnsi="IRNazanin" w:eastAsia="IRNazanin"/>
          <w:color w:val="111111"/>
          <w:sz w:val="28"/>
          <w:sz w:val="28"/>
          <w:szCs w:val="28"/>
          <w:rtl w:val="true"/>
          <w:lang w:bidi="fa-IR"/>
        </w:rPr>
        <w:t>از جمله مسائلی که دربارۀ آن، بین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مذاهب دیگر، اختلاف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تکتّف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با عنوانهای دیگری نیز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یک معنا اشاره دارند و آن عبارت است از این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 در حال نماز، دست راست خود را بَر روی دست چپش قرار دهد؛ چه بالای ناف باشد، یا پایین آن</w:t>
      </w:r>
      <w:r>
        <w:rPr>
          <w:rFonts w:eastAsia="IRNazanin" w:cs="IRNazanin"/>
          <w:color w:val="111111"/>
          <w:sz w:val="28"/>
          <w:szCs w:val="28"/>
          <w:rtl w:val="true"/>
          <w:lang w:bidi="fa-IR"/>
        </w:rPr>
        <w:t>».</w:t>
      </w:r>
    </w:p>
    <w:p>
      <w:pPr>
        <w:pStyle w:val="Heading3"/>
        <w:numPr>
          <w:ilvl w:val="2"/>
          <w:numId w:val="1"/>
        </w:numPr>
        <w:rPr/>
      </w:pPr>
      <w:bookmarkStart w:id="18" w:name="__RefHeading___Toc374116_581953129"/>
      <w:bookmarkStart w:id="19" w:name="_Toc7"/>
      <w:bookmarkEnd w:id="18"/>
      <w:r>
        <w:rPr>
          <w:rtl w:val="true"/>
        </w:rPr>
        <w:t>توضیح مسأله</w:t>
      </w:r>
      <w:bookmarkEnd w:id="19"/>
    </w:p>
    <w:p>
      <w:pPr>
        <w:pStyle w:val="BookText"/>
        <w:rPr/>
      </w:pPr>
      <w:r>
        <w:rPr>
          <w:rFonts w:ascii="IRNazanin" w:hAnsi="IRNazanin" w:eastAsia="IRNazanin"/>
          <w:color w:val="111111"/>
          <w:sz w:val="28"/>
          <w:sz w:val="28"/>
          <w:szCs w:val="28"/>
          <w:rtl w:val="true"/>
          <w:lang w:bidi="fa-IR"/>
        </w:rPr>
        <w:t>مسلمانانِ تمام مذاهب، اجماع دارند که تکتّف در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چند دیدگاه در مورد تکتّف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نمازهای واجب باشد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نظریّۀ مذاهب حنفی، شافعی و حنبلی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نووی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و عایشه و جمع دیگری از صحابه و تعدادی از تابعان مثل سعید بن جبیر، نخعی و ابو مجلد و جمعی از فقها مثل سفیان، اسحاق، ابو ثور، داوود و اکثر علما به این نظریّه معتقد هستند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مستحبّی، جایز و در نماز واجب، مکروه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قرطبی، این نظریّه را از پیشوای مذهبش، مالک روایت کرده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نَوَوی می‌نویسد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قاسم از مالک ،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عبد الحکم، تکتّف را از او روایت نموده و اوّلی مشهورتر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سیّد مرتضی ، از مالک و لیث بن سعد نقل می‌کند که آن دو به خاطر طولانی شدن قیام در نافله، نظرشان تکتّف بود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تکتّف و رها کردن دستها؛ این نظریّه را نَووی از اوزاعی روایت کرده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تکتّف، حرام است و موجب بطلان نماز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نظریّۀ مشهور امامیّه است و سیّد مرتضی در این مورد، ادّعای اجماع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المجموع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زبیر، حسن بصری، نخعی و ابن سیرین، از کسانی بودند که به نظریّۀ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داشته و تکتّف را ممنوع می‌دانستند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نظریّۀ اوّل را می‌توانیم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کراهت و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مسألۀ یاد شده بین دو نظریّۀ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منتفی و جواز ثابت شد، آنگاه می‌توانیم به بحث در مورد وجوه جواز و فروع 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استحباب و تخییر منتقل شویم؛ چنانچه جواز منتفی و حرمت ثابت شد، جایی برای نظریّۀ استحباب و تخییر باقی نمی‌ماند و دیگر نیازی به بحث در مورد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بحث، پاسخ به این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که چیزی در عبادت جایز باشد، یا حرام، چیست؟ و آیا دست بستن در نماز، علتی برای حرمت دارد یا نه؟</w:t>
      </w:r>
      <w:bookmarkStart w:id="20" w:name="pg5241_29813"/>
    </w:p>
    <w:p>
      <w:pPr>
        <w:pStyle w:val="Heading3"/>
        <w:numPr>
          <w:ilvl w:val="2"/>
          <w:numId w:val="1"/>
        </w:numPr>
        <w:rPr/>
      </w:pPr>
      <w:bookmarkStart w:id="21" w:name="__RefHeading___Toc374118_581953129"/>
      <w:bookmarkStart w:id="22" w:name="_Toc8"/>
      <w:bookmarkEnd w:id="20"/>
      <w:bookmarkEnd w:id="21"/>
      <w:r>
        <w:rPr>
          <w:rtl w:val="true"/>
        </w:rPr>
        <w:t>تکتّف در نماز، بدعت است یا سنّت؟</w:t>
      </w:r>
      <w:bookmarkEnd w:id="22"/>
    </w:p>
    <w:p>
      <w:pPr>
        <w:pStyle w:val="BookText"/>
        <w:rPr/>
      </w:pPr>
      <w:r>
        <w:rPr>
          <w:rFonts w:ascii="IRNazanin" w:hAnsi="IRNazanin" w:eastAsia="IRNazanin"/>
          <w:color w:val="111111"/>
          <w:sz w:val="28"/>
          <w:sz w:val="28"/>
          <w:szCs w:val="28"/>
          <w:rtl w:val="true"/>
          <w:lang w:bidi="fa-IR"/>
        </w:rPr>
        <w:t>فقهای مذاهب اسلامی، اتّفاق دارند که عبادات، توقیفی هستند و ثابت کردن چیزی در آنها، تنها به وسیلۀ کتاب و سنّت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از قرآن، یا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جزئیّت بخشی از عبادت اقامه شد، بدان عمل می‌شود و اگر غیر از این باشد، وارد کردن آن جزء در عبادت و بجا آوردن آن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این که جزئی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همۀ فقهای مسلمین، حرام می‌باشد؛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می‌کند و از قبیل فتوا دادن به غیر ما انزل الله سبحانه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مسأله‌ای مثل تکتّف در نماز، دایر مدار بین حرمت و جواز بوده و نزاع هم یک نزاع فکری بین طرفین باشد؛ در این صورت، یکی از آن دو، وجود دلیل شرعی برای تکتّف در نماز را نفی و بدعت بودن آن را اثبات می‌کند و طرف دیگر نیز تلاش می‌کند که دلیل شرعی، علیه آن اقامه نماید؛ یعنی کسی که اعتقاد دارد تکتّف در نماز، حرام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تکتّف در نماز، بدعت و تشریع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اعتقاد به جواز آن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تکتّف در نماز،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برای بحث در این مسأله باید به ادلّۀ قایلین به جواز و استحباب پرداخت، سپس باید دید آیا اینها ادلّۀ حقیقی است که به کتاب و سنّت باز می‌گردد، یا نه؟</w:t>
      </w:r>
      <w:bookmarkStart w:id="23" w:name="pg5241_29815"/>
    </w:p>
    <w:p>
      <w:pPr>
        <w:pStyle w:val="Heading3"/>
        <w:numPr>
          <w:ilvl w:val="2"/>
          <w:numId w:val="1"/>
        </w:numPr>
        <w:rPr/>
      </w:pPr>
      <w:bookmarkStart w:id="24" w:name="__RefHeading___Toc374120_581953129"/>
      <w:bookmarkStart w:id="25" w:name="_Toc9"/>
      <w:bookmarkEnd w:id="23"/>
      <w:bookmarkEnd w:id="24"/>
      <w:r>
        <w:rPr>
          <w:rtl w:val="true"/>
        </w:rPr>
        <w:t>دلایل معتقدان به مشروعیت تکتّف در نماز</w:t>
      </w:r>
      <w:bookmarkEnd w:id="25"/>
    </w:p>
    <w:p>
      <w:pPr>
        <w:pStyle w:val="Heading4"/>
        <w:numPr>
          <w:ilvl w:val="3"/>
          <w:numId w:val="1"/>
        </w:numPr>
        <w:rPr/>
      </w:pPr>
      <w:bookmarkStart w:id="26" w:name="__RefHeading___Toc374122_581953129"/>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معتقدان به مشروعیّت و استحباب تکتّف در نماز، به چند روایت و برخی از وجوه استحسانی،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دست گذاشتن، نماز گزار را از انجام کارهای بیهوده و عبث، باز می‌دارد و برای اظهار تواضع و تضرّع، بهتر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این صورت باید استدلال به این روایات و وجوه استحسان را به شکل ذیل مورد توجّه قرار داد</w:t>
      </w:r>
      <w:r>
        <w:rPr>
          <w:rFonts w:eastAsia="IRNazanin" w:cs="IRNazanin"/>
          <w:color w:val="111111"/>
          <w:sz w:val="28"/>
          <w:szCs w:val="28"/>
          <w:rtl w:val="true"/>
          <w:lang w:bidi="fa-IR"/>
        </w:rPr>
        <w:t>.</w:t>
      </w:r>
    </w:p>
    <w:p>
      <w:pPr>
        <w:pStyle w:val="Heading4"/>
        <w:numPr>
          <w:ilvl w:val="3"/>
          <w:numId w:val="1"/>
        </w:numPr>
        <w:rPr/>
      </w:pPr>
      <w:bookmarkStart w:id="28" w:name="__RefHeading___Toc374124_581953129"/>
      <w:bookmarkStart w:id="29" w:name="_Toc11"/>
      <w:bookmarkEnd w:id="28"/>
      <w:r>
        <w:rPr>
          <w:rtl w:val="true"/>
        </w:rPr>
        <w:t>ادله روایی تکتّف و نقد آنها</w:t>
      </w:r>
      <w:bookmarkEnd w:id="29"/>
    </w:p>
    <w:p>
      <w:pPr>
        <w:pStyle w:val="Heading5"/>
        <w:numPr>
          <w:ilvl w:val="4"/>
          <w:numId w:val="1"/>
        </w:numPr>
        <w:rPr/>
      </w:pPr>
      <w:bookmarkStart w:id="30" w:name="__RefHeading___Toc374126_581953129"/>
      <w:bookmarkStart w:id="31" w:name="_Toc12"/>
      <w:bookmarkEnd w:id="30"/>
      <w:r>
        <w:rPr>
          <w:rtl w:val="true"/>
        </w:rPr>
        <w:t>اشاره</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روایات، مهمترین آنها سه روایت زیر است که به آن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سهل بن سعد که در صحیح بخاری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وائل بن حجر که در صحیح مسلم روایت شده و بیهقی آن را با سه سند نقل نموده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 الله بن مسعود که در سنن بیهقی روایت شده است</w:t>
      </w:r>
      <w:r>
        <w:rPr>
          <w:rFonts w:eastAsia="IRNazanin" w:cs="IRNazanin"/>
          <w:color w:val="111111"/>
          <w:sz w:val="28"/>
          <w:szCs w:val="28"/>
          <w:rtl w:val="true"/>
          <w:lang w:bidi="fa-IR"/>
        </w:rPr>
        <w:t>.</w:t>
      </w:r>
      <w:bookmarkStart w:id="32" w:name="pg5241_29817"/>
    </w:p>
    <w:p>
      <w:pPr>
        <w:pStyle w:val="Heading5"/>
        <w:numPr>
          <w:ilvl w:val="4"/>
          <w:numId w:val="1"/>
        </w:numPr>
        <w:rPr/>
      </w:pPr>
      <w:bookmarkStart w:id="33" w:name="__RefHeading___Toc374128_581953129"/>
      <w:bookmarkStart w:id="34" w:name="_Toc13"/>
      <w:bookmarkEnd w:id="32"/>
      <w:bookmarkEnd w:id="33"/>
      <w:r>
        <w:rPr>
          <w:rtl w:val="true"/>
        </w:rPr>
        <w:t>الف</w:t>
      </w:r>
      <w:r>
        <w:rPr>
          <w:rtl w:val="true"/>
        </w:rPr>
        <w:t xml:space="preserve">: </w:t>
      </w:r>
      <w:r>
        <w:rPr>
          <w:rtl w:val="true"/>
        </w:rPr>
        <w:t>حدیث سهل بن سعد</w:t>
      </w:r>
      <w:bookmarkEnd w:id="34"/>
    </w:p>
    <w:p>
      <w:pPr>
        <w:pStyle w:val="BookText"/>
        <w:rPr/>
      </w:pPr>
      <w:r>
        <w:rPr>
          <w:rFonts w:ascii="IRNazanin" w:hAnsi="IRNazanin" w:eastAsia="IRNazanin"/>
          <w:color w:val="111111"/>
          <w:sz w:val="28"/>
          <w:sz w:val="28"/>
          <w:szCs w:val="28"/>
          <w:rtl w:val="true"/>
          <w:lang w:bidi="fa-IR"/>
        </w:rPr>
        <w:t>بخاری از ابی حزم روایت می‌کند که سهل بن سعد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دستور داده می‌شد که در نماز، نمازگزار، دست راستش را بر ساق دست چپش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شناختی که از سهل ابن سعد دارم، او این نسبت را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اسماعیل </w:t>
      </w:r>
      <w:r>
        <w:rPr>
          <w:rStyle w:val="FootnoteAnchor"/>
          <w:rtl w:val="true"/>
        </w:rPr>
        <w:footnoteReference w:id="1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عبارت یُنمی می‌باشد نه یَنمی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دلالت این حدیث بر مقصود ، گفتنی است که راوی در اوّل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دستور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دید، دستور دهنده کیست؟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صحابه؟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این سؤال را این گونه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یکی از اصحاب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به ما دستور داده می‌شد ظاهر کلام به کسی انصراف دارد که حقّ دستور داشته باشد و او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صحابی در صدد شناخت شرع است، پس دستور را به کسی نسبت می‌دهد که شرع از او صادر می‌شود؛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عایشه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قضای روزه فرمان داده می‌شدیم، سخن یاد شده بر این حمل می‌شود که دستور دهندۀ آن،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همچنان که سیوطی در کتاب تدریب الراوی تصریح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دیدگاه بیشتر علمای اهل سنّت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تعمیمی از نظر هیچ عاقلی مقبول نیست؛ مخصوصاً که ابن حجر تعمیم خود را در همۀ حالات و بر همۀ صحابه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صحابی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فلان چیز دستور داده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 ثابت کنیم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دهندۀ این فرمان است؟ پس این کلام، مجمل است و دلالت نمی‌کند که وظیفۀ صحابی، نقل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ابن حجر ، حکایت کردن فتوای دیگر صحابه، در اموری باشد که این صحابی بر آن واقف نبوده و در مورد آن مسأله، به اصحاب دیگر مراجعه می‌کرده است، پس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بیان فتوای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صحابی، در مقام بیان شرع باشد، لازم این است که این دستورات را بدون اسطه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زیرا هدف صحابی، بیان کردن شرع، به وسیلۀ دستورات به واسطۀ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دستورات صحابه است که از برداشت آنان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روایاتشان از آن حضرت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صحابی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 چیز دستور داده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بیانگر دستوراتی است که اصحاب، آن دستورات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نموده باشند؛ چون اگر آنان خود، چیزی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می‌دادند، تصریح می کردندکه این مطلب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آنان بیان فرموده و احساس شرف و افتخار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بخواهند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کنند، بهتر است تصریح نمایند که این دستور، امر خود آن حضرت است، نه این که با سخن مجملی،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سیوطی سؤال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صحابی در این گونه موارد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برای احتیاط و رعایت ورع و</w:t>
      </w:r>
    </w:p>
    <w:p>
      <w:pPr>
        <w:pStyle w:val="BookText"/>
        <w:rPr/>
      </w:pPr>
      <w:r>
        <w:rPr>
          <w:rFonts w:ascii="IRNazanin" w:hAnsi="IRNazanin" w:eastAsia="IRNazanin"/>
          <w:color w:val="111111"/>
          <w:sz w:val="28"/>
          <w:sz w:val="28"/>
          <w:szCs w:val="28"/>
          <w:rtl w:val="true"/>
          <w:lang w:bidi="fa-IR"/>
        </w:rPr>
        <w:t>تقوا به صورت قطعی نگفته‌اند که این دستور ،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پاسخ سیوطی برای سؤال کننده مفید است؛ یعنی به مشتبه بودن روایت اطمینان پیدا می‌کند، ولی برای خود سیوطی سودی ندارد؛ چون در این گونه موارد، صحابی در مورد نقل عین عبارت ، احتیاط نموده؛ ولی در مورد اعتقاد به حکم، احتیاط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اعتقاد داشته که این، حکم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فلان چیز را به ما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عبارت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نکند، این امر دلالت بر وجود یک نکته، دقیقی دارد که وی این گونه آن را پوشیده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گواه بر این است که احتمال صدور آنها از غیر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احتمال صدور ، از خود آن حضرت است و یا حدّ اقل این گونه بیانات، اجمال دارند و با ثابت شدن اجمال، جایز نیست که این دستورات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فقهی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اوامر نمی‌توانند به عنوان یک دلیل مستقل، مورد احتجاج قرار گیرند و تنها می‌توان از آنها به عنوان شاهد و تأیید دلیل دیگر،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یک قاعدۀ عام و کلّی بود، امّا در ارتباط با این حدیث، دلیل لفظی داریم که بیانگر عدم صدور این فرمان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سخن ابن حازم در ذیل حدیث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او این مطلب را از پیامبر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ابی حازم، این را می‌رساند که حدیث سهل بن سعد، خود به خود ثابت نمی‌کند که فرمان یاد شده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ممکن است از آن حضرت صادر شده باشد و ممکن است از غیر آن حضرت صادر شده باشد؛ برای این که این شک و تردید به قطع، مبدّل گردد، ابو حازم در ذیل این حدیث به بحث می‌پردازد تا خود را قانع سازد که هدف سهل بن سعد از نقل این روایت، نسبت دادن فرمان یاد شده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احتمال صدور آن، از غیر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تأکید دارد که اصل در احادیث اوامر، مجمل بودن آنها است و نسبت دادن این فرمانها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دلیل خود را در مورد اعتقادش بیان نداشته از این رو، گفتار وی برای خودش حجّت است و برای دیگری نمی‌تواند به عنوان دلیل قرار گیرد، پس استدلال کردن به حدیث سهل بن سعد در این مسأله صحیح نیست</w:t>
      </w:r>
      <w:r>
        <w:rPr>
          <w:rFonts w:eastAsia="IRNazanin" w:cs="IRNazanin"/>
          <w:color w:val="111111"/>
          <w:sz w:val="28"/>
          <w:szCs w:val="28"/>
          <w:rtl w:val="true"/>
          <w:lang w:bidi="fa-IR"/>
        </w:rPr>
        <w:t>.</w:t>
      </w:r>
      <w:bookmarkStart w:id="35" w:name="pg5241_29827"/>
    </w:p>
    <w:p>
      <w:pPr>
        <w:pStyle w:val="Heading5"/>
        <w:numPr>
          <w:ilvl w:val="4"/>
          <w:numId w:val="1"/>
        </w:numPr>
        <w:rPr/>
      </w:pPr>
      <w:bookmarkStart w:id="36" w:name="__RefHeading___Toc374130_581953129"/>
      <w:bookmarkStart w:id="37" w:name="_Toc14"/>
      <w:bookmarkEnd w:id="35"/>
      <w:bookmarkEnd w:id="36"/>
      <w:r>
        <w:rPr>
          <w:rtl w:val="true"/>
        </w:rPr>
        <w:t>ب</w:t>
      </w:r>
      <w:r>
        <w:rPr>
          <w:rtl w:val="true"/>
        </w:rPr>
        <w:t xml:space="preserve">: </w:t>
      </w:r>
      <w:r>
        <w:rPr>
          <w:rtl w:val="true"/>
        </w:rPr>
        <w:t>حدیث وائل بن حجر</w:t>
      </w:r>
      <w:bookmarkEnd w:id="37"/>
    </w:p>
    <w:p>
      <w:pPr>
        <w:pStyle w:val="BookText"/>
        <w:rPr/>
      </w:pPr>
      <w:r>
        <w:rPr>
          <w:rFonts w:ascii="IRNazanin" w:hAnsi="IRNazanin" w:eastAsia="IRNazanin"/>
          <w:color w:val="111111"/>
          <w:sz w:val="28"/>
          <w:sz w:val="28"/>
          <w:szCs w:val="28"/>
          <w:rtl w:val="true"/>
          <w:lang w:bidi="fa-IR"/>
        </w:rPr>
        <w:t>این‌روایت‌به صورتهای گوناگون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از وائل بن حُجر روایت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دستهای خود را بلند کرده و هنگام ورود در نماز ، تکبیر گفت و سپس لباسش را بر خود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راستش را بر روی دست چپ گذاشت، وقتی خواست رکوع نماید، دستانش را از لباس خارج نمود و هر دو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گفت و به رکوع رفت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سند این حدیث، همّام وجود دارد و اگر منظور از همّام، همّام بن یحیی باشد، ابن عمّار در مورد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بن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اعتنایی به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شیبه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 برای ما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در بسیاری از احادیث همّام بر او اعتراض می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حاتم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وراستگواست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38" w:name="pg5241_29829"/>
    </w:p>
    <w:p>
      <w:pPr>
        <w:pStyle w:val="BookText"/>
        <w:rPr/>
      </w:pPr>
      <w:bookmarkEnd w:id="38"/>
      <w:r>
        <w:rPr>
          <w:rFonts w:ascii="IRNazanin" w:hAnsi="IRNazanin" w:eastAsia="IRNazanin"/>
          <w:color w:val="111111"/>
          <w:sz w:val="28"/>
          <w:sz w:val="28"/>
          <w:szCs w:val="28"/>
          <w:rtl w:val="true"/>
          <w:lang w:bidi="fa-IR"/>
        </w:rPr>
        <w:t xml:space="preserve">این حدیث از وائل بن حجر در منابع دیگری مثل سنن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بیهقی سه حدیث را روایت نموده است که سندشان به وائل بن حجر می رسد؛ در سند اوّلین روایت ، همّام وجود دارد که در مورد او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روایت دوّم عبد الله بن جعفر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ابن نجیح باشد، ابن معین راجع به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متروک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وَکیع هنگامی‌که به حدیث او می‌رسید،آن را کنار می‌گذاشت و بر ضعف آن روایت اصرار داشت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سند روایت سوّم ، عبد الله بن رجاء وجود دارد که عمرو بن علی فلاس در مورد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احادیث را دستکاری می کرد و قول او حجّت نیست</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39" w:name="__RefHeading___Toc374132_581953129"/>
      <w:bookmarkStart w:id="40" w:name="_Toc15"/>
      <w:bookmarkEnd w:id="39"/>
      <w:r>
        <w:rPr>
          <w:rtl w:val="true"/>
        </w:rPr>
        <w:t>ج</w:t>
      </w:r>
      <w:r>
        <w:rPr>
          <w:rtl w:val="true"/>
        </w:rPr>
        <w:t xml:space="preserve">: </w:t>
      </w:r>
      <w:r>
        <w:rPr>
          <w:rtl w:val="true"/>
        </w:rPr>
        <w:t>حدیث عبد الله بن مسعود</w:t>
      </w:r>
      <w:bookmarkEnd w:id="40"/>
    </w:p>
    <w:p>
      <w:pPr>
        <w:pStyle w:val="Heading6"/>
        <w:numPr>
          <w:ilvl w:val="5"/>
          <w:numId w:val="1"/>
        </w:numPr>
        <w:rPr/>
      </w:pPr>
      <w:bookmarkStart w:id="41" w:name="__RefHeading___Toc374134_581953129"/>
      <w:bookmarkStart w:id="42" w:name="_Toc16"/>
      <w:bookmarkEnd w:id="41"/>
      <w:r>
        <w:rPr>
          <w:rtl w:val="true"/>
        </w:rPr>
        <w:t>اشاره</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از عبد الله بن مسعود روایت می‌کند</w:t>
      </w:r>
      <w:r>
        <w:rPr>
          <w:rFonts w:eastAsia="IRNazanin" w:cs="IRNazanin"/>
          <w:color w:val="111111"/>
          <w:sz w:val="28"/>
          <w:szCs w:val="28"/>
          <w:rtl w:val="true"/>
          <w:lang w:bidi="fa-IR"/>
        </w:rPr>
        <w:t>:</w:t>
      </w:r>
      <w:bookmarkStart w:id="43" w:name="pg5241_29831"/>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و دست چپش را بر روی دست راستش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دست راستش را بر روی دست چپش قرار داد</w:t>
      </w:r>
      <w:r>
        <w:rPr>
          <w:rFonts w:eastAsia="IRNazanin" w:cs="IRNazanin"/>
          <w:color w:val="111111"/>
          <w:sz w:val="28"/>
          <w:szCs w:val="28"/>
          <w:rtl w:val="true"/>
          <w:lang w:bidi="fa-IR"/>
        </w:rPr>
        <w:t xml:space="preserve">». </w:t>
      </w:r>
      <w:r>
        <w:rPr>
          <w:rStyle w:val="FootnoteAnchor"/>
          <w:rtl w:val="true"/>
        </w:rPr>
        <w:footnoteReference w:id="28"/>
      </w:r>
    </w:p>
    <w:p>
      <w:pPr>
        <w:pStyle w:val="Heading6"/>
        <w:numPr>
          <w:ilvl w:val="5"/>
          <w:numId w:val="1"/>
        </w:numPr>
        <w:rPr/>
      </w:pPr>
      <w:bookmarkStart w:id="44" w:name="__RefHeading___Toc374136_581953129"/>
      <w:bookmarkStart w:id="45" w:name="_Toc17"/>
      <w:bookmarkEnd w:id="44"/>
      <w:r>
        <w:rPr>
          <w:rtl w:val="true"/>
        </w:rPr>
        <w:t>نقد حدیث</w:t>
      </w:r>
      <w:bookmarkEnd w:id="4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صحابی بزرگی مثل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پیشگامان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نماز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هشیم بن بشیر وجود دارد و او به تدلیس مشهور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اینها مهمترین روایاتی هستند که در مورد این مسأله ذکر شده و در این مورد، روایات دیگری وجود دارند که از نظر متن و سند، خالی از مناقشه نیستند</w:t>
      </w:r>
      <w:r>
        <w:rPr>
          <w:rFonts w:eastAsia="IRNazanin" w:cs="IRNazanin"/>
          <w:color w:val="111111"/>
          <w:sz w:val="28"/>
          <w:szCs w:val="28"/>
          <w:rtl w:val="true"/>
          <w:lang w:bidi="fa-IR"/>
        </w:rPr>
        <w:t>.</w:t>
      </w:r>
    </w:p>
    <w:p>
      <w:pPr>
        <w:pStyle w:val="Heading4"/>
        <w:numPr>
          <w:ilvl w:val="3"/>
          <w:numId w:val="1"/>
        </w:numPr>
        <w:rPr/>
      </w:pPr>
      <w:bookmarkStart w:id="46" w:name="__RefHeading___Toc374138_581953129"/>
      <w:bookmarkStart w:id="47" w:name="_Toc18"/>
      <w:bookmarkEnd w:id="46"/>
      <w:r>
        <w:rPr>
          <w:rtl w:val="true"/>
        </w:rPr>
        <w:t>دلیل استحسانی و نقد آن</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استدلال کردند به آن از وجوه استحسانیه مثل این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دست بر روی دست، انسان را از انجام کارهای بیهوده نگه می‌دارد و برای تواضع و تضرّع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شریعت با سخنانی شبیه این سخن اثبات می‌شد، دین نابود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انسان ، تعبّد به شریعت است لکن اگر بخواهد سلیقه‌اش را مقیاس حلال و حرام قرار دهد، نتیجۀ عکس خواهد داد؛ یعنی به جای این که انسان از شریعت پیروی کند، شریعت، تابع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نظر انسان یک دلیل استحسانی می‌آید، ولی وجوه دیگری که مهمتر و بزرگتر هستند، بر او مخفی می‌ماند؛ مثل سخنی که قرطبی در ردّ تکتّف یادآور شده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 برای کمک گرفتن است و به همین دلیل مناسب نیست که یکی از افعال نماز باشد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استحسانی ، در جایی مفید است که برای تقریر، تثبیت و تأیید مسأله‌ای باشد و شرع مقدّس آن را با کتاب و سنّت اثبات کرده باشد، پس استحسان به تنهایی دلیل نیست و تنها می‌تواند بعد از دلیل واقع شود</w:t>
      </w:r>
      <w:r>
        <w:rPr>
          <w:rFonts w:eastAsia="IRNazanin" w:cs="IRNazanin"/>
          <w:color w:val="111111"/>
          <w:sz w:val="28"/>
          <w:szCs w:val="28"/>
          <w:rtl w:val="true"/>
          <w:lang w:bidi="fa-IR"/>
        </w:rPr>
        <w:t>.</w:t>
      </w:r>
      <w:bookmarkStart w:id="48" w:name="pg5241_29834"/>
    </w:p>
    <w:p>
      <w:pPr>
        <w:pStyle w:val="Heading4"/>
        <w:numPr>
          <w:ilvl w:val="3"/>
          <w:numId w:val="1"/>
        </w:numPr>
        <w:rPr/>
      </w:pPr>
      <w:bookmarkStart w:id="49" w:name="__RefHeading___Toc374140_581953129"/>
      <w:bookmarkStart w:id="50" w:name="_Toc19"/>
      <w:bookmarkEnd w:id="48"/>
      <w:bookmarkEnd w:id="49"/>
      <w:r>
        <w:rPr>
          <w:rtl w:val="true"/>
        </w:rPr>
        <w:t>دلایل عدم مشروعیت تکتّف</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است که هر روز چندین مرتبه مورد ابتلای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 از دو دهه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آنان و در حضورشان،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اقل پنج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 نماز می‌خواند، باید این مسأله در نظر صحابه به اندازۀ کافی روشن می‌بود، حال آن که چنین نیست و روایات تکتّف فقط به تعدادی از صحابه محدود می‌شود، آن هم به صورت مبهم و دارای سندهایی که مورد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هست که آن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 چگونه می‌توان تصدیق کرد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نمازهای خود، یا بیشتر آنها دست راست خود را بر روی دست چپ می‌گذاشتند تا اقتضای استحباب در نماز را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احادیث تکتّف، احادیثی هست که تکتّف را منتفی می‌داند حتّی قرطبی در بدایة المجتهد می‌نویسد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صحیحی وارد شده که در آنها خصوصیّات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گشته است، ولی در آنها ذکر نشده که آن حضرت، دست راست خود را بر روی دست چپش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گروهی، واجب است که به طرف اخباری برویم که این زیادی در آنها نیست؛ چون عدد آن روایات، بیشتر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بنابراین، فقه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فقیه اهل مدینه است و بر عمل اهل مدینه به جهت این که احکام را از صحابه گرفته‌اند تأکید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نظراست و به واقعیّت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روایاتی که با تکتّف تعارض دارد، حدیث ابی حمید ساعدی است که بسیاری از محدّثان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عبد الله حافظ به ما خبر داد که ابو حمید ساعدی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بیشتر از ما تابع آن حضرت نبوده‌ای و از نظر همنشینی با پیامبر نیز پیش از ما نزد حضرت نبوده‌ای؟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عرضه دار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بر می‌خاست، دستهای خود را بالا می‌برد تا به مقابل کتفش می‌رسید، سپس تکبیر می‌گفت تا این که همۀ اعضای آن حضرت در جای خود آرام می‌گرفت، سپس قرائت حمد را می‌کرد، بعد تکبیر می‌گفت و دستانش را بالا می‌برد تا آن که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مقابل کتفش می‌رسید، سپس به رکوع می‌رفت و کف دو دستش را بر زانوهایش قرار می‌داد، سپس آرام می‌ایستاد، نه سرش را خیلی عقب می‌برد و نه به پایین می‌انداخت، پس از آن، سرش را بلند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 سپس دو دستش را تا مقابل کتفش بالا می‌برد تا همۀ بدنش آرام گیرد،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زمین می‌رفت و دو دستش را از پهلوهایش فاصله می‌داد، سپس سر بلند می‌کرد و پای چپش را خم می‌کرد، و بر روی آن می‌نشست و وقتی به سجده می‌رفت، انگشتان پاهایش را باز می‌کرد، سپس بر می‌گشت و پس از آن برمی خاست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پایش را خم می‌کرد و آرام بر روی آن می‌نشست تا آن که همۀ اعضای بدنش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دیگر هم مثل اینها را انجام می‌داد، سپس وقتی از دو رکعتش بر می‌خاست، تکبیر می‌گفت و دستانش را تا مقابل کتفش بلند می‌کرد تا آن که به سجده‌ای که در آن تسلیم هست ، می رسید پس پای چپش را عقب می برد و با حالت تورّک </w:t>
      </w:r>
      <w:r>
        <w:rPr>
          <w:rStyle w:val="FootnoteAnchor"/>
          <w:rtl w:val="true"/>
        </w:rPr>
        <w:footnoteReference w:id="32"/>
      </w:r>
      <w:r>
        <w:rPr>
          <w:rFonts w:ascii="IRNazanin" w:hAnsi="IRNazanin" w:eastAsia="IRNazanin"/>
          <w:color w:val="111111"/>
          <w:sz w:val="28"/>
          <w:sz w:val="28"/>
          <w:szCs w:val="28"/>
          <w:rtl w:val="true"/>
          <w:lang w:bidi="fa-IR"/>
        </w:rPr>
        <w:t>بر روی ران چپش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نماز می‌خواند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دلایل ما از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بزرگان صحابه، </w:t>
      </w:r>
      <w:r>
        <w:rPr>
          <w:rStyle w:val="FootnoteAnchor"/>
          <w:rtl w:val="true"/>
        </w:rPr>
        <w:footnoteReference w:id="34"/>
      </w:r>
      <w:r>
        <w:rPr>
          <w:rFonts w:ascii="IRNazanin" w:hAnsi="IRNazanin" w:eastAsia="IRNazanin"/>
          <w:color w:val="111111"/>
          <w:sz w:val="28"/>
          <w:sz w:val="28"/>
          <w:szCs w:val="28"/>
          <w:rtl w:val="true"/>
          <w:lang w:bidi="fa-IR"/>
        </w:rPr>
        <w:t>ابو حمید را تصدیق کرده‌اند و همین امر دلیل بر قوّت حدیث و ترجیح این حدیث بر دلایل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حمید ساعدی در این روایت، واجبات و مستحبّات را بیان کرد، ولی اسمی از تکتّف نبرد و آنان نیز او را انکار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آنها در ابتدا تسلیم نشده بودند که او آگاهتر از آنان به نماز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چیزی نگفتند بلکه همه جواب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تعداد آنان قابل توجّه بود و در حال بحث و مذاکره بودند، بعید است تکتّف را فراموش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طبیعی این است که دستها آویخته باشند و چون طبیعت اندام چنین است، حدیث هم دلالت بر آن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عام است و احادیث تکتّف آن را تخصیص می‌زنند،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حمید، تمام واجبات، مستحبّات و شکل نماز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او</w:t>
      </w:r>
      <w:bookmarkStart w:id="51" w:name="pg5241_29842"/>
    </w:p>
    <w:p>
      <w:pPr>
        <w:pStyle w:val="BookText"/>
        <w:rPr/>
      </w:pPr>
      <w:bookmarkEnd w:id="51"/>
      <w:r>
        <w:rPr>
          <w:rFonts w:ascii="IRNazanin" w:hAnsi="IRNazanin" w:eastAsia="IRNazanin"/>
          <w:color w:val="111111"/>
          <w:sz w:val="28"/>
          <w:sz w:val="28"/>
          <w:szCs w:val="28"/>
          <w:rtl w:val="true"/>
          <w:lang w:bidi="fa-IR"/>
        </w:rPr>
        <w:t>در حال آموزش و بیان بوده است و حذف کردن جزء، یا شرطی از نماز، خیانت محسوب می‌شود، البتّه این کار از او و افرادی که در مجلس حضور داشتند،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مجلس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تکتّف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ولی به خاطر ذکر نکردن تکتّف، بر ابو حمید ساعدی هم اعتراضی نکردند</w:t>
      </w:r>
      <w:r>
        <w:rPr>
          <w:rFonts w:eastAsia="IRNazanin" w:cs="IRNazanin"/>
          <w:color w:val="111111"/>
          <w:sz w:val="28"/>
          <w:szCs w:val="28"/>
          <w:rtl w:val="true"/>
          <w:lang w:bidi="fa-IR"/>
        </w:rPr>
        <w:t>.</w:t>
      </w:r>
    </w:p>
    <w:p>
      <w:pPr>
        <w:pStyle w:val="Heading3"/>
        <w:numPr>
          <w:ilvl w:val="2"/>
          <w:numId w:val="1"/>
        </w:numPr>
        <w:rPr/>
      </w:pPr>
      <w:bookmarkStart w:id="52" w:name="__RefHeading___Toc374142_581953129"/>
      <w:bookmarkStart w:id="53" w:name="_Toc20"/>
      <w:bookmarkEnd w:id="52"/>
      <w:r>
        <w:rPr>
          <w:rtl w:val="true"/>
        </w:rPr>
        <w:t>تکتّف از دیدگاه اهل بیت</w:t>
      </w:r>
      <w:r>
        <w:rPr>
          <w:rtl w:val="true"/>
        </w:rPr>
        <w:t>(</w:t>
      </w:r>
      <w:r>
        <w:rPr>
          <w:rtl w:val="true"/>
        </w:rPr>
        <w:t>علیهم السلام</w:t>
      </w:r>
      <w:r>
        <w:rPr>
          <w:rtl w:val="true"/>
        </w:rPr>
        <w:t>)</w:t>
      </w:r>
      <w:bookmarkEnd w:id="53"/>
    </w:p>
    <w:p>
      <w:pPr>
        <w:pStyle w:val="BookText"/>
        <w:rPr/>
      </w:pPr>
      <w:r>
        <w:rPr>
          <w:rFonts w:ascii="IRNazanin" w:hAnsi="IRNazanin" w:eastAsia="IRNazanin"/>
          <w:color w:val="111111"/>
          <w:sz w:val="28"/>
          <w:sz w:val="28"/>
          <w:szCs w:val="28"/>
          <w:rtl w:val="true"/>
          <w:lang w:bidi="fa-IR"/>
        </w:rPr>
        <w:t xml:space="preserve">از بحثهای گذشته روشن شد که از کتاب و سنّت، دلیلی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نرسیده است و توقیفی بودن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مسائل مورد اتّفاق همۀ فقهای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حرمت تکتّف است؛ چرا که تکتّف،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روایات نقل شده از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آنان تکتّف را از نماز نفی می‌کنند و آن را به عمل مجوس نسبت می‌دهند؛ از این رو، حرمت آن شدیدتر است؛ زیرا از یک جهت، بدعت بوده و حرام است و از جهت دیگر ، شبیه شدن به کفّار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 از امام صادق،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نماز دست راستش را بر دست چپش قرار می‌دهد،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تکتّف است، انجام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بر این که به نماز روی آورید، دست بسته نماز را انجام ندهید، آن را تنها مجوسیان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سند خود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در نمازش، در حالی که در مقابل خدای عزّوجلّ ایستاده است، دو دست خود را جمع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اهل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روایات، بُعد سلبی تکتّف را بیان می‌کند و از بُعد ایجابی هم روایاتی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ویژگیهای نماز را شرح می‌دهد، ولی در آنها نامی از تکتّف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حماد بن عیسی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چقدر زشت است که شصت، یا هفتاد سال بر او گذشته باشد و یک نماز را با تمام شرایطش بجا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هر دو دست خود را بر روی ران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آویزان کرد، انگشتانش را به هم چسباند و بین دو پایش را به هم نزدیک کرد تا حدّی که بین آنها سه انگشت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انگشتان دو پایش را به سوی قبله نمود و آنها را از قبله متمایل نساخت، پس با خشوع و فروتنی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 سپس حمد و قل هو الله را با حالت ترتیل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اندازۀ یک نفس کشیدن در حالت ایستاده صبر کرد و پس از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رکوع رفت و دو کف دستش را به صورت باز، بر زانوهایش قرار داد و زانوانش را آن قدر عقب برد تا کمرش راست شد ، به گونه‌ای که اگر قطره‌ای آب ، یا روغن بر پشتش ریخته می‌شد، جاری نمی‌شد و گردن خود را راست نگه داشت و چشمان خود را بست، سپس با ترتیل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سپس راست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پس از آن در حالی که ایستاده بود، تکبیر گفت و دستان خود را تا مقابل صورتش بالا آورد و به سجده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دستان خود را قبل از زانوانش بر روی زمین قرار داد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 و هیچ عضوی از بدنش را بر عضوی دیگر قرار نداد و بر روی هشت عضو سجده نمود؛ پیشانی، دو کف دست، زانوها و انگشتان شصت دو پا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تا واجب هستند و قرار دادن بینی بر روی زمین، سنّت است و این کار نشانۀ نهایت عبودیّت است، سپس سرش را از سجده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راست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پس از آن بر روی ران چپ خود نشست و روی پای راستش را بر چپش گذاشت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w:t>
      </w:r>
    </w:p>
    <w:p>
      <w:pPr>
        <w:pStyle w:val="BookText"/>
        <w:rPr/>
      </w:pPr>
      <w:r>
        <w:rPr>
          <w:rFonts w:ascii="IRNazanin" w:hAnsi="IRNazanin" w:eastAsia="IRNazanin"/>
          <w:color w:val="111111"/>
          <w:sz w:val="28"/>
          <w:sz w:val="28"/>
          <w:szCs w:val="28"/>
          <w:rtl w:val="true"/>
          <w:lang w:bidi="fa-IR"/>
        </w:rPr>
        <w:t>الیه، سپس در حالی که نشسته بود ، تکبیر گفت و سجدۀ دوّم را هم به جای آورد و آنچه را که در سجدۀ اوّل گفته بود ،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اعضای بدنش در رکوع و سجود، از چیزی کمک نگرفت و در سجده آرنج خود را از زمین بلند کرده و ازبدن دورکرده بود، به این صورت دو رکعت نماز به جای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نماز بگزار و در نماز، روی خود را برمگردان و با دست و انگشتانت، بازی نکن و آب دهن مَیَفکن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می‌بینیم که این دو روایت، در مقام بیان چگونگی نماز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دوتای آنها اشاره‌ای به انواع و اقسام مختلف تکتف نشده است، در حالی که اگر تکتّف، سنّت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عملی،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ترسیم کرد؛ چون آن حضرت، این نماز را 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او از پدرانش، 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زیرا از چیزهایی است که در شریعت وجود ندارد، ولی در آن وارد کرده اند</w:t>
      </w:r>
      <w:r>
        <w:rPr>
          <w:rFonts w:eastAsia="IRNazanin" w:cs="IRNazanin"/>
          <w:color w:val="111111"/>
          <w:sz w:val="28"/>
          <w:szCs w:val="28"/>
          <w:rtl w:val="true"/>
          <w:lang w:bidi="fa-IR"/>
        </w:rPr>
        <w:t>.</w:t>
      </w:r>
      <w:bookmarkStart w:id="54" w:name="pg5241_29850"/>
    </w:p>
    <w:p>
      <w:pPr>
        <w:pStyle w:val="Heading3"/>
        <w:numPr>
          <w:ilvl w:val="2"/>
          <w:numId w:val="1"/>
        </w:numPr>
        <w:rPr/>
      </w:pPr>
      <w:bookmarkStart w:id="55" w:name="__RefHeading___Toc374144_581953129"/>
      <w:bookmarkStart w:id="56" w:name="_Toc21"/>
      <w:bookmarkEnd w:id="54"/>
      <w:bookmarkEnd w:id="55"/>
      <w:r>
        <w:rPr>
          <w:rtl w:val="true"/>
        </w:rPr>
        <w:t>تکتّف در فتاوای فقهای شیعه</w:t>
      </w:r>
      <w:bookmarkEnd w:id="56"/>
    </w:p>
    <w:p>
      <w:pPr>
        <w:pStyle w:val="BookText"/>
        <w:rPr/>
      </w:pPr>
      <w:r>
        <w:rPr>
          <w:rFonts w:ascii="IRNazanin" w:hAnsi="IRNazanin" w:eastAsia="IRNazanin"/>
          <w:color w:val="111111"/>
          <w:sz w:val="28"/>
          <w:sz w:val="28"/>
          <w:szCs w:val="28"/>
          <w:rtl w:val="true"/>
          <w:lang w:bidi="fa-IR"/>
        </w:rPr>
        <w:t>فقهای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دلایل یاد شده فتوا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بر صحیح بودن چیزی که بدان اعتقاد داریم عبارت است از اجماع شیعه، علاوه بر این، ساقط شدن نماز از ذمّه، نیاز به یقین دارد و حال آن که با انجام تکتّف، یقین به اسقاط تکلیف نماز نداریم و تکتّف، کار زیادی محسوب می‌شود که از اعمال واجبه در نماز ، مثل رکوع ، سجود و قیام، خارج است، پس انجام آن جایز نیست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دست راست بر روی دست چپ و قرار دادن دست چپ بر روی دست راست در نماز، جایز نیست؛ چه در بالای ناف و چه پایین 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شیعه است؛ شیعیان در مورد این که تکتّف، نماز را باطل می کند ،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نماز نیز باید از طرف شرع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مشروع بودن تکتّف نداریم، پس احتیاط عدم جواز آن را می‌طلبد؛ چون در این اختلافی نیست که اگر کسی دستش را بیاویزد، نمازش مقبول است و</w:t>
      </w:r>
      <w:bookmarkStart w:id="57" w:name="pg5241_29852"/>
    </w:p>
    <w:p>
      <w:pPr>
        <w:pStyle w:val="BookText"/>
        <w:rPr/>
      </w:pPr>
      <w:bookmarkEnd w:id="57"/>
      <w:r>
        <w:rPr>
          <w:rFonts w:ascii="IRNazanin" w:hAnsi="IRNazanin" w:eastAsia="IRNazanin"/>
          <w:color w:val="111111"/>
          <w:sz w:val="28"/>
          <w:sz w:val="28"/>
          <w:szCs w:val="28"/>
          <w:rtl w:val="true"/>
          <w:lang w:bidi="fa-IR"/>
        </w:rPr>
        <w:t>اختلاف در این است که اگر یکی از دو دست را بر روی دیگری قرار دهد، نمازش چگونه است؟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پس واجب است که با قاطعیّت این قول را بپذیریم</w:t>
      </w:r>
      <w:r>
        <w:rPr>
          <w:rFonts w:eastAsia="IRNazanin" w:cs="IRNazanin"/>
          <w:color w:val="111111"/>
          <w:sz w:val="28"/>
          <w:szCs w:val="28"/>
          <w:rtl w:val="true"/>
          <w:lang w:bidi="fa-IR"/>
        </w:rPr>
        <w:t xml:space="preserve">». </w:t>
      </w:r>
      <w:r>
        <w:rPr>
          <w:rStyle w:val="FootnoteAnchor"/>
          <w:rtl w:val="true"/>
        </w:rPr>
        <w:footnoteReference w:id="38"/>
      </w:r>
    </w:p>
    <w:p>
      <w:pPr>
        <w:pStyle w:val="Heading2"/>
        <w:numPr>
          <w:ilvl w:val="1"/>
          <w:numId w:val="1"/>
        </w:numPr>
        <w:rPr/>
      </w:pPr>
      <w:bookmarkStart w:id="58" w:name="__RefHeading___Toc374146_581953129"/>
      <w:bookmarkStart w:id="59" w:name="_Toc22"/>
      <w:bookmarkEnd w:id="58"/>
      <w:r>
        <w:rPr>
          <w:rtl w:val="true"/>
        </w:rPr>
        <w:t>چکیدۀ بحث</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روایاتی که مذاهب چهارگانه برای تکتّف در نماز به آنها اعتماد کرده‌اند، از نظر سند ضعیف بوده و دلالتشان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حدیثهای دیگری داشته باشند که از نظر سند و دلالت، خالی از اشکال باشد، باز هم نمی‌توان آن عمل را انجام داد؛ زیرا احادیث صحیحی داریم که با آنها در تعارض هستند؛ مثل حدیث ابو حمید ساعدی 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تعارض که روایتهای متعارض ساقط می‌شوند ، باید به اصل رجوع کرد و اصل هم ارسال دستان است؛ چون تکتّف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خارج از حالت طبیعی است و دلیل قاطعی بر اثبات آن وجود ندارد، پس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آویختن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نزدیکتر است؛ چون معتقدان تکتّف، آن را واجب نمی‌دانند و تنها به استحباب آن قایل هستند که البتّه در استحباب آن هم اختلاف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ارسال دستها، اختلافی نیست و علاوه بر آن ، عدم جواز تکتّف در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مسلمانان به پیروی از آن فرمان داده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چاپ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دار الکتب العلمیه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چاپ دهم، تاریخ چاپ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قم، تاریخ چاپ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وضع الیمنی علی الیسری، دار المعرفة، بیروت؛ 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وضع الید الیمنی علی الیسری فی الصلاه، ح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ط دار الکتب العلمیۀ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چاپ اوّل،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اسماعیل بن ابی اویس، استاد بخاری است، همچنان که حمیدی بدان اعتقاد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چاپ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تاریخ‌چاپ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کتاب الصلاة ، باب وضع یده الیمنی علی الیسری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هدی الساری، مقدّمۀ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چاپ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محمد حسن 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مقدمۀ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چاپ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چاپ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بدایه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سرین نشستن و تکیه نمودن برسرین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نفیسی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ابو داود، باب افتتاح الصلاة، 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الصلاة، چاپ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سال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ده نفر به شرح زیر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هریره، سهل ساعدی، ابو اسید ساعدی، ابو قتاده حارث بن ربعی و محمّد بن مسلمه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 شرح سنن ابی داود،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قواطع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مؤسّسۀ 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افعال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شامل نوزده حدیث است که همۀ نماز، یا قسمتی از نماز را تشریح می نمایند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چاپ جامعه 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تاریخ چاپ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جامعه 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چاپ سوم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7507</Words>
  <Characters>28402</Characters>
  <CharactersWithSpaces>35654</CharactersWithSpaces>
  <Paragraphs>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2026-08-19T00:29:48Z</dcterms:created>
  <dc:creator>ghaemiyeh.com</dc:creator>
  <dc:description/>
  <dc:language>en-US</dc:language>
  <cp:lastModifiedBy/>
  <dcterms:modified xsi:type="dcterms:W3CDTF">2026-08-19T03:59:50Z</dcterms:modified>
  <cp:revision>1</cp:revision>
  <dc:subject/>
  <dc:title>دست بسته نماز خواندن</dc:title>
</cp:coreProperties>
</file>

<file path=docProps/custom.xml><?xml version="1.0" encoding="utf-8"?>
<Properties xmlns="http://schemas.openxmlformats.org/officeDocument/2006/custom-properties" xmlns:vt="http://schemas.openxmlformats.org/officeDocument/2006/docPropsVTypes"/>
</file>