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و آداب سینما و فیلم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75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475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4755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4757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274759_581953129">
            <w:r>
              <w:rPr>
                <w:webHidden/>
                <w:rStyle w:val="IndexLink"/>
                <w:rtl w:val="true"/>
              </w:rPr>
              <w:t>هنر تصویری</w:t>
            </w:r>
            <w:r>
              <w:rPr>
                <w:rStyle w:val="IndexLink"/>
                <w:rtl w:val="true"/>
              </w:rPr>
              <w:tab/>
            </w:r>
            <w:r>
              <w:rPr>
                <w:rStyle w:val="IndexLink"/>
              </w:rPr>
              <w:t>15</w:t>
            </w:r>
          </w:hyperlink>
        </w:p>
        <w:p>
          <w:pPr>
            <w:pStyle w:val="Contents2"/>
            <w:tabs>
              <w:tab w:val="clear" w:pos="8743"/>
              <w:tab w:val="right" w:pos="9026" w:leader="dot"/>
            </w:tabs>
            <w:rPr/>
          </w:pPr>
          <w:hyperlink w:anchor="__RefHeading___Toc274761_581953129">
            <w:r>
              <w:rPr>
                <w:webHidden/>
                <w:rStyle w:val="IndexLink"/>
                <w:rtl w:val="true"/>
              </w:rPr>
              <w:t>فقه تصویر</w:t>
            </w:r>
            <w:r>
              <w:rPr>
                <w:rStyle w:val="IndexLink"/>
                <w:rtl w:val="true"/>
              </w:rPr>
              <w:tab/>
            </w:r>
            <w:r>
              <w:rPr>
                <w:rStyle w:val="IndexLink"/>
              </w:rPr>
              <w:t>16</w:t>
            </w:r>
          </w:hyperlink>
        </w:p>
        <w:p>
          <w:pPr>
            <w:pStyle w:val="Contents2"/>
            <w:tabs>
              <w:tab w:val="clear" w:pos="8743"/>
              <w:tab w:val="right" w:pos="9026" w:leader="dot"/>
            </w:tabs>
            <w:rPr/>
          </w:pPr>
          <w:hyperlink w:anchor="__RefHeading___Toc274763_581953129">
            <w:r>
              <w:rPr>
                <w:webHidden/>
                <w:rStyle w:val="IndexLink"/>
                <w:rtl w:val="true"/>
              </w:rPr>
              <w:t>مشروع بودن آفرینش تصویر</w:t>
            </w:r>
            <w:r>
              <w:rPr>
                <w:rStyle w:val="IndexLink"/>
                <w:rtl w:val="true"/>
              </w:rPr>
              <w:tab/>
            </w:r>
            <w:r>
              <w:rPr>
                <w:rStyle w:val="IndexLink"/>
              </w:rPr>
              <w:t>18</w:t>
            </w:r>
          </w:hyperlink>
        </w:p>
        <w:p>
          <w:pPr>
            <w:pStyle w:val="Contents2"/>
            <w:tabs>
              <w:tab w:val="clear" w:pos="8743"/>
              <w:tab w:val="right" w:pos="9026" w:leader="dot"/>
            </w:tabs>
            <w:rPr/>
          </w:pPr>
          <w:hyperlink w:anchor="__RefHeading___Toc274765_581953129">
            <w:r>
              <w:rPr>
                <w:webHidden/>
                <w:rStyle w:val="IndexLink"/>
                <w:rtl w:val="true"/>
              </w:rPr>
              <w:t>ماهیت فیلم</w:t>
            </w:r>
            <w:r>
              <w:rPr>
                <w:rStyle w:val="IndexLink"/>
                <w:rtl w:val="true"/>
              </w:rPr>
              <w:tab/>
            </w:r>
            <w:r>
              <w:rPr>
                <w:rStyle w:val="IndexLink"/>
              </w:rPr>
              <w:t>24</w:t>
            </w:r>
          </w:hyperlink>
        </w:p>
        <w:p>
          <w:pPr>
            <w:pStyle w:val="Contents2"/>
            <w:tabs>
              <w:tab w:val="clear" w:pos="8743"/>
              <w:tab w:val="right" w:pos="9026" w:leader="dot"/>
            </w:tabs>
            <w:rPr/>
          </w:pPr>
          <w:hyperlink w:anchor="__RefHeading___Toc274767_581953129">
            <w:r>
              <w:rPr>
                <w:webHidden/>
                <w:rStyle w:val="IndexLink"/>
                <w:rtl w:val="true"/>
              </w:rPr>
              <w:t>مقررات تولید فیلم</w:t>
            </w:r>
            <w:r>
              <w:rPr>
                <w:rStyle w:val="IndexLink"/>
                <w:rtl w:val="true"/>
              </w:rPr>
              <w:tab/>
            </w:r>
            <w:r>
              <w:rPr>
                <w:rStyle w:val="IndexLink"/>
              </w:rPr>
              <w:t>25</w:t>
            </w:r>
          </w:hyperlink>
        </w:p>
        <w:p>
          <w:pPr>
            <w:pStyle w:val="Contents2"/>
            <w:tabs>
              <w:tab w:val="clear" w:pos="8743"/>
              <w:tab w:val="right" w:pos="9026" w:leader="dot"/>
            </w:tabs>
            <w:rPr/>
          </w:pPr>
          <w:hyperlink w:anchor="__RefHeading___Toc274769_581953129">
            <w:r>
              <w:rPr>
                <w:webHidden/>
                <w:rStyle w:val="IndexLink"/>
                <w:rtl w:val="true"/>
              </w:rPr>
              <w:t>عوامل و عناصر سازنده فیلم</w:t>
            </w:r>
            <w:r>
              <w:rPr>
                <w:rStyle w:val="IndexLink"/>
                <w:rtl w:val="true"/>
              </w:rPr>
              <w:tab/>
            </w:r>
            <w:r>
              <w:rPr>
                <w:rStyle w:val="IndexLink"/>
              </w:rPr>
              <w:t>30</w:t>
            </w:r>
          </w:hyperlink>
        </w:p>
        <w:p>
          <w:pPr>
            <w:pStyle w:val="Contents2"/>
            <w:tabs>
              <w:tab w:val="clear" w:pos="8743"/>
              <w:tab w:val="right" w:pos="9026" w:leader="dot"/>
            </w:tabs>
            <w:rPr/>
          </w:pPr>
          <w:hyperlink w:anchor="__RefHeading___Toc274771_581953129">
            <w:r>
              <w:rPr>
                <w:webHidden/>
                <w:rStyle w:val="IndexLink"/>
                <w:rtl w:val="true"/>
              </w:rPr>
              <w:t>تهیه کننده</w:t>
            </w:r>
            <w:r>
              <w:rPr>
                <w:rStyle w:val="IndexLink"/>
                <w:rtl w:val="true"/>
              </w:rPr>
              <w:tab/>
            </w:r>
            <w:r>
              <w:rPr>
                <w:rStyle w:val="IndexLink"/>
              </w:rPr>
              <w:t>32</w:t>
            </w:r>
          </w:hyperlink>
        </w:p>
        <w:p>
          <w:pPr>
            <w:pStyle w:val="Contents2"/>
            <w:tabs>
              <w:tab w:val="clear" w:pos="8743"/>
              <w:tab w:val="right" w:pos="9026" w:leader="dot"/>
            </w:tabs>
            <w:rPr/>
          </w:pPr>
          <w:hyperlink w:anchor="__RefHeading___Toc274773_581953129">
            <w:r>
              <w:rPr>
                <w:webHidden/>
                <w:rStyle w:val="IndexLink"/>
                <w:rtl w:val="true"/>
              </w:rPr>
              <w:t>فیملنامه یا دستمایه فیلم</w:t>
            </w:r>
            <w:r>
              <w:rPr>
                <w:rStyle w:val="IndexLink"/>
                <w:rtl w:val="true"/>
              </w:rPr>
              <w:tab/>
            </w:r>
            <w:r>
              <w:rPr>
                <w:rStyle w:val="IndexLink"/>
              </w:rPr>
              <w:t>33</w:t>
            </w:r>
          </w:hyperlink>
        </w:p>
        <w:p>
          <w:pPr>
            <w:pStyle w:val="Contents2"/>
            <w:tabs>
              <w:tab w:val="clear" w:pos="8743"/>
              <w:tab w:val="right" w:pos="9026" w:leader="dot"/>
            </w:tabs>
            <w:rPr/>
          </w:pPr>
          <w:hyperlink w:anchor="__RefHeading___Toc274775_581953129">
            <w:r>
              <w:rPr>
                <w:webHidden/>
                <w:rStyle w:val="IndexLink"/>
                <w:rtl w:val="true"/>
              </w:rPr>
              <w:t>دیدگاه حقوقی</w:t>
            </w:r>
            <w:r>
              <w:rPr>
                <w:rStyle w:val="IndexLink"/>
                <w:rtl w:val="true"/>
              </w:rPr>
              <w:tab/>
            </w:r>
            <w:r>
              <w:rPr>
                <w:rStyle w:val="IndexLink"/>
              </w:rPr>
              <w:t>45</w:t>
            </w:r>
          </w:hyperlink>
        </w:p>
        <w:p>
          <w:pPr>
            <w:pStyle w:val="Contents2"/>
            <w:tabs>
              <w:tab w:val="clear" w:pos="8743"/>
              <w:tab w:val="right" w:pos="9026" w:leader="dot"/>
            </w:tabs>
            <w:rPr/>
          </w:pPr>
          <w:hyperlink w:anchor="__RefHeading___Toc274777_581953129">
            <w:r>
              <w:rPr>
                <w:webHidden/>
                <w:rStyle w:val="IndexLink"/>
                <w:rtl w:val="true"/>
              </w:rPr>
              <w:t>مقررات ثبت اثر</w:t>
            </w:r>
            <w:r>
              <w:rPr>
                <w:rStyle w:val="IndexLink"/>
                <w:rtl w:val="true"/>
              </w:rPr>
              <w:tab/>
            </w:r>
            <w:r>
              <w:rPr>
                <w:rStyle w:val="IndexLink"/>
              </w:rPr>
              <w:t>49</w:t>
            </w:r>
          </w:hyperlink>
        </w:p>
        <w:p>
          <w:pPr>
            <w:pStyle w:val="Contents2"/>
            <w:tabs>
              <w:tab w:val="clear" w:pos="8743"/>
              <w:tab w:val="right" w:pos="9026" w:leader="dot"/>
            </w:tabs>
            <w:rPr/>
          </w:pPr>
          <w:hyperlink w:anchor="__RefHeading___Toc274779_581953129">
            <w:r>
              <w:rPr>
                <w:webHidden/>
                <w:rStyle w:val="IndexLink"/>
                <w:rtl w:val="true"/>
              </w:rPr>
              <w:t>ساختار و محتوا</w:t>
            </w:r>
            <w:r>
              <w:rPr>
                <w:rStyle w:val="IndexLink"/>
                <w:rtl w:val="true"/>
              </w:rPr>
              <w:tab/>
            </w:r>
            <w:r>
              <w:rPr>
                <w:rStyle w:val="IndexLink"/>
              </w:rPr>
              <w:t>50</w:t>
            </w:r>
          </w:hyperlink>
        </w:p>
        <w:p>
          <w:pPr>
            <w:pStyle w:val="Contents2"/>
            <w:tabs>
              <w:tab w:val="clear" w:pos="8743"/>
              <w:tab w:val="right" w:pos="9026" w:leader="dot"/>
            </w:tabs>
            <w:rPr/>
          </w:pPr>
          <w:hyperlink w:anchor="__RefHeading___Toc274781_581953129">
            <w:r>
              <w:rPr>
                <w:webHidden/>
                <w:rStyle w:val="IndexLink"/>
                <w:rtl w:val="true"/>
              </w:rPr>
              <w:t>ویژگی مفاسد</w:t>
            </w:r>
            <w:r>
              <w:rPr>
                <w:rStyle w:val="IndexLink"/>
                <w:rtl w:val="true"/>
              </w:rPr>
              <w:tab/>
            </w:r>
            <w:r>
              <w:rPr>
                <w:rStyle w:val="IndexLink"/>
              </w:rPr>
              <w:t>56</w:t>
            </w:r>
          </w:hyperlink>
        </w:p>
        <w:p>
          <w:pPr>
            <w:pStyle w:val="Contents2"/>
            <w:tabs>
              <w:tab w:val="clear" w:pos="8743"/>
              <w:tab w:val="right" w:pos="9026" w:leader="dot"/>
            </w:tabs>
            <w:rPr/>
          </w:pPr>
          <w:hyperlink w:anchor="__RefHeading___Toc274783_581953129">
            <w:r>
              <w:rPr>
                <w:webHidden/>
                <w:rStyle w:val="IndexLink"/>
                <w:rtl w:val="true"/>
              </w:rPr>
              <w:t>حقوق بازیگران</w:t>
            </w:r>
            <w:r>
              <w:rPr>
                <w:rStyle w:val="IndexLink"/>
                <w:rtl w:val="true"/>
              </w:rPr>
              <w:tab/>
            </w:r>
            <w:r>
              <w:rPr>
                <w:rStyle w:val="IndexLink"/>
              </w:rPr>
              <w:t>61</w:t>
            </w:r>
          </w:hyperlink>
        </w:p>
        <w:p>
          <w:pPr>
            <w:pStyle w:val="Contents2"/>
            <w:tabs>
              <w:tab w:val="clear" w:pos="8743"/>
              <w:tab w:val="right" w:pos="9026" w:leader="dot"/>
            </w:tabs>
            <w:rPr/>
          </w:pPr>
          <w:hyperlink w:anchor="__RefHeading___Toc274785_581953129">
            <w:r>
              <w:rPr>
                <w:webHidden/>
                <w:rStyle w:val="IndexLink"/>
                <w:rtl w:val="true"/>
              </w:rPr>
              <w:t>بازیگری در نقش معصومین</w:t>
            </w:r>
            <w:r>
              <w:rPr>
                <w:rStyle w:val="IndexLink"/>
                <w:rtl w:val="true"/>
              </w:rPr>
              <w:tab/>
            </w:r>
            <w:r>
              <w:rPr>
                <w:rStyle w:val="IndexLink"/>
              </w:rPr>
              <w:t>69</w:t>
            </w:r>
          </w:hyperlink>
        </w:p>
        <w:p>
          <w:pPr>
            <w:pStyle w:val="Contents2"/>
            <w:tabs>
              <w:tab w:val="clear" w:pos="8743"/>
              <w:tab w:val="right" w:pos="9026" w:leader="dot"/>
            </w:tabs>
            <w:rPr/>
          </w:pPr>
          <w:hyperlink w:anchor="__RefHeading___Toc274787_581953129">
            <w:r>
              <w:rPr>
                <w:webHidden/>
                <w:rStyle w:val="IndexLink"/>
                <w:rtl w:val="true"/>
              </w:rPr>
              <w:t>حضور زن در فیلم</w:t>
            </w:r>
            <w:r>
              <w:rPr>
                <w:rStyle w:val="IndexLink"/>
                <w:rtl w:val="true"/>
              </w:rPr>
              <w:tab/>
            </w:r>
            <w:r>
              <w:rPr>
                <w:rStyle w:val="IndexLink"/>
              </w:rPr>
              <w:t>70</w:t>
            </w:r>
          </w:hyperlink>
        </w:p>
        <w:p>
          <w:pPr>
            <w:pStyle w:val="Contents2"/>
            <w:tabs>
              <w:tab w:val="clear" w:pos="8743"/>
              <w:tab w:val="right" w:pos="9026" w:leader="dot"/>
            </w:tabs>
            <w:rPr/>
          </w:pPr>
          <w:hyperlink w:anchor="__RefHeading___Toc274789_581953129">
            <w:r>
              <w:rPr>
                <w:webHidden/>
                <w:rStyle w:val="IndexLink"/>
                <w:rtl w:val="true"/>
              </w:rPr>
              <w:t>نگاه فقه</w:t>
            </w:r>
            <w:r>
              <w:rPr>
                <w:rStyle w:val="IndexLink"/>
                <w:rtl w:val="true"/>
              </w:rPr>
              <w:tab/>
            </w:r>
            <w:r>
              <w:rPr>
                <w:rStyle w:val="IndexLink"/>
              </w:rPr>
              <w:t>73</w:t>
            </w:r>
          </w:hyperlink>
        </w:p>
        <w:p>
          <w:pPr>
            <w:pStyle w:val="Contents2"/>
            <w:tabs>
              <w:tab w:val="clear" w:pos="8743"/>
              <w:tab w:val="right" w:pos="9026" w:leader="dot"/>
            </w:tabs>
            <w:rPr/>
          </w:pPr>
          <w:hyperlink w:anchor="__RefHeading___Toc274791_581953129">
            <w:r>
              <w:rPr>
                <w:webHidden/>
                <w:rStyle w:val="IndexLink"/>
                <w:rtl w:val="true"/>
              </w:rPr>
              <w:t>پوشش</w:t>
            </w:r>
            <w:r>
              <w:rPr>
                <w:rStyle w:val="IndexLink"/>
                <w:rtl w:val="true"/>
              </w:rPr>
              <w:tab/>
            </w:r>
            <w:r>
              <w:rPr>
                <w:rStyle w:val="IndexLink"/>
              </w:rPr>
              <w:t>73</w:t>
            </w:r>
          </w:hyperlink>
        </w:p>
        <w:p>
          <w:pPr>
            <w:pStyle w:val="Contents2"/>
            <w:tabs>
              <w:tab w:val="clear" w:pos="8743"/>
              <w:tab w:val="right" w:pos="9026" w:leader="dot"/>
            </w:tabs>
            <w:rPr/>
          </w:pPr>
          <w:hyperlink w:anchor="__RefHeading___Toc274793_581953129">
            <w:r>
              <w:rPr>
                <w:webHidden/>
                <w:rStyle w:val="IndexLink"/>
                <w:rtl w:val="true"/>
              </w:rPr>
              <w:t>بازیگری زن</w:t>
            </w:r>
            <w:r>
              <w:rPr>
                <w:rStyle w:val="IndexLink"/>
                <w:rtl w:val="true"/>
              </w:rPr>
              <w:tab/>
            </w:r>
            <w:r>
              <w:rPr>
                <w:rStyle w:val="IndexLink"/>
              </w:rPr>
              <w:t>76</w:t>
            </w:r>
          </w:hyperlink>
        </w:p>
        <w:p>
          <w:pPr>
            <w:pStyle w:val="Contents2"/>
            <w:tabs>
              <w:tab w:val="clear" w:pos="8743"/>
              <w:tab w:val="right" w:pos="9026" w:leader="dot"/>
            </w:tabs>
            <w:rPr/>
          </w:pPr>
          <w:hyperlink w:anchor="__RefHeading___Toc274795_581953129">
            <w:r>
              <w:rPr>
                <w:webHidden/>
                <w:rStyle w:val="IndexLink"/>
                <w:rtl w:val="true"/>
              </w:rPr>
              <w:t>زناشویی فرضی</w:t>
            </w:r>
            <w:r>
              <w:rPr>
                <w:rStyle w:val="IndexLink"/>
                <w:rtl w:val="true"/>
              </w:rPr>
              <w:tab/>
            </w:r>
            <w:r>
              <w:rPr>
                <w:rStyle w:val="IndexLink"/>
              </w:rPr>
              <w:t>77</w:t>
            </w:r>
          </w:hyperlink>
        </w:p>
        <w:p>
          <w:pPr>
            <w:pStyle w:val="Contents2"/>
            <w:tabs>
              <w:tab w:val="clear" w:pos="8743"/>
              <w:tab w:val="right" w:pos="9026" w:leader="dot"/>
            </w:tabs>
            <w:rPr/>
          </w:pPr>
          <w:hyperlink w:anchor="__RefHeading___Toc274797_581953129">
            <w:r>
              <w:rPr>
                <w:webHidden/>
                <w:rStyle w:val="IndexLink"/>
                <w:rtl w:val="true"/>
              </w:rPr>
              <w:t>حدود گفتگو</w:t>
            </w:r>
            <w:r>
              <w:rPr>
                <w:rStyle w:val="IndexLink"/>
                <w:rtl w:val="true"/>
              </w:rPr>
              <w:tab/>
            </w:r>
            <w:r>
              <w:rPr>
                <w:rStyle w:val="IndexLink"/>
              </w:rPr>
              <w:t>83</w:t>
            </w:r>
          </w:hyperlink>
        </w:p>
        <w:p>
          <w:pPr>
            <w:pStyle w:val="Contents2"/>
            <w:tabs>
              <w:tab w:val="clear" w:pos="8743"/>
              <w:tab w:val="right" w:pos="9026" w:leader="dot"/>
            </w:tabs>
            <w:rPr/>
          </w:pPr>
          <w:hyperlink w:anchor="__RefHeading___Toc274799_581953129">
            <w:r>
              <w:rPr>
                <w:webHidden/>
                <w:rStyle w:val="IndexLink"/>
                <w:rtl w:val="true"/>
              </w:rPr>
              <w:t>حدود تماس بدنی</w:t>
            </w:r>
            <w:r>
              <w:rPr>
                <w:rStyle w:val="IndexLink"/>
                <w:rtl w:val="true"/>
              </w:rPr>
              <w:tab/>
            </w:r>
            <w:r>
              <w:rPr>
                <w:rStyle w:val="IndexLink"/>
              </w:rPr>
              <w:t>85</w:t>
            </w:r>
          </w:hyperlink>
        </w:p>
        <w:p>
          <w:pPr>
            <w:pStyle w:val="Contents2"/>
            <w:tabs>
              <w:tab w:val="clear" w:pos="8743"/>
              <w:tab w:val="right" w:pos="9026" w:leader="dot"/>
            </w:tabs>
            <w:rPr/>
          </w:pPr>
          <w:hyperlink w:anchor="__RefHeading___Toc274801_581953129">
            <w:r>
              <w:rPr>
                <w:webHidden/>
                <w:rStyle w:val="IndexLink"/>
                <w:rtl w:val="true"/>
              </w:rPr>
              <w:t>نگاه کردن</w:t>
            </w:r>
            <w:r>
              <w:rPr>
                <w:rStyle w:val="IndexLink"/>
                <w:rtl w:val="true"/>
              </w:rPr>
              <w:tab/>
            </w:r>
            <w:r>
              <w:rPr>
                <w:rStyle w:val="IndexLink"/>
              </w:rPr>
              <w:t>88</w:t>
            </w:r>
          </w:hyperlink>
        </w:p>
        <w:p>
          <w:pPr>
            <w:pStyle w:val="Contents2"/>
            <w:tabs>
              <w:tab w:val="clear" w:pos="8743"/>
              <w:tab w:val="right" w:pos="9026" w:leader="dot"/>
            </w:tabs>
            <w:rPr/>
          </w:pPr>
          <w:hyperlink w:anchor="__RefHeading___Toc274803_581953129">
            <w:r>
              <w:rPr>
                <w:webHidden/>
                <w:rStyle w:val="IndexLink"/>
                <w:rtl w:val="true"/>
              </w:rPr>
              <w:t>ریبه و لذّت بردن</w:t>
            </w:r>
            <w:r>
              <w:rPr>
                <w:rStyle w:val="IndexLink"/>
                <w:rtl w:val="true"/>
              </w:rPr>
              <w:tab/>
            </w:r>
            <w:r>
              <w:rPr>
                <w:rStyle w:val="IndexLink"/>
              </w:rPr>
              <w:t>93</w:t>
            </w:r>
          </w:hyperlink>
        </w:p>
        <w:p>
          <w:pPr>
            <w:pStyle w:val="Contents2"/>
            <w:tabs>
              <w:tab w:val="clear" w:pos="8743"/>
              <w:tab w:val="right" w:pos="9026" w:leader="dot"/>
            </w:tabs>
            <w:rPr/>
          </w:pPr>
          <w:hyperlink w:anchor="__RefHeading___Toc274805_581953129">
            <w:r>
              <w:rPr>
                <w:webHidden/>
                <w:rStyle w:val="IndexLink"/>
                <w:rtl w:val="true"/>
              </w:rPr>
              <w:t>تحریک جنسی</w:t>
            </w:r>
            <w:r>
              <w:rPr>
                <w:rStyle w:val="IndexLink"/>
                <w:rtl w:val="true"/>
              </w:rPr>
              <w:tab/>
            </w:r>
            <w:r>
              <w:rPr>
                <w:rStyle w:val="IndexLink"/>
              </w:rPr>
              <w:t>94</w:t>
            </w:r>
          </w:hyperlink>
        </w:p>
        <w:p>
          <w:pPr>
            <w:pStyle w:val="Contents2"/>
            <w:tabs>
              <w:tab w:val="clear" w:pos="8743"/>
              <w:tab w:val="right" w:pos="9026" w:leader="dot"/>
            </w:tabs>
            <w:rPr/>
          </w:pPr>
          <w:hyperlink w:anchor="__RefHeading___Toc274807_581953129">
            <w:r>
              <w:rPr>
                <w:webHidden/>
                <w:rStyle w:val="IndexLink"/>
                <w:rtl w:val="true"/>
              </w:rPr>
              <w:t>نتیجه</w:t>
            </w:r>
            <w:r>
              <w:rPr>
                <w:rStyle w:val="IndexLink"/>
                <w:rtl w:val="true"/>
              </w:rPr>
              <w:tab/>
            </w:r>
            <w:r>
              <w:rPr>
                <w:rStyle w:val="IndexLink"/>
              </w:rPr>
              <w:t>95</w:t>
            </w:r>
          </w:hyperlink>
        </w:p>
        <w:p>
          <w:pPr>
            <w:pStyle w:val="Contents2"/>
            <w:tabs>
              <w:tab w:val="clear" w:pos="8743"/>
              <w:tab w:val="right" w:pos="9026" w:leader="dot"/>
            </w:tabs>
            <w:rPr/>
          </w:pPr>
          <w:hyperlink w:anchor="__RefHeading___Toc274809_581953129">
            <w:r>
              <w:rPr>
                <w:webHidden/>
                <w:rStyle w:val="IndexLink"/>
                <w:rtl w:val="true"/>
              </w:rPr>
              <w:t>همانندی زن و مرد</w:t>
            </w:r>
            <w:r>
              <w:rPr>
                <w:rStyle w:val="IndexLink"/>
                <w:rtl w:val="true"/>
              </w:rPr>
              <w:tab/>
            </w:r>
            <w:r>
              <w:rPr>
                <w:rStyle w:val="IndexLink"/>
              </w:rPr>
              <w:t>97</w:t>
            </w:r>
          </w:hyperlink>
        </w:p>
        <w:p>
          <w:pPr>
            <w:pStyle w:val="Contents2"/>
            <w:tabs>
              <w:tab w:val="clear" w:pos="8743"/>
              <w:tab w:val="right" w:pos="9026" w:leader="dot"/>
            </w:tabs>
            <w:rPr/>
          </w:pPr>
          <w:hyperlink w:anchor="__RefHeading___Toc274811_581953129">
            <w:r>
              <w:rPr>
                <w:webHidden/>
                <w:rStyle w:val="IndexLink"/>
                <w:rtl w:val="true"/>
              </w:rPr>
              <w:t>گریم و آرایشگری</w:t>
            </w:r>
            <w:r>
              <w:rPr>
                <w:rStyle w:val="IndexLink"/>
                <w:rtl w:val="true"/>
              </w:rPr>
              <w:tab/>
            </w:r>
            <w:r>
              <w:rPr>
                <w:rStyle w:val="IndexLink"/>
              </w:rPr>
              <w:t>99</w:t>
            </w:r>
          </w:hyperlink>
        </w:p>
        <w:p>
          <w:pPr>
            <w:pStyle w:val="Contents2"/>
            <w:tabs>
              <w:tab w:val="clear" w:pos="8743"/>
              <w:tab w:val="right" w:pos="9026" w:leader="dot"/>
            </w:tabs>
            <w:rPr/>
          </w:pPr>
          <w:hyperlink w:anchor="__RefHeading___Toc274813_581953129">
            <w:r>
              <w:rPr>
                <w:webHidden/>
                <w:rStyle w:val="IndexLink"/>
                <w:rtl w:val="true"/>
              </w:rPr>
              <w:t>فقه صحنه</w:t>
            </w:r>
            <w:r>
              <w:rPr>
                <w:rStyle w:val="IndexLink"/>
                <w:rtl w:val="true"/>
              </w:rPr>
              <w:tab/>
            </w:r>
            <w:r>
              <w:rPr>
                <w:rStyle w:val="IndexLink"/>
              </w:rPr>
              <w:t>103</w:t>
            </w:r>
          </w:hyperlink>
        </w:p>
        <w:p>
          <w:pPr>
            <w:pStyle w:val="Contents2"/>
            <w:tabs>
              <w:tab w:val="clear" w:pos="8743"/>
              <w:tab w:val="right" w:pos="9026" w:leader="dot"/>
            </w:tabs>
            <w:rPr/>
          </w:pPr>
          <w:hyperlink w:anchor="__RefHeading___Toc274815_581953129">
            <w:r>
              <w:rPr>
                <w:webHidden/>
                <w:rStyle w:val="IndexLink"/>
                <w:rtl w:val="true"/>
              </w:rPr>
              <w:t>فقه ارزیابی</w:t>
            </w:r>
            <w:r>
              <w:rPr>
                <w:rStyle w:val="IndexLink"/>
                <w:rtl w:val="true"/>
              </w:rPr>
              <w:tab/>
            </w:r>
            <w:r>
              <w:rPr>
                <w:rStyle w:val="IndexLink"/>
              </w:rPr>
              <w:t>109</w:t>
            </w:r>
          </w:hyperlink>
        </w:p>
        <w:p>
          <w:pPr>
            <w:pStyle w:val="Contents2"/>
            <w:tabs>
              <w:tab w:val="clear" w:pos="8743"/>
              <w:tab w:val="right" w:pos="9026" w:leader="dot"/>
            </w:tabs>
            <w:rPr/>
          </w:pPr>
          <w:hyperlink w:anchor="__RefHeading___Toc274817_581953129">
            <w:r>
              <w:rPr>
                <w:webHidden/>
                <w:rStyle w:val="IndexLink"/>
                <w:rtl w:val="true"/>
              </w:rPr>
              <w:t>موسیقی فیلم</w:t>
            </w:r>
            <w:r>
              <w:rPr>
                <w:rStyle w:val="IndexLink"/>
                <w:rtl w:val="true"/>
              </w:rPr>
              <w:tab/>
            </w:r>
            <w:r>
              <w:rPr>
                <w:rStyle w:val="IndexLink"/>
              </w:rPr>
              <w:t>111</w:t>
            </w:r>
          </w:hyperlink>
        </w:p>
        <w:p>
          <w:pPr>
            <w:pStyle w:val="Contents2"/>
            <w:tabs>
              <w:tab w:val="clear" w:pos="8743"/>
              <w:tab w:val="right" w:pos="9026" w:leader="dot"/>
            </w:tabs>
            <w:rPr/>
          </w:pPr>
          <w:hyperlink w:anchor="__RefHeading___Toc274819_581953129">
            <w:r>
              <w:rPr>
                <w:webHidden/>
                <w:rStyle w:val="IndexLink"/>
                <w:rtl w:val="true"/>
              </w:rPr>
              <w:t>ترانه در فیلم</w:t>
            </w:r>
            <w:r>
              <w:rPr>
                <w:rStyle w:val="IndexLink"/>
                <w:rtl w:val="true"/>
              </w:rPr>
              <w:tab/>
            </w:r>
            <w:r>
              <w:rPr>
                <w:rStyle w:val="IndexLink"/>
              </w:rPr>
              <w:t>115</w:t>
            </w:r>
          </w:hyperlink>
        </w:p>
        <w:p>
          <w:pPr>
            <w:pStyle w:val="Contents2"/>
            <w:tabs>
              <w:tab w:val="clear" w:pos="8743"/>
              <w:tab w:val="right" w:pos="9026" w:leader="dot"/>
            </w:tabs>
            <w:rPr/>
          </w:pPr>
          <w:hyperlink w:anchor="__RefHeading___Toc274821_581953129">
            <w:r>
              <w:rPr>
                <w:webHidden/>
                <w:rStyle w:val="IndexLink"/>
                <w:rtl w:val="true"/>
              </w:rPr>
              <w:t>خرید و فروش</w:t>
            </w:r>
            <w:r>
              <w:rPr>
                <w:rStyle w:val="IndexLink"/>
                <w:rtl w:val="true"/>
              </w:rPr>
              <w:tab/>
            </w:r>
            <w:r>
              <w:rPr>
                <w:rStyle w:val="IndexLink"/>
              </w:rPr>
              <w:t>117</w:t>
            </w:r>
          </w:hyperlink>
        </w:p>
        <w:p>
          <w:pPr>
            <w:pStyle w:val="Contents2"/>
            <w:tabs>
              <w:tab w:val="clear" w:pos="8743"/>
              <w:tab w:val="right" w:pos="9026" w:leader="dot"/>
            </w:tabs>
            <w:rPr/>
          </w:pPr>
          <w:hyperlink w:anchor="__RefHeading___Toc274823_581953129">
            <w:r>
              <w:rPr>
                <w:webHidden/>
                <w:rStyle w:val="IndexLink"/>
                <w:rtl w:val="true"/>
              </w:rPr>
              <w:t>نظارت بر سالن‌های سینما</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8_56805"/>
      <w:bookmarkStart w:id="1" w:name="pg5228_56805"/>
      <w:bookmarkEnd w:id="1"/>
    </w:p>
    <w:p>
      <w:pPr>
        <w:pStyle w:val="Heading2"/>
        <w:numPr>
          <w:ilvl w:val="1"/>
          <w:numId w:val="1"/>
        </w:numPr>
        <w:rPr/>
      </w:pPr>
      <w:bookmarkStart w:id="2" w:name="pg5228_56805"/>
      <w:bookmarkStart w:id="3" w:name="__RefHeading___Toc2747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عباس‌زاده،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سینما و فیلم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 زیرنظر حسین فلاح‌زاده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75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28_56809"/>
      <w:bookmarkStart w:id="8" w:name="pg5228_56809"/>
      <w:bookmarkEnd w:id="8"/>
    </w:p>
    <w:p>
      <w:pPr>
        <w:pStyle w:val="Heading2"/>
        <w:numPr>
          <w:ilvl w:val="1"/>
          <w:numId w:val="1"/>
        </w:numPr>
        <w:rPr/>
      </w:pPr>
      <w:bookmarkStart w:id="9" w:name="pg5228_56809"/>
      <w:bookmarkStart w:id="10" w:name="__RefHeading___Toc274755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هنر تصویری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فقه 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مشروع بودن آفرینش 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ماهیت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مقررات تولید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عوامل و عناصر سازنده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فیملنامه یا دستمایه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حقوقی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مقررات ثبت اثر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ساختار و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 مفاسد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حقوق بازیگران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بازیگری در نقش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 در فیلم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فقه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بازیگری زن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زناشویی فرضی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تماس بدنی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ریبه و لذّت بردن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جنسی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همانندی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گریم و آرایشگری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فقه صحنه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فقه ارزیابی </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فیلم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ترانه در فیلم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سالن‌های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2" w:name="pg5228_56813"/>
    </w:p>
    <w:p>
      <w:pPr>
        <w:pStyle w:val="Heading2"/>
        <w:numPr>
          <w:ilvl w:val="1"/>
          <w:numId w:val="1"/>
        </w:numPr>
        <w:rPr/>
      </w:pPr>
      <w:bookmarkStart w:id="13" w:name="__RefHeading___Toc274757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نظر اسلام، همان گونه که دین، راهنمای اندیشه، اخلاق و عبادت است، راهنمای انتخاب شغل و بایدها و نبایدها در قلمرو تولید، توزیع،مصرف،مدیریت و اقتصاد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مختلف، صدها حکم واجب و مستحب و شرایط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احکام ویژه هر صنف برای دست اندرکاران آن ضرورت حتمی و برای مراجعان به آن مشاغل نیاز قطعی و برای اهل مطالعه دانش اجتماعی و دینی مفید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 </w:t>
      </w:r>
    </w:p>
    <w:p>
      <w:pPr>
        <w:pStyle w:val="BookText"/>
        <w:rPr/>
      </w:pPr>
      <w:r>
        <w:rPr>
          <w:rFonts w:ascii="IRNazanin" w:hAnsi="IRNazanin" w:eastAsia="IRNazanin"/>
          <w:color w:val="111111"/>
          <w:sz w:val="28"/>
          <w:sz w:val="28"/>
          <w:szCs w:val="28"/>
          <w:rtl w:val="true"/>
          <w:lang w:bidi="fa-IR"/>
        </w:rPr>
        <w:t>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باقرالعلوم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علمی حجة الاسلام محمد حسین فلاح زاده شکل گرفته، پاسخی است به نیازهای بشر در همه عرصه‌های زندگی، 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تامین معیشت حلال را به مسلمانان و صاحبان مشاغل گوناگون می‌آموزد و فقه را از تئوری به عمل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برای تکمیل این مجموعه همچنان از حمایتهای فکری و مالی ستاد احیای امر به معروف و نهی از منکر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بتوانیم گامی هر چند کوچک در راستای ترویج احکام متعالی اسلام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هر گونه نقد و نظر تجربی و علمی خود را جهت تکمیل این مجموعه با ما به 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شهرک جهاد، خ عبداللهی، پلاک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یا تلفن </w:t>
      </w:r>
      <w:r>
        <w:rPr>
          <w:rFonts w:eastAsia="IRNazanin" w:cs="IRNazanin"/>
          <w:color w:val="111111"/>
          <w:sz w:val="28"/>
          <w:szCs w:val="28"/>
          <w:lang w:bidi="fa-IR"/>
        </w:rPr>
        <w:t>77750805</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ولی قدیر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نورالسجاد </w:t>
      </w:r>
      <w:bookmarkStart w:id="15" w:name="pg5228_56816"/>
    </w:p>
    <w:p>
      <w:pPr>
        <w:pStyle w:val="Heading2"/>
        <w:numPr>
          <w:ilvl w:val="1"/>
          <w:numId w:val="1"/>
        </w:numPr>
        <w:rPr/>
      </w:pPr>
      <w:bookmarkStart w:id="16" w:name="__RefHeading___Toc274759_581953129"/>
      <w:bookmarkStart w:id="17" w:name="_Toc5"/>
      <w:bookmarkEnd w:id="15"/>
      <w:bookmarkEnd w:id="16"/>
      <w:r>
        <w:rPr>
          <w:rtl w:val="true"/>
        </w:rPr>
        <w:t>هنر تصویری</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تصویری و به عبارتی پدیدیه فیلم در متون دینی به صراحت بیان نشده است، لکن وقتی تولید فیلم و مراحل و ابعاد مختلف آن مورد ارزیابی قرار می‌گیرد، مجموعه‌ای از مسائل و احکام متنوع فقهی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هم در نگاه کلی به هنر سینما و هم در ارزیابی عناصر همسو و متنوع شکل‌دهنده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که فقه محدود کننده است و حضور آن در عرصه‌های هنر، به ویژه هنر تصویری؛ چون سینما، تلویزیون و تصاویر متحرک، مساوی با محدود شدن آن و یا به تعبیری کاسته شدن از واقع‌گرایی این هنر است، انگاره‌ای دور از واقعیت و برخاسته از عدم شناخت این دو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واضح آنچه مدّ نظر فقه است شناخت این پدیده‌ها و آشنایی با عوامل و عناصر اثرساز در کنار هم و </w:t>
      </w:r>
      <w:bookmarkStart w:id="18" w:name="pg5228_56817"/>
    </w:p>
    <w:p>
      <w:pPr>
        <w:pStyle w:val="BookText"/>
        <w:rPr/>
      </w:pPr>
      <w:bookmarkEnd w:id="18"/>
      <w:r>
        <w:rPr>
          <w:rFonts w:ascii="IRNazanin" w:hAnsi="IRNazanin" w:eastAsia="IRNazanin"/>
          <w:color w:val="111111"/>
          <w:sz w:val="28"/>
          <w:sz w:val="28"/>
          <w:szCs w:val="28"/>
          <w:rtl w:val="true"/>
          <w:lang w:bidi="fa-IR"/>
        </w:rPr>
        <w:t>بازشناسی مرزها و جوانب مرتبط با حقوق و وضع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نظارتی آن نیز صرفاً در جهت درک روابط بین ساختار و محتوا و رسیدن به سازه‌های متناسب نسبت به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نه تنها حضور فقه را در عرصه هنر محدود کننده نمی‌داند، بلکه با توجه به پیچیدگی موضوعی، که از ماهیت ترکیبی این هنر نشأت گرفته است، فقه محوری پدیده هنر را، امر ضروری و اجتناب‌ناپذیر می‌سازد</w:t>
      </w:r>
      <w:r>
        <w:rPr>
          <w:rFonts w:eastAsia="IRNazanin" w:cs="IRNazanin"/>
          <w:color w:val="111111"/>
          <w:sz w:val="28"/>
          <w:szCs w:val="28"/>
          <w:rtl w:val="true"/>
          <w:lang w:bidi="fa-IR"/>
        </w:rPr>
        <w:t>.</w:t>
      </w:r>
    </w:p>
    <w:p>
      <w:pPr>
        <w:pStyle w:val="Heading2"/>
        <w:numPr>
          <w:ilvl w:val="1"/>
          <w:numId w:val="1"/>
        </w:numPr>
        <w:rPr/>
      </w:pPr>
      <w:bookmarkStart w:id="19" w:name="__RefHeading___Toc274761_581953129"/>
      <w:bookmarkStart w:id="20" w:name="_Toc6"/>
      <w:bookmarkEnd w:id="19"/>
      <w:r>
        <w:rPr>
          <w:rtl w:val="true"/>
        </w:rPr>
        <w:t>فقه تصویر</w:t>
      </w:r>
      <w:bookmarkEnd w:id="20"/>
    </w:p>
    <w:p>
      <w:pPr>
        <w:pStyle w:val="BookText"/>
        <w:rPr/>
      </w:pPr>
      <w:r>
        <w:rPr>
          <w:rFonts w:ascii="IRNazanin" w:hAnsi="IRNazanin" w:eastAsia="IRNazanin"/>
          <w:color w:val="111111"/>
          <w:sz w:val="28"/>
          <w:sz w:val="28"/>
          <w:szCs w:val="28"/>
          <w:rtl w:val="true"/>
          <w:lang w:bidi="fa-IR"/>
        </w:rPr>
        <w:t>فیلم تلاشی است برای تحقّق واقعیت بصری و سمعی، به تعبیری دیگر؛ آفرینش اثری، هنری است که در جهت اهداف مشخص تولید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فقهی، نخستین پرسشی که 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هنری، بدون توجه به محتوا، از نظر فقهی در چه جایگاهی از احکام قرار می‌گیرد؟ آیا این آفرینش در ذات خود، امری مباح و جایز است یا فقه پیرامون آن شرطی را مطرح می‌سازد؟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آیا آفرینش با داشتن رسالت معنوی است </w:t>
      </w:r>
      <w:bookmarkStart w:id="21" w:name="pg5228_56819"/>
    </w:p>
    <w:p>
      <w:pPr>
        <w:pStyle w:val="BookText"/>
        <w:rPr/>
      </w:pPr>
      <w:bookmarkEnd w:id="21"/>
      <w:r>
        <w:rPr>
          <w:rFonts w:ascii="IRNazanin" w:hAnsi="IRNazanin" w:eastAsia="IRNazanin"/>
          <w:color w:val="111111"/>
          <w:sz w:val="28"/>
          <w:sz w:val="28"/>
          <w:szCs w:val="28"/>
          <w:rtl w:val="true"/>
          <w:lang w:bidi="fa-IR"/>
        </w:rPr>
        <w:t>که مشروعیت یافته است؟ در هر صورت، نخستین مرحله برخورد فقه با پدیده تصویر، به عنوان خلق یک اثر هنری، و زمینه وارد شدن فقه به قلمرو این پدیده، شناخت جایگاه آن می‌باشد که ضروری و لازم است</w:t>
      </w:r>
      <w:r>
        <w:rPr>
          <w:rFonts w:eastAsia="IRNazanin" w:cs="IRNazanin"/>
          <w:color w:val="111111"/>
          <w:sz w:val="28"/>
          <w:szCs w:val="28"/>
          <w:rtl w:val="true"/>
          <w:lang w:bidi="fa-IR"/>
        </w:rPr>
        <w:t>.</w:t>
      </w:r>
    </w:p>
    <w:p>
      <w:pPr>
        <w:pStyle w:val="Heading2"/>
        <w:numPr>
          <w:ilvl w:val="1"/>
          <w:numId w:val="1"/>
        </w:numPr>
        <w:rPr/>
      </w:pPr>
      <w:bookmarkStart w:id="22" w:name="__RefHeading___Toc274763_581953129"/>
      <w:bookmarkStart w:id="23" w:name="_Toc7"/>
      <w:bookmarkEnd w:id="22"/>
      <w:r>
        <w:rPr>
          <w:rtl w:val="true"/>
        </w:rPr>
        <w:t>مشروع بودن آفرینش تصویر</w:t>
      </w:r>
      <w:bookmarkEnd w:id="23"/>
    </w:p>
    <w:p>
      <w:pPr>
        <w:pStyle w:val="BookText"/>
        <w:rPr/>
      </w:pPr>
      <w:r>
        <w:rPr>
          <w:rFonts w:ascii="IRNazanin" w:hAnsi="IRNazanin" w:eastAsia="IRNazanin"/>
          <w:color w:val="111111"/>
          <w:sz w:val="28"/>
          <w:sz w:val="28"/>
          <w:szCs w:val="28"/>
          <w:rtl w:val="true"/>
          <w:lang w:bidi="fa-IR"/>
        </w:rPr>
        <w:t>فقهای شیعه در ارتباط با هنر تصویری دیدگاه‌های مختلفی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درک اهمیت آن در عصر حاضر و کاربردی تصویر در زمینه‌هایی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پزشکی، تعلیم و تربیت و سطوح آموزشی و در علوم فضایی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ابعاد آان را مورد مطالعه قرار داده و احکام متعدّدی را بر این موضوع بیان کرده‌اند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با عنایت به این که زمان و مکان دو عنصر تعیین کننده هستند، تلقّی انسان‌ها از تصاویر و نحوه برخورد با این پدیده‌ها را معیار و مؤثر در این صنعت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جدا ساختن حرفه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پیکرتراشی از تصویرگری، تصویرگری را جایز شمرده</w:t>
      </w:r>
      <w:r>
        <w:rPr>
          <w:rStyle w:val="FootnoteAnchor"/>
          <w:rtl w:val="true"/>
        </w:rPr>
        <w:footnoteReference w:id="2"/>
      </w:r>
      <w:r>
        <w:rPr>
          <w:rFonts w:ascii="IRNazanin" w:hAnsi="IRNazanin" w:eastAsia="IRNazanin"/>
          <w:color w:val="111111"/>
          <w:sz w:val="28"/>
          <w:sz w:val="28"/>
          <w:szCs w:val="28"/>
          <w:rtl w:val="true"/>
          <w:lang w:bidi="fa-IR"/>
        </w:rPr>
        <w:t xml:space="preserve">و حتی از نظر ایشان تصویر متحرک که شامل فیلم و </w:t>
      </w:r>
    </w:p>
    <w:p>
      <w:pPr>
        <w:pStyle w:val="BookText"/>
        <w:rPr/>
      </w:pPr>
      <w:r>
        <w:rPr>
          <w:rFonts w:ascii="IRNazanin" w:hAnsi="IRNazanin" w:eastAsia="IRNazanin"/>
          <w:color w:val="111111"/>
          <w:sz w:val="28"/>
          <w:sz w:val="28"/>
          <w:szCs w:val="28"/>
          <w:rtl w:val="true"/>
          <w:lang w:bidi="fa-IR"/>
        </w:rPr>
        <w:t>انیمیشن می‌گردد، از مصادیق تصویرگری که در روایات از آنها نهی شده خارج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تصویر توسط ابزار و آلات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متداول و معمول شده، جایز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بلکه می‌توان گفت ظاهراً این قبیل تصویرگری از مصداق آنچه به عنوان تصویر آمده خارج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و تصویرهای متحرک در واقع همان عکس‌های معمولی هستند که در هر ثانیه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آنها قاب شده و به جهت خطای دید بیننده، متحرک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امروز نظر همه فقهای شیعه بوده و در اصطلاح فقهی به مرز شهرت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مشروع و یا نامشروع بودن سینما را دوری سینما از فحشاء و یا آلوده بودن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واژه‌های فقهی را تفسیر نموده‌اند فحشاء را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بیان کرده‌اند؛ فحشاء، یعنی زشتی، هرزگی و </w:t>
      </w:r>
    </w:p>
    <w:p>
      <w:pPr>
        <w:pStyle w:val="BookText"/>
        <w:rPr/>
      </w:pPr>
      <w:r>
        <w:rPr>
          <w:rFonts w:ascii="IRNazanin" w:hAnsi="IRNazanin" w:eastAsia="IRNazanin"/>
          <w:color w:val="111111"/>
          <w:sz w:val="28"/>
          <w:sz w:val="28"/>
          <w:szCs w:val="28"/>
          <w:rtl w:val="true"/>
          <w:lang w:bidi="fa-IR"/>
        </w:rPr>
        <w:t>هر گونه مرزشکنی که به مفسده انجامد و ممکن است در هر یک از اعمال انسان؛ اعم از کردار، رفتار و گفتار او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فحشاء این است که انسان زشتی را به صراحت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وسعت معنای فحشاء و مفسده، فیلم باید دارای این ویژگیها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کننده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بیان‌گر زشتی‌های مفسده‌انگیز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 یا دیالوگ متن، متانت، وقار و عفّت گفتار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بازیگران در پوشش، حرکات و ظواهر، اخلاق انسانی و اسلامی را رعایت نمایند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ارائه الگو برای یک فیلم خوب و درست، پیام اخلاقی، تربیتی و میزان آگاهی‌دهی آن را مطرح می‌سازد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که این نشان می‌دهد وی علاوه بر نگاه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فقیهانه و توجه به حد و مرزها، معیارهای اجتماعی، تربیتی و انسانی را نیز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واقعیت را نیز آشکار می‌سازد که فیلم در ماهیت و </w:t>
      </w:r>
      <w:bookmarkStart w:id="24" w:name="pg5228_56825"/>
    </w:p>
    <w:p>
      <w:pPr>
        <w:pStyle w:val="BookText"/>
        <w:rPr/>
      </w:pPr>
      <w:bookmarkEnd w:id="24"/>
      <w:r>
        <w:rPr>
          <w:rFonts w:ascii="IRNazanin" w:hAnsi="IRNazanin" w:eastAsia="IRNazanin"/>
          <w:color w:val="111111"/>
          <w:sz w:val="28"/>
          <w:sz w:val="28"/>
          <w:szCs w:val="28"/>
          <w:rtl w:val="true"/>
          <w:lang w:bidi="fa-IR"/>
        </w:rPr>
        <w:t xml:space="preserve">حقیقت خود چیزی نیست که شریعت اسلامی حکم به حرام بودن آن کرده باشد، بلکه آنچه حائز اهمیت بوده و شریعت نیز درباره آن سخن گفته پی‌آمدهای جانبی آن که ناظر بر نظام اخلاقی و کمالات معنوی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سینما که از پیدایش آن حدوداً یک قرن می‌گذرد در شریعت اسلامی جایگاه و اهمیت خود را یافته و به ویژه در نظر فقهای معاصر قدرت و وسعت آن در مقیاس سایر رسانه‌ها مورد توجه قرار گرفته است</w:t>
      </w:r>
      <w:r>
        <w:rPr>
          <w:rFonts w:eastAsia="IRNazanin" w:cs="IRNazanin"/>
          <w:color w:val="111111"/>
          <w:sz w:val="28"/>
          <w:szCs w:val="28"/>
          <w:rtl w:val="true"/>
          <w:lang w:bidi="fa-IR"/>
        </w:rPr>
        <w:t>.</w:t>
      </w:r>
    </w:p>
    <w:p>
      <w:pPr>
        <w:pStyle w:val="Heading2"/>
        <w:numPr>
          <w:ilvl w:val="1"/>
          <w:numId w:val="1"/>
        </w:numPr>
        <w:rPr/>
      </w:pPr>
      <w:bookmarkStart w:id="25" w:name="__RefHeading___Toc274765_581953129"/>
      <w:bookmarkStart w:id="26" w:name="_Toc8"/>
      <w:bookmarkEnd w:id="25"/>
      <w:r>
        <w:rPr>
          <w:rtl w:val="true"/>
        </w:rPr>
        <w:t>ماهیت فیلم</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به لحاظ ماهیت، عبارت است از آنچه که به عنوان نرم‌افزار در روی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سلولوئید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ضبط می‌گردد و با مکانیزم خاصی قابل نمایش و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رایانه‌ها در عرصه تولید امکان ساخت تصویر و ضبط آن بر روی دیسک‌های نوری را نیز ممکن و عملی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صنعت فیلمسازی کارهایی که </w:t>
      </w:r>
      <w:bookmarkStart w:id="27" w:name="pg5228_56826"/>
    </w:p>
    <w:p>
      <w:pPr>
        <w:pStyle w:val="BookText"/>
        <w:rPr/>
      </w:pPr>
      <w:bookmarkEnd w:id="27"/>
      <w:r>
        <w:rPr>
          <w:rFonts w:ascii="IRNazanin" w:hAnsi="IRNazanin" w:eastAsia="IRNazanin"/>
          <w:color w:val="111111"/>
          <w:sz w:val="28"/>
          <w:sz w:val="28"/>
          <w:szCs w:val="28"/>
          <w:rtl w:val="true"/>
          <w:lang w:bidi="fa-IR"/>
        </w:rPr>
        <w:t>به ساخت انیمیشن مربوط می‌گردد در سیستم‌های رایانه‌ای طراحی شده و به صورت تصاویر متحرک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تصاویر نیز به جهت این که همانند فیلم‌های سینمایی و تلویزیونی دارای خط داستان بوده و یا انتقال دهنده مفاهیم و معنا می‌باشند، همانند فیلم‌های معمول و متعارف مورد توجه قرار گرفته‌اند و می‌توان گفت چه از نگاه عرف تخصصی و چه از نگاه عرف عمومی به برنامه‌های این‌چنین نیز فیلم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بخش موضوع و مصداق‌شناسی که پیش از مرحله فتوا انجام می‌گیرد، حائز اهمیت است</w:t>
      </w:r>
      <w:r>
        <w:rPr>
          <w:rFonts w:eastAsia="IRNazanin" w:cs="IRNazanin"/>
          <w:color w:val="111111"/>
          <w:sz w:val="28"/>
          <w:szCs w:val="28"/>
          <w:rtl w:val="true"/>
          <w:lang w:bidi="fa-IR"/>
        </w:rPr>
        <w:t>.</w:t>
      </w:r>
    </w:p>
    <w:p>
      <w:pPr>
        <w:pStyle w:val="Heading2"/>
        <w:numPr>
          <w:ilvl w:val="1"/>
          <w:numId w:val="1"/>
        </w:numPr>
        <w:rPr/>
      </w:pPr>
      <w:bookmarkStart w:id="28" w:name="__RefHeading___Toc274767_581953129"/>
      <w:bookmarkStart w:id="29" w:name="_Toc9"/>
      <w:bookmarkEnd w:id="28"/>
      <w:r>
        <w:rPr>
          <w:rtl w:val="true"/>
        </w:rPr>
        <w:t>مقررات تولید فیلم</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مقررات ناظر بر تولید فیلم، موارد زیر مدّ نظر قرار گرفته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فیلم‌ها باید از اهانت مستقیم و غیر مستقیم به پروردگار، ادیان، کتب آسمانی، پیامبران، مقدسات، ائمه‌اطهار علیهم‌السلام، روحانیت و مظاهر مذهبی به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مرامهای غیر قانونی و معاند با نظام اسلامی تبلیغ و ترویج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باورهای دینی و مذهبی ملّت مسلمان ایران اهانت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موجب اختلاف و تفرقه یا تحقیر گروه خاصی می‌گردد، طرح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یا موهوم‌پرستی، احضار ارواح و جن‌گیری و جادوگری به عنوان دستمایه فیلم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ارزشی اسلام و انقلاب اسلامی سست و مخدوش نشان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غلط جامعه احیاء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و محتوا نباید موجب جریحه‌دار شدن احساسات مسلمانان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پخش و نمایش فیلمی که در آن رفتار و کردار تبهکارانه و جنایتکارانه تبلیغ و ترویج می‌شود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و لهجه اقلیت‌های دینی و اقوام مختلف ایرانی به قصد توهین استفاده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و زندگی مفاخر مذهبی مورد تحریف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ارائه صحنه‌های سطحی از دعا و نیایش موجب ضد تبلیغ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نظامی و انتظامی ضعیف نشان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تحریف وقایع تاریخی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متقابل خانواده و منزلت پدر، مادر و سایر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خانواده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همه موارد یاد شده مبنای فقهی داشته و در دستورات معاشرتی و احکام فردی و اجتماعی یکایک این موارد به تفصیل بحث شده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0" w:name="pg5228_56831"/>
    </w:p>
    <w:p>
      <w:pPr>
        <w:pStyle w:val="Heading2"/>
        <w:numPr>
          <w:ilvl w:val="1"/>
          <w:numId w:val="1"/>
        </w:numPr>
        <w:rPr/>
      </w:pPr>
      <w:bookmarkStart w:id="31" w:name="__RefHeading___Toc274769_581953129"/>
      <w:bookmarkStart w:id="32" w:name="_Toc10"/>
      <w:bookmarkEnd w:id="30"/>
      <w:bookmarkEnd w:id="31"/>
      <w:r>
        <w:rPr>
          <w:rtl w:val="true"/>
        </w:rPr>
        <w:t>عوامل و عناصر سازنده فیلم</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محصول نمایشی است که با همکاری جمعی و ایفای نقش تعدادی افراد پدید می‌آید و از منظر فقه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پدیده یا اثر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طرح </w:t>
      </w:r>
    </w:p>
    <w:p>
      <w:pPr>
        <w:pStyle w:val="BookText"/>
        <w:rPr/>
      </w:pPr>
      <w:r>
        <w:rPr>
          <w:rFonts w:ascii="IRNazanin" w:hAnsi="IRNazanin" w:eastAsia="IRNazanin"/>
          <w:color w:val="111111"/>
          <w:sz w:val="28"/>
          <w:sz w:val="28"/>
          <w:szCs w:val="28"/>
          <w:rtl w:val="true"/>
          <w:lang w:bidi="fa-IR"/>
        </w:rPr>
        <w:t>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قرارداد باید حریت افراد محترم شمرده شود و مفاد قرارداد از هر گونه سلطه صاحب‌کار بر زیر دستان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حقوق افراد مطابق محتوای قرارداد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کارگردان، بازیگر، تصویربرادر، نورپرداز، صحنه‌پرداز، گریمور، عوامل حمل و نقل، جلوه‌های ویژه و بالأخره تدوین کننده و صداگذار، در یک فیلم عواملی هستند که به نوعی در پدید آمدن آن، ایفای نقش می‌کنند و هر کدام در جایگاه خاص خود حقوق متمایزی داشته و در مقیاس کار و نسبت خود با فیلم، حقوق و دستمزد دریافت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فیلم به لحاظ این که امروزه تبدیل به صنعت</w:t>
      </w:r>
      <w:r>
        <w:rPr>
          <w:rStyle w:val="FootnoteAnchor"/>
          <w:rtl w:val="true"/>
        </w:rPr>
        <w:footnoteReference w:id="9"/>
      </w:r>
      <w:r>
        <w:rPr>
          <w:rFonts w:ascii="IRNazanin" w:hAnsi="IRNazanin" w:eastAsia="IRNazanin"/>
          <w:color w:val="111111"/>
          <w:sz w:val="28"/>
          <w:sz w:val="28"/>
          <w:szCs w:val="28"/>
          <w:rtl w:val="true"/>
          <w:lang w:bidi="fa-IR"/>
        </w:rPr>
        <w:t xml:space="preserve">شده و در ردیف امور تجاری و تولیدی قرار گرفته است، باید از ضوابط فقهی حاکم بر تولید و </w:t>
      </w:r>
      <w:bookmarkStart w:id="33" w:name="pg5228_56833"/>
    </w:p>
    <w:p>
      <w:pPr>
        <w:pStyle w:val="BookText"/>
        <w:rPr/>
      </w:pPr>
      <w:bookmarkEnd w:id="33"/>
      <w:r>
        <w:rPr>
          <w:rFonts w:ascii="IRNazanin" w:hAnsi="IRNazanin" w:eastAsia="IRNazanin"/>
          <w:color w:val="111111"/>
          <w:sz w:val="28"/>
          <w:sz w:val="28"/>
          <w:szCs w:val="28"/>
          <w:rtl w:val="true"/>
          <w:lang w:bidi="fa-IR"/>
        </w:rPr>
        <w:t>تجارت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اصل سرمایه، اتّخاذ شیوه و مکانیزم درست و عادلانه در تولید و مشروعیت غایت و هدف تولید فیلم، برخی از امور قابل توجه در این زمینه هستند</w:t>
      </w:r>
      <w:r>
        <w:rPr>
          <w:rFonts w:eastAsia="IRNazanin" w:cs="IRNazanin"/>
          <w:color w:val="111111"/>
          <w:sz w:val="28"/>
          <w:szCs w:val="28"/>
          <w:rtl w:val="true"/>
          <w:lang w:bidi="fa-IR"/>
        </w:rPr>
        <w:t>.</w:t>
      </w:r>
    </w:p>
    <w:p>
      <w:pPr>
        <w:pStyle w:val="Heading2"/>
        <w:numPr>
          <w:ilvl w:val="1"/>
          <w:numId w:val="1"/>
        </w:numPr>
        <w:rPr/>
      </w:pPr>
      <w:bookmarkStart w:id="34" w:name="__RefHeading___Toc274771_581953129"/>
      <w:bookmarkStart w:id="35" w:name="_Toc11"/>
      <w:bookmarkEnd w:id="34"/>
      <w:r>
        <w:rPr>
          <w:rtl w:val="true"/>
        </w:rPr>
        <w:t>تهیه کننده</w:t>
      </w:r>
      <w:bookmarkEnd w:id="35"/>
    </w:p>
    <w:p>
      <w:pPr>
        <w:pStyle w:val="BookText"/>
        <w:rPr/>
      </w:pPr>
      <w:r>
        <w:rPr>
          <w:rFonts w:ascii="IRNazanin" w:hAnsi="IRNazanin" w:eastAsia="IRNazanin"/>
          <w:color w:val="111111"/>
          <w:sz w:val="28"/>
          <w:sz w:val="28"/>
          <w:szCs w:val="28"/>
          <w:rtl w:val="true"/>
          <w:lang w:bidi="fa-IR"/>
        </w:rPr>
        <w:t>در تولید فیلم جایگاه تهیه کننده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اگر شخص حقیقی باشد، بر اساس ضوابطی که سیاست فرهنگی کشور برای فیلم و فیلمسازان تدوین و تصویب کرده، برنامه‌های مقدماتی خود را شروع می‌کند و با تعریف و ارائه چارچوب معین با افراد دیگر ارتباط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پیدایش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فیلمنامه‌ای که توسط تهیه کننده انتخاب گردیده، با هماهنگی کارگردان، در اختیار عوامل و عناصر تولید فیلم قرار می‌گیرد و با افراد انتخاب شده قرارداد بسته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کارکنان طرف قراردادتان را </w:t>
      </w:r>
      <w:bookmarkStart w:id="36" w:name="pg5228_56834"/>
    </w:p>
    <w:p>
      <w:pPr>
        <w:pStyle w:val="BookText"/>
        <w:rPr/>
      </w:pPr>
      <w:bookmarkEnd w:id="36"/>
      <w:r>
        <w:rPr>
          <w:rFonts w:ascii="IRNazanin" w:hAnsi="IRNazanin" w:eastAsia="IRNazanin"/>
          <w:color w:val="111111"/>
          <w:sz w:val="28"/>
          <w:sz w:val="28"/>
          <w:szCs w:val="28"/>
          <w:rtl w:val="true"/>
          <w:lang w:bidi="fa-IR"/>
        </w:rPr>
        <w:t>قبل از خشک شدن عرق بدنشان بپردازید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این در قرآن سفارش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 نکنید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7" w:name="__RefHeading___Toc274773_581953129"/>
      <w:bookmarkStart w:id="38" w:name="_Toc12"/>
      <w:bookmarkEnd w:id="37"/>
      <w:r>
        <w:rPr>
          <w:rtl w:val="true"/>
        </w:rPr>
        <w:t>فیملنامه یا دستمایه فیلم</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فیلمنامه عبارت است از ایده یا داستانی که شکل نهایی نمایشی به خود گرفته و یا به عبارتی دراماتیزه شده، و به عنوان اثر هنری، دارای ارزش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بحثی که در ارتباط با فیلمنامه مطرح می‌شود، این است که تهیه کننده پیش از شروع به تولید فیلم، باید حقوق مربوط به فیلمنامه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فیلمنامه متعلق به کسی است که زنده و مشخص است بدون اجازه از صاحب اثر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 به عنوان اثری مفید که ارزش مالی دارد، قابل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متعلق به کسی است که به نام او ثبت شده است</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دیگری که در این بحث مطرح شده در ارتباط با اقتباس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در فیلمنامه به معنای گرفتن بخشی از یک اثر معین است و اگر در شناسنامه آن مضمون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این اثر به هر طریقی مشروط به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اثر عملاً اقتباس از اثرش را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اثر، چیزی با این مضمون قید نشده باشد، در صورتی که از چنین آثاری اقتباسی صورت گرفته، باید در پاورقی به اثر اقتباس شده استناد داده شود در غیر این صورت، چنین کاری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آثار مهم و شناخته شده ادبی از دیر زمان در دنیا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با توجه به این که نوشته را به عنوان اثر معنوی و الهام شده از طرف حق می‌دانند بهره‌برداری و انتشار آن را مشروط به اجازه مؤلف نمی‌دانند و برخی نیز به دلیل این که با پرداخت حق‌التألیف، خریدار را مالک اثر می‌دانند هر گونه اقتباس و بهره‌برداری از آن را حق مسلم خریدار می‌دانند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امام خمینی 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حق طبع است، حق شرعی به حساب </w:t>
      </w:r>
    </w:p>
    <w:p>
      <w:pPr>
        <w:pStyle w:val="BookText"/>
        <w:rPr/>
      </w:pPr>
      <w:r>
        <w:rPr>
          <w:rFonts w:ascii="IRNazanin" w:hAnsi="IRNazanin" w:eastAsia="IRNazanin"/>
          <w:color w:val="111111"/>
          <w:sz w:val="28"/>
          <w:sz w:val="28"/>
          <w:szCs w:val="28"/>
          <w:rtl w:val="true"/>
          <w:lang w:bidi="fa-IR"/>
        </w:rPr>
        <w:t xml:space="preserve">نمی‌آید، و نفی سلطه مردم بر اموالشان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هیچ‌گونه شرط و عقدی در میان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دیگران می‌توانند آن را چاپ نموده و از آن تقلید کنند و هیچ‌کس نمی‌تواند مانع آن‌ها از این کار شود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این فتوا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وجه عقلی و عرفی مسأله توجه دارد که منع کردن مردم از تقلید در امور مربوط به اختراعات و حرفه‌ها و ساختن از روی نمونه‌ها و بهره‌گرفتن از نتیجه فکری گذشتگان از نظر عقلی و عرفی کار درستی به شمار نمی‌آید و چیزی را که پایه تکامل و ترقّی است نمی‌توان تصّرف در حقوق دیگران دانست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امام خمینی در فتوای خود اشاره می‌کند چنین عملی هنگامی جایز است که شرطی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کننده بر اجاره در بین نباشد که در صورت بودن چنین شرطی، عمل به شرط لازم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آیت‌الله مکارم شیرازی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حق طبع و تألیف و اختراع و مانند آن یک حق شرعی و قانونی است، و از نظر اسلامی باید به آن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اهمیت مالکیت‌های فکری کمتر از مالکیت‌های عینی نیست و حکومت اسلامی باید عهده‌دار حفظ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مالکیت‌های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تجاوز به حقوق دیگران حرام است و کسی حق ندارد در ملک دیگری بدون رضایت او تصرف کند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با توجه به آشفته بودن بازار اقتباس و رواج سرقت آثار ادبی و هنری از طرفی به علت ابهام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نویسندگان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علی لاریجانی، وزیر وقت وزارت فرهنگ و ارشاد اسلامی، در برنامه‌ای خطاب به رئیس قوّه قضائیه؛ آیت‌الله یزدی، حمایت از حقوق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پدیدآورندگان را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قوه قضائیه، با مبنا قرار دادن نظر اکثر فقهای معاصر، حکم زیر را برای </w:t>
      </w:r>
    </w:p>
    <w:p>
      <w:pPr>
        <w:pStyle w:val="BookText"/>
        <w:rPr/>
      </w:pPr>
      <w:r>
        <w:rPr>
          <w:rFonts w:ascii="IRNazanin" w:hAnsi="IRNazanin" w:eastAsia="IRNazanin"/>
          <w:color w:val="111111"/>
          <w:sz w:val="28"/>
          <w:sz w:val="28"/>
          <w:szCs w:val="28"/>
          <w:rtl w:val="true"/>
          <w:lang w:bidi="fa-IR"/>
        </w:rPr>
        <w:t>مراکز مربوطه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دیسکهای کامپیوتری یا فیلم‌های سینمایی و به طور کلی آثار سمعی و بصری که با زحمت فراوان و بهره‌گیری از تکنولوژی و نرم‌افزارها و سخت‌افزارهای لازم تهیه و آماده می‌شود که هر یک از این کارها به نوبه خود منشأ کسب است که عرف و عقل آن را به روشنی درک نموده و شرع نیز آن را ردّ نفرموده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وجود افراد بی‌سواد و کم‌اطلاع به حقوق، که حاصل زحمات محقق و نویسنده و هنرمند را به یغما برده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میلیون‌ها تومان از آن استفاده می‌کنند و گاهی حتی دیناری هم به صاحب اثر داده نمی‌شود، ظلم روشن و مشخص است که از نظر ما این حق برای مؤلف، مترجم، نویسنده، هنرمند و تهیه کننده شرعی و بر اساس ماده دوم و سوم قانون حمایت از حقوق مؤلفان و محققان و هنرمندان و دارای مبنای قانونی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می‌تواند برای خود محفوظ نگاه دارد، و یا بر اساس قرارداد قانونی به هر کسی که مایل باشد واگذار کند و در این قرارداد شرایط مورد نظر خود را منظور دارد که تخلّف از آن تصرف </w:t>
      </w:r>
    </w:p>
    <w:p>
      <w:pPr>
        <w:pStyle w:val="BookText"/>
        <w:rPr/>
      </w:pPr>
      <w:r>
        <w:rPr>
          <w:rFonts w:ascii="IRNazanin" w:hAnsi="IRNazanin" w:eastAsia="IRNazanin"/>
          <w:color w:val="111111"/>
          <w:sz w:val="28"/>
          <w:sz w:val="28"/>
          <w:szCs w:val="28"/>
          <w:rtl w:val="true"/>
          <w:lang w:bidi="fa-IR"/>
        </w:rPr>
        <w:t>در حق غیر شناخته شده و قابل تعقیب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شرعی لازم‌الرعایه و لازم‌الاجرای مقام معظم رهبری، حضرت آیت‌الله خامنه‌ای نیز همین مطلبی است که توضیح داده شد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این است که حقوق مؤلف و ناشر با کسب اجازه از آنان برای تجدید چاپ رعایت شود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پدیدآورندگان اعمّ از نویسنده، مترجم و یا صاحبان آثار هنری دریافت مبلغی پول در برابر آثارشان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حق دارند در برابر واگذاری نسخه اوّل یا اصلی اثر علمی و هنری خود به ناشر، هر مبلغی می‌خواهند دریافت کنند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ایشان حتی گرفتن پول در برابر یک اثر، دلیل آن نمی‌شود که حقوق پدیدآورنده نسبت به اثر خود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نادیده گرفته شود، مگر این که چنین حقی، طبق قرارداد لغو گردد و حق هر گونه بهره‌برداری به طور </w:t>
      </w:r>
    </w:p>
    <w:p>
      <w:pPr>
        <w:pStyle w:val="BookText"/>
        <w:rPr/>
      </w:pPr>
      <w:r>
        <w:rPr>
          <w:rFonts w:ascii="IRNazanin" w:hAnsi="IRNazanin" w:eastAsia="IRNazanin"/>
          <w:color w:val="111111"/>
          <w:sz w:val="28"/>
          <w:sz w:val="28"/>
          <w:szCs w:val="28"/>
          <w:rtl w:val="true"/>
          <w:lang w:bidi="fa-IR"/>
        </w:rPr>
        <w:t>مطلق به فرد دیگر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دسترسی به صاحب اثر چه باید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باید به وکیل یا ولی شرعی او و یاد در صورت فوت به وارثین وی مراجعه شود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فتوای مراجع کنونی، آمده، بیانگر این مهمّ است، علیرغم این که جمهوری اسلامی ایران به دلایلی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کپی‌رایت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نپیوسته است، لکن بدون تردید با مبنا قرار گرفتن احکام و دستورات دینی و با جدّی گرفتن نظرات فقها، نویسندگان و صاحبان آثار به حقوق مسلّم خود خواهند رسید</w:t>
      </w:r>
      <w:r>
        <w:rPr>
          <w:rFonts w:eastAsia="IRNazanin" w:cs="IRNazanin"/>
          <w:color w:val="111111"/>
          <w:sz w:val="28"/>
          <w:szCs w:val="28"/>
          <w:rtl w:val="true"/>
          <w:lang w:bidi="fa-IR"/>
        </w:rPr>
        <w:t xml:space="preserve">. </w:t>
      </w:r>
      <w:bookmarkStart w:id="39" w:name="pg5228_56846"/>
    </w:p>
    <w:p>
      <w:pPr>
        <w:pStyle w:val="Heading2"/>
        <w:numPr>
          <w:ilvl w:val="1"/>
          <w:numId w:val="1"/>
        </w:numPr>
        <w:rPr/>
      </w:pPr>
      <w:bookmarkStart w:id="40" w:name="__RefHeading___Toc274775_581953129"/>
      <w:bookmarkStart w:id="41" w:name="_Toc13"/>
      <w:bookmarkEnd w:id="39"/>
      <w:bookmarkEnd w:id="40"/>
      <w:r>
        <w:rPr>
          <w:rtl w:val="true"/>
        </w:rPr>
        <w:t>دیدگاه حقوقی</w:t>
      </w:r>
      <w:bookmarkEnd w:id="41"/>
    </w:p>
    <w:p>
      <w:pPr>
        <w:pStyle w:val="BookText"/>
        <w:rPr/>
      </w:pPr>
      <w:r>
        <w:rPr>
          <w:rFonts w:ascii="IRNazanin" w:hAnsi="IRNazanin" w:eastAsia="IRNazanin"/>
          <w:color w:val="111111"/>
          <w:sz w:val="28"/>
          <w:sz w:val="28"/>
          <w:szCs w:val="28"/>
          <w:rtl w:val="true"/>
          <w:lang w:bidi="fa-IR"/>
        </w:rPr>
        <w:t xml:space="preserve">آنچه به عنوان حقوق مؤلّفان و صاحبان آثار در حقوق کنونی ایران آمده عبارت است از مجموعه مقررات و قوانین کلّی که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تصویب رسیده و بعدها نیز چندین بار اصلاح و تکمیل گردیده است و اکنون هم به عنوان قانون حمایت از حقوق مؤلفان، مصنفان و هنرمندان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مواردی از این مقررات، که با موضوع این نوشتار ارتباط پیدا می‌کند،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مؤلف و هنرمندِ پدیدآورنده و به آنچه که از راه دانش یا هنر و یا ابتکار آنان پدید می‌آید، بدون در نظر گرفتن سلیقه یا روشی که در بیان ظهور و یا ایجاد آن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مورد حمایت قرار گرفته، دوازده عنوان می‌باشد که نمایشنامه و فیلمنامه جهت تهیه فیلمهای سینمایی و تلویزیونی نیز از جمله آن به شمار می‌رود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اثرهای مورد حمایت این قانون می‌تواند، استفاده از حقوق مادی خود را در کلیه موارد به غیر منتقل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با همکاری دو یا چند پدیدآورنده به وجود آمده باشد و کار یکایک آنان جدا و متمایز نباشد، اثر مشترک نامیده می‌شود و حقوق ناشی از آن، حق مشاع پدیدآورندگان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عنوان و نشان ویژه‌ای که معرّف اثر است از حمایت این قانون برخوردار خواهد بود و هیچ‌کس نمی‌تواند آن‌ها را برای اثر دیگری از همان نوع یا مانند آن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حقوقی که در قانون حمایت از حقوق پدیدآورندگان مطرح شده است با آن‌چه که در فقه اسلامی به عنوان حق شرعی حقوق مؤلف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و چنانچه گذشت فقهای شیعه نیز همه گونه تصرف در آثار معنوی را منوط به اجازه پدیدآورنده دانسته‌اند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در کتاب نظام اقتصادی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علاوه بر جنبه‌های مادی 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انرژی مصرف شده باید جنبه‌های معنوی آن را نیز در نظر گرفت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2" w:name="pg5228_56850"/>
    </w:p>
    <w:p>
      <w:pPr>
        <w:pStyle w:val="BookText"/>
        <w:rPr/>
      </w:pPr>
      <w:bookmarkEnd w:id="42"/>
      <w:r>
        <w:rPr>
          <w:rFonts w:ascii="IRNazanin" w:hAnsi="IRNazanin" w:eastAsia="IRNazanin"/>
          <w:color w:val="111111"/>
          <w:sz w:val="28"/>
          <w:sz w:val="28"/>
          <w:szCs w:val="28"/>
          <w:rtl w:val="true"/>
          <w:lang w:bidi="fa-IR"/>
        </w:rPr>
        <w:t>در ارتباط با پدیده کتاب و آثار مکتوب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کتاب به مؤلف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کاغذ و قلم حق دارد از روی نسخه ملکی که خریده است برای مطالعه نسخه‌برداری کند، امّا حق ندارد با کاغذ و مرکب و حروف چاپی و ماشین خود هزار نسخه از روی نسخه خود چاپ کند و به فروش رساند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74777_581953129"/>
      <w:bookmarkStart w:id="44" w:name="_Toc14"/>
      <w:bookmarkEnd w:id="43"/>
      <w:r>
        <w:rPr>
          <w:rtl w:val="true"/>
        </w:rPr>
        <w:t>مقررات ثبت اثر</w:t>
      </w:r>
      <w:bookmarkEnd w:id="44"/>
    </w:p>
    <w:p>
      <w:pPr>
        <w:pStyle w:val="BookText"/>
        <w:rPr/>
      </w:pPr>
      <w:r>
        <w:rPr>
          <w:rFonts w:ascii="IRNazanin" w:hAnsi="IRNazanin" w:eastAsia="IRNazanin"/>
          <w:color w:val="111111"/>
          <w:sz w:val="28"/>
          <w:sz w:val="28"/>
          <w:szCs w:val="28"/>
          <w:rtl w:val="true"/>
          <w:lang w:bidi="fa-IR"/>
        </w:rPr>
        <w:t>ثبت اثر، تابع ضوابط مطرح شده در مقررات و آئین‌نامه‌های نهادهای مربوطه است که در کشور جمهوری اسلامی ایران، وزارت فرهنگ و ارشاد اسلامی عهده‌دار این وظیفه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اثر، طبق درخواست در نامه‌های چاپی، که از طرف وزارت فرهنگ و هنر تهیه و در اختیار درخواست کننده ثبت اثر گذارده می‌شود، به عمل می‌آید و باید در دو نسخه به زبان فارسی نوشته و امضاء شود و حاوی </w:t>
      </w:r>
      <w:bookmarkStart w:id="45" w:name="pg5228_56851"/>
    </w:p>
    <w:p>
      <w:pPr>
        <w:pStyle w:val="BookText"/>
        <w:rPr/>
      </w:pPr>
      <w:bookmarkEnd w:id="45"/>
      <w:r>
        <w:rPr>
          <w:rFonts w:ascii="IRNazanin" w:hAnsi="IRNazanin" w:eastAsia="IRNazanin"/>
          <w:color w:val="111111"/>
          <w:sz w:val="28"/>
          <w:sz w:val="28"/>
          <w:szCs w:val="28"/>
          <w:rtl w:val="true"/>
          <w:lang w:bidi="fa-IR"/>
        </w:rPr>
        <w:t>مشخصات شناسنامه‌ای پدیدآورنده یا پدیدآورندگان و تاریخ تولید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ابلاغ نامه رئیس قوه قضائیه وقت، مبنی بر شرعی دانستن حق نویسندگان و مطابقت آن با رأی فقها،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لایحه مجازات اسلامی با قانونی دانستن حق نویسندگان و پدیدآورندگان آثار، یک ماده بر لایحه مذکور الحاق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ماده الحاقی، استفاده بدون اجازه از آثار مکتوب، از موارد تصرف در آثار قلمداد شده است</w:t>
      </w:r>
      <w:r>
        <w:rPr>
          <w:rFonts w:eastAsia="IRNazanin" w:cs="IRNazanin"/>
          <w:color w:val="111111"/>
          <w:sz w:val="28"/>
          <w:szCs w:val="28"/>
          <w:rtl w:val="true"/>
          <w:lang w:bidi="fa-IR"/>
        </w:rPr>
        <w:t>.</w:t>
      </w:r>
    </w:p>
    <w:p>
      <w:pPr>
        <w:pStyle w:val="Heading2"/>
        <w:numPr>
          <w:ilvl w:val="1"/>
          <w:numId w:val="1"/>
        </w:numPr>
        <w:rPr/>
      </w:pPr>
      <w:bookmarkStart w:id="46" w:name="__RefHeading___Toc274779_581953129"/>
      <w:bookmarkStart w:id="47" w:name="_Toc15"/>
      <w:bookmarkEnd w:id="46"/>
      <w:r>
        <w:rPr>
          <w:rtl w:val="true"/>
        </w:rPr>
        <w:t>ساختار و محتوا</w:t>
      </w:r>
      <w:bookmarkEnd w:id="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سینما، نظریه‌ای می‌گوید موضوعاتی که به پدیده دین و مسایل انسانی و فکری می‌پردازد باید در ساختارهای خاص خود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غیر از این باشد، نمی‌تواند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آن است که در فقه شیعه محتوا و شکل فیلم، همانند سایر انگاره‌ها، از نظر اصالت و اهمیت هر دو یکسان هستند، برخلاف سایر ادیان که بیشتر محتواگرا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به ویژه فقه شیعه، بر شکل و ساختار نیز تأکید دارد و اشکال، نمادها و نشانه‌ها را جدا از محتوا قلمداد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همان‌طور که بر معماری و گرافیک و نقاشی تأثیر گذاشته در هنر سینما نیز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محتوا و شکل دو رکن اساسی تعیین کننده جهت و غایت فیلم نیز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ساختار است که می‌توان یک فیلم را دینی ارزیابی کرد و یا ضد دین دانست و همین‌طور است از حیث محتوا که در جای خود القاء کننده مفاهیم ارزشی یا غیر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همین نشانه‌های ساختاری و محتوایی در پدیده‌ها، مرز بین مذهبی و غیر مذهبی بودن را معین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هنر سینما نشانه‌های ساختاری را می‌توان در سرعت، زاویه، کادربندی، صحنه‌پردازی، نور و رنگ و هوا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 فیلمی که به موضوعات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حیث قالب حتی در روش ارائه نیز با آنچه که به عنوان محتوا در فیلم مطرح شده است، همخوانی داشته باشد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 شامل همه پدیده‌هایی است که به عنوان موضوعات دینی شاخته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اصول </w:t>
      </w:r>
    </w:p>
    <w:p>
      <w:pPr>
        <w:pStyle w:val="BookText"/>
        <w:rPr/>
      </w:pPr>
      <w:r>
        <w:rPr>
          <w:rFonts w:ascii="IRNazanin" w:hAnsi="IRNazanin" w:eastAsia="IRNazanin"/>
          <w:color w:val="111111"/>
          <w:sz w:val="28"/>
          <w:sz w:val="28"/>
          <w:szCs w:val="28"/>
          <w:rtl w:val="true"/>
          <w:lang w:bidi="fa-IR"/>
        </w:rPr>
        <w:t>اعتقادات، پرداختن به مفاهیم بلند دینی و عرفانی، پرداختن به زندگی شخصیت‌های بزرگ اسلامی و مذهبی در هر فیلمی که باشد آن را جهت‌دار کرده و رعایت برخی از شرایط را ضروری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به صورت پراکنده می‌توان در آراء و دیدگاه فقهای معاصر ملاحظه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موضوعات دینی و عرفانی و یا تولید فیلم در ارتباط با زندگی علمای بزرگ و صاحب شأن دینی و یا هر فیلمی که به نوعی در ارتباط با فرهنگ دینی شاخته شده باشد، به شرطی جایز است که حریم‌های شناخته شده از هتک و آسیب به دور بماند و منتهی به ضایع شدن ارزش و عظمت این محتوا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فیلم در جهت روشنگری و آگاهی جوانان و غیره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و می‌توان از این ابزار در خصوص ترویج فرهنگ دینی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نباید فراموش کرد که همه این پرداختها باید با التزام به رعایت شئون در همه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و نیفتادن به خلاف مرام اسلامی و مذهبی انجام گیرد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8" w:name="pg5228_56857"/>
    </w:p>
    <w:p>
      <w:pPr>
        <w:pStyle w:val="BookText"/>
        <w:rPr/>
      </w:pPr>
      <w:bookmarkEnd w:id="48"/>
      <w:r>
        <w:rPr>
          <w:rFonts w:ascii="IRNazanin" w:hAnsi="IRNazanin" w:eastAsia="IRNazanin"/>
          <w:color w:val="111111"/>
          <w:sz w:val="28"/>
          <w:sz w:val="28"/>
          <w:szCs w:val="28"/>
          <w:rtl w:val="true"/>
          <w:lang w:bidi="fa-IR"/>
        </w:rPr>
        <w:t>منظور از رعایت شئون خاص، که در اینجا بر آن تأکید شده،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موقعیت و جایگاه واقعی و عرفی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 باید آن را بدان گونه که هست تبیین و ارائه کند و صرف اهداف تبلیغی و ترویج آن نمی‌تواند توجیه‌گر کاستیها در پرداختن درست به موضوعات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تکنیک را تحت تأثیر قرار می‌دهد، یعنی یک محتوای خیلی خوب، ضعف تاکتیک را همه جبران می‌کند و بیننده آنچنان جذب محتوا می‌شود که متوجه ضعف تکنیک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می‌خواهم بگویم در فیلم و سینما اصل برای ما پیام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74781_581953129"/>
      <w:bookmarkStart w:id="50" w:name="_Toc16"/>
      <w:bookmarkEnd w:id="49"/>
      <w:r>
        <w:rPr>
          <w:rtl w:val="true"/>
        </w:rPr>
        <w:t>ویژگی مفاسد</w:t>
      </w:r>
      <w:bookmarkEnd w:id="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در برابر صلاح است، و فیلمی را فسادآور و مفسده‌انگیز می‌گویند که موجب می‌شود مردم از جهت اخلاق، آداب اجتماعی، باورهای دینی و شرعی و به طور کلی آن چه که در ارتباط با شئون زندگی است، از </w:t>
      </w:r>
    </w:p>
    <w:p>
      <w:pPr>
        <w:pStyle w:val="BookText"/>
        <w:rPr/>
      </w:pPr>
      <w:r>
        <w:rPr>
          <w:rFonts w:ascii="IRNazanin" w:hAnsi="IRNazanin" w:eastAsia="IRNazanin"/>
          <w:color w:val="111111"/>
          <w:sz w:val="28"/>
          <w:sz w:val="28"/>
          <w:szCs w:val="28"/>
          <w:rtl w:val="true"/>
          <w:lang w:bidi="fa-IR"/>
        </w:rPr>
        <w:t>اعتدال خارج گشته در معرض آسیب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زمانی پدید می‌آید که فیلم از جهت محتوا مروّج فسق و تشویق به گناه، رفتار و کردار نادرست باشد، و یا عقاید نادرست و منحرف در آن به طور آشکار یا پنهان تبلیغ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این گونه فیلم‌ها علاوه بر این که به خاطر مفسده‌انگیز بودن جایز شمرده نمی‌شود، از این جهت هم که فاقد ارزشهای معنوی و مادی است، مصداق لهو و لغو و بیهوده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فقهی، شرور هم از مصادیق فساد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عبارت است از ترویج و نشر هر گونه شرور و فسق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شرور را مترادف و هم‌معنا با فسق بدانیم، در واقع هر دو به معنای انجام عملی است که منتهی به خارج شدن از طاعت و نادیده گرفتن دستورات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شرّ با این که به یک معنا شامل تمام اعمال مخالف شرع است، در یک نگاه دقیق‌تر، عبارت است از هر گونه اعمالی که به عمل شیطانی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را در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فیلم‌هایی می‌توان یافت که به نوعی در بیان روابط و مناسبات غیر انسانی؛ همانند رابطه با شیطان و </w:t>
      </w:r>
    </w:p>
    <w:p>
      <w:pPr>
        <w:pStyle w:val="BookText"/>
        <w:rPr/>
      </w:pPr>
      <w:r>
        <w:rPr>
          <w:rFonts w:ascii="IRNazanin" w:hAnsi="IRNazanin" w:eastAsia="IRNazanin"/>
          <w:color w:val="111111"/>
          <w:sz w:val="28"/>
          <w:sz w:val="28"/>
          <w:szCs w:val="28"/>
          <w:rtl w:val="true"/>
          <w:lang w:bidi="fa-IR"/>
        </w:rPr>
        <w:t>فیلمهایی که در ژانر وحشت به عنوان فیلمهای وحشت معروفند که بیشتر در توصیف دراکولا، قاتلین مادرزاد، طرح داستان‌های مربوط به دیو و دلبر، تصویر پلیدی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فقها، بر این که در پرداختن به زندگی ائمه و معصومین علیهم‌السلام در آثار نمایشی باید قداست و حریت آنها مورد هتک حرمت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بیانگر توجه فقهاء بر ساختار است؛ زیرا قداست و یا حریم امامان معصوم علیهم‌السلام و بزرگان صاحب مقام، زمانی از هتک حرمت دور خواهد ماند که موقعیت این بزرگان در همه مراحل و عناصر فیلم مدّ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قداست در ماهیت و حقیقت، چیزی جز پرهیز از به کار بردن نمادها و نشانه‌ها در ساختار فیلم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ملاحظه تنساب موضوع و محتوا با سازه هاست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کشورهای غیر مسلمان نیز روحانیون مسیحی به این تناسب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که تا کنون در ارتباط با زندگی حضرت مسیح علیه‌السلام ساخته شده است بدون استثناء توجه به ارزشها 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شخصیت‌پردازی، هنرپردازی، نور، رنگ، محل </w:t>
      </w:r>
      <w:bookmarkStart w:id="51" w:name="pg5228_56862"/>
    </w:p>
    <w:p>
      <w:pPr>
        <w:pStyle w:val="BookText"/>
        <w:rPr/>
      </w:pPr>
      <w:bookmarkEnd w:id="51"/>
      <w:r>
        <w:rPr>
          <w:rFonts w:ascii="IRNazanin" w:hAnsi="IRNazanin" w:eastAsia="IRNazanin"/>
          <w:color w:val="111111"/>
          <w:sz w:val="28"/>
          <w:sz w:val="28"/>
          <w:szCs w:val="28"/>
          <w:rtl w:val="true"/>
          <w:lang w:bidi="fa-IR"/>
        </w:rPr>
        <w:t>فیلم‌برداری، حتی سرعت فیلم 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فلیم عیسی بن مریم علیه‌السلامدوربین همیشه حضرت عیسی را از پایین تصویربرداری کرده و از نظر مخاطب غالباً عیسی مسیح با شکوه و مسلط بر مردم و شرایط دیده می‌شود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یا در مواردی برای رساندن چنین پیامی از کوه، درخت تنومند و آسمانی آبی بهره جسته‌اند؛ که بیانگر اصالت، استقامت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نیز همواره آرام و توأم با القاء آرامش است</w:t>
      </w:r>
      <w:r>
        <w:rPr>
          <w:rFonts w:eastAsia="IRNazanin" w:cs="IRNazanin"/>
          <w:color w:val="111111"/>
          <w:sz w:val="28"/>
          <w:szCs w:val="28"/>
          <w:rtl w:val="true"/>
          <w:lang w:bidi="fa-IR"/>
        </w:rPr>
        <w:t>.</w:t>
      </w:r>
    </w:p>
    <w:p>
      <w:pPr>
        <w:pStyle w:val="Heading2"/>
        <w:numPr>
          <w:ilvl w:val="1"/>
          <w:numId w:val="1"/>
        </w:numPr>
        <w:rPr/>
      </w:pPr>
      <w:bookmarkStart w:id="52" w:name="__RefHeading___Toc274783_581953129"/>
      <w:bookmarkStart w:id="53" w:name="_Toc17"/>
      <w:bookmarkEnd w:id="52"/>
      <w:r>
        <w:rPr>
          <w:rtl w:val="true"/>
        </w:rPr>
        <w:t>حقوق بازیگران</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و شخصیت بازیگر فیلم ویژگی و شخصیت قهرمان را به مخاطب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در عین حاله که از حیث هنری، حرفه‌ای حایز اهمیت است، به لحاظ جایگاه معنوی نیز شرایطی حساس و قابل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جایگاه بازیگری از نظر فقهی نیز از </w:t>
      </w:r>
    </w:p>
    <w:p>
      <w:pPr>
        <w:pStyle w:val="BookText"/>
        <w:rPr/>
      </w:pPr>
      <w:r>
        <w:rPr>
          <w:rFonts w:ascii="IRNazanin" w:hAnsi="IRNazanin" w:eastAsia="IRNazanin"/>
          <w:color w:val="111111"/>
          <w:sz w:val="28"/>
          <w:sz w:val="28"/>
          <w:szCs w:val="28"/>
          <w:rtl w:val="true"/>
          <w:lang w:bidi="fa-IR"/>
        </w:rPr>
        <w:t>اهمیت ویژه‌ای برخوردار است و قابل دقت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بازیگر وقتی از حیث حقوقی مورد مطالعه قرار می‌گیرد، به منزله کسی است که زیر نظر کارفرما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روابطی که بین کارفرما و سایر عناصر کاری در یک پروژه جاری می‌گردد، در بین آنها نیز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گاهی از حیث حقوق مادی است که بر اساس قرارداد قابل اجرا و پرداخت است و یک بار از نظر حقوق انسانی است که مشخصه‌های آن را روابط انسانی و اجتماعی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حقوق مادّی، بازیگران پیش از آنکه در صحنه بازی حضور یابند باید از نظر جانی به مقررات بیمه بپیوندند و یا تهیه‌کننده و کارگرادان باید به طور کتبی مسئولیت خود را در برابر هر گونه حوادث احتمالی که در بازیها نیز دور از ذهن نیست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عملکردی بستگی به متن قرارداد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و کارگردان باید متعهد بشوند که در بازی گرفتن بازیگران حجم کار و ظرفیت و توانایی بازیگر را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محیط بازی را فراهم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کار باید از آنچه که در مفاد قرارداد قید شده تخلف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موارد یاد شده مشمول دستوراتی است که در احکام اجاره عمل انسان مطرح شده است و بر طبق آنچه که در فتاوای مراجع آمده، رعایت موارد فوق ضروری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کارفرما از موارد یاد شده، قانون از بازیگر حمایت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در ارتباط با بازیگر مسئولیت بازیگر در مقابل نقشی است که به عهده گرفته است؛ هر گونه کم‌کاری، سستی و یا فراهم نیاوردن حسّ لازم در ایفای نقش بازیگر، اگر به عمد و مبتنی بر غرض‌ورزی باشد باید ضرر تهیه کننده را جبران کند و البته چگونگی این مسئله باید بر طبق توافق قبلی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تهیه کننده و بازیگر، علاوه بر رابطه یاد شده، از نظر وجدانی نیز مسئول هستند و باید با پایبند </w:t>
      </w:r>
    </w:p>
    <w:p>
      <w:pPr>
        <w:pStyle w:val="BookText"/>
        <w:rPr/>
      </w:pPr>
      <w:r>
        <w:rPr>
          <w:rFonts w:ascii="IRNazanin" w:hAnsi="IRNazanin" w:eastAsia="IRNazanin"/>
          <w:color w:val="111111"/>
          <w:sz w:val="28"/>
          <w:sz w:val="28"/>
          <w:szCs w:val="28"/>
          <w:rtl w:val="true"/>
          <w:lang w:bidi="fa-IR"/>
        </w:rPr>
        <w:t>شدن به مقررات انسانی و اخلاقی، در حفظ حیثیت و موقعیت‌های حقیقی و حقوقی همدیگر بکوشند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فقهی امام خمینی در ارتباط با اجاره عمل </w:t>
      </w:r>
    </w:p>
    <w:p>
      <w:pPr>
        <w:pStyle w:val="BookText"/>
        <w:rPr/>
      </w:pPr>
      <w:r>
        <w:rPr>
          <w:rFonts w:ascii="IRNazanin" w:hAnsi="IRNazanin" w:eastAsia="IRNazanin"/>
          <w:color w:val="111111"/>
          <w:sz w:val="28"/>
          <w:sz w:val="28"/>
          <w:szCs w:val="28"/>
          <w:rtl w:val="true"/>
          <w:lang w:bidi="fa-IR"/>
        </w:rPr>
        <w:t>انسان، که شامل عوامل بازیگری نیز می‌گردد، بسیار حائز اهمیت است و بخشی از آن به جهت ضرورت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انجام کاری مشخص، در وقت معین، خود را با تعهد اجاره عمل در اختیار کسی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او برای خود و یا برای شخص دیگری در مدّت زمانی که قرارداد بسته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برای خود یا دیگری باید به لحاظ ماهیت متفاوت با کار اوّل و در خارج از وقت تعهّد وی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شامل مواردی است که طبق قرارداد باید عاملین خودشان به انجام آن عمل بپردازند لکن اگر چنین شرایطی در جایی باشد که در آنجا جایی برای جایگزین کردن دیگران وجود داشته باشد، به نیابت خود می‌تواند دیگری را برای آن کار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آنچه که در 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اجاره تحریرالوسیله و همچنین در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شامل موارد این گونه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جایگزینی در بازیگری شامل مواردی </w:t>
      </w:r>
    </w:p>
    <w:p>
      <w:pPr>
        <w:pStyle w:val="BookText"/>
        <w:rPr/>
      </w:pPr>
      <w:r>
        <w:rPr>
          <w:rFonts w:ascii="IRNazanin" w:hAnsi="IRNazanin" w:eastAsia="IRNazanin"/>
          <w:color w:val="111111"/>
          <w:sz w:val="28"/>
          <w:sz w:val="28"/>
          <w:szCs w:val="28"/>
          <w:rtl w:val="true"/>
          <w:lang w:bidi="fa-IR"/>
        </w:rPr>
        <w:t xml:space="preserve">است که بازیگر دست به عمل فوق‌العاده‌ای می‌زند که به جهت نداشتن مهارت و یا ترس و امثال آن از عهده آن کار بر نمی‌آید و برای انجام برخی از صحنه‌ها به جای او از عناصر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صحنه‌ها به دلیل اینکه چهره بازیگر معلوم نیست، جایگزین کردن فرد دیگر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کشورها نیز جایگزین کردن بازیگر گاهی به جهت مسائل اخلاقی و عرفی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فیلمها موقعیتهایی وجود دارد که افراد پایبند به اخلاق از قرار گرفتن در آن موقعیت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جایگزینی افراد امر نامتعارف و نامشروع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فتوای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مقید به مباشرت خودش باشد اجیر شود آنگاه شخص دیگری آن کار را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کار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مستحق اجرت قراردادی می‌باشد و اگر آن شخص کار را از طرف مالک تبرعاً انجام دهد مستأجر مستحق چیزی </w:t>
      </w:r>
      <w:bookmarkStart w:id="54" w:name="pg5228_56870"/>
    </w:p>
    <w:p>
      <w:pPr>
        <w:pStyle w:val="BookText"/>
        <w:rPr/>
      </w:pPr>
      <w:bookmarkEnd w:id="54"/>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مباحث اجاره عمل انسان آمده است، مشروعیت عمل و گرفتن فرد در کارهایی که مباح می‌باشد صحیح است و انسان نمی‌تواند خود را برای عمل غیر مباح در اختیار کاسی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مراجع حتی افتادن بر مقدمات حرام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اجرت برای این قبیل امور که عرفاً همانند کارگری نیست و یا مصداق فعالیت‌های فکری نیز به شمار نمی‌رود، از نظر مراجع، بهترین ملاک عرف و توافقی است</w:t>
      </w:r>
      <w:r>
        <w:rPr>
          <w:rFonts w:eastAsia="IRNazanin" w:cs="IRNazanin"/>
          <w:color w:val="111111"/>
          <w:sz w:val="28"/>
          <w:szCs w:val="28"/>
          <w:rtl w:val="true"/>
          <w:lang w:bidi="fa-IR"/>
        </w:rPr>
        <w:t>.</w:t>
      </w:r>
    </w:p>
    <w:p>
      <w:pPr>
        <w:pStyle w:val="Heading2"/>
        <w:numPr>
          <w:ilvl w:val="1"/>
          <w:numId w:val="1"/>
        </w:numPr>
        <w:rPr/>
      </w:pPr>
      <w:bookmarkStart w:id="55" w:name="__RefHeading___Toc274785_581953129"/>
      <w:bookmarkStart w:id="56" w:name="_Toc18"/>
      <w:bookmarkEnd w:id="55"/>
      <w:r>
        <w:rPr>
          <w:rtl w:val="true"/>
        </w:rPr>
        <w:t>بازیگری در نقش معصومین</w:t>
      </w:r>
      <w:bookmarkEnd w:id="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بازیگری، مسائل فقهی دیگر مربوط به بازیگری در نقش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پیش از آنکه به لحاظ فقهی حائز اهمیت باشد از نظر باورهای مذهبی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bookmarkStart w:id="57" w:name="pg5228_56871"/>
    </w:p>
    <w:p>
      <w:pPr>
        <w:pStyle w:val="BookText"/>
        <w:rPr/>
      </w:pPr>
      <w:bookmarkEnd w:id="57"/>
      <w:r>
        <w:rPr>
          <w:rFonts w:ascii="IRNazanin" w:hAnsi="IRNazanin" w:eastAsia="IRNazanin"/>
          <w:color w:val="111111"/>
          <w:sz w:val="28"/>
          <w:sz w:val="28"/>
          <w:szCs w:val="28"/>
          <w:rtl w:val="true"/>
          <w:lang w:bidi="fa-IR"/>
        </w:rPr>
        <w:t>کسانی که حکم به جایز نبودن بازی در نقش معصومان را داده‌اند به روایاتی که در نهی از هتک حرمت معصومان وارد شده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این که در کجا و در چه صورت هتک حرمت محقق می‌شود،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با ابتکاراتی چون به کار گرفتن بازیگری غیر حرفه‌ای و ناشناخته و یا با بهره جستن از هاله نور و جلوه‌ها، ظهور در نقش معصومان را، به گونه‌ای که هیچگونه هتک حرمت یا تحقیر و تنقیص آنان نباشد، فراهم ساخته‌اند، هر چند فتاوای غیر مشهوری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شدن در نقش معصومان را همانند تعزیه‌خوانی که با تمهید شرایط متناسب باشد، جایز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فقها بدودن استثناء، ظاهر شدن در نقش ائمه را در تعزیه خوانی‌ها جایز دانسته‌اند</w:t>
      </w:r>
      <w:r>
        <w:rPr>
          <w:rFonts w:eastAsia="IRNazanin" w:cs="IRNazanin"/>
          <w:color w:val="111111"/>
          <w:sz w:val="28"/>
          <w:szCs w:val="28"/>
          <w:rtl w:val="true"/>
          <w:lang w:bidi="fa-IR"/>
        </w:rPr>
        <w:t>.</w:t>
      </w:r>
    </w:p>
    <w:p>
      <w:pPr>
        <w:pStyle w:val="Heading2"/>
        <w:numPr>
          <w:ilvl w:val="1"/>
          <w:numId w:val="1"/>
        </w:numPr>
        <w:rPr/>
      </w:pPr>
      <w:bookmarkStart w:id="58" w:name="__RefHeading___Toc274787_581953129"/>
      <w:bookmarkStart w:id="59" w:name="_Toc19"/>
      <w:bookmarkEnd w:id="58"/>
      <w:r>
        <w:rPr>
          <w:rtl w:val="true"/>
        </w:rPr>
        <w:t>حضور زن در فیلم</w:t>
      </w:r>
      <w:bookmarkEnd w:id="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قرآن و هم از روایات برمی‌آید که معاشرت زنان و مردان در عرصه‌های زندگی با مراعات حجاب 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جایز و به دور از اشکال و ا یراد بوده و آنچه از روایات درباره محدود ساختن زنان آمده است مربوط به شرایطی است که حضور زن در عرصه‌ای این‌چنین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مراعات حجاب لازم و عفت کلام و رفتار موجب پدید آمدن فساد و یا آسیب دیدن خود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شامل همه عرصه‌های زندگی، از جمله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عرصه سینما و فیلم می‌تواند به عنوان همسر و یا دختر و یا در هر نقش دیگر با مردان بیگانه هم‌بازی شود و در جاهایی که لازم به گفتگوست، صمیمانه گفتگو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صمیمانه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جاهایی که نیازمند به تماس بدنی با مردان باشد در صورت احساس نیاز به این تماس می‌تواند در حد دست دادن با رعایت شئون دینی از روی لباس با مردان تماس بدنی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که در صورت امکان استفاده از مردان و زنان محرم و همسر یکدیگر بهتر است ونقش‌آفرینی بهتری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مسئله رعایت شئون دینی و توجه به موازین و مقررات شرعی در همه موقعیتها ضروری است که با طرح فتاوای بزرگان فقها به شرح آنها می‌پردازیم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0" w:name="pg5228_56874"/>
    </w:p>
    <w:p>
      <w:pPr>
        <w:pStyle w:val="Heading2"/>
        <w:numPr>
          <w:ilvl w:val="1"/>
          <w:numId w:val="1"/>
        </w:numPr>
        <w:rPr/>
      </w:pPr>
      <w:bookmarkStart w:id="61" w:name="__RefHeading___Toc274789_581953129"/>
      <w:bookmarkStart w:id="62" w:name="_Toc20"/>
      <w:bookmarkEnd w:id="60"/>
      <w:bookmarkEnd w:id="61"/>
      <w:r>
        <w:rPr>
          <w:rtl w:val="true"/>
        </w:rPr>
        <w:t>نگاه فقه</w:t>
      </w:r>
      <w:bookmarkEnd w:id="62"/>
    </w:p>
    <w:p>
      <w:pPr>
        <w:pStyle w:val="BookText"/>
        <w:rPr/>
      </w:pPr>
      <w:r>
        <w:rPr>
          <w:rFonts w:ascii="IRNazanin" w:hAnsi="IRNazanin" w:eastAsia="IRNazanin"/>
          <w:color w:val="111111"/>
          <w:sz w:val="28"/>
          <w:sz w:val="28"/>
          <w:szCs w:val="28"/>
          <w:rtl w:val="true"/>
          <w:lang w:bidi="fa-IR"/>
        </w:rPr>
        <w:t>از نظر فقه حضور زن در عرصه سینما امری عادی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نگاه فقها قابل بحث بوده چند محور اساسی و مهم است که به تفصیل مرور می‌کنیم</w:t>
      </w:r>
      <w:r>
        <w:rPr>
          <w:rFonts w:eastAsia="IRNazanin" w:cs="IRNazanin"/>
          <w:color w:val="111111"/>
          <w:sz w:val="28"/>
          <w:szCs w:val="28"/>
          <w:rtl w:val="true"/>
          <w:lang w:bidi="fa-IR"/>
        </w:rPr>
        <w:t>:</w:t>
      </w:r>
    </w:p>
    <w:p>
      <w:pPr>
        <w:pStyle w:val="Heading2"/>
        <w:numPr>
          <w:ilvl w:val="1"/>
          <w:numId w:val="1"/>
        </w:numPr>
        <w:rPr/>
      </w:pPr>
      <w:bookmarkStart w:id="63" w:name="__RefHeading___Toc274791_581953129"/>
      <w:bookmarkStart w:id="64" w:name="_Toc21"/>
      <w:bookmarkEnd w:id="63"/>
      <w:r>
        <w:rPr>
          <w:rtl w:val="true"/>
        </w:rPr>
        <w:t>پوشش</w:t>
      </w:r>
      <w:bookmarkEnd w:id="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ضروریات اسلام برای زنان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هر چند به لحاظ مصداق متفاوت است، لکن آنچه مسلم است زنان باید به جز صورت و دستهایشان تا مچ، سایر اعضای بدن خود را از مردان نامحرم بپوشانند و به لحاظ نوع پوشش نیز از لباسهایی که زمنیه‌ساز تحریک می‌گردد،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همه شرایطی است که زن در آن قرار می‌گیرد؛ اعم از حضور او در سینما، تئاتر یا سایر عرصه‌های اجتماعی دیگر، زیرا آنچه در این حکم عنوان شده است واجب بودن اصل پوشش در برابر افراد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پرهیز از حضور در عرصه‌های 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هر گونه لباسی که عرفاً مهیج است و جلب توجّه نامحرم می‌کند،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مهیج بودن ممکن است به خاطر رنگ آن باشد یا مدل آن یا جنس لباس و یا چیز دیگر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تشخیص تهییج، نظر و نگاه عرف عمومی مدّ نظر است؛ نه ذائقه‌ها که گاهی به جهت بیماری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حجاب اسلامی برای بانوان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این منظور پوشیدن لباس بلند آزاد و شلوار و روسری کفایت می‌کند؟ اصولاً چه کیفیتی در لباس و پوشش زن در برابر افراد نامحرم باید رعایت شود؟ امام خمینی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تمام بدن زن به جز قرص صورت و دستها تا مچ از نامحرم پوشیده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مذکور اگر مقدار واجب را بپوشاند مانع ندارد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فقها رنگ لباس یا چگونگی آن به لحاظ تنگ یا گشاد بودن، معیار و ملاک پی‌آمدهای آن است و در </w:t>
      </w:r>
      <w:bookmarkStart w:id="65" w:name="pg5228_56877"/>
    </w:p>
    <w:p>
      <w:pPr>
        <w:pStyle w:val="BookText"/>
        <w:rPr/>
      </w:pPr>
      <w:bookmarkEnd w:id="65"/>
      <w:r>
        <w:rPr>
          <w:rFonts w:ascii="IRNazanin" w:hAnsi="IRNazanin" w:eastAsia="IRNazanin"/>
          <w:color w:val="111111"/>
          <w:sz w:val="28"/>
          <w:sz w:val="28"/>
          <w:szCs w:val="28"/>
          <w:rtl w:val="true"/>
          <w:lang w:bidi="fa-IR"/>
        </w:rPr>
        <w:t>صورت داشتن مفسده و جلب توجّه جایز نیست</w:t>
      </w:r>
      <w:r>
        <w:rPr>
          <w:rFonts w:eastAsia="IRNazanin" w:cs="IRNazanin"/>
          <w:color w:val="111111"/>
          <w:sz w:val="28"/>
          <w:szCs w:val="28"/>
          <w:rtl w:val="true"/>
          <w:lang w:bidi="fa-IR"/>
        </w:rPr>
        <w:t>.</w:t>
      </w:r>
    </w:p>
    <w:p>
      <w:pPr>
        <w:pStyle w:val="Heading2"/>
        <w:numPr>
          <w:ilvl w:val="1"/>
          <w:numId w:val="1"/>
        </w:numPr>
        <w:rPr/>
      </w:pPr>
      <w:bookmarkStart w:id="66" w:name="__RefHeading___Toc274793_581953129"/>
      <w:bookmarkStart w:id="67" w:name="_Toc22"/>
      <w:bookmarkEnd w:id="66"/>
      <w:r>
        <w:rPr>
          <w:rtl w:val="true"/>
        </w:rPr>
        <w:t>بازیگری زن</w:t>
      </w:r>
      <w:bookmarkEnd w:id="67"/>
    </w:p>
    <w:p>
      <w:pPr>
        <w:pStyle w:val="BookText"/>
        <w:rPr/>
      </w:pPr>
      <w:r>
        <w:rPr>
          <w:rFonts w:ascii="IRNazanin" w:hAnsi="IRNazanin" w:eastAsia="IRNazanin"/>
          <w:color w:val="111111"/>
          <w:sz w:val="28"/>
          <w:sz w:val="28"/>
          <w:szCs w:val="28"/>
          <w:rtl w:val="true"/>
          <w:lang w:bidi="fa-IR"/>
        </w:rPr>
        <w:t>هم‌بازی شدن زن و مرد در فیلم اشکال شرعی ندارد و جایز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فقه، مصداق معاشرت زنان و مردان نامحرم است که بدون پی‌آمد سؤ و فساد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منابع اسلامی، از جمله در وسائل الشیعه، در ارتباط با ممنوعیت حضور زنان در محافل و مجالس بیان شده،</w:t>
      </w:r>
      <w:r>
        <w:rPr>
          <w:rStyle w:val="FootnoteAnchor"/>
          <w:rtl w:val="true"/>
        </w:rPr>
        <w:footnoteReference w:id="31"/>
      </w:r>
      <w:r>
        <w:rPr>
          <w:rFonts w:ascii="IRNazanin" w:hAnsi="IRNazanin" w:eastAsia="IRNazanin"/>
          <w:color w:val="111111"/>
          <w:sz w:val="28"/>
          <w:sz w:val="28"/>
          <w:szCs w:val="28"/>
          <w:rtl w:val="true"/>
          <w:lang w:bidi="fa-IR"/>
        </w:rPr>
        <w:t>حمل بر کراهت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این گونه روایات را مربوط به شرایط خاصّ دانسته‌اند و نه تنها فتوا بر جایز بودن معاشرت زنان و مردان داده‌اند؛ بلکه حضور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در عرصه‌های مختلف اجتماع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اسلام صلی‌الله‌علیه‌و‌آله بر این بوده که در صورت لازم بودن حضور زن در برخی صحنه‌ها اجازه حضور به آنها را می‌داده و حتی در جنگ‌ها تعدادی از زنان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bookmarkStart w:id="68" w:name="pg5228_56878"/>
    </w:p>
    <w:p>
      <w:pPr>
        <w:pStyle w:val="BookText"/>
        <w:rPr/>
      </w:pPr>
      <w:bookmarkEnd w:id="68"/>
      <w:r>
        <w:rPr>
          <w:rFonts w:ascii="IRNazanin" w:hAnsi="IRNazanin" w:eastAsia="IRNazanin"/>
          <w:color w:val="111111"/>
          <w:sz w:val="28"/>
          <w:sz w:val="28"/>
          <w:szCs w:val="28"/>
          <w:rtl w:val="true"/>
          <w:lang w:bidi="fa-IR"/>
        </w:rPr>
        <w:t>ملاک و مبنای عمل برخی از فقها در فتوا دادن به حضور زنان در عرصه‌های مختلف زندگی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صحنه‌های نمایش و فیلم نیز صرفاً به جهت این ضرورتها است</w:t>
      </w:r>
      <w:r>
        <w:rPr>
          <w:rFonts w:eastAsia="IRNazanin" w:cs="IRNazanin"/>
          <w:color w:val="111111"/>
          <w:sz w:val="28"/>
          <w:szCs w:val="28"/>
          <w:rtl w:val="true"/>
          <w:lang w:bidi="fa-IR"/>
        </w:rPr>
        <w:t>.</w:t>
      </w:r>
    </w:p>
    <w:p>
      <w:pPr>
        <w:pStyle w:val="Heading2"/>
        <w:numPr>
          <w:ilvl w:val="1"/>
          <w:numId w:val="1"/>
        </w:numPr>
        <w:rPr/>
      </w:pPr>
      <w:bookmarkStart w:id="69" w:name="__RefHeading___Toc274795_581953129"/>
      <w:bookmarkStart w:id="70" w:name="_Toc23"/>
      <w:bookmarkEnd w:id="69"/>
      <w:r>
        <w:rPr>
          <w:rtl w:val="true"/>
        </w:rPr>
        <w:t>زناشویی فرضی</w:t>
      </w:r>
      <w:bookmarkEnd w:id="70"/>
    </w:p>
    <w:p>
      <w:pPr>
        <w:pStyle w:val="BookText"/>
        <w:rPr/>
      </w:pPr>
      <w:r>
        <w:rPr>
          <w:rFonts w:ascii="IRNazanin" w:hAnsi="IRNazanin" w:eastAsia="IRNazanin"/>
          <w:color w:val="111111"/>
          <w:sz w:val="28"/>
          <w:sz w:val="28"/>
          <w:szCs w:val="28"/>
          <w:rtl w:val="true"/>
          <w:lang w:bidi="fa-IR"/>
        </w:rPr>
        <w:t>یکی دیگر از مسائل مورد بحث در معاشرت زنان و مردان در صحنه‌های فیلم، زناشویی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صحنه‌ها زن و مرد در کنار هم قرار می‌گیرند و به جهت این که نمایش برای بیننده نزدیک به واقعیت تلقّی گردد، معمولاً این حضور و معاشرت با ابراز احساسات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 در این گونه معاشرت‌ها دو بحث مطرح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اهل معاشرت، و لو این که با ابراز احساسات باشد، به خاطر این که در خلوت انجام نمی‌گیرد، و ساختگی بودن آن روشن و مسلّم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افتادن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رعایت مرز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ابراز احساسات باید به گونه‌ای باشد که زمینه قرار گرفتن در </w:t>
      </w:r>
    </w:p>
    <w:p>
      <w:pPr>
        <w:pStyle w:val="BookText"/>
        <w:rPr/>
      </w:pPr>
      <w:r>
        <w:rPr>
          <w:rFonts w:ascii="IRNazanin" w:hAnsi="IRNazanin" w:eastAsia="IRNazanin"/>
          <w:color w:val="111111"/>
          <w:sz w:val="28"/>
          <w:sz w:val="28"/>
          <w:szCs w:val="28"/>
          <w:rtl w:val="true"/>
          <w:lang w:bidi="fa-IR"/>
        </w:rPr>
        <w:t>شراط لذّتجویی و ریبه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برادر و خواهر، پدر و دختر فرضی در این مسئله هیچ تفاوتی با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مرز حلال و حرام در این مسئله نداشتن یا داشتن قصد لذّت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صحنه‌های نمایش، زنان و مردانی که نقش محارم فرضی را ایفا می‌کنند، حدود لمس کردن نیز همین نبودن قصد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حتی دست دادن زن و مرد از روی لباس را نیز مشروط به این می‌داند که ریبه و لذّت جویی در کار نباشد و مرد دست زن را فشار ندهد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زن و مرد بیگانه به جهت محرمیت فرضی در شرایطی قرار می‌گیرند که باید همدیگر را لمس کنند مثلاً شرایطی چون کمک کردن زن در یک پرتگاه و یا در القاء صحنه‌ای از تصادفات یا زلزله و غیره با دو شرط لمس از روی لباس و نبودن قصد لذّت‌جویی جایز است</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با ایمان بگو چشم‌های خود را از نگاه </w:t>
      </w:r>
    </w:p>
    <w:p>
      <w:pPr>
        <w:pStyle w:val="BookText"/>
        <w:rPr/>
      </w:pPr>
      <w:r>
        <w:rPr>
          <w:rFonts w:ascii="IRNazanin" w:hAnsi="IRNazanin" w:eastAsia="IRNazanin"/>
          <w:color w:val="111111"/>
          <w:sz w:val="28"/>
          <w:sz w:val="28"/>
          <w:szCs w:val="28"/>
          <w:rtl w:val="true"/>
          <w:lang w:bidi="fa-IR"/>
        </w:rPr>
        <w:t>هوس‌آلود فرو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خویش را حفظ کنند و زینت خود را جز آن مقدار که نمایان است آشکار ننمایند و روسری‌های خود را به سینه افکنده و زینت خود را آشکار نسازند، مگری برای شوهرانشان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اولیه اسلام است، که همه فقهای اسلام بدون استثناء فتوا به ضرورت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ارتباط با پوشش زن، رعایت مسائل جانبی است؛ چون زینت و پرهیز که از موقعیت تحریک‌آمیز، بوده و در جای خود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قرآن امر به پوشش کرده، نمایان ساختن زینت را نهی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جز آن مقدار که نمایان است آشکار نکنید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بسیاری از فقها همان طور که دستور صریح قرآن را حمل به وجوب کرده و فتوا به ضرورت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داده‌اند، نهی را نیز بر وجوب ترک حمل کرده و آن را به عنوان لازمه تحقق پوشش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دیگر زنان سالخورده‌ای را که در سنین </w:t>
      </w:r>
      <w:bookmarkStart w:id="71" w:name="pg5228_56884"/>
    </w:p>
    <w:p>
      <w:pPr>
        <w:pStyle w:val="BookText"/>
        <w:rPr/>
      </w:pPr>
      <w:bookmarkEnd w:id="71"/>
      <w:r>
        <w:rPr>
          <w:rFonts w:ascii="IRNazanin" w:hAnsi="IRNazanin" w:eastAsia="IRNazanin"/>
          <w:color w:val="111111"/>
          <w:sz w:val="28"/>
          <w:sz w:val="28"/>
          <w:szCs w:val="28"/>
          <w:rtl w:val="true"/>
          <w:lang w:bidi="fa-IR"/>
        </w:rPr>
        <w:t>کهولت به سر می‌برند استثناء کرده است وجوب پوششی که بر سایر زنان واجب شده از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سالخورده‌ای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طبیعت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و امید ازدواج ندارند بدون آن‌که آرایش و زینتی داشته باشند می‌توانند چادر و روپوش خود را بردارند و اگر در این حال هم عفت پیشه کنند برای ایشان بهتر است و خدا شنونده و آگاه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مبنای کسانی است که می‌گویند پوشش برای زنان سالخورده واجب نیست</w:t>
      </w:r>
      <w:r>
        <w:rPr>
          <w:rFonts w:eastAsia="IRNazanin" w:cs="IRNazanin"/>
          <w:color w:val="111111"/>
          <w:sz w:val="28"/>
          <w:szCs w:val="28"/>
          <w:rtl w:val="true"/>
          <w:lang w:bidi="fa-IR"/>
        </w:rPr>
        <w:t>.</w:t>
      </w:r>
    </w:p>
    <w:p>
      <w:pPr>
        <w:pStyle w:val="Heading2"/>
        <w:numPr>
          <w:ilvl w:val="1"/>
          <w:numId w:val="1"/>
        </w:numPr>
        <w:rPr/>
      </w:pPr>
      <w:bookmarkStart w:id="72" w:name="__RefHeading___Toc274797_581953129"/>
      <w:bookmarkStart w:id="73" w:name="_Toc24"/>
      <w:bookmarkEnd w:id="72"/>
      <w:r>
        <w:rPr>
          <w:rtl w:val="true"/>
        </w:rPr>
        <w:t>حدود گفتگو</w:t>
      </w:r>
      <w:bookmarkEnd w:id="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 نامحرم با حفظ حجاب لازم و عفت و شأن و حرمت می‌توانند کنار هم و در یک محیط، کار و فعالیت کنند و در صحنه‌های فیلم و نمایش به عنوان زن و مرد فرضی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پیشتر نیز اشاره گردید، این حضور در نمایشِ محرمیت فرضی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دور از نزدیک شدن به همدیگر و قرار گرفتن در </w:t>
      </w:r>
      <w:bookmarkStart w:id="74" w:name="pg5228_56886"/>
    </w:p>
    <w:p>
      <w:pPr>
        <w:pStyle w:val="BookText"/>
        <w:rPr/>
      </w:pPr>
      <w:bookmarkEnd w:id="74"/>
      <w:r>
        <w:rPr>
          <w:rFonts w:ascii="IRNazanin" w:hAnsi="IRNazanin" w:eastAsia="IRNazanin"/>
          <w:color w:val="111111"/>
          <w:sz w:val="28"/>
          <w:sz w:val="28"/>
          <w:szCs w:val="28"/>
          <w:rtl w:val="true"/>
          <w:lang w:bidi="fa-IR"/>
        </w:rPr>
        <w:t>مسیر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صریحاً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سخن صدا را نازک و شورانگیز نکنید که سبب طمع بیماردلان گردد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حالی که دلیل برای حرام بودن گفتگو با مردان با ناز و کرشمه است، به اعتبار مفهوم نیز از جمله دلایل جایز بودن اصل گفتگو بین زنان و مردان به شمار می‌آید؛ چرا که آنچه در آیه، مورد نهی قرار گرفته گفتگو نیست بلکه ناز و کرشمه کردن است</w:t>
      </w:r>
      <w:r>
        <w:rPr>
          <w:rFonts w:eastAsia="IRNazanin" w:cs="IRNazanin"/>
          <w:color w:val="111111"/>
          <w:sz w:val="28"/>
          <w:szCs w:val="28"/>
          <w:rtl w:val="true"/>
          <w:lang w:bidi="fa-IR"/>
        </w:rPr>
        <w:t>.</w:t>
      </w:r>
    </w:p>
    <w:p>
      <w:pPr>
        <w:pStyle w:val="Heading2"/>
        <w:numPr>
          <w:ilvl w:val="1"/>
          <w:numId w:val="1"/>
        </w:numPr>
        <w:rPr/>
      </w:pPr>
      <w:bookmarkStart w:id="75" w:name="__RefHeading___Toc274799_581953129"/>
      <w:bookmarkStart w:id="76" w:name="_Toc25"/>
      <w:bookmarkEnd w:id="75"/>
      <w:r>
        <w:rPr>
          <w:rtl w:val="true"/>
        </w:rPr>
        <w:t>حدود تماس بدنی</w:t>
      </w:r>
      <w:bookmarkEnd w:id="76"/>
    </w:p>
    <w:p>
      <w:pPr>
        <w:pStyle w:val="BookText"/>
        <w:rPr/>
      </w:pPr>
      <w:r>
        <w:rPr>
          <w:rFonts w:ascii="IRNazanin" w:hAnsi="IRNazanin" w:eastAsia="IRNazanin"/>
          <w:color w:val="111111"/>
          <w:sz w:val="28"/>
          <w:sz w:val="28"/>
          <w:szCs w:val="28"/>
          <w:rtl w:val="true"/>
          <w:lang w:bidi="fa-IR"/>
        </w:rPr>
        <w:t>فقهای شیعه در این مسئله، که زن و مرد نامحرم نمی‌توانند با همدیگر دست بدهند، اتفاق نظر دارند و هیچ فقهیی حکم به جایز بودن این مسئله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اتفاق نظر فقها در شرایط عادی و به دور از ضرورت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ضرورت در فقه به عهده عرف و در برخی از شرایط نیز بر عهده عقل سلیم است</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هیچ‌کدام از فقها نمایش فیلم را مصداق </w:t>
      </w:r>
    </w:p>
    <w:p>
      <w:pPr>
        <w:pStyle w:val="BookText"/>
        <w:rPr/>
      </w:pPr>
      <w:r>
        <w:rPr>
          <w:rFonts w:ascii="IRNazanin" w:hAnsi="IRNazanin" w:eastAsia="IRNazanin"/>
          <w:color w:val="111111"/>
          <w:sz w:val="28"/>
          <w:sz w:val="28"/>
          <w:szCs w:val="28"/>
          <w:rtl w:val="true"/>
          <w:lang w:bidi="fa-IR"/>
        </w:rPr>
        <w:t>ضرورت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کارشناسان به جهت این که این مشکل را حل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می‌کنند در فیلم‌های که تماس مرد و زن لازم و حتمی است، باید شخصیتهای را انتخاب شوند که با همدیگر محرم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برای حل این مشکل راه بهره جستن از تکنیک را پیش پای فیلمسازان قرار می‌دهند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نگاه کردن به او جایز نیست، تماس بدنی با او نیز جایز نیست، و هر گونه لمس کردن بدن یا هر عضوی از بدن حرام است و باید از آن اجتناب کرد مگر از روی لباس</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مردان نباید دختران نامحرم بزرگتر از شش سال را بغل کنند و روی پای خود بگذارند یا ببوسند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7" w:name="pg5228_56889"/>
    </w:p>
    <w:p>
      <w:pPr>
        <w:pStyle w:val="Heading2"/>
        <w:numPr>
          <w:ilvl w:val="1"/>
          <w:numId w:val="1"/>
        </w:numPr>
        <w:rPr/>
      </w:pPr>
      <w:bookmarkStart w:id="78" w:name="__RefHeading___Toc274801_581953129"/>
      <w:bookmarkStart w:id="79" w:name="_Toc26"/>
      <w:bookmarkEnd w:id="77"/>
      <w:bookmarkEnd w:id="78"/>
      <w:r>
        <w:rPr>
          <w:rtl w:val="true"/>
        </w:rPr>
        <w:t>نگاه کردن</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زن و مرد فرضی به همدیگر در صورتی که </w:t>
      </w:r>
    </w:p>
    <w:p>
      <w:pPr>
        <w:pStyle w:val="BookText"/>
        <w:rPr/>
      </w:pPr>
      <w:r>
        <w:rPr>
          <w:rFonts w:ascii="IRNazanin" w:hAnsi="IRNazanin" w:eastAsia="IRNazanin"/>
          <w:color w:val="111111"/>
          <w:sz w:val="28"/>
          <w:sz w:val="28"/>
          <w:szCs w:val="28"/>
          <w:rtl w:val="true"/>
          <w:lang w:bidi="fa-IR"/>
        </w:rPr>
        <w:t>پوشش لازم اسلامی را داشته باشند جایز است لکن این نگاه، باید خالی از ریبه و شهرت باشد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دست و صورت زن، چنانچه خالی از زیورآلات و آرایش باشد اشکال ندارد، زیرا در صورت وجود زینت در دست و صورت، برخی از فقها نگاه به آن را جایز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جا نیز به قصد و لذّت و ریبه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هر چیزی یا هر کسی به قصد لذّت؛ مرد باشد یا زن، عکس باشد یا فیلم یا هر چیز دیگری حتی نگاه کردن به بدن خود در آیینه و یا در هر جای دیگر به قصد شهوت‌رانی حرام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بین نگاه کردن و افتادن قهری نگاه به نامحرم،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نگاه به نامحرم حتی در صورتی که حجاب خود را رعایت نکرده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خالی از معصیت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زیرا این، چشم افتادن </w:t>
      </w:r>
    </w:p>
    <w:p>
      <w:pPr>
        <w:pStyle w:val="BookText"/>
        <w:rPr/>
      </w:pPr>
      <w:r>
        <w:rPr>
          <w:rFonts w:ascii="IRNazanin" w:hAnsi="IRNazanin" w:eastAsia="IRNazanin"/>
          <w:color w:val="111111"/>
          <w:sz w:val="28"/>
          <w:sz w:val="28"/>
          <w:szCs w:val="28"/>
          <w:rtl w:val="true"/>
          <w:lang w:bidi="fa-IR"/>
        </w:rPr>
        <w:t>بدون قصد و اراده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کردن، نگاهی است که از روی قصد و اراده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دستها تا آرنج، مقداری از موی سر، پا تا زانو، زیر چانه و گردن پیرزنهای نامحرم اشکال ندارد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زنان نامحرم غیر مسلمان، به مقداریکه به طور متعارف آن را نمی‌پوشانند، اشکال ندارد؛ به شرط آن که به قصد لذت نباشد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می‌توانند به استثنای جایی که باید پوشیده باشد به</w:t>
      </w:r>
    </w:p>
    <w:p>
      <w:pPr>
        <w:pStyle w:val="BookText"/>
        <w:rPr/>
      </w:pPr>
      <w:r>
        <w:rPr>
          <w:rFonts w:ascii="IRNazanin" w:hAnsi="IRNazanin" w:eastAsia="IRNazanin"/>
          <w:color w:val="111111"/>
          <w:sz w:val="28"/>
          <w:sz w:val="28"/>
          <w:szCs w:val="28"/>
          <w:rtl w:val="true"/>
          <w:lang w:bidi="fa-IR"/>
        </w:rPr>
        <w:t>سایر قسمتهای بدن زن دیگر نگاه کنند مشروط به این که در آن قصد لذّت و ریبه نباشد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زن به بدن، صورت و دستهای مرد نامحرم که معمول است و می‌توان دید جایز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این جا نیز باید قصد لذّت و شهوت در بین نباشد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228_56894"/>
      <w:bookmarkStart w:id="81" w:name="pg5228_56894"/>
      <w:bookmarkEnd w:id="81"/>
    </w:p>
    <w:p>
      <w:pPr>
        <w:pStyle w:val="Heading2"/>
        <w:numPr>
          <w:ilvl w:val="1"/>
          <w:numId w:val="1"/>
        </w:numPr>
        <w:rPr/>
      </w:pPr>
      <w:bookmarkStart w:id="82" w:name="pg5228_56894"/>
      <w:bookmarkStart w:id="83" w:name="__RefHeading___Toc274803_581953129"/>
      <w:bookmarkStart w:id="84" w:name="_Toc27"/>
      <w:bookmarkEnd w:id="82"/>
      <w:bookmarkEnd w:id="83"/>
      <w:r>
        <w:rPr>
          <w:rtl w:val="true"/>
        </w:rPr>
        <w:t>ریبه و لذّت بردن</w:t>
      </w:r>
      <w:bookmarkEnd w:id="84"/>
    </w:p>
    <w:p>
      <w:pPr>
        <w:pStyle w:val="BookText"/>
        <w:rPr/>
      </w:pPr>
      <w:r>
        <w:rPr>
          <w:rFonts w:ascii="IRNazanin" w:hAnsi="IRNazanin" w:eastAsia="IRNazanin"/>
          <w:color w:val="111111"/>
          <w:sz w:val="28"/>
          <w:sz w:val="28"/>
          <w:szCs w:val="28"/>
          <w:rtl w:val="true"/>
          <w:lang w:bidi="fa-IR"/>
        </w:rPr>
        <w:t>در کتابهای لغت و فقه، برای ریبه معنای متفاوت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ریبه یعنی ترس از وقوع در حرام در اثر نگاه کردن، یعنی حالتی که در اثر نگاه به نامحرم به ذهن و دل انسان خطور می‌کند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با تأیید این معنا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ظاهراًمراد از ریبه، ترس و وقوع در حرام است و شاید از این معنا تعبیر به خوف فتنه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اقرب الموارد نیز همین معنا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ریبه را به معنای ترس از فریفته شدن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خطورات ذهنی بعضی از صحنه‌های حرام که از نگاه به نامحرم پدید می‌آید را ریبه دانسته‌اند، چرا که در آن صورت آنچه که در ذهن به عنوان لذّت نقش می‌بندد، خود مقدمه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شیعه، خطورات ذهنی و لذّت، در صورتی که از حرام در ذهن نقش ببندد، حرام می‌شود</w:t>
      </w:r>
      <w:r>
        <w:rPr>
          <w:rFonts w:eastAsia="IRNazanin" w:cs="IRNazanin"/>
          <w:color w:val="111111"/>
          <w:sz w:val="28"/>
          <w:szCs w:val="28"/>
          <w:rtl w:val="true"/>
          <w:lang w:bidi="fa-IR"/>
        </w:rPr>
        <w:t xml:space="preserve">. </w:t>
      </w:r>
      <w:bookmarkStart w:id="85" w:name="pg5228_56895"/>
    </w:p>
    <w:p>
      <w:pPr>
        <w:pStyle w:val="Heading2"/>
        <w:numPr>
          <w:ilvl w:val="1"/>
          <w:numId w:val="1"/>
        </w:numPr>
        <w:rPr/>
      </w:pPr>
      <w:bookmarkStart w:id="86" w:name="__RefHeading___Toc274805_581953129"/>
      <w:bookmarkStart w:id="87" w:name="_Toc28"/>
      <w:bookmarkEnd w:id="85"/>
      <w:bookmarkEnd w:id="86"/>
      <w:r>
        <w:rPr>
          <w:rtl w:val="true"/>
        </w:rPr>
        <w:t>تحریک جنسی</w:t>
      </w:r>
      <w:bookmarkEnd w:id="87"/>
    </w:p>
    <w:p>
      <w:pPr>
        <w:pStyle w:val="BookText"/>
        <w:rPr/>
      </w:pPr>
      <w:r>
        <w:rPr>
          <w:rFonts w:ascii="IRNazanin" w:hAnsi="IRNazanin" w:eastAsia="IRNazanin"/>
          <w:color w:val="111111"/>
          <w:sz w:val="28"/>
          <w:sz w:val="28"/>
          <w:szCs w:val="28"/>
          <w:rtl w:val="true"/>
          <w:lang w:bidi="fa-IR"/>
        </w:rPr>
        <w:t>تحریک جنسی، به معنای ایجاد حالتی از هیجانات و رغبت جنسی جایز نیست و عمده دلیل آن نیز آیه قرآن است که به صراحت زنان را از قرار گرفتن در چنین شرایطی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هنگام راه رفتن پاهای خود را به زمین نزنند تا زینت پنهانشان آشکار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تفسیر این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آشکار شدن زینت پنهان جلب توجه اطرافیان به صداهایی است که از خلخال پای زنان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یاد شده در قرآن، برای حرام بودن تهییج جنسی، دلایل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زنان را از صداهای هوس‌انگیز و یا از رفتار توأم با ناز و کرشمه نهی کرده، همه به نوعی از جهت برحذر داشتن زنان و مردان از افتادن به گناهی است که از چنین حالتی نشأت می‌گیرد</w:t>
      </w:r>
      <w:r>
        <w:rPr>
          <w:rFonts w:eastAsia="IRNazanin" w:cs="IRNazanin"/>
          <w:color w:val="111111"/>
          <w:sz w:val="28"/>
          <w:szCs w:val="28"/>
          <w:rtl w:val="true"/>
          <w:lang w:bidi="fa-IR"/>
        </w:rPr>
        <w:t xml:space="preserve">. </w:t>
      </w:r>
      <w:bookmarkStart w:id="88" w:name="pg5228_56896"/>
    </w:p>
    <w:p>
      <w:pPr>
        <w:pStyle w:val="Heading2"/>
        <w:numPr>
          <w:ilvl w:val="1"/>
          <w:numId w:val="1"/>
        </w:numPr>
        <w:rPr/>
      </w:pPr>
      <w:bookmarkStart w:id="89" w:name="__RefHeading___Toc274807_581953129"/>
      <w:bookmarkStart w:id="90" w:name="_Toc29"/>
      <w:bookmarkEnd w:id="88"/>
      <w:bookmarkEnd w:id="89"/>
      <w:r>
        <w:rPr>
          <w:rtl w:val="true"/>
        </w:rPr>
        <w:t>نتیجه</w:t>
      </w:r>
      <w:bookmarkEnd w:id="9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پوشش و یا نگاه به نامحرم هر چند مستقیماً با حضور زن در عرصه بازیگری ارتباطی ندارد، لکن طرح این بحثها تاکیدی بر این نکته است که در نظر اسلام نه تنها زن از حضور در چنین عرصه‌های نهی نشده است بلکه با توجه به برخی از حساسیتها و موقعیتها با طرح مسائلی از قبیل تعریف و حفظ حریم‌ها و حدود، شرایط حضور را برای زنان در یک بستر امن و عاری از مفاسد احتمالی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با پای‌بندی به موازین شرعی، که این نیز در جهت سلامت و امنیت زن و اجتماع است می‌تواند در زیباترین شکل استعداد و خلاقیت خود را در عرصه هنر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گردید، در فقهِ نگاه، مبنا این نیست که زنان و مردان در کنار هم قرار نگیرند و یا با همدیگر سخن نگویند؛ بلکه عمده توجه فقه به این نکته است که این معاشرت و این نگاه‌ها و این گفتگوها به گونه‌ای باشد که زن و یا مرد به لحاظ حیثیت انسانی و معنوی در معرض آسیب قرار نگیرند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رفتار هوس‌انگیز، نهی از عاری شدن از </w:t>
      </w:r>
      <w:bookmarkStart w:id="91" w:name="pg5228_56898"/>
    </w:p>
    <w:p>
      <w:pPr>
        <w:pStyle w:val="BookText"/>
        <w:rPr/>
      </w:pPr>
      <w:bookmarkEnd w:id="91"/>
      <w:r>
        <w:rPr>
          <w:rFonts w:ascii="IRNazanin" w:hAnsi="IRNazanin" w:eastAsia="IRNazanin"/>
          <w:color w:val="111111"/>
          <w:sz w:val="28"/>
          <w:sz w:val="28"/>
          <w:szCs w:val="28"/>
          <w:rtl w:val="true"/>
          <w:lang w:bidi="fa-IR"/>
        </w:rPr>
        <w:t>پوشش و یا پوشش‌های جذاب و شهوت‌انگیز و توصیه و تأکید بر رفتار واقتدار، عواملی است که حضور سالم و عاقلانه زنان را در عرصه بازیگری و یا سایر موقعیتها فراهم می‌سازند</w:t>
      </w:r>
      <w:r>
        <w:rPr>
          <w:rFonts w:eastAsia="IRNazanin" w:cs="IRNazanin"/>
          <w:color w:val="111111"/>
          <w:sz w:val="28"/>
          <w:szCs w:val="28"/>
          <w:rtl w:val="true"/>
          <w:lang w:bidi="fa-IR"/>
        </w:rPr>
        <w:t>.</w:t>
      </w:r>
    </w:p>
    <w:p>
      <w:pPr>
        <w:pStyle w:val="Heading2"/>
        <w:numPr>
          <w:ilvl w:val="1"/>
          <w:numId w:val="1"/>
        </w:numPr>
        <w:rPr/>
      </w:pPr>
      <w:bookmarkStart w:id="92" w:name="__RefHeading___Toc274809_581953129"/>
      <w:bookmarkStart w:id="93" w:name="_Toc30"/>
      <w:bookmarkEnd w:id="92"/>
      <w:r>
        <w:rPr>
          <w:rtl w:val="true"/>
        </w:rPr>
        <w:t>همانندی زن و مرد</w:t>
      </w:r>
      <w:bookmarkEnd w:id="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مورد پرسش از فقه، همانند شدن زنان و مردان برای ایفای نقش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فیلمها مردان با پوشیدن لباس زنان در نقش زنان ظاهری می‌شوند و در مواردی نیز عکس آن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فقها، اگر چنین عملی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حرام است و الاّ هیچ دلیل دیگری بر منبع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همانندی زن و مرد در کتاب‌های فقه به طور مبسوط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آن است که مسلماً تشبّه جنسی زن به مرد و یا بالعکس آن نهی شده است و مسلماً پوشیدن لباس مصداق تشبّه نمی‌شود، به ویژه اگر پوشیدن لباس به جهت اهداف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مشخصی باشد و دلایل و قرائن کافی ساختگی و </w:t>
      </w:r>
      <w:bookmarkStart w:id="94" w:name="pg5228_56900"/>
    </w:p>
    <w:p>
      <w:pPr>
        <w:pStyle w:val="BookText"/>
        <w:rPr/>
      </w:pPr>
      <w:bookmarkEnd w:id="94"/>
      <w:r>
        <w:rPr>
          <w:rFonts w:ascii="IRNazanin" w:hAnsi="IRNazanin" w:eastAsia="IRNazanin"/>
          <w:color w:val="111111"/>
          <w:sz w:val="28"/>
          <w:sz w:val="28"/>
          <w:szCs w:val="28"/>
          <w:rtl w:val="true"/>
          <w:lang w:bidi="fa-IR"/>
        </w:rPr>
        <w:t>نمایشی بودن آن در بین باشد که در چنین صورتی به هیچ عنوان نمی‌توان آن را مصداق تشبّه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پوشیدن لباس ویژه زن را برای مرد و همچنین عکس آن را جایز نمی‌داند لکن در بحث فیلم و نمایش و تئاتر ترک آن را احتیاط واجب می‌داند به عبارتی وی در این خصوص به حرام بودن آن فتوا نمی‌دهد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خامنه‌ای در پاسخ این پرسش که آیا پوشیدن لباس مختص زنان توسط مردان و به عکس بدون قصد تشبّه به جنس مخالف جایز است یا 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آن را به عنوان لباس برای خود انتخاب نکرده باشند، اشکال ندارد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274811_581953129"/>
      <w:bookmarkStart w:id="96" w:name="_Toc31"/>
      <w:bookmarkEnd w:id="95"/>
      <w:r>
        <w:rPr>
          <w:rtl w:val="true"/>
        </w:rPr>
        <w:t>گریم و آرایشگری</w:t>
      </w:r>
      <w:bookmarkEnd w:id="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مهم در بازیگری گریم و آرایشگری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این مسئله در ابعاد گوناگون مورد بحث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آرایشگری، یکی از مسائلی که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شده است، آرایش کردن مردان و استفاده از وسایل آرایش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برداشتن موی ابروها، استفاده از پمادهای سفید کننده، کشیدن رمل و سرمه به چشم، یکی از ابتدایی‌ترین کارها در صحنه نمایش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این مسائل جایز است، چرا که هدف از همه این کارها از پیش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ضرورت آرایش مردان، به گونه یاد شده، از طرف تهیه کننده و کارگردان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مبنای فقهی آن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آرایش و گریم، استفاده از ماسک و کلاه‌گیس نیز یکی از مسائل مورد سؤال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چند وجه قابل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استفاده از کلاه‌گیس زنانه برای مردان که آن‌ها را به زنان شبیه می‌سازد ابتدائاً جایز نیست، لکن وقتی این امر برای هدف مشخصی صورت می‌گیرد، خالی از اشکال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مردان می‌توانند با استفاده از چنین شرایطی نقش زنان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استفاده از کلاه‌گیس زنان برای زنان با اشکال برخی از فقها روبرو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دسته از فقها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w:t>
      </w:r>
      <w:bookmarkStart w:id="97" w:name="pg5228_56904"/>
    </w:p>
    <w:p>
      <w:pPr>
        <w:pStyle w:val="BookText"/>
        <w:rPr/>
      </w:pPr>
      <w:bookmarkEnd w:id="97"/>
      <w:r>
        <w:rPr>
          <w:rFonts w:ascii="IRNazanin" w:hAnsi="IRNazanin" w:eastAsia="IRNazanin"/>
          <w:color w:val="111111"/>
          <w:sz w:val="28"/>
          <w:sz w:val="28"/>
          <w:szCs w:val="28"/>
          <w:rtl w:val="true"/>
          <w:lang w:bidi="fa-IR"/>
        </w:rPr>
        <w:t>علی‌رغم این که با پوشیدن کلاه‌گیس از دیده شدن موی سر خود پرهیز می‌کنند، لکن این مسئله به لحاظ این که برای مخاطب مشخص نیست، تبعات منفی و احیاناً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در نظر گرفتن این شرایط، حضور زن را با کلاه‌گیس در نقش‌ها جایز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اشاره شده، این حکمِ ثانوی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اوّلیه حضور با کلاه‌گیس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جنس مخالف و تقلید صدای او هنگام بازیگری و بیان خصوصیات یک شخص حقیقتی اگر سبب فساد نگردد بعید نیست که جایز باشد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زنان از انواع کرم و لوازم آرایشی در تئاترها و نمایش‌هایی که توسط مردان هم دیده می‌شود چه حکمی دارد؟</w:t>
      </w:r>
    </w:p>
    <w:p>
      <w:pPr>
        <w:pStyle w:val="Heading2"/>
        <w:numPr>
          <w:ilvl w:val="1"/>
          <w:numId w:val="1"/>
        </w:numPr>
        <w:rPr/>
      </w:pPr>
      <w:bookmarkStart w:id="98" w:name="__RefHeading___Toc274813_581953129"/>
      <w:bookmarkStart w:id="99" w:name="_Toc32"/>
      <w:bookmarkEnd w:id="98"/>
      <w:r>
        <w:rPr>
          <w:rtl w:val="true"/>
        </w:rPr>
        <w:t>فقه صحنه</w:t>
      </w:r>
      <w:bookmarkEnd w:id="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صحنه، شامل طراحی صحنه؛ اعم از دکور و وسایل صحنه و نورپردازی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از این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اهمیت می‌یابند که هر کدام در جایگاه خود </w:t>
      </w:r>
    </w:p>
    <w:p>
      <w:pPr>
        <w:pStyle w:val="BookText"/>
        <w:rPr/>
      </w:pPr>
      <w:r>
        <w:rPr>
          <w:rFonts w:ascii="IRNazanin" w:hAnsi="IRNazanin" w:eastAsia="IRNazanin"/>
          <w:color w:val="111111"/>
          <w:sz w:val="28"/>
          <w:sz w:val="28"/>
          <w:szCs w:val="28"/>
          <w:rtl w:val="true"/>
          <w:lang w:bidi="fa-IR"/>
        </w:rPr>
        <w:t>نمادین و نشانه‌هایی برای انتقال مفهوم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نورپردازی چنانچه سیاه و سفیدی بیانگر تضادهاست، نور شدید، سایه شدید و یا نورهای رنگین هر کدام برای بیان یک معنا در نظر گرفته می‌شوند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به جهت این که پدیده نور به لحاظ اعتقادی و فرهنگی نیز نمادین است، برای فقه اهمیت ویژه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همان‌طور که در مناسبات ساختاری برای مفاهیم مختلف سازه‌های متناسب با خود را توصیه می‌کند، در نورپردازی نیز به رنگ و میزان درجه نور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فقه، اگر در نمایش تناسب موضوع و نور به هم بخورد و در نتیجه مفاهیم القایی به گونه‌ای غیر واقعی منتقل شود، به لحاظ تبعات جانبی، مبنای جایز بودن و یا جایز نبودن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تصور چنین فرضی تنها در مفاهیم خاص دینی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این مسئله قطعی می‌شود که نور در برخی از صحنه‌ها و پیش‌زمینه‌ها بیانگر افکار و یا عواطف و احساسات یک شخصیت است، باید توجه داشت که در بیان احساسات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شخصیت ارزشی از به کار بردن نور نامناسب پرهیز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القای معنا و مفهوم یک واقعیت دینی، تاریخی و اجتماعی که با حیثیت یک فرد یا اجتماع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نورپردازی به لحاظ موارد فوق پاسخگو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بحث زوایه دوربین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پوشیده نیست که از نگاه حرفه‌ای زوایه بندی و قاب بندی تصاویر هر کدام در جایگاه خود شرایط و موقعیت سوژه را تعریف می‌کنند؛ حتی در برخی از سبکها دوربین با تعیین میزان فلاصله‌اش با سوژه یا با نوع حرکت همچنان نقش‌ساز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صحنه، باید پیرامون دکور و نوع طراحی صحنه و همچنین وسایل موجود در صحنه نیز دقت کرد و نباید از توان و قدرتی که این عناصر در انتقال مفاهیم دارند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صحنه همان طور که وجود عکس ستاره داوود در گوشه یک اتاق موقعیت محیط و حتی باور دینی آدمها را مشخص می‌سازد و یا یک طرح هندسی از موقعیت جغرافیایی و هویت ملی خبر می‌دهد؛ نمی‌تواند از نظر فقه کم اهمیت باشد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5228_56910"/>
      <w:bookmarkStart w:id="101" w:name="pg5228_56910"/>
      <w:bookmarkEnd w:id="101"/>
    </w:p>
    <w:p>
      <w:pPr>
        <w:pStyle w:val="Heading2"/>
        <w:numPr>
          <w:ilvl w:val="1"/>
          <w:numId w:val="1"/>
        </w:numPr>
        <w:rPr/>
      </w:pPr>
      <w:bookmarkStart w:id="102" w:name="pg5228_56910"/>
      <w:bookmarkStart w:id="103" w:name="__RefHeading___Toc274815_581953129"/>
      <w:bookmarkStart w:id="104" w:name="_Toc33"/>
      <w:bookmarkEnd w:id="102"/>
      <w:bookmarkEnd w:id="103"/>
      <w:r>
        <w:rPr>
          <w:rtl w:val="true"/>
        </w:rPr>
        <w:t>فقه ارزیابی</w:t>
      </w:r>
      <w:bookmarkEnd w:id="1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پس از تولید و پیش از مرحله پخش در واحدی به نام واحد ارزیابی تحت بررسی قرار می‌گیرد، تا با اطمینان از بود عیب و نقص در محتوا و خالی بودن آن از اشکالات فنی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در کشور ایران، بلکه در همه کشورهای جهان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صنعتی فیلمها با در نظر گرفتن شرایط سنی نیز طبقه‌بندی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جهت این که تلویزیون تحت نظارت رهبر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سیاست‌گذاریها عموماً در راستای هدایت و ارشاد اجتماع به سمت رشد و کمال است و یک فیلم پیش از آن که به مرحله تولید برسد در مرحله فیلمنامه ارزش‌گذاری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همه اینها از آنجا که تلویزیون بخشی از برنامه‌های خود را از سایر مراکز تولید، اعم از بخش خصوصی و یا کشورهای دیگر، تأمین می‌کند باید محتوا را مورد توجه قرار داد محتوای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متناسب با فرهنگ اسلامی و با در نظر گرفتن نیازهای این جامعه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در ضمن نمایش آن هیچگونه مفسده فردی و اجتماعی در پی نداشته باشد</w:t>
      </w:r>
      <w:r>
        <w:rPr>
          <w:rFonts w:eastAsia="IRNazanin" w:cs="IRNazanin"/>
          <w:color w:val="111111"/>
          <w:sz w:val="28"/>
          <w:szCs w:val="28"/>
          <w:rtl w:val="true"/>
          <w:lang w:bidi="fa-IR"/>
        </w:rPr>
        <w:t xml:space="preserve">. </w:t>
      </w:r>
      <w:bookmarkStart w:id="105" w:name="pg5228_56912"/>
    </w:p>
    <w:p>
      <w:pPr>
        <w:pStyle w:val="BookText"/>
        <w:rPr/>
      </w:pPr>
      <w:bookmarkEnd w:id="105"/>
      <w:r>
        <w:rPr>
          <w:rFonts w:ascii="IRNazanin" w:hAnsi="IRNazanin" w:eastAsia="IRNazanin"/>
          <w:color w:val="111111"/>
          <w:sz w:val="28"/>
          <w:sz w:val="28"/>
          <w:szCs w:val="28"/>
          <w:rtl w:val="true"/>
          <w:lang w:bidi="fa-IR"/>
        </w:rPr>
        <w:t>مراجع در این مسئله اتفاق نظر دارند که تمام پدیده‌های فرهنگی و هنری اعمّ از کتاب، برنامه‌های رادیوئی و فیلم در صورتی که موجب انحراف و مفسده و سست کردن اعتقادات، ایجاد بدبینی نسبت به ارزشها و باورهای دینی و سنتی که موجب به هم خوردن مناسبات اجتماعی و پدید آمدن یأس و ناامیدی در افراد می‌شود و همین‌طور ترویج پوچگرایی، اتلاف وقت انسان‌ها، تحکیم و ترویج شعبده‌بازی با القاء باورهای خرافی از جمله مواردی است که به نوعی مصداق منافی اسلام تلقی می‌شود</w:t>
      </w:r>
      <w:r>
        <w:rPr>
          <w:rFonts w:eastAsia="IRNazanin" w:cs="IRNazanin"/>
          <w:color w:val="111111"/>
          <w:sz w:val="28"/>
          <w:szCs w:val="28"/>
          <w:rtl w:val="true"/>
          <w:lang w:bidi="fa-IR"/>
        </w:rPr>
        <w:t>.</w:t>
      </w:r>
    </w:p>
    <w:p>
      <w:pPr>
        <w:pStyle w:val="Heading2"/>
        <w:numPr>
          <w:ilvl w:val="1"/>
          <w:numId w:val="1"/>
        </w:numPr>
        <w:rPr/>
      </w:pPr>
      <w:bookmarkStart w:id="106" w:name="__RefHeading___Toc274817_581953129"/>
      <w:bookmarkStart w:id="107" w:name="_Toc34"/>
      <w:bookmarkEnd w:id="106"/>
      <w:r>
        <w:rPr>
          <w:rtl w:val="true"/>
        </w:rPr>
        <w:t>موسیقی فیلم</w:t>
      </w:r>
      <w:bookmarkEnd w:id="1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شرع مقدس اسلام عواملی که موجب حرام شدن موسیقی می‌گردد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بودن آن بر غنا، متناسب بودن با مجالس لهو و گناه و مطرب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فقها اگر موسیقی به دور از موارد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شده باشد، گوش دادن به آن اشکال شرعی ندارد و در اهداف حلال می‌توان از آن بهره جست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تشخیص موضوع و مصداق که آیااین موسیقی از ویژگی‌های فوق برخوردار است یا نه، بر عهده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موسیقی که به نظر عرف موسیقی لهوی مطرب و مناسب مجالس عیش و نوش، باشد موسیقی حرام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نمی‌کند که این موسیقی چه عنوانی داشته باشد و یا متعلق به کدام سرزمین باشد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مطرب و لهوی آن است که به سبب ویژگی‌هایی که دارد انسان را از خداوند متعال و فضایل اخلاقی دور نمودره وبه سمت بی‌بند و باری و گناه سوق می‌دهد و مرجع تشخیص موضوع عرف است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کتب لغت درباره واژه غنا گفته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ترجیع داشته باشد و حالت رقص و هیجانات این‌گونه را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مطرب بودن نیز عرفاً در شرایطی است که صرفاً به جهت عیش و نوش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 می‌گردد و معیارها و ملاک‌های عقلایی در آنجا رعایت نمی‌گردد</w:t>
      </w:r>
      <w:r>
        <w:rPr>
          <w:rFonts w:eastAsia="IRNazanin" w:cs="IRNazanin"/>
          <w:color w:val="111111"/>
          <w:sz w:val="28"/>
          <w:szCs w:val="28"/>
          <w:rtl w:val="true"/>
          <w:lang w:bidi="fa-IR"/>
        </w:rPr>
        <w:t xml:space="preserve">. </w:t>
      </w:r>
      <w:bookmarkStart w:id="108" w:name="pg5228_56916"/>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موسیقی در غیر این موارد که شامل بهره‌برداری مفید و عقلایی در سرودهای انقلابی، اجرای برنامه‌های فرهنگی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همچنین آموختن و یاد دادن نوازندگی برای امر فوق فی نفسه اشکال ندارد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یاد شده در مشروعیت موسیقی شامل هر نوع موسیقی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تفاوتی بین موسیقی سنتی، ایرانی و غیر ایرانی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است موسیقی همراه برنامه آیینی برخی از مذاهب و موسیقی اُپرائی در مراسم کلیساها و یا موسیقی برخی فیلم‌خای موزیکال که صرفاً برای جلوه دادن به برخی حرکات هنری به دور از ابتذال می‌باشد مصداق مطرب بودن نیست</w:t>
      </w:r>
      <w:r>
        <w:rPr>
          <w:rFonts w:eastAsia="IRNazanin" w:cs="IRNazanin"/>
          <w:color w:val="111111"/>
          <w:sz w:val="28"/>
          <w:szCs w:val="28"/>
          <w:rtl w:val="true"/>
          <w:lang w:bidi="fa-IR"/>
        </w:rPr>
        <w:t>.</w:t>
      </w:r>
    </w:p>
    <w:p>
      <w:pPr>
        <w:pStyle w:val="Heading2"/>
        <w:numPr>
          <w:ilvl w:val="1"/>
          <w:numId w:val="1"/>
        </w:numPr>
        <w:rPr/>
      </w:pPr>
      <w:bookmarkStart w:id="109" w:name="__RefHeading___Toc274819_581953129"/>
      <w:bookmarkStart w:id="110" w:name="_Toc35"/>
      <w:bookmarkEnd w:id="109"/>
      <w:r>
        <w:rPr>
          <w:rtl w:val="true"/>
        </w:rPr>
        <w:t>ترانه در فیلم</w:t>
      </w:r>
      <w:bookmarkEnd w:id="1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فیلم‌ها نمایش فیلم با ترانه همراه می‌شود و چه بسا خواننده این ترانه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خارج خریداری می‌شود گاهی در وسط یا آخر آنها </w:t>
      </w:r>
      <w:bookmarkStart w:id="111" w:name="pg5228_56918"/>
    </w:p>
    <w:p>
      <w:pPr>
        <w:pStyle w:val="BookText"/>
        <w:rPr/>
      </w:pPr>
      <w:bookmarkEnd w:id="111"/>
      <w:r>
        <w:rPr>
          <w:rFonts w:ascii="IRNazanin" w:hAnsi="IRNazanin" w:eastAsia="IRNazanin"/>
          <w:color w:val="111111"/>
          <w:sz w:val="28"/>
          <w:sz w:val="28"/>
          <w:szCs w:val="28"/>
          <w:rtl w:val="true"/>
          <w:lang w:bidi="fa-IR"/>
        </w:rPr>
        <w:t>چنین ترانه‌هایی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ایرانی نیز مدتی است که ترانه‌سرایی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ترانه‌ها گاهی توسط مرد و گاهی توسط مردان و یا توسط مردان و زنان به صورت گروهی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موسیقی به عنوان معیار و ملاک مشروعیت عنوان گردید در این جا نیز همچنان ملاک مشروعیت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کیفیت آنها از نظر شنونده عرفاً طرب‌آور و لهوی نباشد گوش دادن به آن‌ها اشکال ندارد و قصد نیت خواننده و مضمون چیزی که می‌خواند در این‌باره تأثیری ندارد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74821_581953129"/>
      <w:bookmarkStart w:id="113" w:name="_Toc36"/>
      <w:bookmarkEnd w:id="112"/>
      <w:r>
        <w:rPr>
          <w:rtl w:val="true"/>
        </w:rPr>
        <w:t>خرید و فروش</w:t>
      </w:r>
      <w:bookmarkEnd w:id="1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به عنوان یک اثر متعلق به پدیدآورنده آن است او حق انحصاری در خصوص اثر خود دارد و می‌توان از آن در چارچوب مقررات و قوانین جاری بهره‌برداری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و معنوی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مال خود اختیار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نظر مقررات شرعی خرید و فروش فیلم و یا اجاره هر گونه تکثیر از آن جزو اختیارات مالک و پدیدآورنده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شرکت‌ها و سازمان‌ها و نهادهای وابسته به دولت، این مراکز به عنوان سرمایه‌گذاری مالک فیلم شناخته می‌شوند و تهیه کننده وکارگردان و سایر عوامل طرف قرارداد به شمار می‌آیند مگر این که مراکز یاد شده حق، مالکت را به افراد واگذار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مواردی که مسئولین سالن‌ها درباره آن تعهد دارند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 بودن نمایش دهنده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فیلم به دور از تکرار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و متناسب بودن قیمت بلیط‌ها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واقعی نبودن پوستر و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 داخل سالن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راحتی صندلی‌ها،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داشتن داخل سالن،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تاریخ شروع و پایان فیلم،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نمایش فیلم‌های جنایی و خشونت،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بودن به وسایل آتش‌سوزی،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بودن به سیستم‌های ایمنی،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به وسایل گرمایشی و سرمایشی،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امکانات برای خانواده‌ها،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به سالن انتظار،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بین پرده و صندلی ردیف اوّل،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 بین صندل‌ها،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تماشاچیان،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لازم به تماشاجیان،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برای جلوگیری از شلوغ کاری 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شرایط برای مصرف سیگار و نوشیدنی‌ها در داخل سالن نمایش،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بوفه در خارج از سالن نمایش،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به جهت این جزو مصوبات وزارت فرهنگ و ارشاد اسلامی است و به صورت مقررات دولتی به مدیران سالن ابلاغ شده است، هر گونه تخلّف از این موارد قابل اعتراض است و قانون از افراد حمایت می‌کند</w:t>
      </w:r>
      <w:r>
        <w:rPr>
          <w:rFonts w:eastAsia="IRNazanin" w:cs="IRNazanin"/>
          <w:color w:val="111111"/>
          <w:sz w:val="28"/>
          <w:szCs w:val="28"/>
          <w:rtl w:val="true"/>
          <w:lang w:bidi="fa-IR"/>
        </w:rPr>
        <w:t xml:space="preserve">. </w:t>
      </w:r>
      <w:bookmarkStart w:id="114" w:name="pg5228_56924"/>
    </w:p>
    <w:p>
      <w:pPr>
        <w:pStyle w:val="BookText"/>
        <w:rPr/>
      </w:pPr>
      <w:bookmarkEnd w:id="114"/>
      <w:r>
        <w:rPr>
          <w:rFonts w:ascii="IRNazanin" w:hAnsi="IRNazanin" w:eastAsia="IRNazanin"/>
          <w:color w:val="111111"/>
          <w:sz w:val="28"/>
          <w:sz w:val="28"/>
          <w:szCs w:val="28"/>
          <w:rtl w:val="true"/>
          <w:lang w:bidi="fa-IR"/>
        </w:rPr>
        <w:t>و ضوابط شرعی در؟؟؟ درس حاضر شوند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274823_581953129"/>
      <w:bookmarkStart w:id="116" w:name="_Toc37"/>
      <w:bookmarkEnd w:id="115"/>
      <w:r>
        <w:rPr>
          <w:rtl w:val="true"/>
        </w:rPr>
        <w:t>نظارت بر سالن‌های سینما</w:t>
      </w:r>
      <w:bookmarkEnd w:id="11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مربوط به بحث سالن‌های سینما می‌شود، شامل امنیت سالن‌ها، راحتی صندلی، پخش‌کننده‌های صدا و بهداشت آن است که علاوه بر دربردارنده تعهدات شرعی به عنوان مسئله معاشرتی از تعهدات اخلاقی نیز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سینماداران در ازای وجهی که از مشتری خود می‌گیرند باید همه موارد یاد شده را به گونه مطلوب رعایت کنند و رضایت خاصه افراد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مشریان سالن‌ها اگر در موارد یاد شده به شرایطی برخورد کردند که خارج از استاندارد و غیر متعارف بوده می‌توانند ادعای خسارت کرده و وجه پرداختی خود را باز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استاندارد در سالن‌ها طبق مصوبات وزارت ارشاد اسلامی با عنوان‌بندی سالن‌ها به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تعریف‌های </w:t>
      </w:r>
    </w:p>
    <w:p>
      <w:pPr>
        <w:pStyle w:val="BookText"/>
        <w:rPr/>
      </w:pPr>
      <w:r>
        <w:rPr>
          <w:rFonts w:ascii="IRNazanin" w:hAnsi="IRNazanin" w:eastAsia="IRNazanin"/>
          <w:color w:val="111111"/>
          <w:sz w:val="28"/>
          <w:sz w:val="28"/>
          <w:szCs w:val="28"/>
          <w:rtl w:val="true"/>
          <w:lang w:bidi="fa-IR"/>
        </w:rPr>
        <w:t>خاص خود را دارند مسئله دیگری که در سالن‌های سینما مورد بحث قرار می‌گیرد، مطابقت داشتن آنچه که به عنوان فیلم نمایش داده می‌شود با چیزی است که به صورت پوسترهای تبلیغی در؟؟؟؟؟ بوده و در جلب مشتری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هر گونه اغفال مشمول احکام شرعی است که در مباحث خرید و فروش فقه به عنوان اغفال و نیرنگ در معاملات مورد بحث قرار گرفته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تصویر ذات ارواح؛ رساله نوین، بخش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نوارهای نرم از جنس پولیستر که به جهت استحکام، در نوارهای فیلم مورد استفاده قرار می‌گیرد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آفرینش‌های فکری،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صنعت، یعنی حرفه؛ سینما در بدو ظهور به عنوان هنر مورد توجه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هنر تبدیل به کار و حرفه شد و ویژگی صنعت به خود گرفت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تحریرالوسیله، احمد مطهری،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مالکیت‌های فکری،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آفرینش‌های فکری،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فصلنامه رهنمون،مدرسه عالی شهید مطهری،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اجوبه‌الاستفتائات،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متن عربی سؤال و پاسخ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کپی‌رایت </w:t>
      </w:r>
      <w:r>
        <w:rPr>
          <w:rFonts w:eastAsia="IRNazanin" w:cs="IRNazanin"/>
          <w:b w:val="false"/>
          <w:bCs w:val="false"/>
          <w:i w:val="false"/>
          <w:iCs w:val="false"/>
          <w:color w:val="333333"/>
          <w:sz w:val="20"/>
          <w:szCs w:val="20"/>
        </w:rPr>
        <w:t>copyright</w:t>
      </w:r>
      <w:r>
        <w:rPr>
          <w:rFonts w:ascii="IRNazanin" w:hAnsi="IRNazanin" w:eastAsia="IRNazanin"/>
          <w:b w:val="false"/>
          <w:b w:val="false"/>
          <w:bCs w:val="false"/>
          <w:i w:val="false"/>
          <w:i w:val="false"/>
          <w:iCs w:val="false"/>
          <w:color w:val="333333"/>
          <w:sz w:val="20"/>
          <w:sz w:val="20"/>
          <w:szCs w:val="20"/>
          <w:rtl w:val="true"/>
        </w:rPr>
        <w:t xml:space="preserve">، به حق تألیف، حق طبع و نشر انحصاری گفته می‌شود که در سال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آمده و در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و اصلاحات و پس از مطابقت دادن آن با استانداردهای بین‌المللی در آمریکا و در برخی از کشورهای اروپایی به مرحله اجرا گذاشته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بر نظام اقتصاد اسلام، مرتضی مطهری،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آیه‌الله خامنه‌ای،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دینی، فصلنامه،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مسائل بیشتر در سینمای کلاسیک بوده و امروزه به دلیل فراگیر شدن تکنولوژی علاوه بر این نمادها از عناصر دیگری نیز استفاده می‌شود؛ حرکت‌های خارق‌العاده،اوج‌گیری، استفاده از هاله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 نمادین و سمبولیک در فیلم به شمار می‌آیند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اجاره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و مادران، عبدالرحیم موگهی،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امام خمینی در پاسخ سؤالات یاد شده، زن و مرد و یا خواهر و برادر فرضی و یا بازی کردن زن به جای مرد و بالعکس را به شرط این که مفسده نداشته باشد جایز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مفسده زمانی پیش می‌آید که در تماس بدن و فاصله‌ها به حدود شرعی توجه نمی‌شود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مرد،به نقل از احکام ازدواج،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هم‌دوش شدن زنان با مردان در کوچه و بازار را حلافت کرد و توصیه به رعایت شئون و حجاب کرده‌اند که برای برخی از علما مبنای عدم حضور زنان در اجتماع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نکاح،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مسئله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مسئله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زا توضیح‌المسائل امام خمینی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اللئام، فاضل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روابط زن و مرد، سید مسعود معصومی،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10573</Words>
  <Characters>41330</Characters>
  <CharactersWithSpaces>51496</CharactersWithSpaces>
  <Paragraphs>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2026-08-19T00:23:16Z</dcterms:created>
  <dc:creator>ghaemiyeh.com</dc:creator>
  <dc:description/>
  <dc:language>en-US</dc:language>
  <cp:lastModifiedBy/>
  <dcterms:modified xsi:type="dcterms:W3CDTF">2026-08-19T03:53:19Z</dcterms:modified>
  <cp:revision>1</cp:revision>
  <dc:subject/>
  <dc:title>احکام و آداب سینما و فیلم سازی</dc:title>
</cp:coreProperties>
</file>

<file path=docProps/custom.xml><?xml version="1.0" encoding="utf-8"?>
<Properties xmlns="http://schemas.openxmlformats.org/officeDocument/2006/custom-properties" xmlns:vt="http://schemas.openxmlformats.org/officeDocument/2006/docPropsVTypes"/>
</file>