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السجود علی التربه الحسینیه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59669_77446391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959671_77446391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959673_774463916">
            <w:r>
              <w:rPr>
                <w:webHidden/>
                <w:rStyle w:val="IndexLink"/>
                <w:rtl w:val="true"/>
              </w:rPr>
              <w:t>المقدمة</w:t>
            </w:r>
            <w:r>
              <w:rPr>
                <w:rStyle w:val="IndexLink"/>
                <w:rtl w:val="true"/>
              </w:rPr>
              <w:tab/>
            </w:r>
            <w:r>
              <w:rPr>
                <w:rStyle w:val="IndexLink"/>
              </w:rPr>
              <w:t>7</w:t>
            </w:r>
          </w:hyperlink>
        </w:p>
        <w:p>
          <w:pPr>
            <w:pStyle w:val="Contents2"/>
            <w:tabs>
              <w:tab w:val="clear" w:pos="8743"/>
              <w:tab w:val="right" w:pos="9026" w:leader="dot"/>
            </w:tabs>
            <w:rPr/>
          </w:pPr>
          <w:hyperlink w:anchor="__RefHeading___Toc1959675_774463916">
            <w:r>
              <w:rPr>
                <w:webHidden/>
                <w:rStyle w:val="IndexLink"/>
                <w:rtl w:val="true"/>
              </w:rPr>
              <w:t>البحث الأول</w:t>
            </w:r>
            <w:r>
              <w:rPr>
                <w:rStyle w:val="IndexLink"/>
                <w:rtl w:val="true"/>
              </w:rPr>
              <w:t xml:space="preserve">: </w:t>
            </w:r>
            <w:r>
              <w:rPr>
                <w:rStyle w:val="IndexLink"/>
                <w:rtl w:val="true"/>
              </w:rPr>
              <w:t>النصوص الواردة حول ما یسجد علیه</w:t>
            </w:r>
            <w:r>
              <w:rPr>
                <w:rStyle w:val="IndexLink"/>
                <w:rtl w:val="true"/>
              </w:rPr>
              <w:tab/>
            </w:r>
            <w:r>
              <w:rPr>
                <w:rStyle w:val="IndexLink"/>
              </w:rPr>
              <w:t>9</w:t>
            </w:r>
          </w:hyperlink>
        </w:p>
        <w:p>
          <w:pPr>
            <w:pStyle w:val="Contents3"/>
            <w:tabs>
              <w:tab w:val="clear" w:pos="8459"/>
              <w:tab w:val="right" w:pos="9026" w:leader="dot"/>
            </w:tabs>
            <w:rPr/>
          </w:pPr>
          <w:hyperlink w:anchor="__RefHeading___Toc1959677_774463916">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1959679_774463916">
            <w:r>
              <w:rPr>
                <w:webHidden/>
                <w:rStyle w:val="IndexLink"/>
                <w:rtl w:val="true"/>
              </w:rPr>
              <w:t>القسم الأول</w:t>
            </w:r>
            <w:r>
              <w:rPr>
                <w:rStyle w:val="IndexLink"/>
                <w:rtl w:val="true"/>
              </w:rPr>
              <w:t xml:space="preserve">: </w:t>
            </w:r>
            <w:r>
              <w:rPr>
                <w:rStyle w:val="IndexLink"/>
                <w:rtl w:val="true"/>
              </w:rPr>
              <w:t>ما یدل علی صحة السجود علی الأرض</w:t>
            </w:r>
            <w:r>
              <w:rPr>
                <w:rStyle w:val="IndexLink"/>
                <w:rtl w:val="true"/>
              </w:rPr>
              <w:tab/>
            </w:r>
            <w:r>
              <w:rPr>
                <w:rStyle w:val="IndexLink"/>
              </w:rPr>
              <w:t>9</w:t>
            </w:r>
          </w:hyperlink>
        </w:p>
        <w:p>
          <w:pPr>
            <w:pStyle w:val="Contents3"/>
            <w:tabs>
              <w:tab w:val="clear" w:pos="8459"/>
              <w:tab w:val="right" w:pos="9026" w:leader="dot"/>
            </w:tabs>
            <w:rPr/>
          </w:pPr>
          <w:hyperlink w:anchor="__RefHeading___Toc1959681_774463916">
            <w:r>
              <w:rPr>
                <w:webHidden/>
                <w:rStyle w:val="IndexLink"/>
                <w:rtl w:val="true"/>
              </w:rPr>
              <w:t>القسم الثانی</w:t>
            </w:r>
            <w:r>
              <w:rPr>
                <w:rStyle w:val="IndexLink"/>
                <w:rtl w:val="true"/>
              </w:rPr>
              <w:t xml:space="preserve">: </w:t>
            </w:r>
            <w:r>
              <w:rPr>
                <w:rStyle w:val="IndexLink"/>
                <w:rtl w:val="true"/>
              </w:rPr>
              <w:t>فیما ورد فی السجود علی غیر الأرض من دون أی عذر</w:t>
            </w:r>
            <w:r>
              <w:rPr>
                <w:rStyle w:val="IndexLink"/>
                <w:rtl w:val="true"/>
              </w:rPr>
              <w:tab/>
            </w:r>
            <w:r>
              <w:rPr>
                <w:rStyle w:val="IndexLink"/>
              </w:rPr>
              <w:t>12</w:t>
            </w:r>
          </w:hyperlink>
        </w:p>
        <w:p>
          <w:pPr>
            <w:pStyle w:val="Contents3"/>
            <w:tabs>
              <w:tab w:val="clear" w:pos="8459"/>
              <w:tab w:val="right" w:pos="9026" w:leader="dot"/>
            </w:tabs>
            <w:rPr/>
          </w:pPr>
          <w:hyperlink w:anchor="__RefHeading___Toc1959683_774463916">
            <w:r>
              <w:rPr>
                <w:webHidden/>
                <w:rStyle w:val="IndexLink"/>
                <w:rtl w:val="true"/>
              </w:rPr>
              <w:t>القسم الثالث</w:t>
            </w:r>
            <w:r>
              <w:rPr>
                <w:rStyle w:val="IndexLink"/>
                <w:rtl w:val="true"/>
              </w:rPr>
              <w:t xml:space="preserve">: </w:t>
            </w:r>
            <w:r>
              <w:rPr>
                <w:rStyle w:val="IndexLink"/>
                <w:rtl w:val="true"/>
              </w:rPr>
              <w:t>فیما ورد فی السجود علی غیر الأرض لعذر</w:t>
            </w:r>
            <w:r>
              <w:rPr>
                <w:rStyle w:val="IndexLink"/>
                <w:rtl w:val="true"/>
              </w:rPr>
              <w:tab/>
            </w:r>
            <w:r>
              <w:rPr>
                <w:rStyle w:val="IndexLink"/>
              </w:rPr>
              <w:t>15</w:t>
            </w:r>
          </w:hyperlink>
        </w:p>
        <w:p>
          <w:pPr>
            <w:pStyle w:val="Contents3"/>
            <w:tabs>
              <w:tab w:val="clear" w:pos="8459"/>
              <w:tab w:val="right" w:pos="9026" w:leader="dot"/>
            </w:tabs>
            <w:rPr/>
          </w:pPr>
          <w:hyperlink w:anchor="__RefHeading___Toc1959685_774463916">
            <w:r>
              <w:rPr>
                <w:webHidden/>
                <w:rStyle w:val="IndexLink"/>
                <w:rtl w:val="true"/>
              </w:rPr>
              <w:t>القول الفصل</w:t>
            </w:r>
            <w:r>
              <w:rPr>
                <w:rStyle w:val="IndexLink"/>
                <w:rtl w:val="true"/>
              </w:rPr>
              <w:t xml:space="preserve">: </w:t>
            </w:r>
            <w:r>
              <w:rPr>
                <w:rStyle w:val="IndexLink"/>
                <w:rtl w:val="true"/>
              </w:rPr>
              <w:t>هذا تمام ما ورد فی الصحاح و المسانید مرفوعاً و موقوفاً</w:t>
            </w:r>
            <w:r>
              <w:rPr>
                <w:rStyle w:val="IndexLink"/>
                <w:rtl w:val="true"/>
              </w:rPr>
              <w:t>...</w:t>
              <w:tab/>
            </w:r>
            <w:r>
              <w:rPr>
                <w:rStyle w:val="IndexLink"/>
              </w:rPr>
              <w:t>18</w:t>
            </w:r>
          </w:hyperlink>
        </w:p>
        <w:p>
          <w:pPr>
            <w:pStyle w:val="Contents2"/>
            <w:tabs>
              <w:tab w:val="clear" w:pos="8743"/>
              <w:tab w:val="right" w:pos="9026" w:leader="dot"/>
            </w:tabs>
            <w:rPr/>
          </w:pPr>
          <w:hyperlink w:anchor="__RefHeading___Toc1959687_774463916">
            <w:r>
              <w:rPr>
                <w:webHidden/>
                <w:rStyle w:val="IndexLink"/>
                <w:rtl w:val="true"/>
              </w:rPr>
              <w:t>البحث الثانی</w:t>
            </w:r>
            <w:r>
              <w:rPr>
                <w:rStyle w:val="IndexLink"/>
                <w:rtl w:val="true"/>
              </w:rPr>
              <w:t xml:space="preserve">: </w:t>
            </w:r>
            <w:r>
              <w:rPr>
                <w:rStyle w:val="IndexLink"/>
                <w:rtl w:val="true"/>
              </w:rPr>
              <w:t>أفضلیة السجود علی تراب الأرض</w:t>
            </w:r>
            <w:r>
              <w:rPr>
                <w:rStyle w:val="IndexLink"/>
                <w:rtl w:val="true"/>
              </w:rPr>
              <w:tab/>
            </w:r>
            <w:r>
              <w:rPr>
                <w:rStyle w:val="IndexLink"/>
              </w:rPr>
              <w:t>20</w:t>
            </w:r>
          </w:hyperlink>
        </w:p>
        <w:p>
          <w:pPr>
            <w:pStyle w:val="Contents2"/>
            <w:tabs>
              <w:tab w:val="clear" w:pos="8743"/>
              <w:tab w:val="right" w:pos="9026" w:leader="dot"/>
            </w:tabs>
            <w:rPr/>
          </w:pPr>
          <w:hyperlink w:anchor="__RefHeading___Toc1959689_774463916">
            <w:r>
              <w:rPr>
                <w:webHidden/>
                <w:rStyle w:val="IndexLink"/>
                <w:rtl w:val="true"/>
              </w:rPr>
              <w:t>البحث الثالث</w:t>
            </w:r>
            <w:r>
              <w:rPr>
                <w:rStyle w:val="IndexLink"/>
                <w:rtl w:val="true"/>
              </w:rPr>
              <w:t xml:space="preserve">: </w:t>
            </w:r>
            <w:r>
              <w:rPr>
                <w:rStyle w:val="IndexLink"/>
                <w:rtl w:val="true"/>
              </w:rPr>
              <w:t>فضیلة التّربة الحسینیة</w:t>
            </w:r>
            <w:r>
              <w:rPr>
                <w:rStyle w:val="IndexLink"/>
                <w:rtl w:val="true"/>
              </w:rPr>
              <w:tab/>
            </w:r>
            <w:r>
              <w:rPr>
                <w:rStyle w:val="IndexLink"/>
              </w:rPr>
              <w:t>21</w:t>
            </w:r>
          </w:hyperlink>
        </w:p>
        <w:p>
          <w:pPr>
            <w:pStyle w:val="Contents2"/>
            <w:tabs>
              <w:tab w:val="clear" w:pos="8743"/>
              <w:tab w:val="right" w:pos="9026" w:leader="dot"/>
            </w:tabs>
            <w:rPr/>
          </w:pPr>
          <w:hyperlink w:anchor="__RefHeading___Toc1959691_774463916">
            <w:r>
              <w:rPr>
                <w:webHidden/>
                <w:rStyle w:val="IndexLink"/>
                <w:rtl w:val="true"/>
              </w:rPr>
              <w:t>البحث الرابع</w:t>
            </w:r>
            <w:r>
              <w:rPr>
                <w:rStyle w:val="IndexLink"/>
                <w:rtl w:val="true"/>
              </w:rPr>
              <w:t xml:space="preserve">: </w:t>
            </w:r>
            <w:r>
              <w:rPr>
                <w:rStyle w:val="IndexLink"/>
                <w:rtl w:val="true"/>
              </w:rPr>
              <w:t>لما ذا الاهتمام بالسّجود علی التّربة الحسینیة ؟</w:t>
            </w:r>
            <w:r>
              <w:rPr>
                <w:rStyle w:val="IndexLink"/>
                <w:rtl w:val="true"/>
              </w:rPr>
              <w:tab/>
            </w:r>
            <w:r>
              <w:rPr>
                <w:rStyle w:val="IndexLink"/>
              </w:rPr>
              <w:t>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68_29039"/>
      <w:bookmarkStart w:id="1" w:name="pg5168_29039"/>
      <w:bookmarkEnd w:id="1"/>
    </w:p>
    <w:p>
      <w:pPr>
        <w:pStyle w:val="Heading2"/>
        <w:numPr>
          <w:ilvl w:val="1"/>
          <w:numId w:val="1"/>
        </w:numPr>
        <w:rPr/>
      </w:pPr>
      <w:bookmarkStart w:id="2" w:name="pg5168_29039"/>
      <w:bookmarkStart w:id="3" w:name="__RefHeading___Toc1959669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شریفی،سیدعبدالهادی،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علی التربه الحسینیه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بر تربت امام 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و پاسخ به شبهات، سیدعبدالهادی شریفی؛ مترجم حسین‌علی عربی؛ تهیه‌کننده اداره ترجمه معاونت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ویراستاری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مکتب اهل بیت علیهم‌السلام؛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حسینی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Torbat Hosseini</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تربت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Sajdah</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حسینعلی،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 امرالله ،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۲۶۳</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۳۰۴۱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۷۶۴۵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۳۸۲۷۹۱۱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59671_77446391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السجود علی التربه الحسینیه</w:t>
      </w:r>
    </w:p>
    <w:p>
      <w:pPr>
        <w:pStyle w:val="BookText"/>
        <w:rPr/>
      </w:pPr>
      <w:r>
        <w:rPr>
          <w:rFonts w:ascii="IRNazanin" w:hAnsi="IRNazanin" w:eastAsia="IRNazanin"/>
          <w:color w:val="111111"/>
          <w:sz w:val="28"/>
          <w:sz w:val="28"/>
          <w:szCs w:val="28"/>
          <w:rtl w:val="true"/>
          <w:lang w:bidi="fa-IR"/>
        </w:rPr>
        <w:t>گروه پژوهش و پاسخ به شبهات</w:t>
      </w:r>
    </w:p>
    <w:p>
      <w:pPr>
        <w:pStyle w:val="BookText"/>
        <w:rPr/>
      </w:pPr>
      <w:r>
        <w:rPr>
          <w:rFonts w:ascii="IRNazanin" w:hAnsi="IRNazanin" w:eastAsia="IRNazanin"/>
          <w:color w:val="111111"/>
          <w:sz w:val="28"/>
          <w:sz w:val="28"/>
          <w:szCs w:val="28"/>
          <w:rtl w:val="true"/>
          <w:lang w:bidi="fa-IR"/>
        </w:rPr>
        <w:t>سیدعبدالهادی شریفی</w:t>
      </w:r>
    </w:p>
    <w:p>
      <w:pPr>
        <w:pStyle w:val="BookText"/>
        <w:rPr/>
      </w:pPr>
      <w:r>
        <w:rPr>
          <w:rFonts w:ascii="IRNazanin" w:hAnsi="IRNazanin" w:eastAsia="IRNazanin"/>
          <w:color w:val="111111"/>
          <w:sz w:val="28"/>
          <w:sz w:val="28"/>
          <w:szCs w:val="28"/>
          <w:rtl w:val="true"/>
          <w:lang w:bidi="fa-IR"/>
        </w:rPr>
        <w:t xml:space="preserve">تهیه‌کننده اداره ترجمه معاونت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ویراستاری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bookmarkStart w:id="7" w:name="pg5168_29057"/>
    </w:p>
    <w:p>
      <w:pPr>
        <w:pStyle w:val="Heading2"/>
        <w:numPr>
          <w:ilvl w:val="1"/>
          <w:numId w:val="1"/>
        </w:numPr>
        <w:rPr/>
      </w:pPr>
      <w:bookmarkStart w:id="8" w:name="__RefHeading___Toc1959673_774463916"/>
      <w:bookmarkStart w:id="9" w:name="_Toc3"/>
      <w:bookmarkEnd w:id="7"/>
      <w:bookmarkEnd w:id="8"/>
      <w:r>
        <w:rPr>
          <w:rtl w:val="true"/>
        </w:rPr>
        <w:t>المقدمة</w:t>
      </w:r>
      <w:bookmarkEnd w:id="9"/>
    </w:p>
    <w:p>
      <w:pPr>
        <w:pStyle w:val="BookText"/>
        <w:rPr/>
      </w:pPr>
      <w:r>
        <w:rPr>
          <w:rFonts w:ascii="IRNazanin" w:hAnsi="IRNazanin" w:eastAsia="IRNazanin"/>
          <w:color w:val="111111"/>
          <w:sz w:val="28"/>
          <w:sz w:val="28"/>
          <w:szCs w:val="28"/>
          <w:rtl w:val="true"/>
          <w:lang w:bidi="fa-IR"/>
        </w:rPr>
        <w:t>اعتبرت الشریعة الإسلامیة الصلاة رکناً من أرکان الدین الإسلامی، و شرّعت للصلاة صورتها المطلوبة و التی تتکوّن من أرکان و أجزاء و شروط مطلوب توفّرها، لتکون الصلاة صحیحةً عند المشرّع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السجود رکن من أرکان الصلاة الواجبة و المسنونة فی الإسلام بلا ریب، بل هو أفضل أجزاء الصلاة و هو من أوضح مظاهر العبودیة و الانقیاد و التذلّل من قبل المخلوق لخالقه، و به یؤکّد المؤمن عبودیته المطلقة لله تعالی و هو الغایة القصوی للتذلّل و الخضوع، و لذلک لم یرخّص الله لعباده أن یسجدوا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بحثَ بین المسلمین جمیعاً فی أن مَن یُسجد له هو الله سبحانه و تعالی دون غیره، و هو من ضروریات الدین التی یکفّر منکرها و یخرج من حظیرة الإیمان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یجوز أن یسجد علیه، فقد اتّفق المسلمون جمیعاً بمختلف مذاهبهم علی صحة السجود علی الأرض و ترابها، بل علی أفضلیة السجود علی تراب الأرض، حسبما وردت به</w:t>
      </w:r>
    </w:p>
    <w:p>
      <w:pPr>
        <w:pStyle w:val="BookText"/>
        <w:rPr/>
      </w:pPr>
      <w:r>
        <w:rPr>
          <w:rFonts w:ascii="IRNazanin" w:hAnsi="IRNazanin" w:eastAsia="IRNazanin"/>
          <w:color w:val="111111"/>
          <w:sz w:val="28"/>
          <w:sz w:val="28"/>
          <w:szCs w:val="28"/>
          <w:rtl w:val="true"/>
          <w:lang w:bidi="fa-IR"/>
        </w:rPr>
        <w:t>النصوص النبویة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سوف نرکّز البحث علی استقراء النصوص الشریفة الواردة حول ما یصح علیه السجود و ما لا یصح، لنری الموقف الشرعی من السجود علی الأرض و ترابها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السجود علی ما أنبتته مما لا یؤکل و لا یلبس و ممّا یؤکل و یلبس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نکتشف من خلال هذه النصوص السُنّة من البدعة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السجود علی التراب رابعاً و فضیلة التربة الحسینیة و ما تمتاز به خامساً، و من خلاله نکتشف السرّ فی الاهتمام بالتربة الحسینیة و اتخاذ قطع منها للسجود علیها عند جمع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سوف نقدّم هذه البحوث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الواردة حول ما یسجد علیه</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أفضلیة السجود علی التراب</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فضیلة التربة الحسینیة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ذا الاهتمام بالسجود علی التربة الحسینیة؟</w:t>
      </w:r>
      <w:bookmarkStart w:id="10" w:name="pg5168_29061"/>
    </w:p>
    <w:p>
      <w:pPr>
        <w:pStyle w:val="Heading2"/>
        <w:numPr>
          <w:ilvl w:val="1"/>
          <w:numId w:val="1"/>
        </w:numPr>
        <w:rPr/>
      </w:pPr>
      <w:bookmarkStart w:id="11" w:name="__RefHeading___Toc1959675_774463916"/>
      <w:bookmarkStart w:id="12" w:name="_Toc4"/>
      <w:bookmarkEnd w:id="10"/>
      <w:bookmarkEnd w:id="11"/>
      <w:r>
        <w:rPr>
          <w:rtl w:val="true"/>
        </w:rPr>
        <w:t>البحث الأول</w:t>
      </w:r>
      <w:r>
        <w:rPr>
          <w:rtl w:val="true"/>
        </w:rPr>
        <w:t xml:space="preserve">: </w:t>
      </w:r>
      <w:r>
        <w:rPr>
          <w:rtl w:val="true"/>
        </w:rPr>
        <w:t>النصوص الواردة حول ما یسجد علیه</w:t>
      </w:r>
      <w:bookmarkEnd w:id="12"/>
    </w:p>
    <w:p>
      <w:pPr>
        <w:pStyle w:val="Heading3"/>
        <w:numPr>
          <w:ilvl w:val="2"/>
          <w:numId w:val="1"/>
        </w:numPr>
        <w:rPr/>
      </w:pPr>
      <w:bookmarkStart w:id="13" w:name="__RefHeading___Toc1959677_774463916"/>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 xml:space="preserve">نقدّم فی هذه الفقرة ما جاء فی الصحاح الست، و غیرها من امّهات المسانید و السنن، من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فیما یصح السجود علیه، و نمضی علی ضوئها و نتخذها سنة متبعة، و طریقة حقة لا محید عنها، و هی علی ثلاثة أقسام</w:t>
      </w:r>
      <w:r>
        <w:rPr>
          <w:rFonts w:eastAsia="IRNazanin" w:cs="IRNazanin"/>
          <w:color w:val="111111"/>
          <w:sz w:val="28"/>
          <w:szCs w:val="28"/>
          <w:rtl w:val="true"/>
          <w:lang w:bidi="fa-IR"/>
        </w:rPr>
        <w:t>:</w:t>
      </w:r>
    </w:p>
    <w:p>
      <w:pPr>
        <w:pStyle w:val="Heading3"/>
        <w:numPr>
          <w:ilvl w:val="2"/>
          <w:numId w:val="1"/>
        </w:numPr>
        <w:rPr/>
      </w:pPr>
      <w:bookmarkStart w:id="15" w:name="__RefHeading___Toc1959679_774463916"/>
      <w:bookmarkStart w:id="16" w:name="_Toc6"/>
      <w:bookmarkEnd w:id="15"/>
      <w:r>
        <w:rPr>
          <w:rtl w:val="true"/>
        </w:rPr>
        <w:t>القسم الأول</w:t>
      </w:r>
      <w:r>
        <w:rPr>
          <w:rtl w:val="true"/>
        </w:rPr>
        <w:t xml:space="preserve">: </w:t>
      </w:r>
      <w:r>
        <w:rPr>
          <w:rtl w:val="true"/>
        </w:rPr>
        <w:t>ما یدل علی صحة السجود علی الأرض</w:t>
      </w:r>
      <w:bookmarkEnd w:id="16"/>
    </w:p>
    <w:p>
      <w:pPr>
        <w:pStyle w:val="BookText"/>
        <w:rPr/>
      </w:pPr>
      <w:r>
        <w:rPr>
          <w:rFonts w:ascii="IRNazanin" w:hAnsi="IRNazanin" w:eastAsia="IRNazanin"/>
          <w:color w:val="111111"/>
          <w:sz w:val="28"/>
          <w:sz w:val="28"/>
          <w:szCs w:val="28"/>
          <w:rtl w:val="true"/>
          <w:lang w:bidi="fa-IR"/>
        </w:rPr>
        <w:t>ما یدل علی صحة السجود علی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لی الأرض مسجداً و طهوراً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لفظ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لنا الأرض کلها مسجداً، و جعلت تربتها لنا طهوراً إذا لم نجد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لفظ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لی الأرض کلها مسجداً و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و عبد الله بن عمر، و أبی هریرة، و جابر، و ابن عباس، و حذیفة و أنس، و أبی امامة، و أبی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لفظ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لی الأرض طهوراً و مسجداً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لفظ 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لی الأرض طیبة و مسجداً، و أیّما أدرکته الصلاة صلی حیث کان</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لک مسجد فحیثما أدرکت الصلاة فصلّ،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ذر</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 علی الحجر</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أبصرت عینای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أنفه و جبهته أثر الماء و الطین</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بن رافع مرفوعاً، ثمّ یکبر فیسجد فیمکّن جبهته من الأرض حتی تطمأنّ مفاصله و تستوی</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أنس، و بریدة باسناد صحیح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من الجفاء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یمسح جبهته قبل أن یفرغ من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لفظ واثلة بن الأسقع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یمسح الرجل جبهته من التراب حتی یفرغ من الصلاة</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اصلی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الظهر فآخذ قبضة من حصی فی کفی لتبرد حتی أسجد علیه من شدة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لفظ لأحمد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نصلی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الظهر، و آخذ بیدی قبضة من حصی فأجعلها فی یدی الاُخری حتی تبرد ثمّ أسجد علیها من شدة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لفظ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اصلی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الظهر فآخذ قبضة من الحصی فی کفی حتی تبرد، و أضعها بجبهتی إذ سجدت من شدة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البیهقی،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جاز السجود علی ثوب متصل به لکان ذلک أسهل من تبرید الحصی فی الکف و وضعها للسجود علیها، و بالله التوفیق</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نصلی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شدة الحر فیأخذ أحدنا الحصباء فی یده فإذا برد وضعه و سجد علیه</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بن الأرت،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شکونا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الرمضاء فی جباهنا و أکفنا فلم یُشکنا</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مطرنا من اللیل فخرجنا لصلاة الغداة فجعل الرجل یمرّ علی البطحاء فیجعل فی ثوبه من الحصباء فیصلی علیه، فلما رأی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هذا البساط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ذلک أول بدء الحصباء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أبو داود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مطرنا ذات لیلة فأصبحت الأرض مبتلة، فجعل الرجل یأتی بالحصی فی ثوبه فیبسطه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عیاض بن عبد الله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یسجد علی کور عمامته، فأومأ بیده ارفع عمامتک، و أومأ الی جبهته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أحدکم یصلی فلیحسر العمامة عن جبهته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بن عمر کان إذا سجد و علیه العمامة یرفعها حتی یضع جبهته بالأرض</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بن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إذا قام الی الصلاة حسر</w:t>
      </w:r>
      <w:bookmarkStart w:id="17" w:name="pg5168_29069"/>
    </w:p>
    <w:p>
      <w:pPr>
        <w:pStyle w:val="BookText"/>
        <w:rPr/>
      </w:pPr>
      <w:bookmarkEnd w:id="17"/>
      <w:r>
        <w:rPr>
          <w:rFonts w:ascii="Amiri" w:hAnsi="Amiri" w:eastAsia="Amiri" w:cs="Amiri"/>
          <w:color w:val="111111"/>
          <w:sz w:val="28"/>
          <w:sz w:val="28"/>
          <w:szCs w:val="28"/>
          <w:rtl w:val="true"/>
          <w:lang w:bidi="ar-SA"/>
        </w:rPr>
        <w:t>العمامة عن جبهته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مسعود کان لا یصلی أو لا یسجد إلا علی الأرض</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یقوم علی البردی و یسجد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البردی؟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الحصیر</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حیوان السبائی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رجلاً یسجد بجنبه و قد اعتمّ علی جبهته فحسر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جبهته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1959681_774463916"/>
      <w:bookmarkStart w:id="19" w:name="_Toc7"/>
      <w:bookmarkEnd w:id="18"/>
      <w:r>
        <w:rPr>
          <w:rtl w:val="true"/>
        </w:rPr>
        <w:t>القسم الثانی</w:t>
      </w:r>
      <w:r>
        <w:rPr>
          <w:rtl w:val="true"/>
        </w:rPr>
        <w:t xml:space="preserve">: </w:t>
      </w:r>
      <w:r>
        <w:rPr>
          <w:rtl w:val="true"/>
        </w:rPr>
        <w:t>فیما ورد فی السجود علی غیر الأرض من دون أی عذر</w:t>
      </w:r>
      <w:bookmarkEnd w:id="19"/>
    </w:p>
    <w:p>
      <w:pPr>
        <w:pStyle w:val="BookText"/>
        <w:rPr/>
      </w:pPr>
      <w:r>
        <w:rPr>
          <w:rFonts w:ascii="IRNazanin" w:hAnsi="IRNazanin" w:eastAsia="IRNazanin"/>
          <w:color w:val="111111"/>
          <w:sz w:val="28"/>
          <w:sz w:val="28"/>
          <w:szCs w:val="28"/>
          <w:rtl w:val="true"/>
          <w:lang w:bidi="fa-IR"/>
        </w:rPr>
        <w:t>فیما ورد فی السجود علی غیر الأرض من دون أی عذر</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جدته ملیکة دعت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لطعام صنعته له، فأکل منه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فلاُصلی لکم، 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الی حصیر لنا قد اسودّ من طول ما لُبس، فنضحته بماء، فقام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صففت، و الیتیم</w:t>
      </w:r>
    </w:p>
    <w:p>
      <w:pPr>
        <w:pStyle w:val="BookText"/>
        <w:rPr/>
      </w:pPr>
      <w:r>
        <w:rPr>
          <w:rFonts w:ascii="IRNazanin" w:hAnsi="IRNazanin" w:eastAsia="IRNazanin"/>
          <w:color w:val="111111"/>
          <w:sz w:val="28"/>
          <w:sz w:val="28"/>
          <w:szCs w:val="28"/>
          <w:rtl w:val="true"/>
          <w:lang w:bidi="fa-IR"/>
        </w:rPr>
        <w:t>وراءه، و العجوز من ورائنا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امّ سلیم 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یأتیها فیصلی فی بیتها فتتخذه مصلی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فعمدت الی حصیر فنضحته بماء فصلی علیه وصلوا معه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الفحل هو الحصیر الذی قد اسودّ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سنن البیهقی</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یقیل</w:t>
      </w:r>
      <w:r>
        <w:rPr>
          <w:rStyle w:val="FootnoteAnchor"/>
          <w:rtl w:val="true"/>
        </w:rPr>
        <w:footnoteReference w:id="22"/>
      </w:r>
      <w:r>
        <w:rPr>
          <w:rFonts w:ascii="IRNazanin" w:hAnsi="IRNazanin" w:eastAsia="IRNazanin"/>
          <w:color w:val="111111"/>
          <w:sz w:val="28"/>
          <w:sz w:val="28"/>
          <w:szCs w:val="28"/>
          <w:rtl w:val="true"/>
          <w:lang w:bidi="fa-IR"/>
        </w:rPr>
        <w:t>عند امّ سلیم، فتبسط له نطعاً فتأخذ من عرقه فتجعله فی طیبها، و تبسط له الخمرة و یصلی علیها</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هامش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حصیر معمول من سعف فحال النخل</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علی الخمرة</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دخل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فرآه یصلی علی حصیر یسجد علیه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میمونة 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و أنا حذاؤه و ربما أصابنی ثوبه إذا سجد، و کان یصلی علی خمرة</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bookmarkStart w:id="20" w:name="pg5168_29075"/>
    </w:p>
    <w:p>
      <w:pPr>
        <w:pStyle w:val="BookText"/>
        <w:rPr/>
      </w:pPr>
      <w:bookmarkEnd w:id="20"/>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علی الخمرة و یسجد علیها</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سلمة 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لرسول الله حصیرة و خمرة یصلی علیها</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علی الخمرة و یسجد علیها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1959683_774463916"/>
      <w:bookmarkStart w:id="22" w:name="_Toc8"/>
      <w:bookmarkEnd w:id="21"/>
      <w:r>
        <w:rPr>
          <w:rtl w:val="true"/>
        </w:rPr>
        <w:t>القسم الثالث</w:t>
      </w:r>
      <w:r>
        <w:rPr>
          <w:rtl w:val="true"/>
        </w:rPr>
        <w:t xml:space="preserve">: </w:t>
      </w:r>
      <w:r>
        <w:rPr>
          <w:rtl w:val="true"/>
        </w:rPr>
        <w:t>فیما ورد فی السجود علی غیر الأرض لعذر</w:t>
      </w:r>
      <w:bookmarkEnd w:id="22"/>
    </w:p>
    <w:p>
      <w:pPr>
        <w:pStyle w:val="BookText"/>
        <w:rPr/>
      </w:pPr>
      <w:r>
        <w:rPr>
          <w:rFonts w:ascii="IRNazanin" w:hAnsi="IRNazanin" w:eastAsia="IRNazanin"/>
          <w:color w:val="111111"/>
          <w:sz w:val="28"/>
          <w:sz w:val="28"/>
          <w:szCs w:val="28"/>
          <w:rtl w:val="true"/>
          <w:lang w:bidi="fa-IR"/>
        </w:rPr>
        <w:t>فیما ورد فی السجود علی غیر الأرض لعذر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إذا صلینا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یستطع أحدنا أن یمکّن جبهته من الأرض من شدة الحر، طرح ثوبه ثمّ سجد علیه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لفظ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نصلی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فیضع أحدنا طرف الثوب من شدة الحر فی مکان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لفظ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نصلی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شدة الحر، فإذا لم یستطع</w:t>
      </w:r>
      <w:r>
        <w:rPr>
          <w:rStyle w:val="FootnoteAnchor"/>
          <w:rtl w:val="true"/>
        </w:rPr>
        <w:footnoteReference w:id="31"/>
      </w:r>
      <w:r>
        <w:rPr>
          <w:rFonts w:ascii="IRNazanin" w:hAnsi="IRNazanin" w:eastAsia="IRNazanin"/>
          <w:color w:val="111111"/>
          <w:sz w:val="28"/>
          <w:sz w:val="28"/>
          <w:szCs w:val="28"/>
          <w:rtl w:val="true"/>
          <w:lang w:bidi="fa-IR"/>
        </w:rPr>
        <w:t>أحدنا أن یمکّن جبهته من الأرض بسط ثوبه فسجد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إذا صلینا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فیضع أحدنا طرف الثوب من شدة الحر مکان السجود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الشوکانی فی النیل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یدل علی جواز السجود علی الثیاب لاتّقاء حرّ الأرض، و فیه إشارة الی أن مباشرة الأرض عند السجود هی الأصل، لتعلیق بسط الثوب بعدم الاستطاعة، و قد استدل بالحدیث علی جواز السجود علی الثوب المتصل بالمصلی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ابو حنیفة و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إذا صلینا 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بالظهائر سجدنا علی ثیابنا اتّقاء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ابن ماجة فی سننه</w:t>
      </w:r>
      <w:r>
        <w:rPr>
          <w:rStyle w:val="FootnoteAnchor"/>
          <w:rtl w:val="true"/>
        </w:rPr>
        <w:footnoteReference w:id="33"/>
      </w:r>
      <w:r>
        <w:rPr>
          <w:rFonts w:ascii="IRNazanin" w:hAnsi="IRNazanin" w:eastAsia="IRNazanin"/>
          <w:color w:val="111111"/>
          <w:sz w:val="28"/>
          <w:sz w:val="28"/>
          <w:szCs w:val="28"/>
          <w:rtl w:val="true"/>
          <w:lang w:bidi="fa-IR"/>
        </w:rPr>
        <w:t>و قال الإمام السندی فی شرحه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الظهائر جمع ظهیرة و هی شدّة الحر نصف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سجدنا علی ثیابنا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أنّها الثیاب التی هم لابسوها، ضرورة أن الثیاب فی ذلک الوقت قلیلة، فمن أین لهم ثیاب فاضلة؟ فهذا یدل علی جواز أن یسجد المصلی علی ثوب هو لابسه کما علیه 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هذه الصورة یحمل ما جاء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یسجد علی ثوبه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 البخاری</w:t>
      </w:r>
      <w:r>
        <w:rPr>
          <w:rStyle w:val="FootnoteAnchor"/>
          <w:rtl w:val="true"/>
        </w:rPr>
        <w:footnoteReference w:id="35"/>
      </w:r>
      <w:r>
        <w:rPr>
          <w:rFonts w:ascii="IRNazanin" w:hAnsi="IRNazanin" w:eastAsia="IRNazanin"/>
          <w:color w:val="111111"/>
          <w:sz w:val="28"/>
          <w:sz w:val="28"/>
          <w:szCs w:val="28"/>
          <w:rtl w:val="true"/>
          <w:lang w:bidi="fa-IR"/>
        </w:rPr>
        <w:t>فی باب السجود علی الثوب فی شدة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القوم یسجدون علی العمامة و القلنسوة و یداه فی 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مرفوعة أخرجها أحمد</w:t>
      </w:r>
      <w:r>
        <w:rPr>
          <w:rStyle w:val="FootnoteAnchor"/>
          <w:rtl w:val="true"/>
        </w:rPr>
        <w:footnoteReference w:id="36"/>
      </w:r>
      <w:r>
        <w:rPr>
          <w:rFonts w:ascii="IRNazanin" w:hAnsi="IRNazanin" w:eastAsia="IRNazanin"/>
          <w:color w:val="111111"/>
          <w:sz w:val="28"/>
          <w:sz w:val="28"/>
          <w:szCs w:val="28"/>
          <w:rtl w:val="true"/>
          <w:lang w:bidi="fa-IR"/>
        </w:rPr>
        <w:t>عن محمد بن ربیعة عن یونس بن الحرث الطائفی عن أبی عون عن أبیه عن المغیرة بن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أو یستحب أن یصلی علی فروة مدبوغة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الإسناد ضعیف بالمرّة و بمثله لا یستدلّ فی الأحکام، فیه یونس ابن الحرث،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أحادیثه مضطربة، و قال عبد الله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عنه مرّة اخری فضعفه، و 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بقوی، و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 و قال ابن أبی شیبة</w:t>
      </w:r>
      <w:r>
        <w:rPr>
          <w:rFonts w:eastAsia="IRNazanin" w:cs="IRNazanin"/>
          <w:color w:val="111111"/>
          <w:sz w:val="28"/>
          <w:szCs w:val="28"/>
          <w:rtl w:val="true"/>
          <w:lang w:bidi="fa-IR"/>
        </w:rPr>
        <w:t>:</w:t>
      </w:r>
      <w:bookmarkStart w:id="23" w:name="pg5168_29081"/>
    </w:p>
    <w:p>
      <w:pPr>
        <w:pStyle w:val="BookText"/>
        <w:rPr/>
      </w:pPr>
      <w:bookmarkEnd w:id="23"/>
      <w:r>
        <w:rPr>
          <w:rFonts w:ascii="IRNazanin" w:hAnsi="IRNazanin" w:eastAsia="IRNazanin"/>
          <w:color w:val="111111"/>
          <w:sz w:val="28"/>
          <w:sz w:val="28"/>
          <w:szCs w:val="28"/>
          <w:rtl w:val="true"/>
          <w:lang w:bidi="fa-IR"/>
        </w:rPr>
        <w:t>سألت ابن معین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نضعفه ضعفاً شدیداً، و قال الساجی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إلاّ أنه لا یُتهم بالکذب</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أبو عون عبید الله بن سعید الثقفی الکوفی، قال أبو حاتم کما فی الجرح و التعدیل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مجهول، و 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عن المغیرة 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متن المرفوعة ساکت عن السجدة و حکمها، و الملازمة بین الصلاة علی الفروة و السجدة علیها منتفیة</w:t>
      </w:r>
      <w:r>
        <w:rPr>
          <w:rFonts w:eastAsia="IRNazanin" w:cs="IRNazanin"/>
          <w:color w:val="111111"/>
          <w:sz w:val="28"/>
          <w:szCs w:val="28"/>
          <w:rtl w:val="true"/>
          <w:lang w:bidi="fa-IR"/>
        </w:rPr>
        <w:t>.</w:t>
      </w:r>
    </w:p>
    <w:p>
      <w:pPr>
        <w:pStyle w:val="Heading3"/>
        <w:numPr>
          <w:ilvl w:val="2"/>
          <w:numId w:val="1"/>
        </w:numPr>
        <w:rPr/>
      </w:pPr>
      <w:bookmarkStart w:id="24" w:name="__RefHeading___Toc1959685_774463916"/>
      <w:bookmarkStart w:id="25" w:name="_Toc9"/>
      <w:bookmarkEnd w:id="24"/>
      <w:r>
        <w:rPr>
          <w:rtl w:val="true"/>
        </w:rPr>
        <w:t>القول الفصل</w:t>
      </w:r>
      <w:r>
        <w:rPr>
          <w:rtl w:val="true"/>
        </w:rPr>
        <w:t xml:space="preserve">: </w:t>
      </w:r>
      <w:r>
        <w:rPr>
          <w:rtl w:val="true"/>
        </w:rPr>
        <w:t>هذا تمام ما ورد فی الصحاح و المسانید مرفوعاً و موقوفاً</w:t>
      </w:r>
      <w:r>
        <w:rPr>
          <w:rtl w:val="true"/>
        </w:rPr>
        <w:t>...</w:t>
      </w:r>
      <w:bookmarkEnd w:id="25"/>
    </w:p>
    <w:p>
      <w:pPr>
        <w:pStyle w:val="BookText"/>
        <w:rPr/>
      </w:pPr>
      <w:r>
        <w:rPr>
          <w:rFonts w:ascii="IRNazanin" w:hAnsi="IRNazanin" w:eastAsia="IRNazanin"/>
          <w:color w:val="111111"/>
          <w:sz w:val="28"/>
          <w:sz w:val="28"/>
          <w:szCs w:val="28"/>
          <w:rtl w:val="true"/>
          <w:lang w:bidi="fa-IR"/>
        </w:rPr>
        <w:t>هذا تمام ما ورد فی الصحاح و المسانید مرفوعاً و موقوفاً فیما یجوز السجود علیه برمته، و لم یبق هناک حدیث لم نذکره، و هی تدل بنصها علی أن الأصل فی ذلک لدی القدرة و الإمکان الأرض کلها، و یتبعها المصنوع مما ینبت منها أخذاً بأحادیث الخمرة و الفحل و الحصیر و البساط، و لا مندوحة عنها عند فقدان العذر، و أما فی حال العذر و عدم التمکن منها فیجوز السجود علی الثوب المتصل دون المنفصل لعدم ذکره فی السنة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السجدة علی الفراش و السجاد و البسط المنسوجة</w:t>
      </w:r>
    </w:p>
    <w:p>
      <w:pPr>
        <w:pStyle w:val="BookText"/>
        <w:rPr/>
      </w:pPr>
      <w:r>
        <w:rPr>
          <w:rFonts w:ascii="IRNazanin" w:hAnsi="IRNazanin" w:eastAsia="IRNazanin"/>
          <w:color w:val="111111"/>
          <w:sz w:val="28"/>
          <w:sz w:val="28"/>
          <w:szCs w:val="28"/>
          <w:rtl w:val="true"/>
          <w:lang w:bidi="fa-IR"/>
        </w:rPr>
        <w:t>من الصوف و الوبر و الحریر و أمثالها و الثوب المتصل فلا دلیل یسوّغها قطّ، و لم یرد فی السنة أی مستند لجوازها، و هذه الصحاح الست و هی تتکفل بیان أحکام الدین و لا سیما الصلاة التی هی عماده لم یوجد فیها و لا حدیث واحد، و لا کلمة إیماء و إیعاز الی جواز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بقیة اصول الحدیث من المسانید و السنن المؤلفة فی القرون الاُولی الثلاثة لیس فیها أیّ أثر یمکننا الاستدلال به علی جواز ذلک من مرفوع أو موقوف، مسند أو مرسل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فالقول بجواز السجود علی الفرش و السجاد و الالتزام بذلک، و افتراش المساجد بها للسجود علیها کما تداول عند الناس بدعة محضة، و أمر محدث غیر مشروع، یخالف سنة الله و سنة رسوله، و قد أخرج الحافظ الکبیر الثقة أبو بکر ابن أبی شیبة بإسناده فی المصنف فی المجلد الثانی عن سعید ابن المسیب و عن محمد 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علی الطنفسة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صح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الاُمور محدثاتها، و کل محدثة بدعة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bookmarkStart w:id="26" w:name="pg5168_29084"/>
    </w:p>
    <w:p>
      <w:pPr>
        <w:pStyle w:val="Heading2"/>
        <w:numPr>
          <w:ilvl w:val="1"/>
          <w:numId w:val="1"/>
        </w:numPr>
        <w:rPr/>
      </w:pPr>
      <w:bookmarkStart w:id="27" w:name="__RefHeading___Toc1959687_774463916"/>
      <w:bookmarkStart w:id="28" w:name="_Toc10"/>
      <w:bookmarkEnd w:id="26"/>
      <w:bookmarkEnd w:id="27"/>
      <w:r>
        <w:rPr>
          <w:rtl w:val="true"/>
        </w:rPr>
        <w:t>البحث الثانی</w:t>
      </w:r>
      <w:r>
        <w:rPr>
          <w:rtl w:val="true"/>
        </w:rPr>
        <w:t xml:space="preserve">: </w:t>
      </w:r>
      <w:r>
        <w:rPr>
          <w:rtl w:val="true"/>
        </w:rPr>
        <w:t>أفضلیة السجود علی تراب الأرض</w:t>
      </w:r>
      <w:bookmarkEnd w:id="28"/>
    </w:p>
    <w:p>
      <w:pPr>
        <w:pStyle w:val="BookText"/>
        <w:rPr/>
      </w:pPr>
      <w:r>
        <w:rPr>
          <w:rFonts w:ascii="IRNazanin" w:hAnsi="IRNazanin" w:eastAsia="IRNazanin"/>
          <w:color w:val="111111"/>
          <w:sz w:val="28"/>
          <w:sz w:val="28"/>
          <w:szCs w:val="28"/>
          <w:rtl w:val="true"/>
          <w:lang w:bidi="fa-IR"/>
        </w:rPr>
        <w:t>أفضلیة السجود علی تراب الأرض</w:t>
      </w:r>
    </w:p>
    <w:p>
      <w:pPr>
        <w:pStyle w:val="BookText"/>
        <w:rPr/>
      </w:pPr>
      <w:r>
        <w:rPr>
          <w:rFonts w:ascii="IRNazanin" w:hAnsi="IRNazanin" w:eastAsia="IRNazanin"/>
          <w:color w:val="111111"/>
          <w:sz w:val="28"/>
          <w:sz w:val="28"/>
          <w:szCs w:val="28"/>
          <w:rtl w:val="true"/>
          <w:lang w:bidi="fa-IR"/>
        </w:rPr>
        <w:t>لقد ورد الأمر بالتتریب فی النصوص الشریفة، و الأمر دال علی الأفضلیة و المطلوبیة إن لم یکن دالاّ علی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إلیک جملة من الروایات الآمرة بالتتریب فی السجود و هی تفید أفضلیة السجود علی تراب الأرض بلا ریب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خالد الجهنی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صهیباً یسجد کأنّه یتّقی التراب،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 وجهک یا صهیب</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صهیباً کان یتّقی عن التتریب بالسجود علی الثوب المتّصل و المنفصل، و لا أقل بالسجود علی الحصر و البواری و الأحجار الصافیة، و علی کل تقدیر، فالحدیث شاهد علی أفضلیة السجود علی التراب فی مقابل السجود علی الحصی لما دلّ من جواز السجدة علی الحصی فی مقابل السجود علی غیر الأرض</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 لنا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ینفخ إذا سجد،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أفلح ترّب</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bookmarkStart w:id="29" w:name="pg5168_29086"/>
    </w:p>
    <w:p>
      <w:pPr>
        <w:pStyle w:val="BookText"/>
        <w:rPr/>
      </w:pPr>
      <w:bookmarkEnd w:id="29"/>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رباح ترّب وجهک</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امّ سلمة، فدخل علیها ابن أخ لها فصلّی فی بیتها رکعتین، فلمّا سجد نفخ التراب، فقالت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أخی لا تنفخ، فإنّی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لغلام له یقال له 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 وجهک الله</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 w:name="__RefHeading___Toc1959689_774463916"/>
      <w:bookmarkStart w:id="31" w:name="_Toc11"/>
      <w:bookmarkEnd w:id="30"/>
      <w:r>
        <w:rPr>
          <w:rtl w:val="true"/>
        </w:rPr>
        <w:t>البحث الثالث</w:t>
      </w:r>
      <w:r>
        <w:rPr>
          <w:rtl w:val="true"/>
        </w:rPr>
        <w:t xml:space="preserve">: </w:t>
      </w:r>
      <w:r>
        <w:rPr>
          <w:rtl w:val="true"/>
        </w:rPr>
        <w:t>فضیلة التّربة الحسینیة</w:t>
      </w:r>
      <w:bookmarkEnd w:id="31"/>
    </w:p>
    <w:p>
      <w:pPr>
        <w:pStyle w:val="BookText"/>
        <w:rPr/>
      </w:pPr>
      <w:r>
        <w:rPr>
          <w:rFonts w:ascii="IRNazanin" w:hAnsi="IRNazanin" w:eastAsia="IRNazanin"/>
          <w:color w:val="111111"/>
          <w:sz w:val="28"/>
          <w:sz w:val="28"/>
          <w:szCs w:val="28"/>
          <w:rtl w:val="true"/>
          <w:lang w:bidi="fa-IR"/>
        </w:rPr>
        <w:t>فضیلة التّربة الحسینیة</w:t>
      </w:r>
    </w:p>
    <w:p>
      <w:pPr>
        <w:pStyle w:val="BookText"/>
        <w:rPr/>
      </w:pPr>
      <w:r>
        <w:rPr>
          <w:rFonts w:ascii="IRNazanin" w:hAnsi="IRNazanin" w:eastAsia="IRNazanin"/>
          <w:color w:val="111111"/>
          <w:sz w:val="28"/>
          <w:sz w:val="28"/>
          <w:szCs w:val="28"/>
          <w:rtl w:val="true"/>
          <w:lang w:bidi="fa-IR"/>
        </w:rPr>
        <w:t>کان الأوزاعی و هو استاذ أبی حنیفة، إذا أراد السفر من المدینة حمل معه طینة منها لیسجد علیها فسُئل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أفضل بقعة فی الأرض هی البقعة التی دفن علیها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أحبّ أن یکون سجودی لله تعالی علیها</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عائشة أو امّ سلمة،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دخل علیّ البیت ملک لم یدخل علیّ قبلها، فقال لی إن ابنک هذا الحسین مقتول و إن شئت أریتک من تربة الأرض التی یقتل 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تربة حمراء</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ذات یوم فی بیتی،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یدخل علیّ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فانتظرت فدخل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نشیج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یبکی، فاطلعت فإذا حسین فی حجره 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یمسح جبینه و هو یبکی،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علمت حین دخل،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معنا فی البیت، قال أ فتحبّه،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الدنیا فنعم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امتک ستقتل هذا بأرض یقال لها کربلاء، فتناول جبرئیل من تربتها فأراها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احیط بحسین حین 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هذه الأرض؟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رسول الله کرب و بلاء</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المشهدی فی المزار الکبیر، بإسناده عن إبراهیم بن محمد الثقفی، عن أبیه،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سبحتها من خیط مفتل، معقود علیه عدد التکبیرات، و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تدیرها بیدها تکبّر و تسبّح حتی قتل حمزة بن عبد المطلب فاستعملت تربته و عملت التسابیح، فاستعملها الناس، فلمّا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w:t>
      </w:r>
    </w:p>
    <w:p>
      <w:pPr>
        <w:pStyle w:val="BookText"/>
        <w:rPr/>
      </w:pPr>
      <w:r>
        <w:rPr>
          <w:rFonts w:ascii="IRNazanin" w:hAnsi="IRNazanin" w:eastAsia="IRNazanin"/>
          <w:color w:val="111111"/>
          <w:sz w:val="28"/>
          <w:sz w:val="28"/>
          <w:szCs w:val="28"/>
          <w:rtl w:val="true"/>
          <w:lang w:bidi="fa-IR"/>
        </w:rPr>
        <w:t>بالأمر إلیه، فاستعملوا تربته، لما فیه من الفضل و المزیّة</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أرض کربلاء کأرض مکة و المدینة محاطة بهالة من التقدیس و التعظیم، و یقول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اجتاز علی أرض کربلاء أخذ قبضة من ترابها فشمّها و بکی حتی بلّ الأرض بدموعه،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یحشر من هذا الظهر سبعون ألف یدخلون الجنة بغیر حساب</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روت أُمّ المؤمنین السیدة ام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اضطجع ذات لیلة للنوم و هو حائر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مضطرب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اضطجع و هو حائر دون ما رأیت به المرة الاُولی، ثمّ اضطجع و فی یده تربة حمراء، و هو یقبلها، فقلت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هذه التربة یا رسول الله؟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أخبرنی جبرئیل أن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الی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بأرض العراق، فقلت لجبرئیل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أرنی تربة الأرض التی یقتل بها فهذه تربته</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روت السیدة امّ الفضل بنت الحارث،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الحسین فی حجری فدخلت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حانت منی التفاتة، فإذا عینا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تهریقان من الدموع، فقلت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 بأبی أنت و أمی ما 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أتانی جبرئیل فاخبرنی أن أُمتی ستقتل ابنی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ذعرت امّ الفضل و راحت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یقتل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أشارت الی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 أتانی جبرئیل بتربة من تربته حمراء</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روت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الحسین بن علی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یوحی إلیه فنزا علی رسول الله، و هو منکب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تحبه یا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لی لا أحب ابنی؟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امتک ستقتله من بعدک، فمدَّ جبرئیل یده فأتاه بتربة بیضاء،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الأرض یقتل ابنک هذا، و اسمها الطف، فلما ذهب جبرئیل من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التربة فی یده و هو یبکی فقال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عائشة إن جبرئیل أخبرنی أن ابنی حسیناً مقتول فی أرض الطف، و أن امتی ستفتن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الی أصحابه و فیهم علی و أبو بکر و عمر و حذیفة و عمار و أبو ذر و هو یبکی فبادروا إلیه قائلین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یبکیک یا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جبرئیل أن ابنی الحسین یقتل من بعدی بأرض الطف و جاءنی بهذه التربة، و أخبرنی أن فیها مضجعه</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روت السیدة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الحسن و الحسین یلعبان بین یدی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بیتی فنزل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 امتک تقتل ابنک هذا من بعدک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الی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ضمه الی صدره، و أن بیده تربة فجعل یشمّها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 کرب و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ناولها ام سلمة فقال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تحولت هذه التربة دماً فاعلمی ان ابنی قد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فجعلتها امّ سلمة فی قارورة، و جعلت تتعاهدها کل یوم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یوماً تتحولین دماً لیوم عظیم</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کثیر من أمثال هذه الأحادیث رواها الثقات من علماء السنة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تقدیسه للبقعة المبارکة التی</w:t>
      </w:r>
      <w:bookmarkStart w:id="32" w:name="pg5168_29097"/>
    </w:p>
    <w:p>
      <w:pPr>
        <w:pStyle w:val="BookText"/>
        <w:rPr/>
      </w:pPr>
      <w:bookmarkEnd w:id="32"/>
      <w:r>
        <w:rPr>
          <w:rFonts w:ascii="IRNazanin" w:hAnsi="IRNazanin" w:eastAsia="IRNazanin"/>
          <w:color w:val="111111"/>
          <w:sz w:val="28"/>
          <w:sz w:val="28"/>
          <w:szCs w:val="28"/>
          <w:rtl w:val="true"/>
          <w:lang w:bidi="fa-IR"/>
        </w:rPr>
        <w:t xml:space="preserve">استشهد علی ثراها حفیده و ریحانته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نقص إن اتخذت من ثری تلک البقعة تربة یسجد علیها لله تعالی وحده لا شریک له</w:t>
      </w:r>
      <w:r>
        <w:rPr>
          <w:rFonts w:eastAsia="IRNazanin" w:cs="IRNazanin"/>
          <w:color w:val="111111"/>
          <w:sz w:val="28"/>
          <w:szCs w:val="28"/>
          <w:rtl w:val="true"/>
          <w:lang w:bidi="fa-IR"/>
        </w:rPr>
        <w:t>.</w:t>
      </w:r>
    </w:p>
    <w:p>
      <w:pPr>
        <w:pStyle w:val="Heading2"/>
        <w:numPr>
          <w:ilvl w:val="1"/>
          <w:numId w:val="1"/>
        </w:numPr>
        <w:rPr/>
      </w:pPr>
      <w:bookmarkStart w:id="33" w:name="__RefHeading___Toc1959691_774463916"/>
      <w:bookmarkStart w:id="34" w:name="_Toc12"/>
      <w:bookmarkEnd w:id="33"/>
      <w:r>
        <w:rPr>
          <w:rtl w:val="true"/>
        </w:rPr>
        <w:t>البحث الرابع</w:t>
      </w:r>
      <w:r>
        <w:rPr>
          <w:rtl w:val="true"/>
        </w:rPr>
        <w:t xml:space="preserve">: </w:t>
      </w:r>
      <w:r>
        <w:rPr>
          <w:rtl w:val="true"/>
        </w:rPr>
        <w:t>لما ذا الاهتمام بالسّجود علی التّربة الحسینیة ؟</w:t>
      </w:r>
      <w:bookmarkEnd w:id="34"/>
    </w:p>
    <w:p>
      <w:pPr>
        <w:pStyle w:val="BookText"/>
        <w:rPr/>
      </w:pPr>
      <w:r>
        <w:rPr>
          <w:rFonts w:ascii="IRNazanin" w:hAnsi="IRNazanin" w:eastAsia="IRNazanin"/>
          <w:color w:val="111111"/>
          <w:sz w:val="28"/>
          <w:sz w:val="28"/>
          <w:szCs w:val="28"/>
          <w:rtl w:val="true"/>
          <w:lang w:bidi="fa-IR"/>
        </w:rPr>
        <w:t>لما ذا الاهتمام بالسّجود علی التّربة الحسینیة ؟</w:t>
      </w:r>
    </w:p>
    <w:p>
      <w:pPr>
        <w:pStyle w:val="BookText"/>
        <w:rPr/>
      </w:pPr>
      <w:r>
        <w:rPr>
          <w:rFonts w:ascii="IRNazanin" w:hAnsi="IRNazanin" w:eastAsia="IRNazanin"/>
          <w:color w:val="111111"/>
          <w:sz w:val="28"/>
          <w:sz w:val="28"/>
          <w:szCs w:val="28"/>
          <w:rtl w:val="true"/>
          <w:lang w:bidi="fa-IR"/>
        </w:rPr>
        <w:t>إن الغایة المتوخّاة من السجدة علی تربة کربلاء إنما تستند الی أصلین قویمین، و تتوقف علی أمرین قیمین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استحسان اتخاذ المصلی لنفسه تربة طاهرة طیبة یتیقن بطهارتها، من أیّ أرض اخذت، و من أی صقع من أرجاء العالم کانت، و هی کلها فی ذلک شرع سواء، لا امتیاز لإحداهن علی الاُخری فی جواز السجود علیها، و إن هو إلاّ کرعایة المصلی طهارة جسده و ملبسه و مصلاه، یتخذ المسلم لنفسه صعیداً طیباً یسجد علیه فی حله و ترحاله، و فی حضره و سفره، و لا سیما فی السفر، إذ الثقة بطهارة کل أرض یحل بها، و یتخذها مسجداً لا تتأتی له فی کل موضع من المدن و الرساتیق و الفنادق و الخانات و باحات النزل و الساحات، و محال المسافرین، و محطات وسائل السیر و السفر، و منازل الغرباء، أنی له بذلک؟ و قد یحل بها کل إنسان من الفئة المسلمة و غیرها، و من أخلاط الناس الذین لا یبالون و لا</w:t>
      </w:r>
    </w:p>
    <w:p>
      <w:pPr>
        <w:pStyle w:val="BookText"/>
        <w:rPr/>
      </w:pPr>
      <w:r>
        <w:rPr>
          <w:rFonts w:ascii="IRNazanin" w:hAnsi="IRNazanin" w:eastAsia="IRNazanin"/>
          <w:color w:val="111111"/>
          <w:sz w:val="28"/>
          <w:sz w:val="28"/>
          <w:szCs w:val="28"/>
          <w:rtl w:val="true"/>
          <w:lang w:bidi="fa-IR"/>
        </w:rPr>
        <w:t>یکترثون لأمر الدین فی موضوع الطهارة و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مانع من أن یحترز المسلم فی دینه، و یتخذ معه تربة طاهرة یطمئن بها و بطهارتها یسجد علیها لدی صلاته، حذراً من السجدة علی الرجاسة و النجاسة و الأوساخ التی لا یتقرب بها الی الله قطّ؟ و لا تجوّز السنة السجود علیها، و لا یقبله العقل السلیم، بعد ذلک التأکید التام البالغ علی طهارة أعضاء المصلی و لباسه، و النهی عن الصلاة فی مواطن منها، المزبلة، و المجزرة، و المقبرة، و قارعة الطریق، و الحمام، و معاطن الإبل</w:t>
      </w:r>
      <w:r>
        <w:rPr>
          <w:rStyle w:val="FootnoteAnchor"/>
          <w:rtl w:val="true"/>
        </w:rPr>
        <w:footnoteReference w:id="53"/>
      </w:r>
      <w:r>
        <w:rPr>
          <w:rFonts w:ascii="IRNazanin" w:hAnsi="IRNazanin" w:eastAsia="IRNazanin"/>
          <w:color w:val="111111"/>
          <w:sz w:val="28"/>
          <w:sz w:val="28"/>
          <w:szCs w:val="28"/>
          <w:rtl w:val="true"/>
          <w:lang w:bidi="fa-IR"/>
        </w:rPr>
        <w:t>، و الأمر بتطهیر المساجد و تطییبها</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النظرة کانت متخذة لدی رجال السلف فی القرون الاُولی، و أخذاً بهذه الحیطة کان التابعی الفقیه مسروق بن الأجدع</w:t>
      </w:r>
      <w:r>
        <w:rPr>
          <w:rStyle w:val="FootnoteAnchor"/>
          <w:rtl w:val="true"/>
        </w:rPr>
        <w:footnoteReference w:id="55"/>
      </w:r>
      <w:r>
        <w:rPr>
          <w:rFonts w:ascii="IRNazanin" w:hAnsi="IRNazanin" w:eastAsia="IRNazanin"/>
          <w:color w:val="111111"/>
          <w:sz w:val="28"/>
          <w:sz w:val="28"/>
          <w:szCs w:val="28"/>
          <w:rtl w:val="true"/>
          <w:lang w:bidi="fa-IR"/>
        </w:rPr>
        <w:t>یأخذ فی أسفاره لبنة یسجد علیها، کما أخرجه أبو</w:t>
      </w:r>
    </w:p>
    <w:p>
      <w:pPr>
        <w:pStyle w:val="BookText"/>
        <w:rPr/>
      </w:pPr>
      <w:r>
        <w:rPr>
          <w:rFonts w:ascii="IRNazanin" w:hAnsi="IRNazanin" w:eastAsia="IRNazanin"/>
          <w:color w:val="111111"/>
          <w:sz w:val="28"/>
          <w:sz w:val="28"/>
          <w:szCs w:val="28"/>
          <w:rtl w:val="true"/>
          <w:lang w:bidi="fa-IR"/>
        </w:rPr>
        <w:t xml:space="preserve">بکر ابن أبی شیبة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المجلد الثانی فی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یحمل فی السفینة شیئاً یسجد علیه، فأخرج بإسنادین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مسروقاً کان إذا سافر حمل معه فی السفینة لبنة یسجد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الأصل الأول لدی الشیعة و لهم فیه سلف من الصحابة الأولین و التابعین لهم باحسان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قاعدة الاعتبار المطردة تقتضی التفاضل بین الأراضی، بعضها علی بعض، و تستدعی اختلاف الآثار و الشئون و النظرات فیها، و هذا أمر طبیعی عقلی متسالم علیه، مطّرد بین الاُمم، إذ بالاضافات و النسب تقبل الأراضی و الأماکن و البقاع خواصاً و مزایا، بها تجری علیها مقرّرات، و تنتزع منها أحکاماً لا یجوز التغاضی و الصفح عنها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لا تری أنّ الساحات و القاعات و الدور و الدوائر الرسمیة المضافة الی الحکومات، و بالأخص ما ینسب منها</w:t>
      </w:r>
    </w:p>
    <w:p>
      <w:pPr>
        <w:pStyle w:val="BookText"/>
        <w:rPr/>
      </w:pPr>
      <w:r>
        <w:rPr>
          <w:rFonts w:ascii="IRNazanin" w:hAnsi="IRNazanin" w:eastAsia="IRNazanin"/>
          <w:color w:val="111111"/>
          <w:sz w:val="28"/>
          <w:sz w:val="28"/>
          <w:szCs w:val="28"/>
          <w:rtl w:val="true"/>
          <w:lang w:bidi="fa-IR"/>
        </w:rPr>
        <w:t>الی البلاط الملکی، و یعرف باسم عاهل البلاد و شخصه، لها شأن خاص، و حکم ینفرد بها، یجب للشعب رعایته، و الجری علی ما صدر فیها من قانون؟</w:t>
      </w:r>
    </w:p>
    <w:p>
      <w:pPr>
        <w:pStyle w:val="BookText"/>
        <w:rPr/>
      </w:pPr>
      <w:r>
        <w:rPr>
          <w:rFonts w:ascii="IRNazanin" w:hAnsi="IRNazanin" w:eastAsia="IRNazanin"/>
          <w:color w:val="111111"/>
          <w:sz w:val="28"/>
          <w:sz w:val="28"/>
          <w:szCs w:val="28"/>
          <w:rtl w:val="true"/>
          <w:lang w:bidi="fa-IR"/>
        </w:rPr>
        <w:t>فکذلک الأمر بالنسبة الی الأراضی و الأبنیة و الدیار المضافة المنسوبة الی الله تعالی، فإن لها شئوناً خاصة، و أحکاماً و طقوساً، و لوازم و روابط لا بدّ لمن أسلم وجهه لله من أن یراعیها و یراقبها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الاعتبار العام المتسالم علیه انتزع للکعبة حکمها الخاص، و للحرم شأن یخصّ به، و للمسجدین الشریفین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مکة و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أحکامهما الخاصة بهما، و للمساجد العامة و المعابد و الصوامع و البیع التی یذکر فیها اسم الله، فی الحرمة و الکرامة، و التطهیر و التنجیس، و منع دخول الجنب و الحائض و النفساء علیها، و النهی عن بیعها نهیاً باتاً، خلاف بقیة الأوقاف الأهلیة العامة التی لها صور مسوغة لبیعها و تبدیلها بالأحسن، الی أحکام و حدود اخری منتزعة من اعتبار الإضافة الی ملک الملوک، رب العالمین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فاتخاذ مکة المکرمة حرماً آمناً، و توجیه الخلق إلیها، و حجهم إلیها من کل فج عمیق، و إیجاب کل تلکم النسک، و جعل کل تلکم الأحکام حتی بالنسبة الی نبتها، إن هی إلا</w:t>
      </w:r>
    </w:p>
    <w:p>
      <w:pPr>
        <w:pStyle w:val="BookText"/>
        <w:rPr/>
      </w:pPr>
      <w:r>
        <w:rPr>
          <w:rFonts w:ascii="IRNazanin" w:hAnsi="IRNazanin" w:eastAsia="IRNazanin"/>
          <w:color w:val="111111"/>
          <w:sz w:val="28"/>
          <w:sz w:val="28"/>
          <w:szCs w:val="28"/>
          <w:rtl w:val="true"/>
          <w:lang w:bidi="fa-IR"/>
        </w:rPr>
        <w:t>آثار الإضافة، و مقررات تحقق ذلک الاعتبار، و هی السبب فی اختیار الله إیاها من بین الأراضی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عدّ المدینة المنورة حرماً إلهیاً محترماً، و جعل کل تلکم الحرمات الواردة فی السنة الشریفة لها و فی أهلها و تربتها و من حلّ بها و من دفن فیها، إنما هی لاعتبار ما فیها من الإضافة و النسبة الی الله تعالی، و کونها عاصمة عرش نبیه الأعظم صاحب الرسالة الخاتمة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الاعتبار و قانون الإضافة کما لا یخص بالشرع فحسب، بل هو أمر طبیعی أقرّ الإسلام الجری علیه، کذلک لا ینحصر هو بمفاضلة الأراضی، و إنما هو أصل مطرد فی باب المفاضلة فی مواضیعها العامة من الأنبیاء و الرسل، و الأوصیاء، و الأولیاء، و الصدیقین، و الشهداء، و أفراد المؤمنین و أصنافهم، الی کل ما یتصور له فضل علی غیره فی مقاییس الإسلام الثابتة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هذا الأصل هو محور دائرة الوجود، و به قوام کل شیء، و إلیه تنتهی الرغبات فی الاُمور، و منه تتولد الصلات و المحبات، و العلائق و الروابط</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فلنا أن 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دعا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یبکی علی ولده الحسین السبط، و یقیم کل تلکم المآتم و یأخذ تربة کربلاء و یشمّها و یقبّلها؟</w:t>
      </w:r>
    </w:p>
    <w:p>
      <w:pPr>
        <w:pStyle w:val="BookText"/>
        <w:rPr/>
      </w:pPr>
      <w:r>
        <w:rPr>
          <w:rFonts w:ascii="IRNazanin" w:hAnsi="IRNazanin" w:eastAsia="IRNazanin"/>
          <w:color w:val="111111"/>
          <w:sz w:val="28"/>
          <w:sz w:val="28"/>
          <w:szCs w:val="28"/>
          <w:rtl w:val="true"/>
          <w:lang w:bidi="fa-IR"/>
        </w:rPr>
        <w:t>و ما الذی جعل السیدة امّ سلمة امّ المؤمنین تصرّ تربة کربلاء علی ثیابها؟</w:t>
      </w:r>
    </w:p>
    <w:p>
      <w:pPr>
        <w:pStyle w:val="BookText"/>
        <w:rPr/>
      </w:pPr>
      <w:r>
        <w:rPr>
          <w:rFonts w:ascii="IRNazanin" w:hAnsi="IRNazanin" w:eastAsia="IRNazanin"/>
          <w:color w:val="111111"/>
          <w:sz w:val="28"/>
          <w:sz w:val="28"/>
          <w:szCs w:val="28"/>
          <w:rtl w:val="true"/>
          <w:lang w:bidi="fa-IR"/>
        </w:rPr>
        <w:t>و ما الذی سوّغ للصدیقة فاطمة أن تأخذ تربة قبر أبیها الطاهر و تشمّها؟</w:t>
      </w:r>
    </w:p>
    <w:p>
      <w:pPr>
        <w:pStyle w:val="BookText"/>
        <w:rPr/>
      </w:pPr>
      <w:r>
        <w:rPr>
          <w:rFonts w:ascii="IRNazanin" w:hAnsi="IRNazanin" w:eastAsia="IRNazanin"/>
          <w:color w:val="111111"/>
          <w:sz w:val="28"/>
          <w:sz w:val="28"/>
          <w:szCs w:val="28"/>
          <w:rtl w:val="true"/>
          <w:lang w:bidi="fa-IR"/>
        </w:rPr>
        <w:t xml:space="preserve">و ما الذی جعل علیّاً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 قبضة من تربة کربلاء لما حلّ بها، فیشمّها و یبکی حتی یبلّ الأرض بدموعه، و هو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یحشر من هذا الظهر سبعون ألفاً یدخلون الجنة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أخرجه الطبرانی و قد قال الهیثمی</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یتضح لدی الباحث النابه الحرّ سرّ فضیلة تربة کربلاء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مبلغ انتسابها الی الله سبحانه و تعالی، و مدی حرمتها و حرمة صاحبها دنواً و اقتراباً من العلی الأعلی، فما ظنّک بحرمة تربة هی مثوی قتیل الله، و قائد جنده الأکبر المتفانی دونه، هی مثوی حبیبه و ابن حبیبه، و الداعی إلیه، و الدال علیه، و الناهض له، و الباذل دون سبیله أهله و نفسه و نفیسه، و الواضع دم مهجته فی کفه إعلاءً لکلمته، و نشر توحیده، و تحکیم معالمه، و توطید طریقه و سبیله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لا یدیم ذکره فی أرضه و سمائه، و قد أخذت محبة</w:t>
      </w:r>
    </w:p>
    <w:p>
      <w:pPr>
        <w:pStyle w:val="BookText"/>
        <w:rPr/>
      </w:pPr>
      <w:r>
        <w:rPr>
          <w:rFonts w:ascii="IRNazanin" w:hAnsi="IRNazanin" w:eastAsia="IRNazanin"/>
          <w:color w:val="111111"/>
          <w:sz w:val="28"/>
          <w:sz w:val="28"/>
          <w:szCs w:val="28"/>
          <w:rtl w:val="true"/>
          <w:lang w:bidi="fa-IR"/>
        </w:rPr>
        <w:t>لله بمجامع قلبه؟</w:t>
      </w:r>
    </w:p>
    <w:p>
      <w:pPr>
        <w:pStyle w:val="BookText"/>
        <w:rPr/>
      </w:pPr>
      <w:r>
        <w:rPr>
          <w:rFonts w:ascii="IRNazanin" w:hAnsi="IRNazanin" w:eastAsia="IRNazanin"/>
          <w:color w:val="111111"/>
          <w:sz w:val="28"/>
          <w:sz w:val="28"/>
          <w:szCs w:val="28"/>
          <w:rtl w:val="true"/>
          <w:lang w:bidi="fa-IR"/>
        </w:rPr>
        <w:t>أ فلیست السجدة علی تربة هذا شأنها لدی التقرب الی الله فی أوقات الصلوات، أطراف اللیل و النهار، أولی و أحری من غیرها من کل أرض و صعید وقاعة و قرارة طاهرة، أو من البسط و الفرش و السجاد المنسوجة و لم یوجد فی السنة أی مسوغ للسجود علیها؟</w:t>
      </w:r>
    </w:p>
    <w:p>
      <w:pPr>
        <w:pStyle w:val="BookText"/>
        <w:rPr/>
      </w:pPr>
      <w:r>
        <w:rPr>
          <w:rFonts w:ascii="IRNazanin" w:hAnsi="IRNazanin" w:eastAsia="IRNazanin"/>
          <w:color w:val="111111"/>
          <w:sz w:val="28"/>
          <w:sz w:val="28"/>
          <w:szCs w:val="28"/>
          <w:rtl w:val="true"/>
          <w:lang w:bidi="fa-IR"/>
        </w:rPr>
        <w:t>أ لیس أجدر بالتقرب الی الله، و أقرب بالزلفی لدیه، و أنسب بالخضوع و الخشوع و العبودیة له تعالی أمام حضرته، وضع صفح الوجه و الجباه علی تربة فی طیّها دروس الدفاع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مظاهر قدسه، و مجلی التحامی عن ناموسه ناموس الإسلام المقدس؟</w:t>
      </w:r>
    </w:p>
    <w:p>
      <w:pPr>
        <w:pStyle w:val="BookText"/>
        <w:rPr/>
      </w:pPr>
      <w:r>
        <w:rPr>
          <w:rFonts w:ascii="IRNazanin" w:hAnsi="IRNazanin" w:eastAsia="IRNazanin"/>
          <w:color w:val="111111"/>
          <w:sz w:val="28"/>
          <w:sz w:val="28"/>
          <w:szCs w:val="28"/>
          <w:rtl w:val="true"/>
          <w:lang w:bidi="fa-IR"/>
        </w:rPr>
        <w:t>أ لیس ألیق بأسرار السجدة علی الأرض السجود علی تربة فیها سرّ المنعة و العظمة و الکبریاء و الجلال لله جلّ و علا، و رموز العبودیة و التصاغر دون الله بأجلی مظاهرها و سماتها؟</w:t>
      </w:r>
    </w:p>
    <w:p>
      <w:pPr>
        <w:pStyle w:val="BookText"/>
        <w:rPr/>
      </w:pPr>
      <w:r>
        <w:rPr>
          <w:rFonts w:ascii="IRNazanin" w:hAnsi="IRNazanin" w:eastAsia="IRNazanin"/>
          <w:color w:val="111111"/>
          <w:sz w:val="28"/>
          <w:sz w:val="28"/>
          <w:szCs w:val="28"/>
          <w:rtl w:val="true"/>
          <w:lang w:bidi="fa-IR"/>
        </w:rPr>
        <w:t>أ لیست أحق بالسجود علیها تربة فیها بینات التوحید و التفانی دونه؟ تدعو الی رقة القلب، و رحمة الضمیر و الشفقة و التعطف</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لیس الأمثل و الأفضل اتخاذ المسجد من تربة تفجرت</w:t>
      </w:r>
    </w:p>
    <w:p>
      <w:pPr>
        <w:pStyle w:val="BookText"/>
        <w:rPr/>
      </w:pPr>
      <w:r>
        <w:rPr>
          <w:rFonts w:ascii="IRNazanin" w:hAnsi="IRNazanin" w:eastAsia="IRNazanin"/>
          <w:color w:val="111111"/>
          <w:sz w:val="28"/>
          <w:sz w:val="28"/>
          <w:szCs w:val="28"/>
          <w:rtl w:val="true"/>
          <w:lang w:bidi="fa-IR"/>
        </w:rPr>
        <w:t>فی صفیحها عیون دماء اصطبغت بصبغة حب الله، و صبغت علی سنة الله و ولائه المحض الخالص؟</w:t>
      </w:r>
    </w:p>
    <w:p>
      <w:pPr>
        <w:pStyle w:val="BookText"/>
        <w:rPr/>
      </w:pPr>
      <w:r>
        <w:rPr>
          <w:rFonts w:ascii="IRNazanin" w:hAnsi="IRNazanin" w:eastAsia="IRNazanin"/>
          <w:color w:val="111111"/>
          <w:sz w:val="28"/>
          <w:sz w:val="28"/>
          <w:szCs w:val="28"/>
          <w:rtl w:val="true"/>
          <w:lang w:bidi="fa-IR"/>
        </w:rPr>
        <w:t>و لیس اتخاذ تربة کربلاء مسجداً لدی الشیعة من الفرض المحتم، و لا من واجب الشرع و الدین، و لا مما ألزمه المذهب، و لا یفرّق أی أحد منهم منذ أول یومها بینها و بین غیرها من تراب جمیع الأرض فی جواز السجود علیها، خلاف ما یزعمه الجاهل بهم و بآرائهم، و إن هو عندهم إلا استحسان عقلی لیس إلاّ، و اختیار لما هو الأولی بالسجود علیه لدی العقل و المنطق و الاعتبار فحسب کما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کثیر من رجال المذهب یتخذون معهم فی أسفارهم غیر تربة کربلاء مما یصح السجود علیه کحصیر طاهر نظیف یوثق بطهارته أو خمرة مثله و یسجدون علیه فی صلواتهم</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مضافاً الی ذلک کلّه ما ورد عن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الاهتمام بهذه التربة الطیّبة الزاکیة فی النصوص الصحیحة الکثیرة فی التبرک بها و تقبیلها و تفضیل السجود علیها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لم تقتصر التربة الحسینیّة من حیث المفاضلات وحدها، بل اتّخذت رمزاً آخراً لقضیة کبیرة فی الإسلام ذات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أبعاد عقائدیة و تربویة تستمد قیمتها من نهضة الإمام الحسین و خلودها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صحیح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صحیح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صحیح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الحاکم فی المستدرک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صححه هو و الذهبی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البیهقی فی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اخرجه البزار و الطبرانی راجع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باب مسح الجبهة فی الصلاة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السنن الکبری للبیهقی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نیل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الطبرانی فی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355/9</w:t>
      </w:r>
      <w:r>
        <w:rPr>
          <w:rFonts w:ascii="IRNazanin" w:hAnsi="IRNazanin" w:eastAsia="IRNazanin"/>
          <w:b w:val="false"/>
          <w:b w:val="false"/>
          <w:bCs w:val="false"/>
          <w:i w:val="false"/>
          <w:i w:val="false"/>
          <w:iCs w:val="false"/>
          <w:color w:val="333333"/>
          <w:sz w:val="20"/>
          <w:sz w:val="20"/>
          <w:szCs w:val="20"/>
          <w:rtl w:val="true"/>
        </w:rPr>
        <w:t>، و عنه فی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الطبرانی فی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355/9</w:t>
      </w:r>
      <w:r>
        <w:rPr>
          <w:rFonts w:ascii="IRNazanin" w:hAnsi="IRNazanin" w:eastAsia="IRNazanin"/>
          <w:b w:val="false"/>
          <w:b w:val="false"/>
          <w:bCs w:val="false"/>
          <w:i w:val="false"/>
          <w:i w:val="false"/>
          <w:iCs w:val="false"/>
          <w:color w:val="333333"/>
          <w:sz w:val="20"/>
          <w:sz w:val="20"/>
          <w:szCs w:val="20"/>
          <w:rtl w:val="true"/>
        </w:rPr>
        <w:t>، و عنه فی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نصب الرایة للزیلعی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البخاری فی صحیحه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و فی صحیح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لفظ ابن ماجة فی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 بعض عمومتی للنبی طعاماً فقال للنبی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إنی احب أن تأکل فی بیتی و تصلی فیه،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فأتاه و فی البیت فحلٌ من هذه الفحول فأمر بناحیة منه فکنس و رشّ فصلّی و صلینا معه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یقیل قیلولة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فی القائلة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منتصف النهار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احسن الناس خلقاً فربما تحضره الصلاة و هو فی بیتنا فیأمر بالبساط الذی تحته فیکنس ثمّ ینضح ثمّ یقوم فنقوم خلفه فیصلی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بساطهم من جرید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أیضاً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بیتاً فیه فحل فکسح ناحیة منه و رشّ فصلی علیه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الترمذی فی الصحیح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نضح بساط لنا فصلی علیه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الامام ابن العربی المالکی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الخمرة حصیرة الصلاة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 أخرجه ابن ماجة فی 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و الترمذی فی جامعه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یسجد علیه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821/2</w:t>
      </w:r>
      <w:r>
        <w:rPr>
          <w:rFonts w:ascii="IRNazanin" w:hAnsi="IRNazanin" w:eastAsia="IRNazanin"/>
          <w:b w:val="false"/>
          <w:b w:val="false"/>
          <w:bCs w:val="false"/>
          <w:i w:val="false"/>
          <w:i w:val="false"/>
          <w:iCs w:val="false"/>
          <w:color w:val="333333"/>
          <w:sz w:val="20"/>
          <w:sz w:val="20"/>
          <w:szCs w:val="20"/>
          <w:rtl w:val="true"/>
        </w:rPr>
        <w:t xml:space="preserve">، ابن ماجة </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البیهقی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الطبرانی فی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348/8</w:t>
      </w:r>
      <w:r>
        <w:rPr>
          <w:rFonts w:ascii="IRNazanin" w:hAnsi="IRNazanin" w:eastAsia="IRNazanin"/>
          <w:b w:val="false"/>
          <w:b w:val="false"/>
          <w:bCs w:val="false"/>
          <w:i w:val="false"/>
          <w:i w:val="false"/>
          <w:iCs w:val="false"/>
          <w:color w:val="333333"/>
          <w:sz w:val="20"/>
          <w:sz w:val="20"/>
          <w:szCs w:val="20"/>
          <w:rtl w:val="true"/>
        </w:rPr>
        <w:t>، و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یعلی، و الطبرانی فی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288/6</w:t>
      </w:r>
      <w:r>
        <w:rPr>
          <w:rFonts w:ascii="IRNazanin" w:hAnsi="IRNazanin" w:eastAsia="IRNazanin"/>
          <w:b w:val="false"/>
          <w:b w:val="false"/>
          <w:bCs w:val="false"/>
          <w:i w:val="false"/>
          <w:i w:val="false"/>
          <w:iCs w:val="false"/>
          <w:color w:val="333333"/>
          <w:sz w:val="20"/>
          <w:sz w:val="20"/>
          <w:szCs w:val="20"/>
          <w:rtl w:val="true"/>
        </w:rPr>
        <w:t>، و رجال أبی یعلی رجال الصحیح، و عن ام حبیبة مثله صحیحاً کما فی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الطبرانی فی الأوسط و الصغیر بأسانید بعضها صحیح، رجاله ثقات کما فی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لفظ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یقدر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901/2</w:t>
      </w:r>
      <w:r>
        <w:rPr>
          <w:rFonts w:ascii="IRNazanin" w:hAnsi="IRNazanin" w:eastAsia="IRNazanin"/>
          <w:b w:val="false"/>
          <w:b w:val="false"/>
          <w:bCs w:val="false"/>
          <w:i w:val="false"/>
          <w:i w:val="false"/>
          <w:iCs w:val="false"/>
          <w:color w:val="333333"/>
          <w:sz w:val="20"/>
          <w:sz w:val="20"/>
          <w:szCs w:val="20"/>
          <w:rtl w:val="true"/>
        </w:rPr>
        <w:t>،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أبو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سنن الدارمی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نیل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یعلی، و الطبرانی فی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باب السجود علی الثوب فی شدة الحر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ابو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601/1</w:t>
      </w:r>
      <w:r>
        <w:rPr>
          <w:rFonts w:ascii="IRNazanin" w:hAnsi="IRNazanin" w:eastAsia="IRNazanin"/>
          <w:b w:val="false"/>
          <w:b w:val="false"/>
          <w:bCs w:val="false"/>
          <w:i w:val="false"/>
          <w:i w:val="false"/>
          <w:iCs w:val="false"/>
          <w:color w:val="333333"/>
          <w:sz w:val="20"/>
          <w:sz w:val="20"/>
          <w:szCs w:val="20"/>
          <w:rtl w:val="true"/>
        </w:rPr>
        <w:t>، و البیهقی فی 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المذکور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سیرتنا و سنتنا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سیرة نبیّنا و سنّته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المتقی الهندی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19810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19776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19777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المتقی 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465/7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19810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هی الشیعة، باقر شریف القرشی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814/7</w:t>
      </w:r>
      <w:r>
        <w:rPr>
          <w:rFonts w:ascii="IRNazanin" w:hAnsi="IRNazanin" w:eastAsia="IRNazanin"/>
          <w:b w:val="false"/>
          <w:b w:val="false"/>
          <w:bCs w:val="false"/>
          <w:i w:val="false"/>
          <w:i w:val="false"/>
          <w:iCs w:val="false"/>
          <w:color w:val="333333"/>
          <w:sz w:val="20"/>
          <w:sz w:val="20"/>
          <w:szCs w:val="20"/>
          <w:rtl w:val="true"/>
        </w:rPr>
        <w:t xml:space="preserve">، حدیث امّ سلمة، ح </w:t>
      </w:r>
      <w:r>
        <w:rPr>
          <w:rFonts w:eastAsia="IRNazanin" w:cs="IRNazanin"/>
          <w:b w:val="false"/>
          <w:bCs w:val="false"/>
          <w:i w:val="false"/>
          <w:iCs w:val="false"/>
          <w:color w:val="333333"/>
          <w:sz w:val="20"/>
          <w:szCs w:val="20"/>
        </w:rPr>
        <w:t>25985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981185/9</w:t>
      </w:r>
      <w:r>
        <w:rPr>
          <w:rFonts w:ascii="IRNazanin" w:hAnsi="IRNazanin" w:eastAsia="IRNazanin"/>
          <w:b w:val="false"/>
          <w:b w:val="false"/>
          <w:bCs w:val="false"/>
          <w:i w:val="false"/>
          <w:i w:val="false"/>
          <w:iCs w:val="false"/>
          <w:color w:val="333333"/>
          <w:sz w:val="20"/>
          <w:sz w:val="20"/>
          <w:szCs w:val="20"/>
          <w:rtl w:val="true"/>
        </w:rPr>
        <w:t xml:space="preserve">، باب مناقب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استحباب السجود علی تربة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4056</w:t>
      </w:r>
      <w:r>
        <w:rPr>
          <w:rFonts w:ascii="IRNazanin" w:hAnsi="IRNazanin" w:eastAsia="IRNazanin"/>
          <w:b w:val="false"/>
          <w:b w:val="false"/>
          <w:bCs w:val="false"/>
          <w:i w:val="false"/>
          <w:i w:val="false"/>
          <w:iCs w:val="false"/>
          <w:color w:val="333333"/>
          <w:sz w:val="20"/>
          <w:sz w:val="20"/>
          <w:szCs w:val="20"/>
          <w:rtl w:val="true"/>
        </w:rPr>
        <w:t>، نقلاً عن المزار الکبیر للمشهدی، 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تفصیل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اتخاذ سبحة من طین قبر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8427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398/4</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398/4</w:t>
      </w:r>
      <w:r>
        <w:rPr>
          <w:rFonts w:ascii="IRNazanin" w:hAnsi="IRNazanin" w:eastAsia="IRNazanin"/>
          <w:b w:val="false"/>
          <w:b w:val="false"/>
          <w:bCs w:val="false"/>
          <w:i w:val="false"/>
          <w:i w:val="false"/>
          <w:iCs w:val="false"/>
          <w:color w:val="333333"/>
          <w:sz w:val="20"/>
          <w:sz w:val="20"/>
          <w:szCs w:val="20"/>
          <w:rtl w:val="true"/>
        </w:rPr>
        <w:t>، کتاب تعبیر الرؤیا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187/9</w:t>
      </w:r>
      <w:r>
        <w:rPr>
          <w:rFonts w:ascii="IRNazanin" w:hAnsi="IRNazanin" w:eastAsia="IRNazanin"/>
          <w:b w:val="false"/>
          <w:b w:val="false"/>
          <w:bCs w:val="false"/>
          <w:i w:val="false"/>
          <w:i w:val="false"/>
          <w:iCs w:val="false"/>
          <w:color w:val="333333"/>
          <w:sz w:val="20"/>
          <w:sz w:val="20"/>
          <w:szCs w:val="20"/>
          <w:rtl w:val="true"/>
        </w:rPr>
        <w:t>، و فی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أن النبی أخذ التربة التی جاء بها جبرئیل فجعل یشمّها و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ویح کرب و بلاء</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فی باب ترجمة الإمام الحسین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و مسانید و سنن اخری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اخری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مسروق بن الأجدع عبد الرحمن بن مالک الهمدانی أبو عائشة المتوفی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تابعی عظیم من رجال الصحاح الست، یروی عن أبی بکر، و عمر، و عثمان، و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فقهیاً عابداً ثقة صالحاً، کان فی أصحاب ابن مسعود الذین کانوا یعلمون الناس السنّة، و قال حین حضره الموت کما جاء فی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لا أموت علی أمر لم یسنه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الحسین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سیرتنا و سنتنا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image" Target="media/image2.jpeg"/><Relationship Id="rId38" Type="http://schemas.openxmlformats.org/officeDocument/2006/relationships/image" Target="media/image2.jpeg"/><Relationship Id="rId39" Type="http://schemas.openxmlformats.org/officeDocument/2006/relationships/footer" Target="footer32.xml"/><Relationship Id="rId40" Type="http://schemas.openxmlformats.org/officeDocument/2006/relationships/footnotes" Target="footnotes.xml"/><Relationship Id="rId41" Type="http://schemas.openxmlformats.org/officeDocument/2006/relationships/numbering" Target="numbering.xml"/><Relationship Id="rId42" Type="http://schemas.openxmlformats.org/officeDocument/2006/relationships/fontTable" Target="fontTable.xml"/><Relationship Id="rId43" Type="http://schemas.openxmlformats.org/officeDocument/2006/relationships/settings" Target="settings.xml"/><Relationship Id="rId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Pages>
  <Words>5326</Words>
  <Characters>21615</Characters>
  <CharactersWithSpaces>26726</CharactersWithSpaces>
  <Paragraphs>286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2026-08-18T23:51:50Z</dcterms:created>
  <dc:creator>ghaemiyeh.com</dc:creator>
  <dc:description/>
  <dc:language>en-US</dc:language>
  <cp:lastModifiedBy/>
  <dcterms:modified xsi:type="dcterms:W3CDTF">2026-08-19T03:21:51Z</dcterms:modified>
  <cp:revision>1</cp:revision>
  <dc:subject/>
  <dc:title>السجود علی التربه الحسینیه</dc:title>
</cp:coreProperties>
</file>

<file path=docProps/custom.xml><?xml version="1.0" encoding="utf-8"?>
<Properties xmlns="http://schemas.openxmlformats.org/officeDocument/2006/custom-properties" xmlns:vt="http://schemas.openxmlformats.org/officeDocument/2006/docPropsVTypes"/>
</file>