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19.png" ContentType="image/png"/>
  <Override PartName="/word/media/image1.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الحسین الوسیط دراسة تحلیلیة بنیویة لواقعة کربلاء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9794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59796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59798_774463916">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259800_774463916">
            <w:r>
              <w:rPr>
                <w:webHidden/>
                <w:rStyle w:val="IndexLink"/>
                <w:rtl w:val="true"/>
              </w:rPr>
              <w:t>مقدّمة المؤسسة</w:t>
            </w:r>
            <w:r>
              <w:rPr>
                <w:rStyle w:val="IndexLink"/>
                <w:rtl w:val="true"/>
              </w:rPr>
              <w:tab/>
            </w:r>
            <w:r>
              <w:rPr>
                <w:rStyle w:val="IndexLink"/>
              </w:rPr>
              <w:t>12</w:t>
            </w:r>
          </w:hyperlink>
        </w:p>
        <w:p>
          <w:pPr>
            <w:pStyle w:val="Contents2"/>
            <w:tabs>
              <w:tab w:val="clear" w:pos="8743"/>
              <w:tab w:val="right" w:pos="9026" w:leader="dot"/>
            </w:tabs>
            <w:rPr/>
          </w:pPr>
          <w:hyperlink w:anchor="__RefHeading___Toc1259802_774463916">
            <w:r>
              <w:rPr>
                <w:webHidden/>
                <w:rStyle w:val="IndexLink"/>
                <w:rtl w:val="true"/>
              </w:rPr>
              <w:t>المشاریع العلمیة فی المؤسسة</w:t>
            </w:r>
            <w:r>
              <w:rPr>
                <w:rStyle w:val="IndexLink"/>
                <w:rtl w:val="true"/>
              </w:rPr>
              <w:tab/>
            </w:r>
            <w:r>
              <w:rPr>
                <w:rStyle w:val="IndexLink"/>
              </w:rPr>
              <w:t>16</w:t>
            </w:r>
          </w:hyperlink>
        </w:p>
        <w:p>
          <w:pPr>
            <w:pStyle w:val="Contents3"/>
            <w:tabs>
              <w:tab w:val="clear" w:pos="8459"/>
              <w:tab w:val="right" w:pos="9026" w:leader="dot"/>
            </w:tabs>
            <w:rPr/>
          </w:pPr>
          <w:hyperlink w:anchor="__RefHeading___Toc1259804_774463916">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259806_774463916">
            <w:r>
              <w:rPr>
                <w:webHidden/>
                <w:rStyle w:val="IndexLink"/>
                <w:rtl w:val="true"/>
              </w:rPr>
              <w:t>الأوّل</w:t>
            </w:r>
            <w:r>
              <w:rPr>
                <w:rStyle w:val="IndexLink"/>
                <w:rtl w:val="true"/>
              </w:rPr>
              <w:t xml:space="preserve">: </w:t>
            </w:r>
            <w:r>
              <w:rPr>
                <w:rStyle w:val="IndexLink"/>
                <w:rtl w:val="true"/>
              </w:rPr>
              <w:t>قسم التألیف والتحقیق</w:t>
            </w:r>
            <w:r>
              <w:rPr>
                <w:rStyle w:val="IndexLink"/>
                <w:rtl w:val="true"/>
              </w:rPr>
              <w:tab/>
            </w:r>
            <w:r>
              <w:rPr>
                <w:rStyle w:val="IndexLink"/>
              </w:rPr>
              <w:t>16</w:t>
            </w:r>
          </w:hyperlink>
        </w:p>
        <w:p>
          <w:pPr>
            <w:pStyle w:val="Contents4"/>
            <w:tabs>
              <w:tab w:val="clear" w:pos="8176"/>
              <w:tab w:val="right" w:pos="9026" w:leader="dot"/>
            </w:tabs>
            <w:rPr/>
          </w:pPr>
          <w:hyperlink w:anchor="__RefHeading___Toc1259808_774463916">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259810_774463916">
            <w:r>
              <w:rPr>
                <w:webHidden/>
                <w:rStyle w:val="IndexLink"/>
                <w:rtl w:val="true"/>
              </w:rPr>
              <w:t xml:space="preserve">أ </w:t>
            </w:r>
            <w:r>
              <w:rPr>
                <w:rStyle w:val="IndexLink"/>
                <w:rtl w:val="true"/>
              </w:rPr>
              <w:t xml:space="preserve">- </w:t>
            </w:r>
            <w:r>
              <w:rPr>
                <w:rStyle w:val="IndexLink"/>
                <w:rtl w:val="true"/>
              </w:rPr>
              <w:t>التألیف</w:t>
            </w:r>
            <w:r>
              <w:rPr>
                <w:rStyle w:val="IndexLink"/>
                <w:rtl w:val="true"/>
              </w:rPr>
              <w:tab/>
            </w:r>
            <w:r>
              <w:rPr>
                <w:rStyle w:val="IndexLink"/>
              </w:rPr>
              <w:t>16</w:t>
            </w:r>
          </w:hyperlink>
        </w:p>
        <w:p>
          <w:pPr>
            <w:pStyle w:val="Contents4"/>
            <w:tabs>
              <w:tab w:val="clear" w:pos="8176"/>
              <w:tab w:val="right" w:pos="9026" w:leader="dot"/>
            </w:tabs>
            <w:rPr/>
          </w:pPr>
          <w:hyperlink w:anchor="__RefHeading___Toc1259812_774463916">
            <w:r>
              <w:rPr>
                <w:webHidden/>
                <w:rStyle w:val="IndexLink"/>
                <w:rtl w:val="true"/>
              </w:rPr>
              <w:t xml:space="preserve">ب </w:t>
            </w:r>
            <w:r>
              <w:rPr>
                <w:rStyle w:val="IndexLink"/>
                <w:rtl w:val="true"/>
              </w:rPr>
              <w:t xml:space="preserve">- </w:t>
            </w:r>
            <w:r>
              <w:rPr>
                <w:rStyle w:val="IndexLink"/>
                <w:rtl w:val="true"/>
              </w:rPr>
              <w:t>التحقیق</w:t>
            </w:r>
            <w:r>
              <w:rPr>
                <w:rStyle w:val="IndexLink"/>
                <w:rtl w:val="true"/>
              </w:rPr>
              <w:tab/>
            </w:r>
            <w:r>
              <w:rPr>
                <w:rStyle w:val="IndexLink"/>
              </w:rPr>
              <w:t>17</w:t>
            </w:r>
          </w:hyperlink>
        </w:p>
        <w:p>
          <w:pPr>
            <w:pStyle w:val="Contents3"/>
            <w:tabs>
              <w:tab w:val="clear" w:pos="8459"/>
              <w:tab w:val="right" w:pos="9026" w:leader="dot"/>
            </w:tabs>
            <w:rPr/>
          </w:pPr>
          <w:hyperlink w:anchor="__RefHeading___Toc1259814_774463916">
            <w:r>
              <w:rPr>
                <w:webHidden/>
                <w:rStyle w:val="IndexLink"/>
                <w:rtl w:val="true"/>
              </w:rPr>
              <w:t>الثانی</w:t>
            </w:r>
            <w:r>
              <w:rPr>
                <w:rStyle w:val="IndexLink"/>
                <w:rtl w:val="true"/>
              </w:rPr>
              <w:t xml:space="preserve">: </w:t>
            </w:r>
            <w:r>
              <w:rPr>
                <w:rStyle w:val="IndexLink"/>
                <w:rtl w:val="true"/>
              </w:rPr>
              <w:t>مجلّة الإصلاح الحسینی</w:t>
            </w:r>
            <w:r>
              <w:rPr>
                <w:rStyle w:val="IndexLink"/>
                <w:rtl w:val="true"/>
              </w:rPr>
              <w:tab/>
            </w:r>
            <w:r>
              <w:rPr>
                <w:rStyle w:val="IndexLink"/>
              </w:rPr>
              <w:t>17</w:t>
            </w:r>
          </w:hyperlink>
        </w:p>
        <w:p>
          <w:pPr>
            <w:pStyle w:val="Contents3"/>
            <w:tabs>
              <w:tab w:val="clear" w:pos="8459"/>
              <w:tab w:val="right" w:pos="9026" w:leader="dot"/>
            </w:tabs>
            <w:rPr/>
          </w:pPr>
          <w:hyperlink w:anchor="__RefHeading___Toc1259816_774463916">
            <w:r>
              <w:rPr>
                <w:webHidden/>
                <w:rStyle w:val="IndexLink"/>
                <w:rtl w:val="true"/>
              </w:rPr>
              <w:t>الثالث</w:t>
            </w:r>
            <w:r>
              <w:rPr>
                <w:rStyle w:val="IndexLink"/>
                <w:rtl w:val="true"/>
              </w:rPr>
              <w:t xml:space="preserve">: </w:t>
            </w:r>
            <w:r>
              <w:rPr>
                <w:rStyle w:val="IndexLink"/>
                <w:rtl w:val="true"/>
              </w:rPr>
              <w:t>قسم ردّ الشُّبُهات عن النهضة الحسینیة</w:t>
            </w:r>
            <w:r>
              <w:rPr>
                <w:rStyle w:val="IndexLink"/>
                <w:rtl w:val="true"/>
              </w:rPr>
              <w:tab/>
            </w:r>
            <w:r>
              <w:rPr>
                <w:rStyle w:val="IndexLink"/>
              </w:rPr>
              <w:t>17</w:t>
            </w:r>
          </w:hyperlink>
        </w:p>
        <w:p>
          <w:pPr>
            <w:pStyle w:val="Contents3"/>
            <w:tabs>
              <w:tab w:val="clear" w:pos="8459"/>
              <w:tab w:val="right" w:pos="9026" w:leader="dot"/>
            </w:tabs>
            <w:rPr/>
          </w:pPr>
          <w:hyperlink w:anchor="__RefHeading___Toc1259818_774463916">
            <w:r>
              <w:rPr>
                <w:webHidden/>
                <w:rStyle w:val="IndexLink"/>
                <w:rtl w:val="true"/>
              </w:rPr>
              <w:t>الرابع</w:t>
            </w:r>
            <w:r>
              <w:rPr>
                <w:rStyle w:val="IndexLink"/>
                <w:rtl w:val="true"/>
              </w:rPr>
              <w:t xml:space="preserve">: </w:t>
            </w:r>
            <w:r>
              <w:rPr>
                <w:rStyle w:val="IndexLink"/>
                <w:rtl w:val="true"/>
              </w:rPr>
              <w:t>الموسوعة العلمیة من کلمات الإمام الحسین</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1259820_774463916">
            <w:r>
              <w:rPr>
                <w:webHidden/>
                <w:rStyle w:val="IndexLink"/>
                <w:rtl w:val="true"/>
              </w:rPr>
              <w:t>الخامس</w:t>
            </w:r>
            <w:r>
              <w:rPr>
                <w:rStyle w:val="IndexLink"/>
                <w:rtl w:val="true"/>
              </w:rPr>
              <w:t xml:space="preserve">: </w:t>
            </w:r>
            <w:r>
              <w:rPr>
                <w:rStyle w:val="IndexLink"/>
                <w:rtl w:val="true"/>
              </w:rPr>
              <w:t>قسم دائرة معارف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أو </w:t>
            </w:r>
            <w:r>
              <w:rPr>
                <w:rStyle w:val="IndexLink"/>
                <w:rtl w:val="true"/>
              </w:rPr>
              <w:t>(</w:t>
            </w:r>
            <w:r>
              <w:rPr>
                <w:rStyle w:val="IndexLink"/>
                <w:rtl w:val="true"/>
              </w:rPr>
              <w:t>الموسوعة الألفبائیة الحسینیة</w:t>
            </w:r>
            <w:r>
              <w:rPr>
                <w:rStyle w:val="IndexLink"/>
                <w:rtl w:val="true"/>
              </w:rPr>
              <w:t>)</w:t>
              <w:tab/>
            </w:r>
            <w:r>
              <w:rPr>
                <w:rStyle w:val="IndexLink"/>
              </w:rPr>
              <w:t>18</w:t>
            </w:r>
          </w:hyperlink>
        </w:p>
        <w:p>
          <w:pPr>
            <w:pStyle w:val="Contents3"/>
            <w:tabs>
              <w:tab w:val="clear" w:pos="8459"/>
              <w:tab w:val="right" w:pos="9026" w:leader="dot"/>
            </w:tabs>
            <w:rPr/>
          </w:pPr>
          <w:hyperlink w:anchor="__RefHeading___Toc1259822_774463916">
            <w:r>
              <w:rPr>
                <w:webHidden/>
                <w:rStyle w:val="IndexLink"/>
                <w:rtl w:val="true"/>
              </w:rPr>
              <w:t>السادس</w:t>
            </w:r>
            <w:r>
              <w:rPr>
                <w:rStyle w:val="IndexLink"/>
                <w:rtl w:val="true"/>
              </w:rPr>
              <w:t xml:space="preserve">: </w:t>
            </w:r>
            <w:r>
              <w:rPr>
                <w:rStyle w:val="IndexLink"/>
                <w:rtl w:val="true"/>
              </w:rPr>
              <w:t>قسم الرسائل والأطاریح الجامعیة</w:t>
            </w:r>
            <w:r>
              <w:rPr>
                <w:rStyle w:val="IndexLink"/>
                <w:rtl w:val="true"/>
              </w:rPr>
              <w:tab/>
            </w:r>
            <w:r>
              <w:rPr>
                <w:rStyle w:val="IndexLink"/>
              </w:rPr>
              <w:t>18</w:t>
            </w:r>
          </w:hyperlink>
        </w:p>
        <w:p>
          <w:pPr>
            <w:pStyle w:val="Contents3"/>
            <w:tabs>
              <w:tab w:val="clear" w:pos="8459"/>
              <w:tab w:val="right" w:pos="9026" w:leader="dot"/>
            </w:tabs>
            <w:rPr/>
          </w:pPr>
          <w:hyperlink w:anchor="__RefHeading___Toc1259824_774463916">
            <w:r>
              <w:rPr>
                <w:webHidden/>
                <w:rStyle w:val="IndexLink"/>
                <w:rtl w:val="true"/>
              </w:rPr>
              <w:t>السابع</w:t>
            </w:r>
            <w:r>
              <w:rPr>
                <w:rStyle w:val="IndexLink"/>
                <w:rtl w:val="true"/>
              </w:rPr>
              <w:t xml:space="preserve">: </w:t>
            </w:r>
            <w:r>
              <w:rPr>
                <w:rStyle w:val="IndexLink"/>
                <w:rtl w:val="true"/>
              </w:rPr>
              <w:t>قسم الترجمة</w:t>
            </w:r>
            <w:r>
              <w:rPr>
                <w:rStyle w:val="IndexLink"/>
                <w:rtl w:val="true"/>
              </w:rPr>
              <w:tab/>
            </w:r>
            <w:r>
              <w:rPr>
                <w:rStyle w:val="IndexLink"/>
              </w:rPr>
              <w:t>18</w:t>
            </w:r>
          </w:hyperlink>
        </w:p>
        <w:p>
          <w:pPr>
            <w:pStyle w:val="Contents3"/>
            <w:tabs>
              <w:tab w:val="clear" w:pos="8459"/>
              <w:tab w:val="right" w:pos="9026" w:leader="dot"/>
            </w:tabs>
            <w:rPr/>
          </w:pPr>
          <w:hyperlink w:anchor="__RefHeading___Toc1259826_774463916">
            <w:r>
              <w:rPr>
                <w:webHidden/>
                <w:rStyle w:val="IndexLink"/>
                <w:rtl w:val="true"/>
              </w:rPr>
              <w:t>الثامن</w:t>
            </w:r>
            <w:r>
              <w:rPr>
                <w:rStyle w:val="IndexLink"/>
                <w:rtl w:val="true"/>
              </w:rPr>
              <w:t xml:space="preserve">: </w:t>
            </w:r>
            <w:r>
              <w:rPr>
                <w:rStyle w:val="IndexLink"/>
                <w:rtl w:val="true"/>
              </w:rPr>
              <w:t>قسم الرَّصَد والإحصاء</w:t>
            </w:r>
            <w:r>
              <w:rPr>
                <w:rStyle w:val="IndexLink"/>
                <w:rtl w:val="true"/>
              </w:rPr>
              <w:tab/>
            </w:r>
            <w:r>
              <w:rPr>
                <w:rStyle w:val="IndexLink"/>
              </w:rPr>
              <w:t>19</w:t>
            </w:r>
          </w:hyperlink>
        </w:p>
        <w:p>
          <w:pPr>
            <w:pStyle w:val="Contents3"/>
            <w:tabs>
              <w:tab w:val="clear" w:pos="8459"/>
              <w:tab w:val="right" w:pos="9026" w:leader="dot"/>
            </w:tabs>
            <w:rPr/>
          </w:pPr>
          <w:hyperlink w:anchor="__RefHeading___Toc1259828_774463916">
            <w:r>
              <w:rPr>
                <w:webHidden/>
                <w:rStyle w:val="IndexLink"/>
                <w:rtl w:val="true"/>
              </w:rPr>
              <w:t>التاسع</w:t>
            </w:r>
            <w:r>
              <w:rPr>
                <w:rStyle w:val="IndexLink"/>
                <w:rtl w:val="true"/>
              </w:rPr>
              <w:t xml:space="preserve">: </w:t>
            </w:r>
            <w:r>
              <w:rPr>
                <w:rStyle w:val="IndexLink"/>
                <w:rtl w:val="true"/>
              </w:rPr>
              <w:t>قسم المؤتمرات والندوات العلمیة</w:t>
            </w:r>
            <w:r>
              <w:rPr>
                <w:rStyle w:val="IndexLink"/>
                <w:rtl w:val="true"/>
              </w:rPr>
              <w:tab/>
            </w:r>
            <w:r>
              <w:rPr>
                <w:rStyle w:val="IndexLink"/>
              </w:rPr>
              <w:t>19</w:t>
            </w:r>
          </w:hyperlink>
        </w:p>
        <w:p>
          <w:pPr>
            <w:pStyle w:val="Contents3"/>
            <w:tabs>
              <w:tab w:val="clear" w:pos="8459"/>
              <w:tab w:val="right" w:pos="9026" w:leader="dot"/>
            </w:tabs>
            <w:rPr/>
          </w:pPr>
          <w:hyperlink w:anchor="__RefHeading___Toc1259830_774463916">
            <w:r>
              <w:rPr>
                <w:webHidden/>
                <w:rStyle w:val="IndexLink"/>
                <w:rtl w:val="true"/>
              </w:rPr>
              <w:t>العاشر</w:t>
            </w:r>
            <w:r>
              <w:rPr>
                <w:rStyle w:val="IndexLink"/>
                <w:rtl w:val="true"/>
              </w:rPr>
              <w:t xml:space="preserve">: </w:t>
            </w:r>
            <w:r>
              <w:rPr>
                <w:rStyle w:val="IndexLink"/>
                <w:rtl w:val="true"/>
              </w:rPr>
              <w:t>قسم المکتبة الحسینیة التخصصیة</w:t>
            </w:r>
            <w:r>
              <w:rPr>
                <w:rStyle w:val="IndexLink"/>
                <w:rtl w:val="true"/>
              </w:rPr>
              <w:tab/>
            </w:r>
            <w:r>
              <w:rPr>
                <w:rStyle w:val="IndexLink"/>
              </w:rPr>
              <w:t>19</w:t>
            </w:r>
          </w:hyperlink>
        </w:p>
        <w:p>
          <w:pPr>
            <w:pStyle w:val="Contents3"/>
            <w:tabs>
              <w:tab w:val="clear" w:pos="8459"/>
              <w:tab w:val="right" w:pos="9026" w:leader="dot"/>
            </w:tabs>
            <w:rPr/>
          </w:pPr>
          <w:hyperlink w:anchor="__RefHeading___Toc1259832_774463916">
            <w:r>
              <w:rPr>
                <w:webHidden/>
                <w:rStyle w:val="IndexLink"/>
                <w:rtl w:val="true"/>
              </w:rPr>
              <w:t>الحادی عشر</w:t>
            </w:r>
            <w:r>
              <w:rPr>
                <w:rStyle w:val="IndexLink"/>
                <w:rtl w:val="true"/>
              </w:rPr>
              <w:t xml:space="preserve">: </w:t>
            </w:r>
            <w:r>
              <w:rPr>
                <w:rStyle w:val="IndexLink"/>
                <w:rtl w:val="true"/>
              </w:rPr>
              <w:t>قسم الموقع الإلکترونی</w:t>
            </w:r>
            <w:r>
              <w:rPr>
                <w:rStyle w:val="IndexLink"/>
                <w:rtl w:val="true"/>
              </w:rPr>
              <w:tab/>
            </w:r>
            <w:r>
              <w:rPr>
                <w:rStyle w:val="IndexLink"/>
              </w:rPr>
              <w:t>20</w:t>
            </w:r>
          </w:hyperlink>
        </w:p>
        <w:p>
          <w:pPr>
            <w:pStyle w:val="Contents3"/>
            <w:tabs>
              <w:tab w:val="clear" w:pos="8459"/>
              <w:tab w:val="right" w:pos="9026" w:leader="dot"/>
            </w:tabs>
            <w:rPr/>
          </w:pPr>
          <w:hyperlink w:anchor="__RefHeading___Toc1259834_774463916">
            <w:r>
              <w:rPr>
                <w:webHidden/>
                <w:rStyle w:val="IndexLink"/>
                <w:rtl w:val="true"/>
              </w:rPr>
              <w:t>الثانی عشر</w:t>
            </w:r>
            <w:r>
              <w:rPr>
                <w:rStyle w:val="IndexLink"/>
                <w:rtl w:val="true"/>
              </w:rPr>
              <w:t xml:space="preserve">: </w:t>
            </w:r>
            <w:r>
              <w:rPr>
                <w:rStyle w:val="IndexLink"/>
                <w:rtl w:val="true"/>
              </w:rPr>
              <w:t>القسم النسوی</w:t>
            </w:r>
            <w:r>
              <w:rPr>
                <w:rStyle w:val="IndexLink"/>
                <w:rtl w:val="true"/>
              </w:rPr>
              <w:tab/>
            </w:r>
            <w:r>
              <w:rPr>
                <w:rStyle w:val="IndexLink"/>
              </w:rPr>
              <w:t>20</w:t>
            </w:r>
          </w:hyperlink>
        </w:p>
        <w:p>
          <w:pPr>
            <w:pStyle w:val="Contents3"/>
            <w:tabs>
              <w:tab w:val="clear" w:pos="8459"/>
              <w:tab w:val="right" w:pos="9026" w:leader="dot"/>
            </w:tabs>
            <w:rPr/>
          </w:pPr>
          <w:hyperlink w:anchor="__RefHeading___Toc1259836_774463916">
            <w:r>
              <w:rPr>
                <w:webHidden/>
                <w:rStyle w:val="IndexLink"/>
                <w:rtl w:val="true"/>
              </w:rPr>
              <w:t>الثالث عشر</w:t>
            </w:r>
            <w:r>
              <w:rPr>
                <w:rStyle w:val="IndexLink"/>
                <w:rtl w:val="true"/>
              </w:rPr>
              <w:t xml:space="preserve">: </w:t>
            </w:r>
            <w:r>
              <w:rPr>
                <w:rStyle w:val="IndexLink"/>
                <w:rtl w:val="true"/>
              </w:rPr>
              <w:t>القسم الفنی</w:t>
            </w:r>
            <w:r>
              <w:rPr>
                <w:rStyle w:val="IndexLink"/>
                <w:rtl w:val="true"/>
              </w:rPr>
              <w:tab/>
            </w:r>
            <w:r>
              <w:rPr>
                <w:rStyle w:val="IndexLink"/>
              </w:rPr>
              <w:t>20</w:t>
            </w:r>
          </w:hyperlink>
        </w:p>
        <w:p>
          <w:pPr>
            <w:pStyle w:val="Contents2"/>
            <w:tabs>
              <w:tab w:val="clear" w:pos="8743"/>
              <w:tab w:val="right" w:pos="9026" w:leader="dot"/>
            </w:tabs>
            <w:rPr/>
          </w:pPr>
          <w:hyperlink w:anchor="__RefHeading___Toc1259838_774463916">
            <w:r>
              <w:rPr>
                <w:webHidden/>
                <w:rStyle w:val="IndexLink"/>
                <w:rtl w:val="true"/>
              </w:rPr>
              <w:t>الحسین الوسیط</w:t>
            </w:r>
            <w:r>
              <w:rPr>
                <w:rStyle w:val="IndexLink"/>
                <w:rtl w:val="true"/>
              </w:rPr>
              <w:t xml:space="preserve">.. </w:t>
            </w:r>
            <w:r>
              <w:rPr>
                <w:rStyle w:val="IndexLink"/>
                <w:rtl w:val="true"/>
              </w:rPr>
              <w:t>دراسة تحلیلیّة بنیویّة لواقعة کربلاء</w:t>
            </w:r>
            <w:r>
              <w:rPr>
                <w:rStyle w:val="IndexLink"/>
                <w:rtl w:val="true"/>
              </w:rPr>
              <w:tab/>
            </w:r>
            <w:r>
              <w:rPr>
                <w:rStyle w:val="IndexLink"/>
              </w:rPr>
              <w:t>20</w:t>
            </w:r>
          </w:hyperlink>
        </w:p>
        <w:p>
          <w:pPr>
            <w:pStyle w:val="Contents2"/>
            <w:tabs>
              <w:tab w:val="clear" w:pos="8743"/>
              <w:tab w:val="right" w:pos="9026" w:leader="dot"/>
            </w:tabs>
            <w:rPr/>
          </w:pPr>
          <w:hyperlink w:anchor="__RefHeading___Toc1259840_774463916">
            <w:r>
              <w:rPr>
                <w:webHidden/>
                <w:rStyle w:val="IndexLink"/>
                <w:rtl w:val="true"/>
              </w:rPr>
              <w:t>کلمة التحقیق</w:t>
            </w:r>
            <w:r>
              <w:rPr>
                <w:rStyle w:val="IndexLink"/>
                <w:rtl w:val="true"/>
              </w:rPr>
              <w:tab/>
            </w:r>
            <w:r>
              <w:rPr>
                <w:rStyle w:val="IndexLink"/>
              </w:rPr>
              <w:t>24</w:t>
            </w:r>
          </w:hyperlink>
        </w:p>
        <w:p>
          <w:pPr>
            <w:pStyle w:val="Contents2"/>
            <w:tabs>
              <w:tab w:val="clear" w:pos="8743"/>
              <w:tab w:val="right" w:pos="9026" w:leader="dot"/>
            </w:tabs>
            <w:rPr/>
          </w:pPr>
          <w:hyperlink w:anchor="__RefHeading___Toc1259842_774463916">
            <w:r>
              <w:rPr>
                <w:webHidden/>
                <w:rStyle w:val="IndexLink"/>
                <w:rtl w:val="true"/>
              </w:rPr>
              <w:t>الاستشراق</w:t>
            </w:r>
            <w:r>
              <w:rPr>
                <w:rStyle w:val="IndexLink"/>
                <w:rtl w:val="true"/>
              </w:rPr>
              <w:tab/>
            </w:r>
            <w:r>
              <w:rPr>
                <w:rStyle w:val="IndexLink"/>
              </w:rPr>
              <w:t>28</w:t>
            </w:r>
          </w:hyperlink>
        </w:p>
        <w:p>
          <w:pPr>
            <w:pStyle w:val="Contents3"/>
            <w:tabs>
              <w:tab w:val="clear" w:pos="8459"/>
              <w:tab w:val="right" w:pos="9026" w:leader="dot"/>
            </w:tabs>
            <w:rPr/>
          </w:pPr>
          <w:hyperlink w:anchor="__RefHeading___Toc1259844_774463916">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259846_774463916">
            <w:r>
              <w:rPr>
                <w:webHidden/>
                <w:rStyle w:val="IndexLink"/>
                <w:rtl w:val="true"/>
              </w:rPr>
              <w:t>نبذة حول حرکة الاستشراق</w:t>
            </w:r>
            <w:r>
              <w:rPr>
                <w:rStyle w:val="IndexLink"/>
                <w:rtl w:val="true"/>
              </w:rPr>
              <w:tab/>
            </w:r>
            <w:r>
              <w:rPr>
                <w:rStyle w:val="IndexLink"/>
              </w:rPr>
              <w:t>30</w:t>
            </w:r>
          </w:hyperlink>
        </w:p>
        <w:p>
          <w:pPr>
            <w:pStyle w:val="Contents3"/>
            <w:tabs>
              <w:tab w:val="clear" w:pos="8459"/>
              <w:tab w:val="right" w:pos="9026" w:leader="dot"/>
            </w:tabs>
            <w:rPr/>
          </w:pPr>
          <w:hyperlink w:anchor="__RefHeading___Toc1259848_774463916">
            <w:r>
              <w:rPr>
                <w:webHidden/>
                <w:rStyle w:val="IndexLink"/>
                <w:rtl w:val="true"/>
              </w:rPr>
              <w:t>الاهتمام بالتراث الإسلامی</w:t>
            </w:r>
            <w:r>
              <w:rPr>
                <w:rStyle w:val="IndexLink"/>
                <w:rtl w:val="true"/>
              </w:rPr>
              <w:tab/>
            </w:r>
            <w:r>
              <w:rPr>
                <w:rStyle w:val="IndexLink"/>
              </w:rPr>
              <w:t>34</w:t>
            </w:r>
          </w:hyperlink>
        </w:p>
        <w:p>
          <w:pPr>
            <w:pStyle w:val="Contents3"/>
            <w:tabs>
              <w:tab w:val="clear" w:pos="8459"/>
              <w:tab w:val="right" w:pos="9026" w:leader="dot"/>
            </w:tabs>
            <w:rPr/>
          </w:pPr>
          <w:hyperlink w:anchor="__RefHeading___Toc1259850_774463916">
            <w:r>
              <w:rPr>
                <w:webHidden/>
                <w:rStyle w:val="IndexLink"/>
                <w:rtl w:val="true"/>
              </w:rPr>
              <w:t>نتائج المستشرقین حول التشیع</w:t>
            </w:r>
            <w:r>
              <w:rPr>
                <w:rStyle w:val="IndexLink"/>
                <w:rtl w:val="true"/>
              </w:rPr>
              <w:tab/>
            </w:r>
            <w:r>
              <w:rPr>
                <w:rStyle w:val="IndexLink"/>
              </w:rPr>
              <w:t>39</w:t>
            </w:r>
          </w:hyperlink>
        </w:p>
        <w:p>
          <w:pPr>
            <w:pStyle w:val="Contents3"/>
            <w:tabs>
              <w:tab w:val="clear" w:pos="8459"/>
              <w:tab w:val="right" w:pos="9026" w:leader="dot"/>
            </w:tabs>
            <w:rPr/>
          </w:pPr>
          <w:hyperlink w:anchor="__RefHeading___Toc1259852_774463916">
            <w:r>
              <w:rPr>
                <w:webHidden/>
                <w:rStyle w:val="IndexLink"/>
                <w:rtl w:val="true"/>
              </w:rPr>
              <w:t>نافذةٌ علی البنیویّة</w:t>
            </w:r>
            <w:r>
              <w:rPr>
                <w:rStyle w:val="IndexLink"/>
                <w:rtl w:val="true"/>
              </w:rPr>
              <w:tab/>
            </w:r>
            <w:r>
              <w:rPr>
                <w:rStyle w:val="IndexLink"/>
              </w:rPr>
              <w:t>41</w:t>
            </w:r>
          </w:hyperlink>
        </w:p>
        <w:p>
          <w:pPr>
            <w:pStyle w:val="Contents2"/>
            <w:tabs>
              <w:tab w:val="clear" w:pos="8743"/>
              <w:tab w:val="right" w:pos="9026" w:leader="dot"/>
            </w:tabs>
            <w:rPr/>
          </w:pPr>
          <w:hyperlink w:anchor="__RefHeading___Toc1259854_774463916">
            <w:r>
              <w:rPr>
                <w:webHidden/>
                <w:rStyle w:val="IndexLink"/>
                <w:rtl w:val="true"/>
              </w:rPr>
              <w:t>تقدیم وشکر</w:t>
            </w:r>
            <w:r>
              <w:rPr>
                <w:rStyle w:val="IndexLink"/>
                <w:rtl w:val="true"/>
              </w:rPr>
              <w:tab/>
            </w:r>
            <w:r>
              <w:rPr>
                <w:rStyle w:val="IndexLink"/>
              </w:rPr>
              <w:t>46</w:t>
            </w:r>
          </w:hyperlink>
        </w:p>
        <w:p>
          <w:pPr>
            <w:pStyle w:val="Contents2"/>
            <w:tabs>
              <w:tab w:val="clear" w:pos="8743"/>
              <w:tab w:val="right" w:pos="9026" w:leader="dot"/>
            </w:tabs>
            <w:rPr/>
          </w:pPr>
          <w:hyperlink w:anchor="__RefHeading___Toc1259856_774463916">
            <w:r>
              <w:rPr>
                <w:webHidden/>
                <w:rStyle w:val="IndexLink"/>
                <w:rtl w:val="true"/>
              </w:rPr>
              <w:t>مدخل</w:t>
            </w:r>
            <w:r>
              <w:rPr>
                <w:rStyle w:val="IndexLink"/>
                <w:rtl w:val="true"/>
              </w:rPr>
              <w:t xml:space="preserve">: </w:t>
            </w:r>
            <w:r>
              <w:rPr>
                <w:rStyle w:val="IndexLink"/>
                <w:rtl w:val="true"/>
              </w:rPr>
              <w:t>واقعة کربلاء فی هذا العصر</w:t>
            </w:r>
            <w:r>
              <w:rPr>
                <w:rStyle w:val="IndexLink"/>
                <w:rtl w:val="true"/>
              </w:rPr>
              <w:tab/>
            </w:r>
            <w:r>
              <w:rPr>
                <w:rStyle w:val="IndexLink"/>
              </w:rPr>
              <w:t>50</w:t>
            </w:r>
          </w:hyperlink>
        </w:p>
        <w:p>
          <w:pPr>
            <w:pStyle w:val="Contents3"/>
            <w:tabs>
              <w:tab w:val="clear" w:pos="8459"/>
              <w:tab w:val="right" w:pos="9026" w:leader="dot"/>
            </w:tabs>
            <w:rPr/>
          </w:pPr>
          <w:hyperlink w:anchor="__RefHeading___Toc1259858_774463916">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259860_774463916">
            <w:r>
              <w:rPr>
                <w:webHidden/>
                <w:rStyle w:val="IndexLink"/>
                <w:rtl w:val="true"/>
              </w:rPr>
              <w:t>مدخل واقعة کربلاء فی هذا العصر</w:t>
            </w:r>
            <w:r>
              <w:rPr>
                <w:rStyle w:val="IndexLink"/>
                <w:rtl w:val="true"/>
              </w:rPr>
              <w:tab/>
            </w:r>
            <w:r>
              <w:rPr>
                <w:rStyle w:val="IndexLink"/>
              </w:rPr>
              <w:t>52</w:t>
            </w:r>
          </w:hyperlink>
        </w:p>
        <w:p>
          <w:pPr>
            <w:pStyle w:val="Contents3"/>
            <w:tabs>
              <w:tab w:val="clear" w:pos="8459"/>
              <w:tab w:val="right" w:pos="9026" w:leader="dot"/>
            </w:tabs>
            <w:rPr/>
          </w:pPr>
          <w:hyperlink w:anchor="__RefHeading___Toc1259862_774463916">
            <w:r>
              <w:rPr>
                <w:webHidden/>
                <w:rStyle w:val="IndexLink"/>
                <w:rtl w:val="true"/>
              </w:rPr>
              <w:t>الأُسطورة وصناعتها وکتابة التاریخ</w:t>
            </w:r>
            <w:r>
              <w:rPr>
                <w:rStyle w:val="IndexLink"/>
                <w:rtl w:val="true"/>
              </w:rPr>
              <w:tab/>
            </w:r>
            <w:r>
              <w:rPr>
                <w:rStyle w:val="IndexLink"/>
              </w:rPr>
              <w:t>66</w:t>
            </w:r>
          </w:hyperlink>
        </w:p>
        <w:p>
          <w:pPr>
            <w:pStyle w:val="Contents3"/>
            <w:tabs>
              <w:tab w:val="clear" w:pos="8459"/>
              <w:tab w:val="right" w:pos="9026" w:leader="dot"/>
            </w:tabs>
            <w:rPr/>
          </w:pPr>
          <w:hyperlink w:anchor="__RefHeading___Toc1259864_774463916">
            <w:r>
              <w:rPr>
                <w:webHidden/>
                <w:rStyle w:val="IndexLink"/>
                <w:rtl w:val="true"/>
              </w:rPr>
              <w:t>الغرض من هذه الدراسة وفحواها</w:t>
            </w:r>
            <w:r>
              <w:rPr>
                <w:rStyle w:val="IndexLink"/>
                <w:rtl w:val="true"/>
              </w:rPr>
              <w:tab/>
            </w:r>
            <w:r>
              <w:rPr>
                <w:rStyle w:val="IndexLink"/>
              </w:rPr>
              <w:t>83</w:t>
            </w:r>
          </w:hyperlink>
        </w:p>
        <w:p>
          <w:pPr>
            <w:pStyle w:val="Contents3"/>
            <w:tabs>
              <w:tab w:val="clear" w:pos="8459"/>
              <w:tab w:val="right" w:pos="9026" w:leader="dot"/>
            </w:tabs>
            <w:rPr/>
          </w:pPr>
          <w:hyperlink w:anchor="__RefHeading___Toc1259866_774463916">
            <w:r>
              <w:rPr>
                <w:webHidden/>
                <w:rStyle w:val="IndexLink"/>
                <w:rtl w:val="true"/>
              </w:rPr>
              <w:t>دراسات مسبقة</w:t>
            </w:r>
            <w:r>
              <w:rPr>
                <w:rStyle w:val="IndexLink"/>
                <w:rtl w:val="true"/>
              </w:rPr>
              <w:t xml:space="preserve">: </w:t>
            </w:r>
            <w:r>
              <w:rPr>
                <w:rStyle w:val="IndexLink"/>
                <w:rtl w:val="true"/>
              </w:rPr>
              <w:t>الأُسطورة فی الإسلام</w:t>
            </w:r>
            <w:r>
              <w:rPr>
                <w:rStyle w:val="IndexLink"/>
                <w:rtl w:val="true"/>
              </w:rPr>
              <w:tab/>
            </w:r>
            <w:r>
              <w:rPr>
                <w:rStyle w:val="IndexLink"/>
              </w:rPr>
              <w:t>85</w:t>
            </w:r>
          </w:hyperlink>
        </w:p>
        <w:p>
          <w:pPr>
            <w:pStyle w:val="Contents3"/>
            <w:tabs>
              <w:tab w:val="clear" w:pos="8459"/>
              <w:tab w:val="right" w:pos="9026" w:leader="dot"/>
            </w:tabs>
            <w:rPr/>
          </w:pPr>
          <w:hyperlink w:anchor="__RefHeading___Toc1259868_774463916">
            <w:r>
              <w:rPr>
                <w:webHidden/>
                <w:rStyle w:val="IndexLink"/>
                <w:rtl w:val="true"/>
              </w:rPr>
              <w:t>دراسات حدیثة حول مأساة کربلاء</w:t>
            </w:r>
            <w:r>
              <w:rPr>
                <w:rStyle w:val="IndexLink"/>
                <w:rtl w:val="true"/>
              </w:rPr>
              <w:tab/>
            </w:r>
            <w:r>
              <w:rPr>
                <w:rStyle w:val="IndexLink"/>
              </w:rPr>
              <w:t>93</w:t>
            </w:r>
          </w:hyperlink>
        </w:p>
        <w:p>
          <w:pPr>
            <w:pStyle w:val="Contents2"/>
            <w:tabs>
              <w:tab w:val="clear" w:pos="8743"/>
              <w:tab w:val="right" w:pos="9026" w:leader="dot"/>
            </w:tabs>
            <w:rPr/>
          </w:pPr>
          <w:hyperlink w:anchor="__RefHeading___Toc1259870_774463916">
            <w:r>
              <w:rPr>
                <w:webHidden/>
                <w:rStyle w:val="IndexLink"/>
                <w:rtl w:val="true"/>
              </w:rPr>
              <w:t>الفصل الأول</w:t>
            </w:r>
            <w:r>
              <w:rPr>
                <w:rStyle w:val="IndexLink"/>
                <w:rtl w:val="true"/>
              </w:rPr>
              <w:t xml:space="preserve">: </w:t>
            </w:r>
            <w:r>
              <w:rPr>
                <w:rStyle w:val="IndexLink"/>
                <w:rtl w:val="true"/>
              </w:rPr>
              <w:t>الطبری وروایته</w:t>
            </w:r>
            <w:r>
              <w:rPr>
                <w:rStyle w:val="IndexLink"/>
                <w:rtl w:val="true"/>
              </w:rPr>
              <w:tab/>
            </w:r>
            <w:r>
              <w:rPr>
                <w:rStyle w:val="IndexLink"/>
              </w:rPr>
              <w:t>102</w:t>
            </w:r>
          </w:hyperlink>
        </w:p>
        <w:p>
          <w:pPr>
            <w:pStyle w:val="Contents3"/>
            <w:tabs>
              <w:tab w:val="clear" w:pos="8459"/>
              <w:tab w:val="right" w:pos="9026" w:leader="dot"/>
            </w:tabs>
            <w:rPr/>
          </w:pPr>
          <w:hyperlink w:anchor="__RefHeading___Toc1259872_774463916">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259874_774463916">
            <w:r>
              <w:rPr>
                <w:webHidden/>
                <w:rStyle w:val="IndexLink"/>
                <w:rtl w:val="true"/>
              </w:rPr>
              <w:t>الطبری وسیاق روایته</w:t>
            </w:r>
            <w:r>
              <w:rPr>
                <w:rStyle w:val="IndexLink"/>
                <w:rtl w:val="true"/>
              </w:rPr>
              <w:tab/>
            </w:r>
            <w:r>
              <w:rPr>
                <w:rStyle w:val="IndexLink"/>
              </w:rPr>
              <w:t>105</w:t>
            </w:r>
          </w:hyperlink>
        </w:p>
        <w:p>
          <w:pPr>
            <w:pStyle w:val="Contents4"/>
            <w:tabs>
              <w:tab w:val="clear" w:pos="8176"/>
              <w:tab w:val="right" w:pos="9026" w:leader="dot"/>
            </w:tabs>
            <w:rPr/>
          </w:pPr>
          <w:hyperlink w:anchor="__RefHeading___Toc1259876_774463916">
            <w:r>
              <w:rPr>
                <w:webHidden/>
                <w:rStyle w:val="IndexLink"/>
                <w:rtl w:val="true"/>
              </w:rPr>
              <w:t>نشوء علم الکلام والسیاسة فی الإسلام</w:t>
            </w:r>
            <w:r>
              <w:rPr>
                <w:rStyle w:val="IndexLink"/>
                <w:rtl w:val="true"/>
              </w:rPr>
              <w:tab/>
            </w:r>
            <w:r>
              <w:rPr>
                <w:rStyle w:val="IndexLink"/>
              </w:rPr>
              <w:t>105</w:t>
            </w:r>
          </w:hyperlink>
        </w:p>
        <w:p>
          <w:pPr>
            <w:pStyle w:val="Contents4"/>
            <w:tabs>
              <w:tab w:val="clear" w:pos="8176"/>
              <w:tab w:val="right" w:pos="9026" w:leader="dot"/>
            </w:tabs>
            <w:rPr/>
          </w:pPr>
          <w:hyperlink w:anchor="__RefHeading___Toc1259878_774463916">
            <w:r>
              <w:rPr>
                <w:webHidden/>
                <w:rStyle w:val="IndexLink"/>
                <w:rtl w:val="true"/>
              </w:rPr>
              <w:t>الطبری وتاریخه</w:t>
            </w:r>
            <w:r>
              <w:rPr>
                <w:rStyle w:val="IndexLink"/>
                <w:rtl w:val="true"/>
              </w:rPr>
              <w:tab/>
            </w:r>
            <w:r>
              <w:rPr>
                <w:rStyle w:val="IndexLink"/>
              </w:rPr>
              <w:t>122</w:t>
            </w:r>
          </w:hyperlink>
        </w:p>
        <w:p>
          <w:pPr>
            <w:pStyle w:val="Contents4"/>
            <w:tabs>
              <w:tab w:val="clear" w:pos="8176"/>
              <w:tab w:val="right" w:pos="9026" w:leader="dot"/>
            </w:tabs>
            <w:rPr/>
          </w:pPr>
          <w:hyperlink w:anchor="__RefHeading___Toc1259880_774463916">
            <w:r>
              <w:rPr>
                <w:webHidden/>
                <w:rStyle w:val="IndexLink"/>
                <w:rtl w:val="true"/>
              </w:rPr>
              <w:t>السمات العامّة للتاریخ الإسلامی فی مراحله الأُولی</w:t>
            </w:r>
            <w:r>
              <w:rPr>
                <w:rStyle w:val="IndexLink"/>
                <w:rtl w:val="true"/>
              </w:rPr>
              <w:tab/>
            </w:r>
            <w:r>
              <w:rPr>
                <w:rStyle w:val="IndexLink"/>
              </w:rPr>
              <w:t>127</w:t>
            </w:r>
          </w:hyperlink>
        </w:p>
        <w:p>
          <w:pPr>
            <w:pStyle w:val="Contents4"/>
            <w:tabs>
              <w:tab w:val="clear" w:pos="8176"/>
              <w:tab w:val="right" w:pos="9026" w:leader="dot"/>
            </w:tabs>
            <w:rPr/>
          </w:pPr>
          <w:hyperlink w:anchor="__RefHeading___Toc1259882_774463916">
            <w:r>
              <w:rPr>
                <w:webHidden/>
                <w:rStyle w:val="IndexLink"/>
                <w:rtl w:val="true"/>
              </w:rPr>
              <w:t>بعض الدراسات المعاصرة ل</w:t>
            </w:r>
            <w:r>
              <w:rPr>
                <w:rStyle w:val="IndexLink"/>
                <w:rtl w:val="true"/>
              </w:rPr>
              <w:t>-(</w:t>
            </w:r>
            <w:r>
              <w:rPr>
                <w:rStyle w:val="IndexLink"/>
                <w:rtl w:val="true"/>
              </w:rPr>
              <w:t>تاریخ الطبری</w:t>
            </w:r>
            <w:r>
              <w:rPr>
                <w:rStyle w:val="IndexLink"/>
                <w:rtl w:val="true"/>
              </w:rPr>
              <w:t>)</w:t>
              <w:tab/>
            </w:r>
            <w:r>
              <w:rPr>
                <w:rStyle w:val="IndexLink"/>
              </w:rPr>
              <w:t>130</w:t>
            </w:r>
          </w:hyperlink>
        </w:p>
        <w:p>
          <w:pPr>
            <w:pStyle w:val="Contents2"/>
            <w:tabs>
              <w:tab w:val="clear" w:pos="8743"/>
              <w:tab w:val="right" w:pos="9026" w:leader="dot"/>
            </w:tabs>
            <w:rPr/>
          </w:pPr>
          <w:hyperlink w:anchor="__RefHeading___Toc1259884_774463916">
            <w:r>
              <w:rPr>
                <w:webHidden/>
                <w:rStyle w:val="IndexLink"/>
                <w:rtl w:val="true"/>
              </w:rPr>
              <w:t>الفصل الثانی</w:t>
            </w:r>
            <w:r>
              <w:rPr>
                <w:rStyle w:val="IndexLink"/>
                <w:rtl w:val="true"/>
              </w:rPr>
              <w:t xml:space="preserve">: </w:t>
            </w:r>
            <w:r>
              <w:rPr>
                <w:rStyle w:val="IndexLink"/>
                <w:rtl w:val="true"/>
              </w:rPr>
              <w:t>البِنیة والتحلیل البنیوی</w:t>
            </w:r>
            <w:r>
              <w:rPr>
                <w:rStyle w:val="IndexLink"/>
                <w:rtl w:val="true"/>
              </w:rPr>
              <w:tab/>
            </w:r>
            <w:r>
              <w:rPr>
                <w:rStyle w:val="IndexLink"/>
              </w:rPr>
              <w:t>139</w:t>
            </w:r>
          </w:hyperlink>
        </w:p>
        <w:p>
          <w:pPr>
            <w:pStyle w:val="Contents3"/>
            <w:tabs>
              <w:tab w:val="clear" w:pos="8459"/>
              <w:tab w:val="right" w:pos="9026" w:leader="dot"/>
            </w:tabs>
            <w:rPr/>
          </w:pPr>
          <w:hyperlink w:anchor="__RefHeading___Toc1259886_774463916">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259888_774463916">
            <w:r>
              <w:rPr>
                <w:webHidden/>
                <w:rStyle w:val="IndexLink"/>
                <w:rtl w:val="true"/>
              </w:rPr>
              <w:t>ما هی البنیویّة؟</w:t>
            </w:r>
            <w:r>
              <w:rPr>
                <w:rStyle w:val="IndexLink"/>
                <w:rtl w:val="true"/>
              </w:rPr>
              <w:tab/>
            </w:r>
            <w:r>
              <w:rPr>
                <w:rStyle w:val="IndexLink"/>
              </w:rPr>
              <w:t>141</w:t>
            </w:r>
          </w:hyperlink>
        </w:p>
        <w:p>
          <w:pPr>
            <w:pStyle w:val="Contents3"/>
            <w:tabs>
              <w:tab w:val="clear" w:pos="8459"/>
              <w:tab w:val="right" w:pos="9026" w:leader="dot"/>
            </w:tabs>
            <w:rPr/>
          </w:pPr>
          <w:hyperlink w:anchor="__RefHeading___Toc1259890_774463916">
            <w:r>
              <w:rPr>
                <w:webHidden/>
                <w:rStyle w:val="IndexLink"/>
                <w:rtl w:val="true"/>
              </w:rPr>
              <w:t>المفاهیم الأساسیّة فی بنیویّة لیفی شتراوس</w:t>
            </w:r>
            <w:r>
              <w:rPr>
                <w:rStyle w:val="IndexLink"/>
                <w:rtl w:val="true"/>
              </w:rPr>
              <w:tab/>
            </w:r>
            <w:r>
              <w:rPr>
                <w:rStyle w:val="IndexLink"/>
              </w:rPr>
              <w:t>147</w:t>
            </w:r>
          </w:hyperlink>
        </w:p>
        <w:p>
          <w:pPr>
            <w:pStyle w:val="Contents3"/>
            <w:tabs>
              <w:tab w:val="clear" w:pos="8459"/>
              <w:tab w:val="right" w:pos="9026" w:leader="dot"/>
            </w:tabs>
            <w:rPr/>
          </w:pPr>
          <w:hyperlink w:anchor="__RefHeading___Toc1259892_774463916">
            <w:r>
              <w:rPr>
                <w:webHidden/>
                <w:rStyle w:val="IndexLink"/>
                <w:rtl w:val="true"/>
              </w:rPr>
              <w:t>الشرق</w:t>
            </w:r>
            <w:r>
              <w:rPr>
                <w:rStyle w:val="IndexLink"/>
                <w:rtl w:val="true"/>
              </w:rPr>
              <w:t xml:space="preserve">: </w:t>
            </w:r>
            <w:r>
              <w:rPr>
                <w:rStyle w:val="IndexLink"/>
                <w:rtl w:val="true"/>
              </w:rPr>
              <w:t>الغرب</w:t>
            </w:r>
            <w:r>
              <w:rPr>
                <w:rStyle w:val="IndexLink"/>
                <w:rtl w:val="true"/>
              </w:rPr>
              <w:t xml:space="preserve">: </w:t>
            </w:r>
            <w:r>
              <w:rPr>
                <w:rStyle w:val="IndexLink"/>
                <w:rtl w:val="true"/>
              </w:rPr>
              <w:t>السکن فی بیت أهل الزوج</w:t>
            </w:r>
            <w:r>
              <w:rPr>
                <w:rStyle w:val="IndexLink"/>
                <w:rtl w:val="true"/>
              </w:rPr>
              <w:t xml:space="preserve">: </w:t>
            </w:r>
            <w:r>
              <w:rPr>
                <w:rStyle w:val="IndexLink"/>
                <w:rtl w:val="true"/>
              </w:rPr>
              <w:t>السکن فی بیت أهل الزوجة</w:t>
            </w:r>
            <w:r>
              <w:rPr>
                <w:rStyle w:val="IndexLink"/>
                <w:rtl w:val="true"/>
              </w:rPr>
              <w:tab/>
            </w:r>
            <w:r>
              <w:rPr>
                <w:rStyle w:val="IndexLink"/>
              </w:rPr>
              <w:t>165</w:t>
            </w:r>
          </w:hyperlink>
        </w:p>
        <w:p>
          <w:pPr>
            <w:pStyle w:val="Contents3"/>
            <w:tabs>
              <w:tab w:val="clear" w:pos="8459"/>
              <w:tab w:val="right" w:pos="9026" w:leader="dot"/>
            </w:tabs>
            <w:rPr/>
          </w:pPr>
          <w:hyperlink w:anchor="__RefHeading___Toc1259894_774463916">
            <w:r>
              <w:rPr>
                <w:webHidden/>
                <w:rStyle w:val="IndexLink"/>
                <w:rtl w:val="true"/>
              </w:rPr>
              <w:t>الصیغة القانونیّة وتطبیقاتها</w:t>
            </w:r>
            <w:r>
              <w:rPr>
                <w:rStyle w:val="IndexLink"/>
                <w:rtl w:val="true"/>
              </w:rPr>
              <w:tab/>
            </w:r>
            <w:r>
              <w:rPr>
                <w:rStyle w:val="IndexLink"/>
              </w:rPr>
              <w:t>177</w:t>
            </w:r>
          </w:hyperlink>
        </w:p>
        <w:p>
          <w:pPr>
            <w:pStyle w:val="Contents3"/>
            <w:tabs>
              <w:tab w:val="clear" w:pos="8459"/>
              <w:tab w:val="right" w:pos="9026" w:leader="dot"/>
            </w:tabs>
            <w:rPr/>
          </w:pPr>
          <w:hyperlink w:anchor="__RefHeading___Toc1259896_774463916">
            <w:r>
              <w:rPr>
                <w:webHidden/>
                <w:rStyle w:val="IndexLink"/>
                <w:rtl w:val="true"/>
              </w:rPr>
              <w:t>آراء منهجیّة أُخری</w:t>
            </w:r>
            <w:r>
              <w:rPr>
                <w:rStyle w:val="IndexLink"/>
                <w:rtl w:val="true"/>
              </w:rPr>
              <w:tab/>
            </w:r>
            <w:r>
              <w:rPr>
                <w:rStyle w:val="IndexLink"/>
              </w:rPr>
              <w:t>197</w:t>
            </w:r>
          </w:hyperlink>
        </w:p>
        <w:p>
          <w:pPr>
            <w:pStyle w:val="Contents3"/>
            <w:tabs>
              <w:tab w:val="clear" w:pos="8459"/>
              <w:tab w:val="right" w:pos="9026" w:leader="dot"/>
            </w:tabs>
            <w:rPr/>
          </w:pPr>
          <w:hyperlink w:anchor="__RefHeading___Toc1259898_774463916">
            <w:r>
              <w:rPr>
                <w:webHidden/>
                <w:rStyle w:val="IndexLink"/>
                <w:rtl w:val="true"/>
              </w:rPr>
              <w:t>الرموز</w:t>
            </w:r>
            <w:r>
              <w:rPr>
                <w:rStyle w:val="IndexLink"/>
                <w:rtl w:val="true"/>
              </w:rPr>
              <w:tab/>
            </w:r>
            <w:r>
              <w:rPr>
                <w:rStyle w:val="IndexLink"/>
              </w:rPr>
              <w:t>205</w:t>
            </w:r>
          </w:hyperlink>
        </w:p>
        <w:p>
          <w:pPr>
            <w:pStyle w:val="Contents2"/>
            <w:tabs>
              <w:tab w:val="clear" w:pos="8743"/>
              <w:tab w:val="right" w:pos="9026" w:leader="dot"/>
            </w:tabs>
            <w:rPr/>
          </w:pPr>
          <w:hyperlink w:anchor="__RefHeading___Toc1259900_774463916">
            <w:r>
              <w:rPr>
                <w:webHidden/>
                <w:rStyle w:val="IndexLink"/>
                <w:rtl w:val="true"/>
              </w:rPr>
              <w:t>الفصل الثالث</w:t>
            </w:r>
            <w:r>
              <w:rPr>
                <w:rStyle w:val="IndexLink"/>
                <w:rtl w:val="true"/>
              </w:rPr>
              <w:t xml:space="preserve">: </w:t>
            </w:r>
            <w:r>
              <w:rPr>
                <w:rStyle w:val="IndexLink"/>
                <w:rtl w:val="true"/>
              </w:rPr>
              <w:t>البِنیة فی روایة الطبری حول أحداث کربلاء</w:t>
            </w:r>
            <w:r>
              <w:rPr>
                <w:rStyle w:val="IndexLink"/>
                <w:rtl w:val="true"/>
              </w:rPr>
              <w:tab/>
            </w:r>
            <w:r>
              <w:rPr>
                <w:rStyle w:val="IndexLink"/>
              </w:rPr>
              <w:t>211</w:t>
            </w:r>
          </w:hyperlink>
        </w:p>
        <w:p>
          <w:pPr>
            <w:pStyle w:val="Contents3"/>
            <w:tabs>
              <w:tab w:val="clear" w:pos="8459"/>
              <w:tab w:val="right" w:pos="9026" w:leader="dot"/>
            </w:tabs>
            <w:rPr/>
          </w:pPr>
          <w:hyperlink w:anchor="__RefHeading___Toc1259902_774463916">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259904_774463916">
            <w:r>
              <w:rPr>
                <w:webHidden/>
                <w:rStyle w:val="IndexLink"/>
                <w:rtl w:val="true"/>
              </w:rPr>
              <w:t>إطلالة علی مصادر الطبری</w:t>
            </w:r>
            <w:r>
              <w:rPr>
                <w:rStyle w:val="IndexLink"/>
                <w:rtl w:val="true"/>
              </w:rPr>
              <w:tab/>
            </w:r>
            <w:r>
              <w:rPr>
                <w:rStyle w:val="IndexLink"/>
              </w:rPr>
              <w:t>214</w:t>
            </w:r>
          </w:hyperlink>
        </w:p>
        <w:p>
          <w:pPr>
            <w:pStyle w:val="Contents3"/>
            <w:tabs>
              <w:tab w:val="clear" w:pos="8459"/>
              <w:tab w:val="right" w:pos="9026" w:leader="dot"/>
            </w:tabs>
            <w:rPr/>
          </w:pPr>
          <w:hyperlink w:anchor="__RefHeading___Toc1259906_774463916">
            <w:r>
              <w:rPr>
                <w:webHidden/>
                <w:rStyle w:val="IndexLink"/>
                <w:rtl w:val="true"/>
              </w:rPr>
              <w:t xml:space="preserve">تحلیل النصّ المعتمد </w:t>
            </w:r>
            <w:r>
              <w:rPr>
                <w:rStyle w:val="IndexLink"/>
                <w:rtl w:val="true"/>
              </w:rPr>
              <w:t>(</w:t>
            </w:r>
            <w:r>
              <w:rPr>
                <w:rStyle w:val="IndexLink"/>
                <w:rtl w:val="true"/>
              </w:rPr>
              <w:t>المرجعی</w:t>
            </w:r>
            <w:r>
              <w:rPr>
                <w:rStyle w:val="IndexLink"/>
                <w:rtl w:val="true"/>
              </w:rPr>
              <w:t>)</w:t>
              <w:tab/>
            </w:r>
            <w:r>
              <w:rPr>
                <w:rStyle w:val="IndexLink"/>
              </w:rPr>
              <w:t>220</w:t>
            </w:r>
          </w:hyperlink>
        </w:p>
        <w:p>
          <w:pPr>
            <w:pStyle w:val="Contents4"/>
            <w:tabs>
              <w:tab w:val="clear" w:pos="8176"/>
              <w:tab w:val="right" w:pos="9026" w:leader="dot"/>
            </w:tabs>
            <w:rPr/>
          </w:pPr>
          <w:hyperlink w:anchor="__RefHeading___Toc1259908_774463916">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259910_774463916">
            <w:r>
              <w:rPr>
                <w:webHidden/>
                <w:rStyle w:val="IndexLink"/>
                <w:rtl w:val="true"/>
              </w:rPr>
              <w:t>القسم الأوّل</w:t>
            </w:r>
            <w:r>
              <w:rPr>
                <w:rStyle w:val="IndexLink"/>
                <w:rtl w:val="true"/>
              </w:rPr>
              <w:tab/>
            </w:r>
            <w:r>
              <w:rPr>
                <w:rStyle w:val="IndexLink"/>
              </w:rPr>
              <w:t>222</w:t>
            </w:r>
          </w:hyperlink>
        </w:p>
        <w:p>
          <w:pPr>
            <w:pStyle w:val="Contents4"/>
            <w:tabs>
              <w:tab w:val="clear" w:pos="8176"/>
              <w:tab w:val="right" w:pos="9026" w:leader="dot"/>
            </w:tabs>
            <w:rPr/>
          </w:pPr>
          <w:hyperlink w:anchor="__RefHeading___Toc1259912_774463916">
            <w:r>
              <w:rPr>
                <w:webHidden/>
                <w:rStyle w:val="IndexLink"/>
                <w:rtl w:val="true"/>
              </w:rPr>
              <w:t>القسم الثانی</w:t>
            </w:r>
            <w:r>
              <w:rPr>
                <w:rStyle w:val="IndexLink"/>
                <w:rtl w:val="true"/>
              </w:rPr>
              <w:tab/>
            </w:r>
            <w:r>
              <w:rPr>
                <w:rStyle w:val="IndexLink"/>
              </w:rPr>
              <w:t>227</w:t>
            </w:r>
          </w:hyperlink>
        </w:p>
        <w:p>
          <w:pPr>
            <w:pStyle w:val="Contents4"/>
            <w:tabs>
              <w:tab w:val="clear" w:pos="8176"/>
              <w:tab w:val="right" w:pos="9026" w:leader="dot"/>
            </w:tabs>
            <w:rPr/>
          </w:pPr>
          <w:hyperlink w:anchor="__RefHeading___Toc1259914_774463916">
            <w:r>
              <w:rPr>
                <w:webHidden/>
                <w:rStyle w:val="IndexLink"/>
                <w:rtl w:val="true"/>
              </w:rPr>
              <w:t>القسم الثالث</w:t>
            </w:r>
            <w:r>
              <w:rPr>
                <w:rStyle w:val="IndexLink"/>
                <w:rtl w:val="true"/>
              </w:rPr>
              <w:tab/>
            </w:r>
            <w:r>
              <w:rPr>
                <w:rStyle w:val="IndexLink"/>
              </w:rPr>
              <w:t>228</w:t>
            </w:r>
          </w:hyperlink>
        </w:p>
        <w:p>
          <w:pPr>
            <w:pStyle w:val="Contents4"/>
            <w:tabs>
              <w:tab w:val="clear" w:pos="8176"/>
              <w:tab w:val="right" w:pos="9026" w:leader="dot"/>
            </w:tabs>
            <w:rPr/>
          </w:pPr>
          <w:hyperlink w:anchor="__RefHeading___Toc1259916_774463916">
            <w:r>
              <w:rPr>
                <w:webHidden/>
                <w:rStyle w:val="IndexLink"/>
                <w:rtl w:val="true"/>
              </w:rPr>
              <w:t>القسم الرابع</w:t>
            </w:r>
            <w:r>
              <w:rPr>
                <w:rStyle w:val="IndexLink"/>
                <w:rtl w:val="true"/>
              </w:rPr>
              <w:tab/>
            </w:r>
            <w:r>
              <w:rPr>
                <w:rStyle w:val="IndexLink"/>
              </w:rPr>
              <w:t>235</w:t>
            </w:r>
          </w:hyperlink>
        </w:p>
        <w:p>
          <w:pPr>
            <w:pStyle w:val="Contents4"/>
            <w:tabs>
              <w:tab w:val="clear" w:pos="8176"/>
              <w:tab w:val="right" w:pos="9026" w:leader="dot"/>
            </w:tabs>
            <w:rPr/>
          </w:pPr>
          <w:hyperlink w:anchor="__RefHeading___Toc1259918_774463916">
            <w:r>
              <w:rPr>
                <w:webHidden/>
                <w:rStyle w:val="IndexLink"/>
                <w:rtl w:val="true"/>
              </w:rPr>
              <w:t>القسم الخامس</w:t>
            </w:r>
            <w:r>
              <w:rPr>
                <w:rStyle w:val="IndexLink"/>
                <w:rtl w:val="true"/>
              </w:rPr>
              <w:tab/>
            </w:r>
            <w:r>
              <w:rPr>
                <w:rStyle w:val="IndexLink"/>
              </w:rPr>
              <w:t>240</w:t>
            </w:r>
          </w:hyperlink>
        </w:p>
        <w:p>
          <w:pPr>
            <w:pStyle w:val="Contents4"/>
            <w:tabs>
              <w:tab w:val="clear" w:pos="8176"/>
              <w:tab w:val="right" w:pos="9026" w:leader="dot"/>
            </w:tabs>
            <w:rPr/>
          </w:pPr>
          <w:hyperlink w:anchor="__RefHeading___Toc1259920_774463916">
            <w:r>
              <w:rPr>
                <w:webHidden/>
                <w:rStyle w:val="IndexLink"/>
                <w:rtl w:val="true"/>
              </w:rPr>
              <w:t>القسم السادس</w:t>
            </w:r>
            <w:r>
              <w:rPr>
                <w:rStyle w:val="IndexLink"/>
                <w:rtl w:val="true"/>
              </w:rPr>
              <w:tab/>
            </w:r>
            <w:r>
              <w:rPr>
                <w:rStyle w:val="IndexLink"/>
              </w:rPr>
              <w:t>242</w:t>
            </w:r>
          </w:hyperlink>
        </w:p>
        <w:p>
          <w:pPr>
            <w:pStyle w:val="Contents4"/>
            <w:tabs>
              <w:tab w:val="clear" w:pos="8176"/>
              <w:tab w:val="right" w:pos="9026" w:leader="dot"/>
            </w:tabs>
            <w:rPr/>
          </w:pPr>
          <w:hyperlink w:anchor="__RefHeading___Toc1259922_774463916">
            <w:r>
              <w:rPr>
                <w:webHidden/>
                <w:rStyle w:val="IndexLink"/>
                <w:rtl w:val="true"/>
              </w:rPr>
              <w:t>القسم السابع</w:t>
            </w:r>
            <w:r>
              <w:rPr>
                <w:rStyle w:val="IndexLink"/>
                <w:rtl w:val="true"/>
              </w:rPr>
              <w:tab/>
            </w:r>
            <w:r>
              <w:rPr>
                <w:rStyle w:val="IndexLink"/>
              </w:rPr>
              <w:t>247</w:t>
            </w:r>
          </w:hyperlink>
        </w:p>
        <w:p>
          <w:pPr>
            <w:pStyle w:val="Contents4"/>
            <w:tabs>
              <w:tab w:val="clear" w:pos="8176"/>
              <w:tab w:val="right" w:pos="9026" w:leader="dot"/>
            </w:tabs>
            <w:rPr/>
          </w:pPr>
          <w:hyperlink w:anchor="__RefHeading___Toc1259924_774463916">
            <w:r>
              <w:rPr>
                <w:webHidden/>
                <w:rStyle w:val="IndexLink"/>
                <w:rtl w:val="true"/>
              </w:rPr>
              <w:t>القسم الثامن</w:t>
            </w:r>
            <w:r>
              <w:rPr>
                <w:rStyle w:val="IndexLink"/>
                <w:rtl w:val="true"/>
              </w:rPr>
              <w:tab/>
            </w:r>
            <w:r>
              <w:rPr>
                <w:rStyle w:val="IndexLink"/>
              </w:rPr>
              <w:t>250</w:t>
            </w:r>
          </w:hyperlink>
        </w:p>
        <w:p>
          <w:pPr>
            <w:pStyle w:val="Contents4"/>
            <w:tabs>
              <w:tab w:val="clear" w:pos="8176"/>
              <w:tab w:val="right" w:pos="9026" w:leader="dot"/>
            </w:tabs>
            <w:rPr/>
          </w:pPr>
          <w:hyperlink w:anchor="__RefHeading___Toc1259926_774463916">
            <w:r>
              <w:rPr>
                <w:webHidden/>
                <w:rStyle w:val="IndexLink"/>
                <w:rtl w:val="true"/>
              </w:rPr>
              <w:t>القسم التاسع</w:t>
            </w:r>
            <w:r>
              <w:rPr>
                <w:rStyle w:val="IndexLink"/>
                <w:rtl w:val="true"/>
              </w:rPr>
              <w:tab/>
            </w:r>
            <w:r>
              <w:rPr>
                <w:rStyle w:val="IndexLink"/>
              </w:rPr>
              <w:t>251</w:t>
            </w:r>
          </w:hyperlink>
        </w:p>
        <w:p>
          <w:pPr>
            <w:pStyle w:val="Contents4"/>
            <w:tabs>
              <w:tab w:val="clear" w:pos="8176"/>
              <w:tab w:val="right" w:pos="9026" w:leader="dot"/>
            </w:tabs>
            <w:rPr/>
          </w:pPr>
          <w:hyperlink w:anchor="__RefHeading___Toc1259928_774463916">
            <w:r>
              <w:rPr>
                <w:webHidden/>
                <w:rStyle w:val="IndexLink"/>
                <w:rtl w:val="true"/>
              </w:rPr>
              <w:t>القسم العاشر</w:t>
            </w:r>
            <w:r>
              <w:rPr>
                <w:rStyle w:val="IndexLink"/>
                <w:rtl w:val="true"/>
              </w:rPr>
              <w:tab/>
            </w:r>
            <w:r>
              <w:rPr>
                <w:rStyle w:val="IndexLink"/>
              </w:rPr>
              <w:t>253</w:t>
            </w:r>
          </w:hyperlink>
        </w:p>
        <w:p>
          <w:pPr>
            <w:pStyle w:val="Contents5"/>
            <w:tabs>
              <w:tab w:val="clear" w:pos="7892"/>
              <w:tab w:val="right" w:pos="9026" w:leader="dot"/>
            </w:tabs>
            <w:rPr/>
          </w:pPr>
          <w:hyperlink w:anchor="__RefHeading___Toc1259930_774463916">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259932_774463916">
            <w:r>
              <w:rPr>
                <w:webHidden/>
                <w:rStyle w:val="IndexLink"/>
                <w:rtl w:val="true"/>
              </w:rPr>
              <w:t xml:space="preserve">خواص بنیویّة بارزة فی </w:t>
            </w:r>
            <w:r>
              <w:rPr>
                <w:rStyle w:val="IndexLink"/>
                <w:rtl w:val="true"/>
              </w:rPr>
              <w:t>(</w:t>
            </w:r>
            <w:r>
              <w:rPr>
                <w:rStyle w:val="IndexLink"/>
                <w:rtl w:val="true"/>
              </w:rPr>
              <w:t>النصّ المعتمد</w:t>
            </w:r>
            <w:r>
              <w:rPr>
                <w:rStyle w:val="IndexLink"/>
                <w:rtl w:val="true"/>
              </w:rPr>
              <w:t>)</w:t>
              <w:tab/>
            </w:r>
            <w:r>
              <w:rPr>
                <w:rStyle w:val="IndexLink"/>
              </w:rPr>
              <w:t>255</w:t>
            </w:r>
          </w:hyperlink>
        </w:p>
        <w:p>
          <w:pPr>
            <w:pStyle w:val="Contents5"/>
            <w:tabs>
              <w:tab w:val="clear" w:pos="7892"/>
              <w:tab w:val="right" w:pos="9026" w:leader="dot"/>
            </w:tabs>
            <w:rPr/>
          </w:pPr>
          <w:hyperlink w:anchor="__RefHeading___Toc1259934_774463916">
            <w:r>
              <w:rPr>
                <w:webHidden/>
                <w:rStyle w:val="IndexLink"/>
                <w:rtl w:val="true"/>
              </w:rPr>
              <w:t>الوسطّیة فی النصِّ المعتمد</w:t>
            </w:r>
            <w:r>
              <w:rPr>
                <w:rStyle w:val="IndexLink"/>
                <w:rtl w:val="true"/>
              </w:rPr>
              <w:tab/>
            </w:r>
            <w:r>
              <w:rPr>
                <w:rStyle w:val="IndexLink"/>
              </w:rPr>
              <w:t>273</w:t>
            </w:r>
          </w:hyperlink>
        </w:p>
        <w:p>
          <w:pPr>
            <w:pStyle w:val="Contents5"/>
            <w:tabs>
              <w:tab w:val="clear" w:pos="7892"/>
              <w:tab w:val="right" w:pos="9026" w:leader="dot"/>
            </w:tabs>
            <w:rPr/>
          </w:pPr>
          <w:hyperlink w:anchor="__RefHeading___Toc1259936_774463916">
            <w:r>
              <w:rPr>
                <w:webHidden/>
                <w:rStyle w:val="IndexLink"/>
                <w:rtl w:val="true"/>
              </w:rPr>
              <w:t xml:space="preserve">ما وراء </w:t>
            </w:r>
            <w:r>
              <w:rPr>
                <w:rStyle w:val="IndexLink"/>
                <w:rtl w:val="true"/>
              </w:rPr>
              <w:t>(</w:t>
            </w:r>
            <w:r>
              <w:rPr>
                <w:rStyle w:val="IndexLink"/>
                <w:rtl w:val="true"/>
              </w:rPr>
              <w:t>النصّ المعتمد</w:t>
            </w:r>
            <w:r>
              <w:rPr>
                <w:rStyle w:val="IndexLink"/>
                <w:rtl w:val="true"/>
              </w:rPr>
              <w:t xml:space="preserve">) </w:t>
            </w:r>
            <w:r>
              <w:rPr>
                <w:rStyle w:val="IndexLink"/>
                <w:rtl w:val="true"/>
              </w:rPr>
              <w:t>المواقف تجاه الحسین</w:t>
            </w:r>
            <w:r>
              <w:rPr>
                <w:rStyle w:val="IndexLink"/>
                <w:rtl w:val="true"/>
              </w:rPr>
              <w:tab/>
            </w:r>
            <w:r>
              <w:rPr>
                <w:rStyle w:val="IndexLink"/>
              </w:rPr>
              <w:t>276</w:t>
            </w:r>
          </w:hyperlink>
        </w:p>
        <w:p>
          <w:pPr>
            <w:pStyle w:val="Contents6"/>
            <w:tabs>
              <w:tab w:val="clear" w:pos="7609"/>
              <w:tab w:val="right" w:pos="9026" w:leader="dot"/>
            </w:tabs>
            <w:rPr/>
          </w:pPr>
          <w:hyperlink w:anchor="__RefHeading___Toc1259938_774463916">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1259940_774463916">
            <w:r>
              <w:rPr>
                <w:webHidden/>
                <w:rStyle w:val="IndexLink"/>
                <w:rtl w:val="true"/>
              </w:rPr>
              <w:t>[</w:t>
            </w:r>
            <w:r>
              <w:rPr>
                <w:rStyle w:val="IndexLink"/>
                <w:rtl w:val="true"/>
              </w:rPr>
              <w:t>الخصیصة الأُولی</w:t>
            </w:r>
            <w:r>
              <w:rPr>
                <w:rStyle w:val="IndexLink"/>
                <w:rtl w:val="true"/>
              </w:rPr>
              <w:t xml:space="preserve">]: </w:t>
            </w:r>
            <w:r>
              <w:rPr>
                <w:rStyle w:val="IndexLink"/>
                <w:rtl w:val="true"/>
              </w:rPr>
              <w:t xml:space="preserve">ما وراء </w:t>
            </w:r>
            <w:r>
              <w:rPr>
                <w:rStyle w:val="IndexLink"/>
                <w:rtl w:val="true"/>
              </w:rPr>
              <w:t>(</w:t>
            </w:r>
            <w:r>
              <w:rPr>
                <w:rStyle w:val="IndexLink"/>
                <w:rtl w:val="true"/>
              </w:rPr>
              <w:t>النصّ المعتمد</w:t>
            </w:r>
            <w:r>
              <w:rPr>
                <w:rStyle w:val="IndexLink"/>
                <w:rtl w:val="true"/>
              </w:rPr>
              <w:t xml:space="preserve">): </w:t>
            </w:r>
            <w:r>
              <w:rPr>
                <w:rStyle w:val="IndexLink"/>
                <w:rtl w:val="true"/>
              </w:rPr>
              <w:t>صورة الحسین ودوره</w:t>
            </w:r>
            <w:r>
              <w:rPr>
                <w:rStyle w:val="IndexLink"/>
                <w:rtl w:val="true"/>
              </w:rPr>
              <w:tab/>
            </w:r>
            <w:r>
              <w:rPr>
                <w:rStyle w:val="IndexLink"/>
              </w:rPr>
              <w:t>290</w:t>
            </w:r>
          </w:hyperlink>
        </w:p>
        <w:p>
          <w:pPr>
            <w:pStyle w:val="Contents6"/>
            <w:tabs>
              <w:tab w:val="clear" w:pos="7609"/>
              <w:tab w:val="right" w:pos="9026" w:leader="dot"/>
            </w:tabs>
            <w:rPr/>
          </w:pPr>
          <w:hyperlink w:anchor="__RefHeading___Toc1259942_774463916">
            <w:r>
              <w:rPr>
                <w:webHidden/>
                <w:rStyle w:val="IndexLink"/>
                <w:rtl w:val="true"/>
              </w:rPr>
              <w:t>[</w:t>
            </w:r>
            <w:r>
              <w:rPr>
                <w:rStyle w:val="IndexLink"/>
                <w:rtl w:val="true"/>
              </w:rPr>
              <w:t>الخصیصة الثانیة</w:t>
            </w:r>
            <w:r>
              <w:rPr>
                <w:rStyle w:val="IndexLink"/>
                <w:rtl w:val="true"/>
              </w:rPr>
              <w:t xml:space="preserve">]: </w:t>
            </w:r>
            <w:r>
              <w:rPr>
                <w:rStyle w:val="IndexLink"/>
                <w:rtl w:val="true"/>
              </w:rPr>
              <w:t>ماوراء النص المعتمد الماء والدم</w:t>
            </w:r>
            <w:r>
              <w:rPr>
                <w:rStyle w:val="IndexLink"/>
                <w:rtl w:val="true"/>
              </w:rPr>
              <w:tab/>
            </w:r>
            <w:r>
              <w:rPr>
                <w:rStyle w:val="IndexLink"/>
              </w:rPr>
              <w:t>300</w:t>
            </w:r>
          </w:hyperlink>
        </w:p>
        <w:p>
          <w:pPr>
            <w:pStyle w:val="Contents3"/>
            <w:tabs>
              <w:tab w:val="clear" w:pos="8459"/>
              <w:tab w:val="right" w:pos="9026" w:leader="dot"/>
            </w:tabs>
            <w:rPr/>
          </w:pPr>
          <w:hyperlink w:anchor="__RefHeading___Toc1259944_774463916">
            <w:r>
              <w:rPr>
                <w:webHidden/>
                <w:rStyle w:val="IndexLink"/>
                <w:rtl w:val="true"/>
              </w:rPr>
              <w:t>الحسین وسیطاً</w:t>
            </w:r>
            <w:r>
              <w:rPr>
                <w:rStyle w:val="IndexLink"/>
                <w:rtl w:val="true"/>
              </w:rPr>
              <w:tab/>
            </w:r>
            <w:r>
              <w:rPr>
                <w:rStyle w:val="IndexLink"/>
              </w:rPr>
              <w:t>310</w:t>
            </w:r>
          </w:hyperlink>
        </w:p>
        <w:p>
          <w:pPr>
            <w:pStyle w:val="Contents3"/>
            <w:tabs>
              <w:tab w:val="clear" w:pos="8459"/>
              <w:tab w:val="right" w:pos="9026" w:leader="dot"/>
            </w:tabs>
            <w:rPr/>
          </w:pPr>
          <w:hyperlink w:anchor="__RefHeading___Toc1259946_774463916">
            <w:r>
              <w:rPr>
                <w:webHidden/>
                <w:rStyle w:val="IndexLink"/>
                <w:rtl w:val="true"/>
              </w:rPr>
              <w:t>بعد کربلاء</w:t>
            </w:r>
            <w:r>
              <w:rPr>
                <w:rStyle w:val="IndexLink"/>
                <w:rtl w:val="true"/>
              </w:rPr>
              <w:tab/>
            </w:r>
            <w:r>
              <w:rPr>
                <w:rStyle w:val="IndexLink"/>
              </w:rPr>
              <w:t>321</w:t>
            </w:r>
          </w:hyperlink>
        </w:p>
        <w:p>
          <w:pPr>
            <w:pStyle w:val="Contents2"/>
            <w:tabs>
              <w:tab w:val="clear" w:pos="8743"/>
              <w:tab w:val="right" w:pos="9026" w:leader="dot"/>
            </w:tabs>
            <w:rPr/>
          </w:pPr>
          <w:hyperlink w:anchor="__RefHeading___Toc1259948_774463916">
            <w:r>
              <w:rPr>
                <w:webHidden/>
                <w:rStyle w:val="IndexLink"/>
                <w:rtl w:val="true"/>
              </w:rPr>
              <w:t>الفصل الرابع</w:t>
            </w:r>
            <w:r>
              <w:rPr>
                <w:rStyle w:val="IndexLink"/>
                <w:rtl w:val="true"/>
              </w:rPr>
              <w:t xml:space="preserve">: </w:t>
            </w:r>
            <w:r>
              <w:rPr>
                <w:rStyle w:val="IndexLink"/>
                <w:rtl w:val="true"/>
              </w:rPr>
              <w:t>استنتاجات وتوقّعات مستقبلیّة</w:t>
            </w:r>
            <w:r>
              <w:rPr>
                <w:rStyle w:val="IndexLink"/>
                <w:rtl w:val="true"/>
              </w:rPr>
              <w:tab/>
            </w:r>
            <w:r>
              <w:rPr>
                <w:rStyle w:val="IndexLink"/>
              </w:rPr>
              <w:t>328</w:t>
            </w:r>
          </w:hyperlink>
        </w:p>
        <w:p>
          <w:pPr>
            <w:pStyle w:val="Contents3"/>
            <w:tabs>
              <w:tab w:val="clear" w:pos="8459"/>
              <w:tab w:val="right" w:pos="9026" w:leader="dot"/>
            </w:tabs>
            <w:rPr/>
          </w:pPr>
          <w:hyperlink w:anchor="__RefHeading___Toc1259950_774463916">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1259952_774463916">
            <w:r>
              <w:rPr>
                <w:webHidden/>
                <w:rStyle w:val="IndexLink"/>
                <w:rtl w:val="true"/>
              </w:rPr>
              <w:t>الطبری وأحداث کربلاء</w:t>
            </w:r>
            <w:r>
              <w:rPr>
                <w:rStyle w:val="IndexLink"/>
                <w:rtl w:val="true"/>
              </w:rPr>
              <w:tab/>
            </w:r>
            <w:r>
              <w:rPr>
                <w:rStyle w:val="IndexLink"/>
              </w:rPr>
              <w:t>330</w:t>
            </w:r>
          </w:hyperlink>
        </w:p>
        <w:p>
          <w:pPr>
            <w:pStyle w:val="Contents3"/>
            <w:tabs>
              <w:tab w:val="clear" w:pos="8459"/>
              <w:tab w:val="right" w:pos="9026" w:leader="dot"/>
            </w:tabs>
            <w:rPr/>
          </w:pPr>
          <w:hyperlink w:anchor="__RefHeading___Toc1259954_774463916">
            <w:r>
              <w:rPr>
                <w:webHidden/>
                <w:rStyle w:val="IndexLink"/>
                <w:rtl w:val="true"/>
              </w:rPr>
              <w:t>تطبیق البنیویّة علی دراسة التاریخ الإسلامی</w:t>
            </w:r>
            <w:r>
              <w:rPr>
                <w:rStyle w:val="IndexLink"/>
                <w:rtl w:val="true"/>
              </w:rPr>
              <w:tab/>
            </w:r>
            <w:r>
              <w:rPr>
                <w:rStyle w:val="IndexLink"/>
              </w:rPr>
              <w:t>334</w:t>
            </w:r>
          </w:hyperlink>
        </w:p>
        <w:p>
          <w:pPr>
            <w:pStyle w:val="Contents3"/>
            <w:tabs>
              <w:tab w:val="clear" w:pos="8459"/>
              <w:tab w:val="right" w:pos="9026" w:leader="dot"/>
            </w:tabs>
            <w:rPr/>
          </w:pPr>
          <w:hyperlink w:anchor="__RefHeading___Toc1259956_774463916">
            <w:r>
              <w:rPr>
                <w:webHidden/>
                <w:rStyle w:val="IndexLink"/>
                <w:rtl w:val="true"/>
              </w:rPr>
              <w:t>ماذا بعد؟</w:t>
            </w:r>
            <w:r>
              <w:rPr>
                <w:rStyle w:val="IndexLink"/>
                <w:rtl w:val="true"/>
              </w:rPr>
              <w:tab/>
            </w:r>
            <w:r>
              <w:rPr>
                <w:rStyle w:val="IndexLink"/>
              </w:rPr>
              <w:t>337</w:t>
            </w:r>
          </w:hyperlink>
        </w:p>
        <w:p>
          <w:pPr>
            <w:pStyle w:val="Contents2"/>
            <w:tabs>
              <w:tab w:val="clear" w:pos="8743"/>
              <w:tab w:val="right" w:pos="9026" w:leader="dot"/>
            </w:tabs>
            <w:rPr/>
          </w:pPr>
          <w:hyperlink w:anchor="__RefHeading___Toc1259958_774463916">
            <w:r>
              <w:rPr>
                <w:webHidden/>
                <w:rStyle w:val="IndexLink"/>
                <w:rtl w:val="true"/>
              </w:rPr>
              <w:t>الملاحق</w:t>
            </w:r>
            <w:r>
              <w:rPr>
                <w:rStyle w:val="IndexLink"/>
                <w:rtl w:val="true"/>
              </w:rPr>
              <w:tab/>
            </w:r>
            <w:r>
              <w:rPr>
                <w:rStyle w:val="IndexLink"/>
              </w:rPr>
              <w:t>340</w:t>
            </w:r>
          </w:hyperlink>
        </w:p>
        <w:p>
          <w:pPr>
            <w:pStyle w:val="Contents3"/>
            <w:tabs>
              <w:tab w:val="clear" w:pos="8459"/>
              <w:tab w:val="right" w:pos="9026" w:leader="dot"/>
            </w:tabs>
            <w:rPr/>
          </w:pPr>
          <w:hyperlink w:anchor="__RefHeading___Toc1259960_774463916">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1259962_774463916">
            <w:r>
              <w:rPr>
                <w:webHidden/>
                <w:rStyle w:val="IndexLink"/>
                <w:rtl w:val="true"/>
              </w:rPr>
              <w:t xml:space="preserve">الملحق </w:t>
            </w:r>
            <w:r>
              <w:rPr>
                <w:rStyle w:val="IndexLink"/>
                <w:rtl w:val="true"/>
              </w:rPr>
              <w:t>(</w:t>
            </w:r>
            <w:r>
              <w:rPr>
                <w:rStyle w:val="IndexLink"/>
              </w:rPr>
              <w:t>1</w:t>
            </w:r>
            <w:r>
              <w:rPr>
                <w:rStyle w:val="IndexLink"/>
                <w:rtl w:val="true"/>
              </w:rPr>
              <w:t>)</w:t>
            </w:r>
            <w:r>
              <w:rPr>
                <w:rStyle w:val="IndexLink"/>
                <w:rtl w:val="true"/>
              </w:rPr>
              <w:t>خلاصة لأحداث کربلاء عند الطبری</w:t>
            </w:r>
            <w:r>
              <w:rPr>
                <w:rStyle w:val="IndexLink"/>
                <w:rtl w:val="true"/>
              </w:rPr>
              <w:tab/>
            </w:r>
            <w:r>
              <w:rPr>
                <w:rStyle w:val="IndexLink"/>
              </w:rPr>
              <w:t>342</w:t>
            </w:r>
          </w:hyperlink>
        </w:p>
        <w:p>
          <w:pPr>
            <w:pStyle w:val="Contents4"/>
            <w:tabs>
              <w:tab w:val="clear" w:pos="8176"/>
              <w:tab w:val="right" w:pos="9026" w:leader="dot"/>
            </w:tabs>
            <w:rPr/>
          </w:pPr>
          <w:hyperlink w:anchor="__RefHeading___Toc1259964_774463916">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259966_774463916">
            <w:r>
              <w:rPr>
                <w:webHidden/>
                <w:rStyle w:val="IndexLink"/>
                <w:rtl w:val="true"/>
              </w:rPr>
              <w:t>(</w:t>
            </w:r>
            <w:r>
              <w:rPr>
                <w:rStyle w:val="IndexLink"/>
              </w:rPr>
              <w:t>216</w:t>
            </w:r>
            <w:r>
              <w:rPr>
                <w:rStyle w:val="IndexLink"/>
                <w:rtl w:val="true"/>
              </w:rPr>
              <w:t xml:space="preserve"> - </w:t>
            </w:r>
            <w:r>
              <w:rPr>
                <w:rStyle w:val="IndexLink"/>
              </w:rPr>
              <w:t>223</w:t>
            </w:r>
            <w:r>
              <w:rPr>
                <w:rStyle w:val="IndexLink"/>
                <w:rtl w:val="true"/>
              </w:rPr>
              <w:t xml:space="preserve">) </w:t>
            </w:r>
            <w:r>
              <w:rPr>
                <w:rStyle w:val="IndexLink"/>
                <w:rtl w:val="true"/>
              </w:rPr>
              <w:t>ابن الکلبی</w:t>
            </w:r>
            <w:r>
              <w:rPr>
                <w:rStyle w:val="IndexLink"/>
                <w:rtl w:val="true"/>
              </w:rPr>
              <w:tab/>
            </w:r>
            <w:r>
              <w:rPr>
                <w:rStyle w:val="IndexLink"/>
              </w:rPr>
              <w:t>342</w:t>
            </w:r>
          </w:hyperlink>
        </w:p>
        <w:p>
          <w:pPr>
            <w:pStyle w:val="Contents4"/>
            <w:tabs>
              <w:tab w:val="clear" w:pos="8176"/>
              <w:tab w:val="right" w:pos="9026" w:leader="dot"/>
            </w:tabs>
            <w:rPr/>
          </w:pPr>
          <w:hyperlink w:anchor="__RefHeading___Toc1259968_774463916">
            <w:r>
              <w:rPr>
                <w:webHidden/>
                <w:rStyle w:val="IndexLink"/>
                <w:rtl w:val="true"/>
              </w:rPr>
              <w:t>(</w:t>
            </w:r>
            <w:r>
              <w:rPr>
                <w:rStyle w:val="IndexLink"/>
              </w:rPr>
              <w:t>227-232</w:t>
            </w:r>
            <w:r>
              <w:rPr>
                <w:rStyle w:val="IndexLink"/>
                <w:rtl w:val="true"/>
              </w:rPr>
              <w:t xml:space="preserve">) </w:t>
            </w:r>
            <w:r>
              <w:rPr>
                <w:rStyle w:val="IndexLink"/>
                <w:rtl w:val="true"/>
              </w:rPr>
              <w:t>عمّار الدُهنی</w:t>
            </w:r>
            <w:r>
              <w:rPr>
                <w:rStyle w:val="IndexLink"/>
                <w:rtl w:val="true"/>
              </w:rPr>
              <w:tab/>
            </w:r>
            <w:r>
              <w:rPr>
                <w:rStyle w:val="IndexLink"/>
              </w:rPr>
              <w:t>343</w:t>
            </w:r>
          </w:hyperlink>
        </w:p>
        <w:p>
          <w:pPr>
            <w:pStyle w:val="Contents4"/>
            <w:tabs>
              <w:tab w:val="clear" w:pos="8176"/>
              <w:tab w:val="right" w:pos="9026" w:leader="dot"/>
            </w:tabs>
            <w:rPr/>
          </w:pPr>
          <w:hyperlink w:anchor="__RefHeading___Toc1259970_774463916">
            <w:r>
              <w:rPr>
                <w:webHidden/>
                <w:rStyle w:val="IndexLink"/>
                <w:rtl w:val="true"/>
              </w:rPr>
              <w:t>(</w:t>
            </w:r>
            <w:r>
              <w:rPr>
                <w:rStyle w:val="IndexLink"/>
              </w:rPr>
              <w:t>232</w:t>
            </w:r>
            <w:r>
              <w:rPr>
                <w:rStyle w:val="IndexLink"/>
                <w:rtl w:val="true"/>
              </w:rPr>
              <w:t xml:space="preserve"> - </w:t>
            </w:r>
            <w:r>
              <w:rPr>
                <w:rStyle w:val="IndexLink"/>
              </w:rPr>
              <w:t>272</w:t>
            </w:r>
            <w:r>
              <w:rPr>
                <w:rStyle w:val="IndexLink"/>
                <w:rtl w:val="true"/>
              </w:rPr>
              <w:t xml:space="preserve">) </w:t>
            </w:r>
            <w:r>
              <w:rPr>
                <w:rStyle w:val="IndexLink"/>
                <w:rtl w:val="true"/>
              </w:rPr>
              <w:t>ابن الکلبی</w:t>
            </w:r>
            <w:r>
              <w:rPr>
                <w:rStyle w:val="IndexLink"/>
                <w:rtl w:val="true"/>
              </w:rPr>
              <w:tab/>
            </w:r>
            <w:r>
              <w:rPr>
                <w:rStyle w:val="IndexLink"/>
              </w:rPr>
              <w:t>343</w:t>
            </w:r>
          </w:hyperlink>
        </w:p>
        <w:p>
          <w:pPr>
            <w:pStyle w:val="Contents4"/>
            <w:tabs>
              <w:tab w:val="clear" w:pos="8176"/>
              <w:tab w:val="right" w:pos="9026" w:leader="dot"/>
            </w:tabs>
            <w:rPr/>
          </w:pPr>
          <w:hyperlink w:anchor="__RefHeading___Toc1259972_774463916">
            <w:r>
              <w:rPr>
                <w:webHidden/>
                <w:rStyle w:val="IndexLink"/>
                <w:rtl w:val="true"/>
              </w:rPr>
              <w:t>(</w:t>
            </w:r>
            <w:r>
              <w:rPr>
                <w:rStyle w:val="IndexLink"/>
              </w:rPr>
              <w:t>281-283</w:t>
            </w:r>
            <w:r>
              <w:rPr>
                <w:rStyle w:val="IndexLink"/>
                <w:rtl w:val="true"/>
              </w:rPr>
              <w:t xml:space="preserve">) </w:t>
            </w:r>
            <w:r>
              <w:rPr>
                <w:rStyle w:val="IndexLink"/>
                <w:rtl w:val="true"/>
              </w:rPr>
              <w:t>عمّار الدُهنی</w:t>
            </w:r>
            <w:r>
              <w:rPr>
                <w:rStyle w:val="IndexLink"/>
                <w:rtl w:val="true"/>
              </w:rPr>
              <w:tab/>
            </w:r>
            <w:r>
              <w:rPr>
                <w:rStyle w:val="IndexLink"/>
              </w:rPr>
              <w:t>348</w:t>
            </w:r>
          </w:hyperlink>
        </w:p>
        <w:p>
          <w:pPr>
            <w:pStyle w:val="Contents4"/>
            <w:tabs>
              <w:tab w:val="clear" w:pos="8176"/>
              <w:tab w:val="right" w:pos="9026" w:leader="dot"/>
            </w:tabs>
            <w:rPr/>
          </w:pPr>
          <w:hyperlink w:anchor="__RefHeading___Toc1259974_774463916">
            <w:r>
              <w:rPr>
                <w:webHidden/>
                <w:rStyle w:val="IndexLink"/>
                <w:rtl w:val="true"/>
              </w:rPr>
              <w:t>(</w:t>
            </w:r>
            <w:r>
              <w:rPr>
                <w:rStyle w:val="IndexLink"/>
              </w:rPr>
              <w:t>283-287</w:t>
            </w:r>
            <w:r>
              <w:rPr>
                <w:rStyle w:val="IndexLink"/>
                <w:rtl w:val="true"/>
              </w:rPr>
              <w:t xml:space="preserve">) </w:t>
            </w:r>
            <w:r>
              <w:rPr>
                <w:rStyle w:val="IndexLink"/>
                <w:rtl w:val="true"/>
              </w:rPr>
              <w:t>الحسین بن عبد الرحمان</w:t>
            </w:r>
            <w:r>
              <w:rPr>
                <w:rStyle w:val="IndexLink"/>
                <w:rtl w:val="true"/>
              </w:rPr>
              <w:tab/>
            </w:r>
            <w:r>
              <w:rPr>
                <w:rStyle w:val="IndexLink"/>
              </w:rPr>
              <w:t>349</w:t>
            </w:r>
          </w:hyperlink>
        </w:p>
        <w:p>
          <w:pPr>
            <w:pStyle w:val="Contents4"/>
            <w:tabs>
              <w:tab w:val="clear" w:pos="8176"/>
              <w:tab w:val="right" w:pos="9026" w:leader="dot"/>
            </w:tabs>
            <w:rPr/>
          </w:pPr>
          <w:hyperlink w:anchor="__RefHeading___Toc1259976_774463916">
            <w:r>
              <w:rPr>
                <w:webHidden/>
                <w:rStyle w:val="IndexLink"/>
                <w:rtl w:val="true"/>
              </w:rPr>
              <w:t>(</w:t>
            </w:r>
            <w:r>
              <w:rPr>
                <w:rStyle w:val="IndexLink"/>
              </w:rPr>
              <w:t>287-288</w:t>
            </w:r>
            <w:r>
              <w:rPr>
                <w:rStyle w:val="IndexLink"/>
                <w:rtl w:val="true"/>
              </w:rPr>
              <w:t xml:space="preserve">) </w:t>
            </w:r>
            <w:r>
              <w:rPr>
                <w:rStyle w:val="IndexLink"/>
                <w:rtl w:val="true"/>
              </w:rPr>
              <w:t>الحارث بن محمّد</w:t>
            </w:r>
            <w:r>
              <w:rPr>
                <w:rStyle w:val="IndexLink"/>
                <w:rtl w:val="true"/>
              </w:rPr>
              <w:tab/>
            </w:r>
            <w:r>
              <w:rPr>
                <w:rStyle w:val="IndexLink"/>
              </w:rPr>
              <w:t>349</w:t>
            </w:r>
          </w:hyperlink>
        </w:p>
        <w:p>
          <w:pPr>
            <w:pStyle w:val="Contents4"/>
            <w:tabs>
              <w:tab w:val="clear" w:pos="8176"/>
              <w:tab w:val="right" w:pos="9026" w:leader="dot"/>
            </w:tabs>
            <w:rPr/>
          </w:pPr>
          <w:hyperlink w:anchor="__RefHeading___Toc1259978_774463916">
            <w:r>
              <w:rPr>
                <w:webHidden/>
                <w:rStyle w:val="IndexLink"/>
                <w:rtl w:val="true"/>
              </w:rPr>
              <w:t>(</w:t>
            </w:r>
            <w:r>
              <w:rPr>
                <w:rStyle w:val="IndexLink"/>
              </w:rPr>
              <w:t>288-390</w:t>
            </w:r>
            <w:r>
              <w:rPr>
                <w:rStyle w:val="IndexLink"/>
                <w:rtl w:val="true"/>
              </w:rPr>
              <w:t xml:space="preserve">) </w:t>
            </w:r>
            <w:r>
              <w:rPr>
                <w:rStyle w:val="IndexLink"/>
                <w:rtl w:val="true"/>
              </w:rPr>
              <w:t>ابن الکلبی</w:t>
            </w:r>
            <w:r>
              <w:rPr>
                <w:rStyle w:val="IndexLink"/>
                <w:rtl w:val="true"/>
              </w:rPr>
              <w:tab/>
            </w:r>
            <w:r>
              <w:rPr>
                <w:rStyle w:val="IndexLink"/>
              </w:rPr>
              <w:t>349</w:t>
            </w:r>
          </w:hyperlink>
        </w:p>
        <w:p>
          <w:pPr>
            <w:pStyle w:val="Contents4"/>
            <w:tabs>
              <w:tab w:val="clear" w:pos="8176"/>
              <w:tab w:val="right" w:pos="9026" w:leader="dot"/>
            </w:tabs>
            <w:rPr/>
          </w:pPr>
          <w:hyperlink w:anchor="__RefHeading___Toc1259980_774463916">
            <w:r>
              <w:rPr>
                <w:webHidden/>
                <w:rStyle w:val="IndexLink"/>
                <w:rtl w:val="true"/>
              </w:rPr>
              <w:t>(</w:t>
            </w:r>
            <w:r>
              <w:rPr>
                <w:rStyle w:val="IndexLink"/>
              </w:rPr>
              <w:t>295-304</w:t>
            </w:r>
            <w:r>
              <w:rPr>
                <w:rStyle w:val="IndexLink"/>
                <w:rtl w:val="true"/>
              </w:rPr>
              <w:t xml:space="preserve">) </w:t>
            </w:r>
            <w:r>
              <w:rPr>
                <w:rStyle w:val="IndexLink"/>
                <w:rtl w:val="true"/>
              </w:rPr>
              <w:t>النصّ المعتمد</w:t>
            </w:r>
            <w:r>
              <w:rPr>
                <w:rStyle w:val="IndexLink"/>
                <w:rtl w:val="true"/>
              </w:rPr>
              <w:t>.</w:t>
              <w:tab/>
            </w:r>
            <w:r>
              <w:rPr>
                <w:rStyle w:val="IndexLink"/>
              </w:rPr>
              <w:t>351</w:t>
            </w:r>
          </w:hyperlink>
        </w:p>
        <w:p>
          <w:pPr>
            <w:pStyle w:val="Contents4"/>
            <w:tabs>
              <w:tab w:val="clear" w:pos="8176"/>
              <w:tab w:val="right" w:pos="9026" w:leader="dot"/>
            </w:tabs>
            <w:rPr/>
          </w:pPr>
          <w:hyperlink w:anchor="__RefHeading___Toc1259982_774463916">
            <w:r>
              <w:rPr>
                <w:webHidden/>
                <w:rStyle w:val="IndexLink"/>
                <w:rtl w:val="true"/>
              </w:rPr>
              <w:t>(</w:t>
            </w:r>
            <w:r>
              <w:rPr>
                <w:rStyle w:val="IndexLink"/>
              </w:rPr>
              <w:t>386-388</w:t>
            </w:r>
            <w:r>
              <w:rPr>
                <w:rStyle w:val="IndexLink"/>
                <w:rtl w:val="true"/>
              </w:rPr>
              <w:t xml:space="preserve">) </w:t>
            </w:r>
            <w:r>
              <w:rPr>
                <w:rStyle w:val="IndexLink"/>
                <w:rtl w:val="true"/>
              </w:rPr>
              <w:t>أسماء الهاشمیین الذین قُتلوا فی المعرکة</w:t>
            </w:r>
            <w:r>
              <w:rPr>
                <w:rStyle w:val="IndexLink"/>
                <w:rtl w:val="true"/>
              </w:rPr>
              <w:t>.</w:t>
              <w:tab/>
            </w:r>
            <w:r>
              <w:rPr>
                <w:rStyle w:val="IndexLink"/>
              </w:rPr>
              <w:t>360</w:t>
            </w:r>
          </w:hyperlink>
        </w:p>
        <w:p>
          <w:pPr>
            <w:pStyle w:val="Contents3"/>
            <w:tabs>
              <w:tab w:val="clear" w:pos="8459"/>
              <w:tab w:val="right" w:pos="9026" w:leader="dot"/>
            </w:tabs>
            <w:rPr/>
          </w:pPr>
          <w:hyperlink w:anchor="__RefHeading___Toc1259984_774463916">
            <w:r>
              <w:rPr>
                <w:webHidden/>
                <w:rStyle w:val="IndexLink"/>
                <w:rtl w:val="true"/>
              </w:rPr>
              <w:t xml:space="preserve">الملحق </w:t>
            </w:r>
            <w:r>
              <w:rPr>
                <w:rStyle w:val="IndexLink"/>
                <w:rtl w:val="true"/>
              </w:rPr>
              <w:t>(</w:t>
            </w:r>
            <w:r>
              <w:rPr>
                <w:rStyle w:val="IndexLink"/>
              </w:rPr>
              <w:t>2</w:t>
            </w:r>
            <w:r>
              <w:rPr>
                <w:rStyle w:val="IndexLink"/>
                <w:rtl w:val="true"/>
              </w:rPr>
              <w:t xml:space="preserve">) </w:t>
            </w:r>
            <w:r>
              <w:rPr>
                <w:rStyle w:val="IndexLink"/>
                <w:rtl w:val="true"/>
              </w:rPr>
              <w:t>النصّ المعتمد</w:t>
            </w:r>
            <w:r>
              <w:rPr>
                <w:rStyle w:val="IndexLink"/>
                <w:rtl w:val="true"/>
              </w:rPr>
              <w:tab/>
            </w:r>
            <w:r>
              <w:rPr>
                <w:rStyle w:val="IndexLink"/>
              </w:rPr>
              <w:t>362</w:t>
            </w:r>
          </w:hyperlink>
        </w:p>
        <w:p>
          <w:pPr>
            <w:pStyle w:val="Contents4"/>
            <w:tabs>
              <w:tab w:val="clear" w:pos="8176"/>
              <w:tab w:val="right" w:pos="9026" w:leader="dot"/>
            </w:tabs>
            <w:rPr/>
          </w:pPr>
          <w:hyperlink w:anchor="__RefHeading___Toc1259986_774463916">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1259988_774463916">
            <w:r>
              <w:rPr>
                <w:webHidden/>
                <w:rStyle w:val="IndexLink"/>
                <w:rtl w:val="true"/>
              </w:rPr>
              <w:t>القسم الأوّل</w:t>
            </w:r>
            <w:r>
              <w:rPr>
                <w:rStyle w:val="IndexLink"/>
                <w:rtl w:val="true"/>
              </w:rPr>
              <w:tab/>
            </w:r>
            <w:r>
              <w:rPr>
                <w:rStyle w:val="IndexLink"/>
              </w:rPr>
              <w:t>362</w:t>
            </w:r>
          </w:hyperlink>
        </w:p>
        <w:p>
          <w:pPr>
            <w:pStyle w:val="Contents4"/>
            <w:tabs>
              <w:tab w:val="clear" w:pos="8176"/>
              <w:tab w:val="right" w:pos="9026" w:leader="dot"/>
            </w:tabs>
            <w:rPr/>
          </w:pPr>
          <w:hyperlink w:anchor="__RefHeading___Toc1259990_774463916">
            <w:r>
              <w:rPr>
                <w:webHidden/>
                <w:rStyle w:val="IndexLink"/>
                <w:rtl w:val="true"/>
              </w:rPr>
              <w:t>القسم الثانی</w:t>
            </w:r>
            <w:r>
              <w:rPr>
                <w:rStyle w:val="IndexLink"/>
                <w:rtl w:val="true"/>
              </w:rPr>
              <w:tab/>
            </w:r>
            <w:r>
              <w:rPr>
                <w:rStyle w:val="IndexLink"/>
              </w:rPr>
              <w:t>364</w:t>
            </w:r>
          </w:hyperlink>
        </w:p>
        <w:p>
          <w:pPr>
            <w:pStyle w:val="Contents4"/>
            <w:tabs>
              <w:tab w:val="clear" w:pos="8176"/>
              <w:tab w:val="right" w:pos="9026" w:leader="dot"/>
            </w:tabs>
            <w:rPr/>
          </w:pPr>
          <w:hyperlink w:anchor="__RefHeading___Toc1259992_774463916">
            <w:r>
              <w:rPr>
                <w:webHidden/>
                <w:rStyle w:val="IndexLink"/>
                <w:rtl w:val="true"/>
              </w:rPr>
              <w:t>القسم الثالث</w:t>
            </w:r>
            <w:r>
              <w:rPr>
                <w:rStyle w:val="IndexLink"/>
                <w:rtl w:val="true"/>
              </w:rPr>
              <w:tab/>
            </w:r>
            <w:r>
              <w:rPr>
                <w:rStyle w:val="IndexLink"/>
              </w:rPr>
              <w:t>364</w:t>
            </w:r>
          </w:hyperlink>
        </w:p>
        <w:p>
          <w:pPr>
            <w:pStyle w:val="Contents4"/>
            <w:tabs>
              <w:tab w:val="clear" w:pos="8176"/>
              <w:tab w:val="right" w:pos="9026" w:leader="dot"/>
            </w:tabs>
            <w:rPr/>
          </w:pPr>
          <w:hyperlink w:anchor="__RefHeading___Toc1259994_774463916">
            <w:r>
              <w:rPr>
                <w:webHidden/>
                <w:rStyle w:val="IndexLink"/>
                <w:rtl w:val="true"/>
              </w:rPr>
              <w:t>القسم الرابع</w:t>
            </w:r>
            <w:r>
              <w:rPr>
                <w:rStyle w:val="IndexLink"/>
                <w:rtl w:val="true"/>
              </w:rPr>
              <w:tab/>
            </w:r>
            <w:r>
              <w:rPr>
                <w:rStyle w:val="IndexLink"/>
              </w:rPr>
              <w:t>365</w:t>
            </w:r>
          </w:hyperlink>
        </w:p>
        <w:p>
          <w:pPr>
            <w:pStyle w:val="Contents4"/>
            <w:tabs>
              <w:tab w:val="clear" w:pos="8176"/>
              <w:tab w:val="right" w:pos="9026" w:leader="dot"/>
            </w:tabs>
            <w:rPr/>
          </w:pPr>
          <w:hyperlink w:anchor="__RefHeading___Toc1259996_774463916">
            <w:r>
              <w:rPr>
                <w:webHidden/>
                <w:rStyle w:val="IndexLink"/>
                <w:rtl w:val="true"/>
              </w:rPr>
              <w:t>القسم الخامس</w:t>
            </w:r>
            <w:r>
              <w:rPr>
                <w:rStyle w:val="IndexLink"/>
                <w:rtl w:val="true"/>
              </w:rPr>
              <w:tab/>
            </w:r>
            <w:r>
              <w:rPr>
                <w:rStyle w:val="IndexLink"/>
              </w:rPr>
              <w:t>365</w:t>
            </w:r>
          </w:hyperlink>
        </w:p>
        <w:p>
          <w:pPr>
            <w:pStyle w:val="Contents4"/>
            <w:tabs>
              <w:tab w:val="clear" w:pos="8176"/>
              <w:tab w:val="right" w:pos="9026" w:leader="dot"/>
            </w:tabs>
            <w:rPr/>
          </w:pPr>
          <w:hyperlink w:anchor="__RefHeading___Toc1259998_774463916">
            <w:r>
              <w:rPr>
                <w:webHidden/>
                <w:rStyle w:val="IndexLink"/>
                <w:rtl w:val="true"/>
              </w:rPr>
              <w:t>القسم السادس</w:t>
            </w:r>
            <w:r>
              <w:rPr>
                <w:rStyle w:val="IndexLink"/>
                <w:rtl w:val="true"/>
              </w:rPr>
              <w:tab/>
            </w:r>
            <w:r>
              <w:rPr>
                <w:rStyle w:val="IndexLink"/>
              </w:rPr>
              <w:t>366</w:t>
            </w:r>
          </w:hyperlink>
        </w:p>
        <w:p>
          <w:pPr>
            <w:pStyle w:val="Contents4"/>
            <w:tabs>
              <w:tab w:val="clear" w:pos="8176"/>
              <w:tab w:val="right" w:pos="9026" w:leader="dot"/>
            </w:tabs>
            <w:rPr/>
          </w:pPr>
          <w:hyperlink w:anchor="__RefHeading___Toc1260000_774463916">
            <w:r>
              <w:rPr>
                <w:webHidden/>
                <w:rStyle w:val="IndexLink"/>
                <w:rtl w:val="true"/>
              </w:rPr>
              <w:t>القسم السابع</w:t>
            </w:r>
            <w:r>
              <w:rPr>
                <w:rStyle w:val="IndexLink"/>
                <w:rtl w:val="true"/>
              </w:rPr>
              <w:tab/>
            </w:r>
            <w:r>
              <w:rPr>
                <w:rStyle w:val="IndexLink"/>
              </w:rPr>
              <w:t>368</w:t>
            </w:r>
          </w:hyperlink>
        </w:p>
        <w:p>
          <w:pPr>
            <w:pStyle w:val="Contents4"/>
            <w:tabs>
              <w:tab w:val="clear" w:pos="8176"/>
              <w:tab w:val="right" w:pos="9026" w:leader="dot"/>
            </w:tabs>
            <w:rPr/>
          </w:pPr>
          <w:hyperlink w:anchor="__RefHeading___Toc1260002_774463916">
            <w:r>
              <w:rPr>
                <w:webHidden/>
                <w:rStyle w:val="IndexLink"/>
                <w:rtl w:val="true"/>
              </w:rPr>
              <w:t>القسم الثامن</w:t>
            </w:r>
            <w:r>
              <w:rPr>
                <w:rStyle w:val="IndexLink"/>
                <w:rtl w:val="true"/>
              </w:rPr>
              <w:tab/>
            </w:r>
            <w:r>
              <w:rPr>
                <w:rStyle w:val="IndexLink"/>
              </w:rPr>
              <w:t>368</w:t>
            </w:r>
          </w:hyperlink>
        </w:p>
        <w:p>
          <w:pPr>
            <w:pStyle w:val="Contents4"/>
            <w:tabs>
              <w:tab w:val="clear" w:pos="8176"/>
              <w:tab w:val="right" w:pos="9026" w:leader="dot"/>
            </w:tabs>
            <w:rPr/>
          </w:pPr>
          <w:hyperlink w:anchor="__RefHeading___Toc1260004_774463916">
            <w:r>
              <w:rPr>
                <w:webHidden/>
                <w:rStyle w:val="IndexLink"/>
                <w:rtl w:val="true"/>
              </w:rPr>
              <w:t>القسم التاسع</w:t>
            </w:r>
            <w:r>
              <w:rPr>
                <w:rStyle w:val="IndexLink"/>
                <w:rtl w:val="true"/>
              </w:rPr>
              <w:tab/>
            </w:r>
            <w:r>
              <w:rPr>
                <w:rStyle w:val="IndexLink"/>
              </w:rPr>
              <w:t>369</w:t>
            </w:r>
          </w:hyperlink>
        </w:p>
        <w:p>
          <w:pPr>
            <w:pStyle w:val="Contents4"/>
            <w:tabs>
              <w:tab w:val="clear" w:pos="8176"/>
              <w:tab w:val="right" w:pos="9026" w:leader="dot"/>
            </w:tabs>
            <w:rPr/>
          </w:pPr>
          <w:hyperlink w:anchor="__RefHeading___Toc1260006_774463916">
            <w:r>
              <w:rPr>
                <w:webHidden/>
                <w:rStyle w:val="IndexLink"/>
                <w:rtl w:val="true"/>
              </w:rPr>
              <w:t>القسم العاشر</w:t>
            </w:r>
            <w:r>
              <w:rPr>
                <w:rStyle w:val="IndexLink"/>
                <w:rtl w:val="true"/>
              </w:rPr>
              <w:tab/>
            </w:r>
            <w:r>
              <w:rPr>
                <w:rStyle w:val="IndexLink"/>
              </w:rPr>
              <w:t>370</w:t>
            </w:r>
          </w:hyperlink>
        </w:p>
        <w:p>
          <w:pPr>
            <w:pStyle w:val="Contents3"/>
            <w:tabs>
              <w:tab w:val="clear" w:pos="8459"/>
              <w:tab w:val="right" w:pos="9026" w:leader="dot"/>
            </w:tabs>
            <w:rPr/>
          </w:pPr>
          <w:hyperlink w:anchor="__RefHeading___Toc1260008_774463916">
            <w:r>
              <w:rPr>
                <w:webHidden/>
                <w:rStyle w:val="IndexLink"/>
                <w:rtl w:val="true"/>
              </w:rPr>
              <w:t xml:space="preserve">الملحق </w:t>
            </w:r>
            <w:r>
              <w:rPr>
                <w:rStyle w:val="IndexLink"/>
                <w:rtl w:val="true"/>
              </w:rPr>
              <w:t>(</w:t>
            </w:r>
            <w:r>
              <w:rPr>
                <w:rStyle w:val="IndexLink"/>
              </w:rPr>
              <w:t>3</w:t>
            </w:r>
            <w:r>
              <w:rPr>
                <w:rStyle w:val="IndexLink"/>
                <w:rtl w:val="true"/>
              </w:rPr>
              <w:t xml:space="preserve">) </w:t>
            </w:r>
            <w:r>
              <w:rPr>
                <w:rStyle w:val="IndexLink"/>
                <w:rtl w:val="true"/>
              </w:rPr>
              <w:t>موقف یزید من مقتل الحسین</w:t>
            </w:r>
            <w:r>
              <w:rPr>
                <w:rStyle w:val="IndexLink"/>
                <w:rtl w:val="true"/>
              </w:rPr>
              <w:tab/>
            </w:r>
            <w:r>
              <w:rPr>
                <w:rStyle w:val="IndexLink"/>
              </w:rPr>
              <w:t>372</w:t>
            </w:r>
          </w:hyperlink>
        </w:p>
        <w:p>
          <w:pPr>
            <w:pStyle w:val="Contents3"/>
            <w:tabs>
              <w:tab w:val="clear" w:pos="8459"/>
              <w:tab w:val="right" w:pos="9026" w:leader="dot"/>
            </w:tabs>
            <w:rPr/>
          </w:pPr>
          <w:hyperlink w:anchor="__RefHeading___Toc1260010_774463916">
            <w:r>
              <w:rPr>
                <w:webHidden/>
                <w:rStyle w:val="IndexLink"/>
                <w:rtl w:val="true"/>
              </w:rPr>
              <w:t xml:space="preserve">الملحق </w:t>
            </w:r>
            <w:r>
              <w:rPr>
                <w:rStyle w:val="IndexLink"/>
                <w:rtl w:val="true"/>
              </w:rPr>
              <w:t>(</w:t>
            </w:r>
            <w:r>
              <w:rPr>
                <w:rStyle w:val="IndexLink"/>
              </w:rPr>
              <w:t>4</w:t>
            </w:r>
            <w:r>
              <w:rPr>
                <w:rStyle w:val="IndexLink"/>
                <w:rtl w:val="true"/>
              </w:rPr>
              <w:t xml:space="preserve">) </w:t>
            </w:r>
            <w:r>
              <w:rPr>
                <w:rStyle w:val="IndexLink"/>
                <w:rtl w:val="true"/>
              </w:rPr>
              <w:t xml:space="preserve">نبذة عن تورستن هایلین </w:t>
            </w:r>
            <w:r>
              <w:rPr>
                <w:rStyle w:val="IndexLink"/>
                <w:rtl w:val="true"/>
              </w:rPr>
              <w:t>(</w:t>
            </w:r>
            <w:r>
              <w:rPr>
                <w:rStyle w:val="IndexLink"/>
              </w:rPr>
              <w:t>Torsten Hylén</w:t>
            </w:r>
            <w:r>
              <w:rPr>
                <w:rStyle w:val="IndexLink"/>
                <w:rtl w:val="true"/>
              </w:rPr>
              <w:t>)</w:t>
              <w:tab/>
            </w:r>
            <w:r>
              <w:rPr>
                <w:rStyle w:val="IndexLink"/>
              </w:rPr>
              <w:t>376</w:t>
            </w:r>
          </w:hyperlink>
        </w:p>
        <w:p>
          <w:pPr>
            <w:pStyle w:val="Contents4"/>
            <w:tabs>
              <w:tab w:val="clear" w:pos="8176"/>
              <w:tab w:val="right" w:pos="9026" w:leader="dot"/>
            </w:tabs>
            <w:rPr/>
          </w:pPr>
          <w:hyperlink w:anchor="__RefHeading___Toc1260012_774463916">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260014_774463916">
            <w:r>
              <w:rPr>
                <w:webHidden/>
                <w:rStyle w:val="IndexLink"/>
                <w:rtl w:val="true"/>
              </w:rPr>
              <w:t>من نتاجه العلمی</w:t>
            </w:r>
            <w:r>
              <w:rPr>
                <w:rStyle w:val="IndexLink"/>
                <w:rtl w:val="true"/>
              </w:rPr>
              <w:tab/>
            </w:r>
            <w:r>
              <w:rPr>
                <w:rStyle w:val="IndexLink"/>
              </w:rPr>
              <w:t>376</w:t>
            </w:r>
          </w:hyperlink>
        </w:p>
        <w:p>
          <w:pPr>
            <w:pStyle w:val="Contents2"/>
            <w:tabs>
              <w:tab w:val="clear" w:pos="8743"/>
              <w:tab w:val="right" w:pos="9026" w:leader="dot"/>
            </w:tabs>
            <w:rPr/>
          </w:pPr>
          <w:hyperlink w:anchor="__RefHeading___Toc1260016_774463916">
            <w:r>
              <w:rPr>
                <w:webHidden/>
                <w:rStyle w:val="IndexLink"/>
                <w:rtl w:val="true"/>
              </w:rPr>
              <w:t>المصادر</w:t>
            </w:r>
            <w:r>
              <w:rPr>
                <w:rStyle w:val="IndexLink"/>
                <w:rtl w:val="true"/>
              </w:rPr>
              <w:tab/>
            </w:r>
            <w:r>
              <w:rPr>
                <w:rStyle w:val="IndexLink"/>
              </w:rPr>
              <w:t>378</w:t>
            </w:r>
          </w:hyperlink>
        </w:p>
        <w:p>
          <w:pPr>
            <w:pStyle w:val="Contents3"/>
            <w:tabs>
              <w:tab w:val="clear" w:pos="8459"/>
              <w:tab w:val="right" w:pos="9026" w:leader="dot"/>
            </w:tabs>
            <w:rPr/>
          </w:pPr>
          <w:hyperlink w:anchor="__RefHeading___Toc1260018_774463916">
            <w:r>
              <w:rPr>
                <w:webHidden/>
                <w:rStyle w:val="IndexLink"/>
                <w:rtl w:val="true"/>
              </w:rPr>
              <w:t>أولاً</w:t>
            </w:r>
            <w:r>
              <w:rPr>
                <w:rStyle w:val="IndexLink"/>
                <w:rtl w:val="true"/>
              </w:rPr>
              <w:t xml:space="preserve">: </w:t>
            </w:r>
            <w:r>
              <w:rPr>
                <w:rStyle w:val="IndexLink"/>
                <w:rtl w:val="true"/>
              </w:rPr>
              <w:t>مصادر الکتاب</w:t>
            </w:r>
            <w:r>
              <w:rPr>
                <w:rStyle w:val="IndexLink"/>
                <w:rtl w:val="true"/>
              </w:rPr>
              <w:tab/>
            </w:r>
            <w:r>
              <w:rPr>
                <w:rStyle w:val="IndexLink"/>
              </w:rPr>
              <w:t>378</w:t>
            </w:r>
          </w:hyperlink>
        </w:p>
        <w:p>
          <w:pPr>
            <w:pStyle w:val="Contents3"/>
            <w:tabs>
              <w:tab w:val="clear" w:pos="8459"/>
              <w:tab w:val="right" w:pos="9026" w:leader="dot"/>
            </w:tabs>
            <w:rPr/>
          </w:pPr>
          <w:hyperlink w:anchor="__RefHeading___Toc1260020_774463916">
            <w:r>
              <w:rPr>
                <w:webHidden/>
                <w:rStyle w:val="IndexLink"/>
                <w:rtl w:val="true"/>
              </w:rPr>
              <w:t>ثانیاً</w:t>
            </w:r>
            <w:r>
              <w:rPr>
                <w:rStyle w:val="IndexLink"/>
                <w:rtl w:val="true"/>
              </w:rPr>
              <w:t xml:space="preserve">: </w:t>
            </w:r>
            <w:r>
              <w:rPr>
                <w:rStyle w:val="IndexLink"/>
                <w:rtl w:val="true"/>
              </w:rPr>
              <w:t>مصادر التحقیق</w:t>
            </w:r>
            <w:r>
              <w:rPr>
                <w:rStyle w:val="IndexLink"/>
                <w:rtl w:val="true"/>
              </w:rPr>
              <w:tab/>
            </w:r>
            <w:r>
              <w:rPr>
                <w:rStyle w:val="IndexLink"/>
              </w:rPr>
              <w:t>412</w:t>
            </w:r>
          </w:hyperlink>
        </w:p>
        <w:p>
          <w:pPr>
            <w:pStyle w:val="Contents2"/>
            <w:tabs>
              <w:tab w:val="clear" w:pos="8743"/>
              <w:tab w:val="right" w:pos="9026" w:leader="dot"/>
            </w:tabs>
            <w:rPr/>
          </w:pPr>
          <w:hyperlink w:anchor="__RefHeading___Toc1260022_774463916">
            <w:r>
              <w:rPr>
                <w:webHidden/>
                <w:rStyle w:val="IndexLink"/>
                <w:rtl w:val="true"/>
              </w:rPr>
              <w:t>فهرس الموضوعات</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97_58162"/>
      <w:bookmarkStart w:id="1" w:name="pg5097_58162"/>
      <w:bookmarkEnd w:id="1"/>
    </w:p>
    <w:p>
      <w:pPr>
        <w:pStyle w:val="Heading2"/>
        <w:numPr>
          <w:ilvl w:val="1"/>
          <w:numId w:val="1"/>
        </w:numPr>
        <w:rPr/>
      </w:pPr>
      <w:bookmarkStart w:id="2" w:name="pg5097_58162"/>
      <w:bookmarkStart w:id="3" w:name="__RefHeading___Toc1259794_77446391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 – KaPLI ara IQ –KaPLI rda</w:t>
      </w:r>
    </w:p>
    <w:p>
      <w:pPr>
        <w:pStyle w:val="BookText"/>
        <w:rPr/>
      </w:pPr>
      <w:r>
        <w:rPr>
          <w:rFonts w:ascii="IRNazanin" w:hAnsi="IRNazanin" w:eastAsia="IRNazanin"/>
          <w:color w:val="111111"/>
          <w:sz w:val="28"/>
          <w:sz w:val="28"/>
          <w:szCs w:val="28"/>
          <w:rtl w:val="true"/>
          <w:lang w:bidi="fa-IR"/>
        </w:rPr>
        <w:t>رقم الاستدعاء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 .H35 2017</w:t>
      </w:r>
    </w:p>
    <w:p>
      <w:pPr>
        <w:pStyle w:val="BookText"/>
        <w:rPr/>
      </w:pP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هایلین، تورستن،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بنیویّة لواقعة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تورستن هایلین،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الشاهین، عبد الله الشاهین؛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علی، 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مؤسسة وارث الأنبیاء للدراسات التخصصیة فی النهضة الحسینیة،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ببلیوغرافیة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هوامش، لائحة المصادر الصفحات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ملاحق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الطبری، محمّد بن جریر بن یزید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ونتائج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الشاهین، بدر،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الشاهین، عبد الله،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رائد ،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محمد،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هیئة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وارث الأنبیاء للدراسات التخصصیة فی النهضة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w:t>
      </w:r>
      <w:r>
        <w:rPr>
          <w:rFonts w:eastAsia="IRNazanin" w:cs="IRNazanin"/>
          <w:color w:val="111111"/>
          <w:sz w:val="28"/>
          <w:szCs w:val="28"/>
          <w:rtl w:val="true"/>
          <w:lang w:bidi="fa-IR"/>
        </w:rPr>
        <w:t>(</w:t>
      </w:r>
      <w:r>
        <w:rPr>
          <w:rFonts w:eastAsia="IRNazanin" w:cs="IRNazanin"/>
          <w:color w:val="111111"/>
          <w:sz w:val="28"/>
          <w:szCs w:val="28"/>
          <w:lang w:bidi="fa-IR"/>
        </w:rPr>
        <w:t>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9796_77446391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صورة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2870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16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
                        <a:stretch/>
                      </pic:blipFill>
                      <pic:spPr>
                        <a:xfrm>
                          <a:off x="0" y="0"/>
                          <a:ext cx="5334120" cy="5016600"/>
                        </a:xfrm>
                        <a:prstGeom prst="rect">
                          <a:avLst/>
                        </a:prstGeom>
                        <a:ln w="0">
                          <a:noFill/>
                        </a:ln>
                      </pic:spPr>
                    </pic:pic>
                  </a:graphicData>
                </a:graphic>
              </wp:inline>
            </w:drawing>
          </mc:Choice>
          <mc:Fallback>
            <w:pict>
              <v:shape id="shape_0" stroked="f" o:allowincell="f" style="position:absolute;margin-left:0pt;margin-top:-395.05pt;width:419.95pt;height:394.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70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9" o:detectmouseclick="t"/>
                <v:stroke color="#3465a4" joinstyle="round" endcap="flat"/>
                <w10:wrap type="none"/>
              </v:shape>
            </w:pict>
          </mc:Fallback>
        </mc:AlternateContent>
      </w:r>
      <w:bookmarkStart w:id="7" w:name="pg5097_58167"/>
    </w:p>
    <w:p>
      <w:pPr>
        <w:pStyle w:val="Heading2"/>
        <w:numPr>
          <w:ilvl w:val="1"/>
          <w:numId w:val="1"/>
        </w:numPr>
        <w:rPr/>
      </w:pPr>
      <w:bookmarkStart w:id="8" w:name="__RefHeading___Toc1259798_774463916"/>
      <w:bookmarkStart w:id="9" w:name="_Toc3"/>
      <w:bookmarkEnd w:id="7"/>
      <w:bookmarkEnd w:id="8"/>
      <w:r>
        <w:rPr>
          <w:rtl w:val="true"/>
        </w:rPr>
        <w:t>هویة الکتاب</w:t>
      </w:r>
      <w:bookmarkEnd w:id="9"/>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الوسیط ، دراسة تحلیلیّة بنبویّة لواقعة کربلاء</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تورستن هایلین</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الشاهدین ، عبدالله الشاهین</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علی، محمد صالح</w:t>
      </w:r>
    </w:p>
    <w:p>
      <w:pPr>
        <w:pStyle w:val="BookText"/>
        <w:rPr/>
      </w:pPr>
      <w:r>
        <w:rPr>
          <w:rFonts w:ascii="IRNazanin" w:hAnsi="IRNazanin" w:eastAsia="IRNazanin"/>
          <w:color w:val="111111"/>
          <w:sz w:val="28"/>
          <w:sz w:val="28"/>
          <w:szCs w:val="28"/>
          <w:rtl w:val="true"/>
          <w:lang w:bidi="fa-IR"/>
        </w:rPr>
        <w:t>الإشراف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 فی مؤسسة وارث الأنبیاء</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المالکی</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المؤمن</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bookmarkStart w:id="10" w:name="pg5097_58168"/>
    </w:p>
    <w:p>
      <w:pPr>
        <w:pStyle w:val="Heading2"/>
        <w:numPr>
          <w:ilvl w:val="1"/>
          <w:numId w:val="1"/>
        </w:numPr>
        <w:rPr/>
      </w:pPr>
      <w:bookmarkStart w:id="11" w:name="__RefHeading___Toc1259800_774463916"/>
      <w:bookmarkStart w:id="12" w:name="_Toc4"/>
      <w:bookmarkEnd w:id="10"/>
      <w:bookmarkEnd w:id="11"/>
      <w:r>
        <w:rPr>
          <w:rtl w:val="true"/>
        </w:rPr>
        <w:t>مقدّمة المؤسسة</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 والمعرفة مصدر الإشعاع الذی یهدی الإنسان إلی الطریق القویم، ومن خلالهما یمکنه أن یصل إلی غایته الحقیقیة وسعادته الأبدیة المنشودة، فبهما یتمیّز الحقّ من الباطل، وبهما تُحدد اختیارات الإنسان الصحیحة، وعلی ضوئهما یسیر فی سبل الهدایة وطریق الرشاد الذی خُلق من أجله، بل علی أساس العلم والمعرفة فضّله الله عز وجل علی سائر المخلوقات، واحتج علیهم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 فبالعلم یرتقی المرء وبالجهل یتسافل، وقد جاء فی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 کما بالعلم والمعرفة تتفاوت مقامات البشر ویتفوّق بعضهم علی بعض عند الله عز وجل،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وَالَّذِینَ أُوتُوا الْعِلْمَ دَرَجَاتٍ </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وبهما تسعد المجتمعات، وبهما الإعمار والازدهار، وبهما الخیر کلّ الخیر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أجل العلم والمعرفة کانت التضحیات الکبیرة التی قدّمها الأنبیاء والأئمة والأولیاء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تضحیات جسام کان هدفها منع الجهل والظلام والانحراف،تضحیات کانت غایتها إیصال المجتمع الإنسانی إلی مبتغاه وهدفه، إلی کماله، إلی حیث یجب أن یصل ویکون، فکان العلم والمعرفة هدف الأنبیاء المنشود لمجتمعاتهم، وتوسّلوا إلی الله عز وجل بغیة إرسال الرسل التی تعلّم المجتمعات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وَابْعَثْ فِیهِمْ رَسُولًا مِنْهُمْ یَتْلُو عَلَیْهِمْ آیَاتِکَ وَیُعَلِّمُهُمُ الْکِتَابَ وَالْحِکْمَةَ وَیُزَکِّیهِمْ إِنَّکَ أَنْتَ الْعَزِیزُ الْحَکِیمُ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ما یعنی أنّ دون العلم والمعرفة هو الضلال المبین والخسران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دعاؤهم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ومبتغاهم من الله عز وجل لأنفسهم أیضاً، إذ طلبوا منه تعالی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وَاملأ قُلُوبَنا بِالْعِلْمِ وَالمَعْرفَةِ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وبالعلم والمعرفة لا بدّ أن تُثمّن تلک التضحیات، وتُقدّس تلک الشخصیات التی ضحّت بکلّ شیء من أجل الحقّ والحقیقة، من أجل أن نکون علی علم وبصیرة، من أجل أن یصل إلینا النور الإلهی، من أجل أن لا یسود الجهل والظلام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سیرة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الجهاد والنضال والتضحیة والإیثار لأجل نشر العلم والمعرفة فی مجتمعاتهم، تلک السیرة الحافلة بالعلم والمعرفة فی کلّ </w:t>
      </w:r>
    </w:p>
    <w:p>
      <w:pPr>
        <w:pStyle w:val="BookText"/>
        <w:rPr/>
      </w:pPr>
      <w:r>
        <w:rPr>
          <w:rFonts w:ascii="IRNazanin" w:hAnsi="IRNazanin" w:eastAsia="IRNazanin"/>
          <w:color w:val="111111"/>
          <w:sz w:val="28"/>
          <w:sz w:val="28"/>
          <w:szCs w:val="28"/>
          <w:rtl w:val="true"/>
          <w:lang w:bidi="fa-IR"/>
        </w:rPr>
        <w:t>جانب من جوانبها، والتی ینهل منها علماؤنا فی التصدّی لحلّ مشاکل مجتمعاتهم علی مرّ العصور والأزمنة والأمکنة، وفی کافّة المجالات وشؤون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القاعدة التی أسسنا لها لا یُستثنی منها أیّ نبی أو وصی، فلکلّ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سیرته العطرة التی ینهل منها البشر للهدایة والصلاح، إلّا أنّه یتفاوت الأمر بین أفرادهم من حیث الشدّة والضعف، وهو أمر عائد إلی المهام التی أنیطت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أخبر عز وجل بذلک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الرُّسُلُ فَضَّلْنَا بَعْضَهُمْ عَلَی بَعْضٍ مِنْهُمْ مَنْ کَلَّمَ اللَّهُ وَرَفَعَ بَعْضَهُمْ دَرَجَاتٍ </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فسیرة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کبقیة سیر الأنبیاء، کما أنّ سیرة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کبقیة سیر الأوصیاء السابقین، کما أنّ التفاوت فی سیر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بینهم مما لا شک فیه، کما فی تفضیل أصحاب الکساء علی بقیة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الشخصیة القمّة فی العلم والمعرفة والجهاد والتضحیة والإیثار، أحد أصحاب الکساء الخمسة التی دلّت النصوص علی فضلهم ومنزلتهم علی سائر المخلوقات،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قدّم کلّ شیء من أجل بقاء النور الربانی، الذی یأبی الله أن ینطفئ،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بتضحیته تعلّمنا وعرفنا، فبقینا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سیرة هذه الشخصیة العظیمة التی ملأت أرکان الوجود تعلَّم الإنسان القیم المثلی التی بها حیاته الکریمة، کالإباء والتحمّل والصبر فی سبیل الوقوف بوجه الظلم، وغیرها من القیم المعرفیة والعملیة، التی کرَّس علماؤنا الأعلام جهودهم وأفنوا أعمارهم من أجل إیصالها إلی مجتمعات کانت ولا زالت بأمس </w:t>
      </w:r>
    </w:p>
    <w:p>
      <w:pPr>
        <w:pStyle w:val="BookText"/>
        <w:rPr/>
      </w:pPr>
      <w:r>
        <w:rPr>
          <w:rFonts w:ascii="IRNazanin" w:hAnsi="IRNazanin" w:eastAsia="IRNazanin"/>
          <w:color w:val="111111"/>
          <w:sz w:val="28"/>
          <w:sz w:val="28"/>
          <w:szCs w:val="28"/>
          <w:rtl w:val="true"/>
          <w:lang w:bidi="fa-IR"/>
        </w:rPr>
        <w:t>الحاجة إلی هذه القیم، وتلک الجهود التی بُذلت من قبل الأعلام جدیرة بالثناء والتقدیر؛ إذ بذلوا ما بوسعهم وأفنوا أغلی أوقاتهم وزهرة أعمارهم لأجل هذا الهدف النبیل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یعنی سدّ أبواب البحث والتنقیب فی الکنوز المعرفیة التی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للأجیال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الجوانب المعرفیة فی حیاة 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بقی منها من الجوانب ما لم یُسلّط الضوء علیه بالمقدار المطلوب، وهی لیست بالقلیل، بل لا نجانب الحقیقة فیما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أکثر مما تناولته أقلام علمائنا بکثیر، فلا بدّ لها أن تُعرَف لیُعرَّف، بل لا بدّ من العمل علی البحث فیها ودراستها من زوایا متعددة، لتکون منهجاً للحیاة، وهذا ما یزید من مسؤولیة المهتمین بالشأن الدینی، ویحتّم علیهم تحمّل أعباء التصدّی لهذه المهمّة الجسیمة؛ استکمالاً للجهود المبارکة التی قدّمها علماء الدین ومراجع الطائفة الحقّة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بادرت الأمانة العامة للعتبة الحسینیة المقدّسة لتخصیص سهم وافر من جهودها ومشاریعها الفکریة والعلمیة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المبارکة؛ إذ إنّها المعنیّة بالدرجة الأولی والأساس بمسک هذا الملف التخصصی، فعمدت إلی زرع بذرة ضمن أروقتها القدسیة، فکانت نتیجة هذه البذرة المبارکة إنشاء مؤسّسة وارث الأنبیاء للدراسات التخصّصیة فی النهضة الحسینیة، التابعة للعتبة الحسینیة المقدّسة، حیث أخذت علی عاتقها مهمّة تسلیط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بالبحث والتحقیق العلمیین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المبارکة وسیرته العطرة، وکلماته الهادیة، وفق خطة مبرمجة وآلیة متقنة، تمّت دراستها وعرضها علی المختصین فی هذا الشأن؛ لیتمّ اعتمادها والعمل علیها ضمن مجموعة </w:t>
      </w:r>
      <w:bookmarkStart w:id="13" w:name="pg5097_58172"/>
    </w:p>
    <w:p>
      <w:pPr>
        <w:pStyle w:val="BookText"/>
        <w:rPr/>
      </w:pPr>
      <w:bookmarkEnd w:id="13"/>
      <w:r>
        <w:rPr>
          <w:rFonts w:ascii="IRNazanin" w:hAnsi="IRNazanin" w:eastAsia="IRNazanin"/>
          <w:color w:val="111111"/>
          <w:sz w:val="28"/>
          <w:sz w:val="28"/>
          <w:szCs w:val="28"/>
          <w:rtl w:val="true"/>
          <w:lang w:bidi="fa-IR"/>
        </w:rPr>
        <w:t>من المشاریع العلمیة التخصصیة، فکان کلّ مشروع من تلک المشاریع متکفّلاً بجانب من الجوانب المهمّة فی النهضة الحسینیة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لیس لنا أن ندّعی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یدّعِ غیرنا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الإلمام والإحاطة بتمام جوانب شخصیة الإمام العظیم ونهضته المبارکة، إلّا أنّنا قد أخذنا علی أنفسنا بذل قصاری جهدنا، وتقدیم ما بوسعنا من إمکانات فی سبیل خدمة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وإیصال أهدافه السامیة إلی الأجیال اللاحقة</w:t>
      </w:r>
      <w:r>
        <w:rPr>
          <w:rFonts w:eastAsia="IRNazanin" w:cs="IRNazanin"/>
          <w:color w:val="111111"/>
          <w:sz w:val="28"/>
          <w:szCs w:val="28"/>
          <w:rtl w:val="true"/>
          <w:lang w:bidi="fa-IR"/>
        </w:rPr>
        <w:t>.</w:t>
      </w:r>
    </w:p>
    <w:p>
      <w:pPr>
        <w:pStyle w:val="Heading2"/>
        <w:numPr>
          <w:ilvl w:val="1"/>
          <w:numId w:val="1"/>
        </w:numPr>
        <w:rPr/>
      </w:pPr>
      <w:bookmarkStart w:id="14" w:name="__RefHeading___Toc1259802_774463916"/>
      <w:bookmarkStart w:id="15" w:name="_Toc5"/>
      <w:bookmarkEnd w:id="14"/>
      <w:r>
        <w:rPr>
          <w:rtl w:val="true"/>
        </w:rPr>
        <w:t>المشاریع العلمیة فی المؤسسة</w:t>
      </w:r>
      <w:bookmarkEnd w:id="15"/>
    </w:p>
    <w:p>
      <w:pPr>
        <w:pStyle w:val="Heading3"/>
        <w:numPr>
          <w:ilvl w:val="2"/>
          <w:numId w:val="1"/>
        </w:numPr>
        <w:rPr/>
      </w:pPr>
      <w:bookmarkStart w:id="16" w:name="__RefHeading___Toc1259804_774463916"/>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بعد الدراسة المتواصلة التی قامت بها مؤسَّسة وارث الأنبیاء حول المشاریع العلمیة فی المجال الحسینی، تمّ الوقوف علی مجموعة کبیرة من المشاریع التی لم یُسلَّط الضوء علیها کما یُراد لها، وهی مشاریع کثیرة وکبیرة فی نفس الوقت، ولکلٍّ منها أهمیته القصوی، ووفقاً لجدول الأولویات المعتمد فی المؤسَّسة تمّ اختیار المشاریع العلمیّة الأکثر أهمیّة، والتی یُعتبر العمل علیها إسهاماً فی تحقیق نقلة نوعیة للتراث والفکر الحسینی، وهذه المشاریع هی</w:t>
      </w:r>
      <w:r>
        <w:rPr>
          <w:rFonts w:eastAsia="IRNazanin" w:cs="IRNazanin"/>
          <w:color w:val="111111"/>
          <w:sz w:val="28"/>
          <w:szCs w:val="28"/>
          <w:rtl w:val="true"/>
          <w:lang w:bidi="fa-IR"/>
        </w:rPr>
        <w:t>:</w:t>
      </w:r>
    </w:p>
    <w:p>
      <w:pPr>
        <w:pStyle w:val="Heading3"/>
        <w:numPr>
          <w:ilvl w:val="2"/>
          <w:numId w:val="1"/>
        </w:numPr>
        <w:rPr/>
      </w:pPr>
      <w:bookmarkStart w:id="18" w:name="__RefHeading___Toc1259806_774463916"/>
      <w:bookmarkStart w:id="19" w:name="_Toc7"/>
      <w:bookmarkEnd w:id="18"/>
      <w:r>
        <w:rPr>
          <w:rtl w:val="true"/>
        </w:rPr>
        <w:t>الأوّل</w:t>
      </w:r>
      <w:r>
        <w:rPr>
          <w:rtl w:val="true"/>
        </w:rPr>
        <w:t xml:space="preserve">: </w:t>
      </w:r>
      <w:r>
        <w:rPr>
          <w:rtl w:val="true"/>
        </w:rPr>
        <w:t>قسم التألیف والتحقیق</w:t>
      </w:r>
      <w:bookmarkEnd w:id="19"/>
    </w:p>
    <w:p>
      <w:pPr>
        <w:pStyle w:val="Heading4"/>
        <w:numPr>
          <w:ilvl w:val="3"/>
          <w:numId w:val="1"/>
        </w:numPr>
        <w:rPr/>
      </w:pPr>
      <w:bookmarkStart w:id="20" w:name="__RefHeading___Toc1259808_774463916"/>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إنّ العمل فی هذا القسم علی مستویین</w:t>
      </w:r>
      <w:r>
        <w:rPr>
          <w:rFonts w:eastAsia="IRNazanin" w:cs="IRNazanin"/>
          <w:color w:val="111111"/>
          <w:sz w:val="28"/>
          <w:szCs w:val="28"/>
          <w:rtl w:val="true"/>
          <w:lang w:bidi="fa-IR"/>
        </w:rPr>
        <w:t>:</w:t>
      </w:r>
    </w:p>
    <w:p>
      <w:pPr>
        <w:pStyle w:val="Heading4"/>
        <w:numPr>
          <w:ilvl w:val="3"/>
          <w:numId w:val="1"/>
        </w:numPr>
        <w:rPr/>
      </w:pPr>
      <w:bookmarkStart w:id="22" w:name="__RefHeading___Toc1259810_774463916"/>
      <w:bookmarkStart w:id="23" w:name="_Toc9"/>
      <w:bookmarkEnd w:id="22"/>
      <w:r>
        <w:rPr>
          <w:rtl w:val="true"/>
        </w:rPr>
        <w:t xml:space="preserve">أ </w:t>
      </w:r>
      <w:r>
        <w:rPr>
          <w:rtl w:val="true"/>
        </w:rPr>
        <w:t xml:space="preserve">- </w:t>
      </w:r>
      <w:r>
        <w:rPr>
          <w:rtl w:val="true"/>
        </w:rPr>
        <w:t>التألیف</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ویُعنَی هذا القسم بالکتابة فی العناوین الحسینیة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یتمُّ استقبال النتاجات القیِّمة التی أُلِّفت من قبل العلماء والباحثین فی هذا القسم؛ لیتمَّ إخضاعها للتحکیم العلمی، وبعد إبداء الملاحظات العلمیة وإجراء التعدیلات اللازمة بالتوافق مع مؤلِّفیها یتمّ طباعتها ونشرها</w:t>
      </w:r>
      <w:r>
        <w:rPr>
          <w:rFonts w:eastAsia="IRNazanin" w:cs="IRNazanin"/>
          <w:color w:val="111111"/>
          <w:sz w:val="28"/>
          <w:szCs w:val="28"/>
          <w:rtl w:val="true"/>
          <w:lang w:bidi="fa-IR"/>
        </w:rPr>
        <w:t xml:space="preserve">. </w:t>
      </w:r>
      <w:bookmarkStart w:id="24" w:name="pg5097_58173"/>
    </w:p>
    <w:p>
      <w:pPr>
        <w:pStyle w:val="Heading4"/>
        <w:numPr>
          <w:ilvl w:val="3"/>
          <w:numId w:val="1"/>
        </w:numPr>
        <w:rPr/>
      </w:pPr>
      <w:bookmarkStart w:id="25" w:name="__RefHeading___Toc1259812_774463916"/>
      <w:bookmarkStart w:id="26" w:name="_Toc10"/>
      <w:bookmarkEnd w:id="24"/>
      <w:bookmarkEnd w:id="25"/>
      <w:r>
        <w:rPr>
          <w:rtl w:val="true"/>
        </w:rPr>
        <w:t xml:space="preserve">ب </w:t>
      </w:r>
      <w:r>
        <w:rPr>
          <w:rtl w:val="true"/>
        </w:rPr>
        <w:t xml:space="preserve">- </w:t>
      </w:r>
      <w:r>
        <w:rPr>
          <w:rtl w:val="true"/>
        </w:rPr>
        <w:t>التحقیق</w:t>
      </w:r>
      <w:bookmarkEnd w:id="26"/>
    </w:p>
    <w:p>
      <w:pPr>
        <w:pStyle w:val="BookText"/>
        <w:rPr/>
      </w:pPr>
      <w:r>
        <w:rPr>
          <w:rFonts w:ascii="IRNazanin" w:hAnsi="IRNazanin" w:eastAsia="IRNazanin"/>
          <w:color w:val="111111"/>
          <w:sz w:val="28"/>
          <w:sz w:val="28"/>
          <w:szCs w:val="28"/>
          <w:rtl w:val="true"/>
          <w:lang w:bidi="fa-IR"/>
        </w:rPr>
        <w:t>والعمل فیه قائم علی جمع وتحقیق وتنظیم التراث المکتوب عن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ویشمل جمیع الکتب فی هذا المجال، 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المقاتل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رصد المخطوطات الحسینیة التی لم تُطبع إلی الآن؛ لیتمَّ جمعها وتحقیقها،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التی تمّ تحقیقها خارج المؤسَّسة،لغرض طباعتها ونشرها، وذلک بعد إخضاعها للتقییم العلمی من قبل اللجنة العلمیة فی المؤسَّسة، وبعد إدخال التعدیلات اللازمة علیها وتأیید صلاحیتها للنشر تقوم المؤسَّسة بطباعتها</w:t>
      </w:r>
      <w:r>
        <w:rPr>
          <w:rFonts w:eastAsia="IRNazanin" w:cs="IRNazanin"/>
          <w:color w:val="111111"/>
          <w:sz w:val="28"/>
          <w:szCs w:val="28"/>
          <w:rtl w:val="true"/>
          <w:lang w:bidi="fa-IR"/>
        </w:rPr>
        <w:t>.</w:t>
      </w:r>
    </w:p>
    <w:p>
      <w:pPr>
        <w:pStyle w:val="Heading3"/>
        <w:numPr>
          <w:ilvl w:val="2"/>
          <w:numId w:val="1"/>
        </w:numPr>
        <w:rPr/>
      </w:pPr>
      <w:bookmarkStart w:id="27" w:name="__RefHeading___Toc1259814_774463916"/>
      <w:bookmarkStart w:id="28" w:name="_Toc11"/>
      <w:bookmarkEnd w:id="27"/>
      <w:r>
        <w:rPr>
          <w:rtl w:val="true"/>
        </w:rPr>
        <w:t>الثانی</w:t>
      </w:r>
      <w:r>
        <w:rPr>
          <w:rtl w:val="true"/>
        </w:rPr>
        <w:t xml:space="preserve">: </w:t>
      </w:r>
      <w:r>
        <w:rPr>
          <w:rtl w:val="true"/>
        </w:rPr>
        <w:t>مجلّة الإصلاح الحسینی</w:t>
      </w:r>
      <w:bookmarkEnd w:id="28"/>
    </w:p>
    <w:p>
      <w:pPr>
        <w:pStyle w:val="BookText"/>
        <w:rPr/>
      </w:pPr>
      <w:r>
        <w:rPr>
          <w:rFonts w:ascii="IRNazanin" w:hAnsi="IRNazanin" w:eastAsia="IRNazanin"/>
          <w:color w:val="111111"/>
          <w:sz w:val="28"/>
          <w:sz w:val="28"/>
          <w:szCs w:val="28"/>
          <w:rtl w:val="true"/>
          <w:lang w:bidi="fa-IR"/>
        </w:rPr>
        <w:t>وهی مجلّة فصلیة متخصّصة فی النهضة الحسینیة، تهتمّ بنشر معالم وآفاق الفکر الحسینی، وتسلِّط الضوء علی تاریخ النهضة الحسینیة وتراثها، وکذلک إبراز الجوانب الإنسانیة، والاجتماعیة والفقهیة والأدبیة فی تلک النهضة المبارکة، وقد قطعت شوطاً کبیراً فی مجالها، واحتلّت الصدارة بین المجلات العلمیة الرصینة فی مجالها، وأسهمت فی إثراء واقعنا الفکری بالبحوث العلمیة الرصینة</w:t>
      </w:r>
      <w:r>
        <w:rPr>
          <w:rFonts w:eastAsia="IRNazanin" w:cs="IRNazanin"/>
          <w:color w:val="111111"/>
          <w:sz w:val="28"/>
          <w:szCs w:val="28"/>
          <w:rtl w:val="true"/>
          <w:lang w:bidi="fa-IR"/>
        </w:rPr>
        <w:t>.</w:t>
      </w:r>
    </w:p>
    <w:p>
      <w:pPr>
        <w:pStyle w:val="Heading3"/>
        <w:numPr>
          <w:ilvl w:val="2"/>
          <w:numId w:val="1"/>
        </w:numPr>
        <w:rPr/>
      </w:pPr>
      <w:bookmarkStart w:id="29" w:name="__RefHeading___Toc1259816_774463916"/>
      <w:bookmarkStart w:id="30" w:name="_Toc12"/>
      <w:bookmarkEnd w:id="29"/>
      <w:r>
        <w:rPr>
          <w:rtl w:val="true"/>
        </w:rPr>
        <w:t>الثالث</w:t>
      </w:r>
      <w:r>
        <w:rPr>
          <w:rtl w:val="true"/>
        </w:rPr>
        <w:t xml:space="preserve">: </w:t>
      </w:r>
      <w:r>
        <w:rPr>
          <w:rtl w:val="true"/>
        </w:rPr>
        <w:t>قسم ردّ الشُّبُهات عن النهضة الحسینیة</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العمل فی هذا القسم قائم علی جمع الشُّبُهات المثارة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وذلک من خلال تتبع مظانّ تلک الشُّبُهات من کتب قدیمة أو حدیثة، ومقالات وبحوث وندوات وبرامج تلفزیونیة وما إلی ذلک، ثُمَّ یتمُّ فرزها وتبویبها وعنونتها ضمن جدول موضوعی، ثمّ یتمُّ الردُّ علیها بأُسلوب علمیّ تحقیقی فی عدَّة مستویات</w:t>
      </w:r>
      <w:r>
        <w:rPr>
          <w:rFonts w:eastAsia="IRNazanin" w:cs="IRNazanin"/>
          <w:color w:val="111111"/>
          <w:sz w:val="28"/>
          <w:szCs w:val="28"/>
          <w:rtl w:val="true"/>
          <w:lang w:bidi="fa-IR"/>
        </w:rPr>
        <w:t xml:space="preserve">. </w:t>
      </w:r>
      <w:bookmarkStart w:id="31" w:name="pg5097_58174"/>
    </w:p>
    <w:p>
      <w:pPr>
        <w:pStyle w:val="Heading3"/>
        <w:numPr>
          <w:ilvl w:val="2"/>
          <w:numId w:val="1"/>
        </w:numPr>
        <w:rPr/>
      </w:pPr>
      <w:bookmarkStart w:id="32" w:name="__RefHeading___Toc1259818_774463916"/>
      <w:bookmarkStart w:id="33" w:name="_Toc13"/>
      <w:bookmarkEnd w:id="31"/>
      <w:bookmarkEnd w:id="32"/>
      <w:r>
        <w:rPr>
          <w:rtl w:val="true"/>
        </w:rPr>
        <w:t>الرابع</w:t>
      </w:r>
      <w:r>
        <w:rPr>
          <w:rtl w:val="true"/>
        </w:rPr>
        <w:t xml:space="preserve">: </w:t>
      </w:r>
      <w:r>
        <w:rPr>
          <w:rtl w:val="true"/>
        </w:rPr>
        <w:t>الموسوعة العلمیة من کلمات الإمام الحسین</w:t>
      </w:r>
      <w:r>
        <w:rPr>
          <w:rtl w:val="true"/>
        </w:rPr>
        <w:t>(</w:t>
      </w:r>
      <w:r>
        <w:rPr>
          <w:rtl w:val="true"/>
        </w:rPr>
        <w:t>علیه السّلام</w:t>
      </w:r>
      <w:r>
        <w:rPr>
          <w:rtl w:val="true"/>
        </w:rPr>
        <w:t>)</w:t>
      </w:r>
      <w:bookmarkEnd w:id="33"/>
    </w:p>
    <w:p>
      <w:pPr>
        <w:pStyle w:val="BookText"/>
        <w:rPr/>
      </w:pPr>
      <w:r>
        <w:rPr>
          <w:rFonts w:ascii="IRNazanin" w:hAnsi="IRNazanin" w:eastAsia="IRNazanin"/>
          <w:color w:val="111111"/>
          <w:sz w:val="28"/>
          <w:sz w:val="28"/>
          <w:szCs w:val="28"/>
          <w:rtl w:val="true"/>
          <w:lang w:bidi="fa-IR"/>
        </w:rPr>
        <w:t>وهی موسوعة علمیة تخصصیة مستخرَجة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العلوم وفروع المعرفة، ویکون ذلک من خلال جمع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المصادر المعتبرة، ثمّ تبویبها حسب التخصّصات العلمیة مع بیان لتلک الکلمات، ثمّ وضعها بین یدی ذوی الاختصاص؛ لیستخرجوا نظریات علمیّة ممازجة بین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العلمی</w:t>
      </w:r>
      <w:r>
        <w:rPr>
          <w:rFonts w:eastAsia="IRNazanin" w:cs="IRNazanin"/>
          <w:color w:val="111111"/>
          <w:sz w:val="28"/>
          <w:szCs w:val="28"/>
          <w:rtl w:val="true"/>
          <w:lang w:bidi="fa-IR"/>
        </w:rPr>
        <w:t>.</w:t>
      </w:r>
    </w:p>
    <w:p>
      <w:pPr>
        <w:pStyle w:val="Heading3"/>
        <w:numPr>
          <w:ilvl w:val="2"/>
          <w:numId w:val="1"/>
        </w:numPr>
        <w:rPr/>
      </w:pPr>
      <w:bookmarkStart w:id="34" w:name="__RefHeading___Toc1259820_774463916"/>
      <w:bookmarkStart w:id="35" w:name="_Toc14"/>
      <w:bookmarkEnd w:id="34"/>
      <w:r>
        <w:rPr>
          <w:rtl w:val="true"/>
        </w:rPr>
        <w:t>الخامس</w:t>
      </w:r>
      <w:r>
        <w:rPr>
          <w:rtl w:val="true"/>
        </w:rPr>
        <w:t xml:space="preserve">: </w:t>
      </w:r>
      <w:r>
        <w:rPr>
          <w:rtl w:val="true"/>
        </w:rPr>
        <w:t>قسم دائرة معارف الإمام الحسین</w:t>
      </w:r>
      <w:r>
        <w:rPr>
          <w:rtl w:val="true"/>
        </w:rPr>
        <w:t>(</w:t>
      </w:r>
      <w:r>
        <w:rPr>
          <w:rtl w:val="true"/>
        </w:rPr>
        <w:t>علیه السّلام</w:t>
      </w:r>
      <w:r>
        <w:rPr>
          <w:rtl w:val="true"/>
        </w:rPr>
        <w:t xml:space="preserve">) </w:t>
      </w:r>
      <w:r>
        <w:rPr>
          <w:rtl w:val="true"/>
        </w:rPr>
        <w:t xml:space="preserve">أو </w:t>
      </w:r>
      <w:r>
        <w:rPr>
          <w:rtl w:val="true"/>
        </w:rPr>
        <w:t>(</w:t>
      </w:r>
      <w:r>
        <w:rPr>
          <w:rtl w:val="true"/>
        </w:rPr>
        <w:t>الموسوعة الألفبائیة الحسینیة</w:t>
      </w:r>
      <w:r>
        <w:rPr>
          <w:rtl w:val="true"/>
        </w:rPr>
        <w:t>)</w:t>
      </w:r>
      <w:bookmarkEnd w:id="35"/>
    </w:p>
    <w:p>
      <w:pPr>
        <w:pStyle w:val="BookText"/>
        <w:rPr/>
      </w:pPr>
      <w:r>
        <w:rPr>
          <w:rFonts w:ascii="IRNazanin" w:hAnsi="IRNazanin" w:eastAsia="IRNazanin"/>
          <w:color w:val="111111"/>
          <w:sz w:val="28"/>
          <w:sz w:val="28"/>
          <w:szCs w:val="28"/>
          <w:rtl w:val="true"/>
          <w:lang w:bidi="fa-IR"/>
        </w:rPr>
        <w:t>وهی موسوعة تشتمل علی کلّ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من أحداث، ووقائع، ومفاهیم، ورؤی، وأعلام وبلدان وأماکن، وکتب، وغیر ذلک، مرتّبة حسب حروف الألف باء، وکما هو معمول به فی دوائر المعارف والموسوعات، وعلی شکل مقالات علمیّة رصینة، تُراعَی فیها کلّ شروط المقالة العلمیّة، مکتوبة بلغةٍ عصریة وأُسلوبٍ حدیث</w:t>
      </w:r>
      <w:r>
        <w:rPr>
          <w:rFonts w:eastAsia="IRNazanin" w:cs="IRNazanin"/>
          <w:color w:val="111111"/>
          <w:sz w:val="28"/>
          <w:szCs w:val="28"/>
          <w:rtl w:val="true"/>
          <w:lang w:bidi="fa-IR"/>
        </w:rPr>
        <w:t>.</w:t>
      </w:r>
    </w:p>
    <w:p>
      <w:pPr>
        <w:pStyle w:val="Heading3"/>
        <w:numPr>
          <w:ilvl w:val="2"/>
          <w:numId w:val="1"/>
        </w:numPr>
        <w:rPr/>
      </w:pPr>
      <w:bookmarkStart w:id="36" w:name="__RefHeading___Toc1259822_774463916"/>
      <w:bookmarkStart w:id="37" w:name="_Toc15"/>
      <w:bookmarkEnd w:id="36"/>
      <w:r>
        <w:rPr>
          <w:rtl w:val="true"/>
        </w:rPr>
        <w:t>السادس</w:t>
      </w:r>
      <w:r>
        <w:rPr>
          <w:rtl w:val="true"/>
        </w:rPr>
        <w:t xml:space="preserve">: </w:t>
      </w:r>
      <w:r>
        <w:rPr>
          <w:rtl w:val="true"/>
        </w:rPr>
        <w:t>قسم الرسائل والأطاریح الجامعیة</w:t>
      </w:r>
      <w:bookmarkEnd w:id="37"/>
    </w:p>
    <w:p>
      <w:pPr>
        <w:pStyle w:val="BookText"/>
        <w:rPr/>
      </w:pPr>
      <w:r>
        <w:rPr>
          <w:rFonts w:ascii="IRNazanin" w:hAnsi="IRNazanin" w:eastAsia="IRNazanin"/>
          <w:color w:val="111111"/>
          <w:sz w:val="28"/>
          <w:sz w:val="28"/>
          <w:szCs w:val="28"/>
          <w:rtl w:val="true"/>
          <w:lang w:bidi="fa-IR"/>
        </w:rPr>
        <w:t>إنّ العمل فی هذا القسم یتمحور حول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إحصاء الرسائل والأطاریح الجامعیة التی کُتبتْ حول النهضة الحسینیة، ومتابعتها من قبل لجنة علمیة متخصّصة؛ لرفع النواقص العلمیة، وتهیئتها للطباعة والنشر،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إعداد موضوعات حسینیّة من قبل اللجنة العلمیة فی هذا القسم،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Heading3"/>
        <w:numPr>
          <w:ilvl w:val="2"/>
          <w:numId w:val="1"/>
        </w:numPr>
        <w:rPr/>
      </w:pPr>
      <w:bookmarkStart w:id="38" w:name="__RefHeading___Toc1259824_774463916"/>
      <w:bookmarkStart w:id="39" w:name="_Toc16"/>
      <w:bookmarkEnd w:id="38"/>
      <w:r>
        <w:rPr>
          <w:rtl w:val="true"/>
        </w:rPr>
        <w:t>السابع</w:t>
      </w:r>
      <w:r>
        <w:rPr>
          <w:rtl w:val="true"/>
        </w:rPr>
        <w:t xml:space="preserve">: </w:t>
      </w:r>
      <w:r>
        <w:rPr>
          <w:rtl w:val="true"/>
        </w:rPr>
        <w:t>قسم الترجمة</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یقوم هذا القسم بمتابعة التراث المکتوب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المبارکة باللغات غیر العربیة لنقله إلی العربیة، ویکون ذلک من خلال تأیید </w:t>
      </w:r>
      <w:bookmarkStart w:id="40" w:name="pg5097_58175"/>
    </w:p>
    <w:p>
      <w:pPr>
        <w:pStyle w:val="BookText"/>
        <w:rPr/>
      </w:pPr>
      <w:bookmarkEnd w:id="40"/>
      <w:r>
        <w:rPr>
          <w:rFonts w:ascii="IRNazanin" w:hAnsi="IRNazanin" w:eastAsia="IRNazanin"/>
          <w:color w:val="111111"/>
          <w:sz w:val="28"/>
          <w:sz w:val="28"/>
          <w:szCs w:val="28"/>
          <w:rtl w:val="true"/>
          <w:lang w:bidi="fa-IR"/>
        </w:rPr>
        <w:t>صلاحیته للترجمة، ثمَّ ترجمته أو الإشراف علی ترجمته إذا کانت الترجمة خارج القسم</w:t>
      </w:r>
      <w:r>
        <w:rPr>
          <w:rFonts w:eastAsia="IRNazanin" w:cs="IRNazanin"/>
          <w:color w:val="111111"/>
          <w:sz w:val="28"/>
          <w:szCs w:val="28"/>
          <w:rtl w:val="true"/>
          <w:lang w:bidi="fa-IR"/>
        </w:rPr>
        <w:t>.</w:t>
      </w:r>
    </w:p>
    <w:p>
      <w:pPr>
        <w:pStyle w:val="Heading3"/>
        <w:numPr>
          <w:ilvl w:val="2"/>
          <w:numId w:val="1"/>
        </w:numPr>
        <w:rPr/>
      </w:pPr>
      <w:bookmarkStart w:id="41" w:name="__RefHeading___Toc1259826_774463916"/>
      <w:bookmarkStart w:id="42" w:name="_Toc17"/>
      <w:bookmarkEnd w:id="41"/>
      <w:r>
        <w:rPr>
          <w:rtl w:val="true"/>
        </w:rPr>
        <w:t>الثامن</w:t>
      </w:r>
      <w:r>
        <w:rPr>
          <w:rtl w:val="true"/>
        </w:rPr>
        <w:t xml:space="preserve">: </w:t>
      </w:r>
      <w:r>
        <w:rPr>
          <w:rtl w:val="true"/>
        </w:rPr>
        <w:t>قسم الرَّصَد والإحصاء</w:t>
      </w:r>
      <w:bookmarkEnd w:id="42"/>
    </w:p>
    <w:p>
      <w:pPr>
        <w:pStyle w:val="BookText"/>
        <w:rPr/>
      </w:pPr>
      <w:r>
        <w:rPr>
          <w:rFonts w:ascii="IRNazanin" w:hAnsi="IRNazanin" w:eastAsia="IRNazanin"/>
          <w:color w:val="111111"/>
          <w:sz w:val="28"/>
          <w:sz w:val="28"/>
          <w:szCs w:val="28"/>
          <w:rtl w:val="true"/>
          <w:lang w:bidi="fa-IR"/>
        </w:rPr>
        <w:t>یتمُّ فی هذا القسم رصد جمیع القضایا الحسینیّة المطروحة فی جمیع الوسائل المتّبعة فی نشر العلم والثقافة، کالفضائیات، والمواقع الإلکترونیة، والکتب، والمجلات والنشریات،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فی شتّی المجالات</w:t>
      </w:r>
      <w:r>
        <w:rPr>
          <w:rFonts w:eastAsia="IRNazanin" w:cs="IRNazanin"/>
          <w:color w:val="111111"/>
          <w:sz w:val="28"/>
          <w:szCs w:val="28"/>
          <w:rtl w:val="true"/>
          <w:lang w:bidi="fa-IR"/>
        </w:rPr>
        <w:t>.</w:t>
      </w:r>
    </w:p>
    <w:p>
      <w:pPr>
        <w:pStyle w:val="Heading3"/>
        <w:numPr>
          <w:ilvl w:val="2"/>
          <w:numId w:val="1"/>
        </w:numPr>
        <w:rPr/>
      </w:pPr>
      <w:bookmarkStart w:id="43" w:name="__RefHeading___Toc1259828_774463916"/>
      <w:bookmarkStart w:id="44" w:name="_Toc18"/>
      <w:bookmarkEnd w:id="43"/>
      <w:r>
        <w:rPr>
          <w:rtl w:val="true"/>
        </w:rPr>
        <w:t>التاسع</w:t>
      </w:r>
      <w:r>
        <w:rPr>
          <w:rtl w:val="true"/>
        </w:rPr>
        <w:t xml:space="preserve">: </w:t>
      </w:r>
      <w:r>
        <w:rPr>
          <w:rtl w:val="true"/>
        </w:rPr>
        <w:t>قسم المؤتمرات والندوات العلمیة</w:t>
      </w:r>
      <w:bookmarkEnd w:id="44"/>
    </w:p>
    <w:p>
      <w:pPr>
        <w:pStyle w:val="BookText"/>
        <w:rPr/>
      </w:pPr>
      <w:r>
        <w:rPr>
          <w:rFonts w:ascii="IRNazanin" w:hAnsi="IRNazanin" w:eastAsia="IRNazanin"/>
          <w:color w:val="111111"/>
          <w:sz w:val="28"/>
          <w:sz w:val="28"/>
          <w:szCs w:val="28"/>
          <w:rtl w:val="true"/>
          <w:lang w:bidi="fa-IR"/>
        </w:rPr>
        <w:t>ویتمّ العمل فی هذا القسم علی إقامة مؤتمرات وملتقیات وندوات علمیّة فکریة متخصّصة فی النهضة الحسینیة، لغرض الإفادة من الأقلام الرائدة والإمکانات الواعدة، لیتمّ طرحها فی جوٍّ علمیّ بمحضر الأساتذة والباحثین والمحقّقین من ذوی الاختصاص، کما تتمّ دعوة العلماء والمفکِّرین؛ لطرح أفکارهم ورؤاهم القیِّمة علی الکوادر العلمیة فی المؤسَّسة، وکذا سائر الباحثین والمحققین وکلّ من لدیه اهتمام بالشأن الحسینی، للاستفادة من طرق قراءتهم للنصوص الحسینیة وفق الأدوات الاستنباطیة المعتمَدة لدیهم</w:t>
      </w:r>
      <w:r>
        <w:rPr>
          <w:rFonts w:eastAsia="IRNazanin" w:cs="IRNazanin"/>
          <w:color w:val="111111"/>
          <w:sz w:val="28"/>
          <w:szCs w:val="28"/>
          <w:rtl w:val="true"/>
          <w:lang w:bidi="fa-IR"/>
        </w:rPr>
        <w:t>.</w:t>
      </w:r>
    </w:p>
    <w:p>
      <w:pPr>
        <w:pStyle w:val="Heading3"/>
        <w:numPr>
          <w:ilvl w:val="2"/>
          <w:numId w:val="1"/>
        </w:numPr>
        <w:rPr/>
      </w:pPr>
      <w:bookmarkStart w:id="45" w:name="__RefHeading___Toc1259830_774463916"/>
      <w:bookmarkStart w:id="46" w:name="_Toc19"/>
      <w:bookmarkEnd w:id="45"/>
      <w:r>
        <w:rPr>
          <w:rtl w:val="true"/>
        </w:rPr>
        <w:t>العاشر</w:t>
      </w:r>
      <w:r>
        <w:rPr>
          <w:rtl w:val="true"/>
        </w:rPr>
        <w:t xml:space="preserve">: </w:t>
      </w:r>
      <w:r>
        <w:rPr>
          <w:rtl w:val="true"/>
        </w:rPr>
        <w:t>قسم المکتبة الحسینیة التخصصیة</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مکتبة حسینیة تخصّصیة تجمع التراث الحسینی المخطوط والمطبوع، أنشأتها مؤسَّسة وارث الأنبیاء، وهی تجمع آلاف الکتب المهمّة فی مجال تخصُّصها</w:t>
      </w:r>
      <w:r>
        <w:rPr>
          <w:rFonts w:eastAsia="IRNazanin" w:cs="IRNazanin"/>
          <w:color w:val="111111"/>
          <w:sz w:val="28"/>
          <w:szCs w:val="28"/>
          <w:rtl w:val="true"/>
          <w:lang w:bidi="fa-IR"/>
        </w:rPr>
        <w:t xml:space="preserve">. </w:t>
      </w:r>
      <w:bookmarkStart w:id="47" w:name="pg5097_58176"/>
    </w:p>
    <w:p>
      <w:pPr>
        <w:pStyle w:val="Heading3"/>
        <w:numPr>
          <w:ilvl w:val="2"/>
          <w:numId w:val="1"/>
        </w:numPr>
        <w:rPr/>
      </w:pPr>
      <w:bookmarkStart w:id="48" w:name="__RefHeading___Toc1259832_774463916"/>
      <w:bookmarkStart w:id="49" w:name="_Toc20"/>
      <w:bookmarkEnd w:id="47"/>
      <w:bookmarkEnd w:id="48"/>
      <w:r>
        <w:rPr>
          <w:rtl w:val="true"/>
        </w:rPr>
        <w:t>الحادی عشر</w:t>
      </w:r>
      <w:r>
        <w:rPr>
          <w:rtl w:val="true"/>
        </w:rPr>
        <w:t xml:space="preserve">: </w:t>
      </w:r>
      <w:r>
        <w:rPr>
          <w:rtl w:val="true"/>
        </w:rPr>
        <w:t>قسم الموقع الإلکترونی</w:t>
      </w:r>
      <w:bookmarkEnd w:id="49"/>
    </w:p>
    <w:p>
      <w:pPr>
        <w:pStyle w:val="BookText"/>
        <w:rPr/>
      </w:pPr>
      <w:r>
        <w:rPr>
          <w:rFonts w:ascii="IRNazanin" w:hAnsi="IRNazanin" w:eastAsia="IRNazanin"/>
          <w:color w:val="111111"/>
          <w:sz w:val="28"/>
          <w:sz w:val="28"/>
          <w:szCs w:val="28"/>
          <w:rtl w:val="true"/>
          <w:lang w:bidi="fa-IR"/>
        </w:rPr>
        <w:t>وهو موقع إلکترونی متخصِّص بنشر نتاجات وفعالیات مؤسَّسة وارث الأنبیاء، فهو یقوم بنشر وعرض کتبها ومجلاتها التی تصدرها، وکذا الندوات والمؤتمرات التی تقیمها، وکذا یسلِّط الضوء علی أخبار المؤسَّسة، ومجمل فعالیاتها العلمیة والإعلامیة</w:t>
      </w:r>
      <w:r>
        <w:rPr>
          <w:rFonts w:eastAsia="IRNazanin" w:cs="IRNazanin"/>
          <w:color w:val="111111"/>
          <w:sz w:val="28"/>
          <w:szCs w:val="28"/>
          <w:rtl w:val="true"/>
          <w:lang w:bidi="fa-IR"/>
        </w:rPr>
        <w:t>.</w:t>
      </w:r>
    </w:p>
    <w:p>
      <w:pPr>
        <w:pStyle w:val="Heading3"/>
        <w:numPr>
          <w:ilvl w:val="2"/>
          <w:numId w:val="1"/>
        </w:numPr>
        <w:rPr/>
      </w:pPr>
      <w:bookmarkStart w:id="50" w:name="__RefHeading___Toc1259834_774463916"/>
      <w:bookmarkStart w:id="51" w:name="_Toc21"/>
      <w:bookmarkEnd w:id="50"/>
      <w:r>
        <w:rPr>
          <w:rtl w:val="true"/>
        </w:rPr>
        <w:t>الثانی عشر</w:t>
      </w:r>
      <w:r>
        <w:rPr>
          <w:rtl w:val="true"/>
        </w:rPr>
        <w:t xml:space="preserve">: </w:t>
      </w:r>
      <w:r>
        <w:rPr>
          <w:rtl w:val="true"/>
        </w:rPr>
        <w:t>القسم النسوی</w:t>
      </w:r>
      <w:bookmarkEnd w:id="51"/>
    </w:p>
    <w:p>
      <w:pPr>
        <w:pStyle w:val="BookText"/>
        <w:rPr/>
      </w:pPr>
      <w:r>
        <w:rPr>
          <w:rFonts w:ascii="IRNazanin" w:hAnsi="IRNazanin" w:eastAsia="IRNazanin"/>
          <w:color w:val="111111"/>
          <w:sz w:val="28"/>
          <w:sz w:val="28"/>
          <w:szCs w:val="28"/>
          <w:rtl w:val="true"/>
          <w:lang w:bidi="fa-IR"/>
        </w:rPr>
        <w:t>یعمل هذا القسم ومن خلال کادر علمی متخصص علی تفعیل دور المرأة المسلمة فی النهضة الحسینیة، وبأقلام علمیة نسویة فی الجانب الدینی والأکادیمی، کما یعمل علی تأهیل الباحثات والکاتبات ضمن ورشات عمل تدریبیة، وفق الأسالیب المعاصرة فی التألیف والکتابة</w:t>
      </w:r>
      <w:r>
        <w:rPr>
          <w:rFonts w:eastAsia="IRNazanin" w:cs="IRNazanin"/>
          <w:color w:val="111111"/>
          <w:sz w:val="28"/>
          <w:szCs w:val="28"/>
          <w:rtl w:val="true"/>
          <w:lang w:bidi="fa-IR"/>
        </w:rPr>
        <w:t>.</w:t>
      </w:r>
    </w:p>
    <w:p>
      <w:pPr>
        <w:pStyle w:val="Heading3"/>
        <w:numPr>
          <w:ilvl w:val="2"/>
          <w:numId w:val="1"/>
        </w:numPr>
        <w:rPr/>
      </w:pPr>
      <w:bookmarkStart w:id="52" w:name="__RefHeading___Toc1259836_774463916"/>
      <w:bookmarkStart w:id="53" w:name="_Toc22"/>
      <w:bookmarkEnd w:id="52"/>
      <w:r>
        <w:rPr>
          <w:rtl w:val="true"/>
        </w:rPr>
        <w:t>الثالث عشر</w:t>
      </w:r>
      <w:r>
        <w:rPr>
          <w:rtl w:val="true"/>
        </w:rPr>
        <w:t xml:space="preserve">: </w:t>
      </w:r>
      <w:r>
        <w:rPr>
          <w:rtl w:val="true"/>
        </w:rPr>
        <w:t>القسم الفنی</w:t>
      </w:r>
      <w:bookmarkEnd w:id="53"/>
    </w:p>
    <w:p>
      <w:pPr>
        <w:pStyle w:val="BookText"/>
        <w:rPr/>
      </w:pPr>
      <w:r>
        <w:rPr>
          <w:rFonts w:ascii="IRNazanin" w:hAnsi="IRNazanin" w:eastAsia="IRNazanin"/>
          <w:color w:val="111111"/>
          <w:sz w:val="28"/>
          <w:sz w:val="28"/>
          <w:szCs w:val="28"/>
          <w:rtl w:val="true"/>
          <w:lang w:bidi="fa-IR"/>
        </w:rPr>
        <w:t>إنّ العمل فی هذا القسم قائم علی طباعة وإخراج النتاجات الحسینیة التی تصدر عن المؤسَّسة، وفقاً للبرامج الإلکترونیة المتطوِّرة، وذلک من خلال کادر فنیّ متخصِّص، کما ویعمل علی تصمیم الأغلفة وواجهات الصفحات الإلکترونیة، ومن مهامِّ هذا القسم أیضاً العمل علی برمجة الإعلانات المرئیة والمسموعة وغیرهما، وسائر الأمور الفنیّة الأخری التی تحتاجها کافّة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إن شاء الله تعالی</w:t>
      </w:r>
      <w:r>
        <w:rPr>
          <w:rFonts w:eastAsia="IRNazanin" w:cs="IRNazanin"/>
          <w:color w:val="111111"/>
          <w:sz w:val="28"/>
          <w:szCs w:val="28"/>
          <w:rtl w:val="true"/>
          <w:lang w:bidi="fa-IR"/>
        </w:rPr>
        <w:t>.</w:t>
      </w:r>
    </w:p>
    <w:p>
      <w:pPr>
        <w:pStyle w:val="Heading2"/>
        <w:numPr>
          <w:ilvl w:val="1"/>
          <w:numId w:val="1"/>
        </w:numPr>
        <w:rPr/>
      </w:pPr>
      <w:bookmarkStart w:id="54" w:name="__RefHeading___Toc1259838_774463916"/>
      <w:bookmarkStart w:id="55" w:name="_Toc23"/>
      <w:bookmarkEnd w:id="54"/>
      <w:r>
        <w:rPr>
          <w:rtl w:val="true"/>
        </w:rPr>
        <w:t>الحسین الوسیط</w:t>
      </w:r>
      <w:r>
        <w:rPr>
          <w:rtl w:val="true"/>
        </w:rPr>
        <w:t xml:space="preserve">.. </w:t>
      </w:r>
      <w:r>
        <w:rPr>
          <w:rtl w:val="true"/>
        </w:rPr>
        <w:t>دراسة تحلیلیّة بنیویّة لواقعة کربلاء</w:t>
      </w:r>
      <w:bookmarkEnd w:id="55"/>
    </w:p>
    <w:p>
      <w:pPr>
        <w:pStyle w:val="BookText"/>
        <w:rPr/>
      </w:pPr>
      <w:r>
        <w:rPr>
          <w:rFonts w:ascii="IRNazanin" w:hAnsi="IRNazanin" w:eastAsia="IRNazanin"/>
          <w:color w:val="111111"/>
          <w:sz w:val="28"/>
          <w:sz w:val="28"/>
          <w:szCs w:val="28"/>
          <w:rtl w:val="true"/>
          <w:lang w:bidi="fa-IR"/>
        </w:rPr>
        <w:t>تطرّق المؤلّف فی هذا الکتاب إلی نظریة مهمّة فی باب اللغة، وهی النظریة البنیویة، وقد طبّقها علی نص الطبری التاریخی المتعلّق بمقتل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أنّه یوجد اختلاف فی تحدید المعنی الدقیق لهذه النظریة إلّا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العام لهذه النظریة هو دراسة الألفاظ فی سیاقها الترکیبی مع بعضها </w:t>
      </w:r>
    </w:p>
    <w:p>
      <w:pPr>
        <w:pStyle w:val="BookText"/>
        <w:rPr/>
      </w:pPr>
      <w:r>
        <w:rPr>
          <w:rFonts w:ascii="IRNazanin" w:hAnsi="IRNazanin" w:eastAsia="IRNazanin"/>
          <w:color w:val="111111"/>
          <w:sz w:val="28"/>
          <w:sz w:val="28"/>
          <w:szCs w:val="28"/>
          <w:rtl w:val="true"/>
          <w:lang w:bidi="fa-IR"/>
        </w:rPr>
        <w:t xml:space="preserve">البعض، فإنّ کلّ لفظ بمفرده لا یؤدّی المعنی المطلوب، وإنّما یکون له ذلک المعنی المقصود للمتکلّم فیما إذا لوحظت علاقته مع ترکیبه العام الذی وقع فیه، مع عدم ملاحظة العناصر الخارجیة التی لها تأثیر علی النص المنقول، وقد رکّز الباحث دراسته حول رؤیة العالِم الفرنسی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 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النظریة، حیث إنّه یری ضرورة وجود نظرة کلیة للعالم تحقق نظاماً ذهنیاً واقعیاً، فالبنیویة تبحث عن الطرق التی تصنّف وتنظّم العالم، وهی علی مستویات متعددة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المستوی الثالث من تلک المستویات یتم تنظیم عناصر الأسطورة بطریقة یکون لها معنی، فإنّ مفردات الأسطورة لا یکون لها معنی إلّا إذا قیست بالعناصر الأخری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هذا المستوی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الأسطورة ومعانیها وحقیقتها وأبعادها، وواقعیة نظریتها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فالفکر الأسطوری حینما یواجه مشکلة خاصّة فإنّه ینظر إلیها کما ینظر إلی جمیع المشاکل الأخری دون أدنی فرق، ثمّ یبدأ حالاً باستخدام شیفرات عدیدة لحلّ تلک المشکلة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المصطلحات التی استخدمها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الأسطورة هو مصطلح الوسیط، وهو یعنی الواسطة التی تکون بین المتضادات التی تکون فی الواقع لتقلیلها والحدّ منها، باعتبار أنّ الأسطورة وظیفتها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 التناقضات الحاصلة فی الواقع</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طبّق المؤلّف هذه الرؤیة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نص الطبری فی تاریخه، فقد وضع جداول للأمور المتضادة التی نقلها النص، ثمّ خرج بنتیجة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هذا فإنّی أری أنّ صورة الحسین عند الطبری هو ذلک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أیّ شخص، بل هو زعیم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المستعد للتضحیة بنفسه من أجل رسالة سامیة وهی السبیل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یصبح الحسین قدوة وأسوة لجمیع المسلمین الذین یرجون الآخرة ولا یرجون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فقد حقق الحسین الحیاة الحقیقیة بموته، فبتقدیمه الدم إذاً یتقاسم الحیاة والموت، ویمکن أن یعتبر کیاناً بین المتضادین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سفک الدم وحفظ الدم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ویعتبر هذا النوع من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لا یخلو من الملاحظات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جدیداً فی البحوث الحسینیة من خلال النصوص التاریخیة التی نقلت تلک الواقعة الألیمة، وهی جواهر لا بدّ من استخراجها وترویجها وهی ملک لجمیع الإنسانیة، فنهضة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نهضة السماء، وهبة السماء لجمیع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نتقدّم بالشکر الجزیل للأخ بدر شاهین والأخ عبد الله شاهین علی ما قاما به من ترجمة هذا الکتاب المهم فی بابه، وکذا الشکر للشیخ رائد علی والشیخ الدکتور محمّد الحلفی لما قاما به من تحقیق وتدقیق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أن یوفّقنا فی أعمالنا إنّه سمیعٌ مجیبٌ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فی مؤسسة وارث الأنبیاء للدراسات التخصصیة فی النهضة الحسینیة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5097_58180"/>
      <w:bookmarkStart w:id="57" w:name="pg5097_58180"/>
      <w:bookmarkEnd w:id="57"/>
    </w:p>
    <w:p>
      <w:pPr>
        <w:pStyle w:val="Heading2"/>
        <w:numPr>
          <w:ilvl w:val="1"/>
          <w:numId w:val="1"/>
        </w:numPr>
        <w:rPr/>
      </w:pPr>
      <w:bookmarkStart w:id="58" w:name="pg5097_58180"/>
      <w:bookmarkStart w:id="59" w:name="__RefHeading___Toc1259840_774463916"/>
      <w:bookmarkStart w:id="60" w:name="_Toc24"/>
      <w:bookmarkEnd w:id="58"/>
      <w:bookmarkEnd w:id="59"/>
      <w:r>
        <w:rPr>
          <w:rtl w:val="true"/>
        </w:rPr>
        <w:t>کلمة التحقیق</w:t>
      </w:r>
      <w:bookmarkEnd w:id="60"/>
    </w:p>
    <w:p>
      <w:pPr>
        <w:pStyle w:val="BookText"/>
        <w:rPr/>
      </w:pPr>
      <w:r>
        <w:rPr>
          <w:rFonts w:ascii="IRNazanin" w:hAnsi="IRNazanin" w:eastAsia="IRNazanin"/>
          <w:color w:val="111111"/>
          <w:sz w:val="28"/>
          <w:sz w:val="28"/>
          <w:szCs w:val="28"/>
          <w:rtl w:val="true"/>
          <w:lang w:bidi="fa-IR"/>
        </w:rPr>
        <w:t>لیس من السهل العمل علی مثل هذا الکتاب القیّم وتحقیقه، فإنه ورغم أهمّیته البالغة وطباعته فی العقد السابق من الزمن، إلّا أنّنا واجهنا فیه بعض المعوقات والتحدّیات التی صعّبت المهمّة، وکان منها عمق الأفکار التی اشتمل علیها الکتاب، خصوصاً وأنّها تبتنی علی نظریة یکتنفها التعقید والغموض نوعاً ما، یُضاف إلیها ما سبّبته الترجمة من إبهام وإیهام فی مراد الکاتب؛ إذ تمّت علی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السویدیة إلی الإنجلیزیة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الإنجلیزیة إلی العربیة، علاوةً علی ذلک وجدنا المؤلّف قد اعتمد نسختین لتاریخ الطبری إحداهما بالعربیة، والأُخری مترجمة عنها، فاقتضی منّا ذلک جهداً مضاعفاً حتی نبلغ المعنی المقصود، ونخرج بالفهم الصحیح، فکثیراً ما تدارسنا بعض العبارات مع المترجم؛ لیقدّم لنا المعنی الأکثر انسجاماً ودلالات الألفاظ والفکرة المطروحة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نُخرج الکتاب بأحسن حلّة قمنا بعدّة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علی إخراج الکتاب سالماً من الأخطاء اللغویة والنحویة والإملائیة، وإضفاء المسحة العربیة علی عباراته وتراکیبه بالمقدار الممکن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بعض النکات الهامّة التی غابت عن الکاتب ولم یتناولها، أو وقع فی خطأ أثناء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وقوع ذلک نتیجةً للترجمة إلی الإنجلیزیة من اللغة التی دُوّن بها الکتاب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الحقّ فی بعض القضایا والمسائل التی طرحها الکاتب خلال بحثه بشکل مجمل، أو بنحوٍ یولّد شبهة عند القارئ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بعض الأُمور الغامضة فی نصّ الکتاب وتوضیحها للقارئ بالمقدار المناسب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الاسم اللاتینی لکلّ شخصیة أجنبیة مذکورة فی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 بتعریف الشخصیات البارزة والمؤثّرة التی جاء ذکرها فی الکتاب؛ لزیادة النفع والفائدة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یقع لبس فی حاشیة الکتاب بین هوامش المؤلّف وما أضافته لجنة التحقیق لذلک وضعت علامة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إضافة نبذة حول الاستشراق وتاریخه ونتاجه، وبالخصوص فیما یتعلق بالتشیع؛ لأنّ هذا الکتاب یشکّل جانباً من ذلک التراث، کما أُضیف بعدها تعریفاً مختصراً للنظریة البُنویّة؛ لاعتماد مادة الکتاب علیها بشکلٍ أساسی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حاولنا ذکر روایة الطبری لأحداث کربلاء بالنصّ من تاریخ الطبری، والذی تمّ التعبیر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ووضعنا کلّ مقطع بحسب تقطیع الکاتب للنصّ فی بدایة کلّ قسم من أقسام الفصل الثالث، مضافاً إلی مضمون تلک المقاطع الذی نقله الکاتب نفسه للأمانة العلمیة؛ باعتبار أنّ الکاتب لم یأت بالنصوص واکتفی بالنقل بالمضمون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الکتاب مقسّماً بالنحو الحالی، أی علی شکل مدخل وفصول، ولکنّنا قمنا بتقسیمه کذلک تسهیلاً للقارئ، وحتی یکون أوقع فی النفس وأنفع، فابتدأ الکتاب بمدخل یناقش فیه الکاتب مسألة الأُسطورة وصناعتها والدراسات عنها، وعلاقة ذلک بواقعة کربلاء والبحوث السابقة والحدیثة التی أُجریت بذلک </w:t>
      </w:r>
    </w:p>
    <w:p>
      <w:pPr>
        <w:pStyle w:val="BookText"/>
        <w:rPr/>
      </w:pPr>
      <w:r>
        <w:rPr>
          <w:rFonts w:ascii="IRNazanin" w:hAnsi="IRNazanin" w:eastAsia="IRNazanin"/>
          <w:color w:val="111111"/>
          <w:sz w:val="28"/>
          <w:sz w:val="28"/>
          <w:szCs w:val="28"/>
          <w:rtl w:val="true"/>
          <w:lang w:bidi="fa-IR"/>
        </w:rPr>
        <w:t>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المدخل جاء الدور للفصل الأوّل، وقد بحث فیه عن الطبری وروایته، ومجموعة من الموضوعات ذات الصلة بهذا العنوان، واختصّ الفصل الثانی بالنظریة البنویة بکلّ معالمها وما دار حولها من مناقشات، وأمّا الفصل الثالث فتضمّن تطبیقاً لتلک النظریة بشکل علمی علی وقعة کربلاء، من خلال روایة الطبری لها، وخصّص الفصل الرابع للاستنتاجات والتوقّعات المستقبلیة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أضفنا عنوانین جدیدین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لیندرج تحته مصادر الکتاب ومصادر التحقیق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لجنة التحقیق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5097_58184"/>
      <w:bookmarkStart w:id="62" w:name="pg5097_58184"/>
      <w:bookmarkEnd w:id="62"/>
    </w:p>
    <w:p>
      <w:pPr>
        <w:pStyle w:val="Heading2"/>
        <w:numPr>
          <w:ilvl w:val="1"/>
          <w:numId w:val="1"/>
        </w:numPr>
        <w:rPr/>
      </w:pPr>
      <w:bookmarkStart w:id="63" w:name="pg5097_58184"/>
      <w:bookmarkStart w:id="64" w:name="__RefHeading___Toc1259842_774463916"/>
      <w:bookmarkStart w:id="65" w:name="_Toc25"/>
      <w:bookmarkEnd w:id="63"/>
      <w:bookmarkEnd w:id="64"/>
      <w:r>
        <w:rPr>
          <w:rtl w:val="true"/>
        </w:rPr>
        <w:t>الاستشراق</w:t>
      </w:r>
      <w:bookmarkEnd w:id="65"/>
    </w:p>
    <w:p>
      <w:pPr>
        <w:pStyle w:val="Heading3"/>
        <w:numPr>
          <w:ilvl w:val="2"/>
          <w:numId w:val="1"/>
        </w:numPr>
        <w:rPr/>
      </w:pPr>
      <w:bookmarkStart w:id="66" w:name="__RefHeading___Toc1259844_774463916"/>
      <w:bookmarkStart w:id="67" w:name="_Toc26"/>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 xml:space="preserve">لم ترد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الاستشراق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المشتقّة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من المعاجم العربیة القدیمة، وربّما کان المعجم العربی الوحید الذی یشیر إلی واحد من مشتقّاتها هو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رضا الذی یورد 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ویتبعه بشرحه 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طلب علوم الشرق ولغاتهم، واصفاً الکلمة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مولدة 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علی مَن یعنی بذلک من علماء الفرنجة، وفعل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 مشتّق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المترجمة لکلمة </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واستشراق علی وزن استفعال، ویعنی طلب الشیء، ویُراد به هنا طلب علوم الشرق ولغاته، ویُقال لمَن یقوم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وجمعه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مستشرقون، ولما ینجزونه استشراقاً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والاستشراق عند علماء الغرب عُرّف بتعاریف عدّة أبرزها ما جاء عن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رودی بارت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Rudi Paret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الشرق، أو علم العالم الشرقی</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الإنجلیزی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آربری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Arthur John Arberry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حیث اعتمد تعریف قاموس أکسفورد الذی یعرّف المستشرق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تبحّر فی لغات الشرق وآدابه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آریری، المستشرقون البریطانیون، ترجمة محمد الرسوقی النویهی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الفرنسی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مکسیم رودنسون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Maxime Rodinson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الذی أشار إلی أنّ مصطلح الاستشراق ظهر فی اللغة الفرنسیة عام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 بینما ظهر فی اللغة الإنجلیزیة عام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م، وأنّ الاستشراق إنّما ظهر للحاجة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إیجاد فرع متخصص من فروع المعرفة لدراسة الشرق</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رودنسون، الصورة الغربیة والدراسات الغربیة الإسلامیة فی تراث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محمد زهیر السمهوری، سلسلة عالم المعرفة، الکویت أغسطس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موقع مرکز المدینة المنورة لدراسات وبحوث الاستشراق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وللاستشراق عند علماء العرب تعاریف عدّة، من أبرزها ما جاء عن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حسن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یُراد بالاستشراق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الغربیین لتاریخ الشرق وأُممه، ولغاته وآدابه وعلومه، وعاداته ومعتقداته، وأساطیره، ولکنّه فی العصور الوسیطة کان یقصد به دراسة العربیة لصلتها بالدین، ودراسة العربیة لعلاقتها بالعلم، إذ بینما کان الشرق من أدناه إلی أقصاه مغموراً بما تشعّه منائر بغداد والقاهرة من أضواء المدنیة والعلم، کان الغرب من بحره إلی محیطه غارقاً فی غیاهب من الجهل الکثیف</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68" w:name="pg5097_58186"/>
    </w:p>
    <w:p>
      <w:pPr>
        <w:pStyle w:val="Heading3"/>
        <w:numPr>
          <w:ilvl w:val="2"/>
          <w:numId w:val="1"/>
        </w:numPr>
        <w:rPr/>
      </w:pPr>
      <w:bookmarkStart w:id="69" w:name="__RefHeading___Toc1259846_774463916"/>
      <w:bookmarkStart w:id="70" w:name="_Toc27"/>
      <w:bookmarkEnd w:id="68"/>
      <w:bookmarkEnd w:id="69"/>
      <w:r>
        <w:rPr>
          <w:rtl w:val="true"/>
        </w:rPr>
        <w:t>نبذة حول حرکة الاستشراق</w:t>
      </w:r>
      <w:bookmarkEnd w:id="70"/>
    </w:p>
    <w:p>
      <w:pPr>
        <w:pStyle w:val="BookText"/>
        <w:rPr/>
      </w:pPr>
      <w:r>
        <w:rPr>
          <w:rFonts w:ascii="IRNazanin" w:hAnsi="IRNazanin" w:eastAsia="IRNazanin"/>
          <w:color w:val="111111"/>
          <w:sz w:val="28"/>
          <w:sz w:val="28"/>
          <w:szCs w:val="28"/>
          <w:rtl w:val="true"/>
          <w:lang w:bidi="fa-IR"/>
        </w:rPr>
        <w:t xml:space="preserve">لنشأة الاستشراق وانطلاق نشاطه العلمی آراء متعدّدة ومختلفة، فقد اختلفت وجهات النظر فی تحدید الفترة التاریخیة لبدء الغرب بحرکة الاستشراق، ولم تتّفق الآراء حول فترة زمنیة محدّدة لبدایة هذه الظاهرة؛ ممّا جعل من الصعب تحدید تاریخ معین لانطلاقة نشاط الغرب بدراسة ثقافة الشرق، وعلی الرغم من وجود آراء تذکر بأنّ الغرب یعتبر صدور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فیینا الکنسی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بإنشاء عدد من کراسی اللغة العربیة فی عدد من الجامعات الأُوروبیة هی بدایة الاستشراق</w:t>
      </w:r>
      <w:r>
        <w:rPr>
          <w:rStyle w:val="FootnoteAnchor"/>
          <w:rtl w:val="true"/>
        </w:rPr>
        <w:footnoteReference w:id="18"/>
      </w:r>
      <w:r>
        <w:rPr>
          <w:rFonts w:ascii="IRNazanin" w:hAnsi="IRNazanin" w:eastAsia="IRNazanin"/>
          <w:color w:val="111111"/>
          <w:sz w:val="28"/>
          <w:sz w:val="28"/>
          <w:szCs w:val="28"/>
          <w:rtl w:val="true"/>
          <w:lang w:bidi="fa-IR"/>
        </w:rPr>
        <w:t>، إلّا أنّ هناک باحثین أُوربیین لا یؤیدون هذا الرأی، ولا یعتمدون هذا التاریخ کبدایة للاستشراق</w:t>
      </w:r>
      <w:r>
        <w:rPr>
          <w:rStyle w:val="FootnoteAnchor"/>
          <w:rtl w:val="true"/>
        </w:rPr>
        <w:footnoteReference w:id="19"/>
      </w:r>
      <w:r>
        <w:rPr>
          <w:rFonts w:ascii="IRNazanin" w:hAnsi="IRNazanin" w:eastAsia="IRNazanin"/>
          <w:color w:val="111111"/>
          <w:sz w:val="28"/>
          <w:sz w:val="28"/>
          <w:szCs w:val="28"/>
          <w:rtl w:val="true"/>
          <w:lang w:bidi="fa-IR"/>
        </w:rPr>
        <w:t>، ولذلک جاءت الآراء مختلفة لتحدید نقطة بدایة انطلاق الاستشراق؛ فمنهم من یؤرّخ لبدایة الاستشراق منذ مطلع القرن الحادی عشر المیلادی</w:t>
      </w:r>
      <w:r>
        <w:rPr>
          <w:rStyle w:val="FootnoteAnchor"/>
          <w:rtl w:val="true"/>
        </w:rPr>
        <w:footnoteReference w:id="20"/>
      </w:r>
      <w:r>
        <w:rPr>
          <w:rFonts w:ascii="IRNazanin" w:hAnsi="IRNazanin" w:eastAsia="IRNazanin"/>
          <w:color w:val="111111"/>
          <w:sz w:val="28"/>
          <w:sz w:val="28"/>
          <w:szCs w:val="28"/>
          <w:rtl w:val="true"/>
          <w:lang w:bidi="fa-IR"/>
        </w:rPr>
        <w:t xml:space="preserve">، بینما یعتقد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رودی بارت</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Rudi Paret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الدراسات الإسلامیة والعربیة فی أُوروبا تعود إلی القرن الثانی عشر، حیث کانت أوّل ترجمة لمعانی القرآن الکریم إلی اللغات اللاتینیة، وفی القرن نفسه جاء أوّل قاموس لاتینی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مؤرّخی الغرب مَن یعتبر عام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م هو بدایة للاستشراق، ودلیله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 رسلاً إلی الروم یدعوهم إلی الإسلام، وبذلک تعرّف الرومان علی الإسلام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والبعض یری أنّ القرن السابع المیلادی فی عام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م هی بدایة الاستشراق </w:t>
      </w:r>
    </w:p>
    <w:p>
      <w:pPr>
        <w:pStyle w:val="BookText"/>
        <w:rPr/>
      </w:pPr>
      <w:r>
        <w:rPr>
          <w:rFonts w:ascii="IRNazanin" w:hAnsi="IRNazanin" w:eastAsia="IRNazanin"/>
          <w:color w:val="111111"/>
          <w:sz w:val="28"/>
          <w:sz w:val="28"/>
          <w:szCs w:val="28"/>
          <w:rtl w:val="true"/>
          <w:lang w:bidi="fa-IR"/>
        </w:rPr>
        <w:t xml:space="preserve">حینما فتحت الأندلس، وأقام المسلمون فیها صرحاً للحضارة، ممّا حرّض الغرب علی الهجرة إلی الأندلس؛ لینهلوا من هذه الحضارة العظیمة، فقد اتّخذ إقبال الغرب علی الحضارة الإسلامیة صبغة علمیة، ممّا یعتبر استشراقاً علی أُسس علمیة، حیث درّس فی الأندلس عدداً من القساوسة، ومنهم القسّ جربرت الذی ترأس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روما عام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Sylvester Ii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وأسّس مدرستین عربیتین فی روما وفی رامیس، ومن الذین وفدوا إلی الأندلس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بطرس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دیر کحلونی، الذی قام هو وجماعة من المتجرمین فی أسبانیا بالعمل من أجل الحصول علی معرفة علمیة عن الدین الإسلامی</w:t>
      </w:r>
      <w:r>
        <w:rPr>
          <w:rStyle w:val="FootnoteAnchor"/>
          <w:rtl w:val="true"/>
        </w:rPr>
        <w:footnoteReference w:id="22"/>
      </w:r>
      <w:r>
        <w:rPr>
          <w:rFonts w:ascii="IRNazanin" w:hAnsi="IRNazanin" w:eastAsia="IRNazanin"/>
          <w:color w:val="111111"/>
          <w:sz w:val="28"/>
          <w:sz w:val="28"/>
          <w:szCs w:val="28"/>
          <w:rtl w:val="true"/>
          <w:lang w:bidi="fa-IR"/>
        </w:rPr>
        <w:t xml:space="preserve">، ومن الباحثین من یری أنّ القرن العاشر المیلادی یعدّ مرحلة أُولی لبدایة الاستشراق، وقد تبنّی هذا التاریخ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العقیقی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الخطأ الاعتقاد بأنّ أوروبا لم تعرف الاستشراق قبل الحروب الصلیبیة؛ لأنّ الاستشراق عُرف منذ القرن العاشر المیلادی، وما کانت الحملات الصلیبیة إلّا نتیجة لمقدّمة وهی الاستشراق، ویلتزم بهذا الرأی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جورجی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فیعید الاستشراق إلی القرن العاشر المیلادی، لمّا أراد الأفرنج الاطّلاع علی ما فی اللغة العربیة من علوم طبیعیة وفلسفیة وطبّیة، فقاموا بترجمة الکثیر من الکتب إلی اللاتینیة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قسمٌ من الباحثین أنّ الحروب الصلیبیة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المبرّر أو هی بدایة الاستشراق، حیث انطلقت هذه الحروب بدافع دینی، وکانت تهدف احتلال الشرق الإسلامی، وإقامة عاصمة مسیحیة فی القدس، ویؤکّد هذا الرأی </w:t>
      </w:r>
    </w:p>
    <w:p>
      <w:pPr>
        <w:pStyle w:val="BookText"/>
        <w:rPr/>
      </w:pPr>
      <w:r>
        <w:rPr>
          <w:rFonts w:ascii="IRNazanin" w:hAnsi="IRNazanin" w:eastAsia="IRNazanin"/>
          <w:color w:val="111111"/>
          <w:sz w:val="28"/>
          <w:sz w:val="28"/>
          <w:szCs w:val="28"/>
          <w:rtl w:val="true"/>
          <w:lang w:bidi="fa-IR"/>
        </w:rPr>
        <w:t xml:space="preserve">الباحث الغربی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غاردنر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الحملات الصلیبیة لمّا فشلت فی انتزاع القدس من المسلمین، والقضاء علی الإسلام تحوّل الغزو العسکری إلی غزو فکری عن طریق الاستشراق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یری الباحث الغربی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کیرک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Kirk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الحروب الصلیبیة فتحت أذهان الغرب علی حضارة الشرق الأوسط، تلک الحضارة التی کانت تفوق بکثیر حضارة الغرب، فاتّجه الغرب إلی غزو الشرق فکریاً، بعد عجزه عن تحقیق أهدافه من خلال الغزو العسکری</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جدوی من الحروب للتغلّب علی المسلمین؛ لأنّ التزامهم بالإسلام یدفعهم للجهاد والتضحیة فی سبیل الله للدفاع عن بلادهم، والمسلمون قادرون دوماً علی الانطلاق من عقیدتهم إلی الجهاد، ولا بدّ من سبیل آخر لمحاربتهم، وهو تغییر الفکر الإسلامی، وترویض المسلمین عن طریق الغزو الفکری، وذلک أن یدرس علماء الغرب الحضارة الإسلامیة؛ لیأخذوا منها سلاحاً جدیداً یغزون به الفکر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یشعر بأنّ الاستشراق قد تبلور إبّان الحروب الصلیبیة نتیجة لفشل هذه الحروب، واکتسب دعماً رسمیاً من الغرب</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ذکره أنّ الغرب، وأثناء حربه الصلیبیة، قد استفاد من الشرق؛ ممّا دفعه للاهتمام أکثر به، والتوغّل فیه، ومعرفة الکثیر عنه، وهذا ما أقرّ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الباحث الغربی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حیاة أُوروبا اغتنت خلال الحروب الصلیبیة؛ لأنّها اقتبست من حیاة المسلمین ألواناً من الفکر والمعرفة، وکان ذلک دافعاً للغرب؛ لیواصلوا </w:t>
      </w:r>
    </w:p>
    <w:p>
      <w:pPr>
        <w:pStyle w:val="BookText"/>
        <w:rPr/>
      </w:pPr>
      <w:r>
        <w:rPr>
          <w:rFonts w:ascii="IRNazanin" w:hAnsi="IRNazanin" w:eastAsia="IRNazanin"/>
          <w:color w:val="111111"/>
          <w:sz w:val="28"/>
          <w:sz w:val="28"/>
          <w:szCs w:val="28"/>
          <w:rtl w:val="true"/>
          <w:lang w:bidi="fa-IR"/>
        </w:rPr>
        <w:t>صلتهم بالشرق عن طریق دراسات العلم والمعرفة، حتی أصبحوا مستشرقین، ومن خلال تلک الآراء المتعدّدة التی تحاول التأریخ لبدایات الاستشراق</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 فإنّه یمکن الاستنتاج بأنّ الظاهرة الاستشراقیة تمتدّ بجذورها إلی ما یقرب من ألف عام، إلّا أنّ مفهوم الاستشراق لم یظهر فی أُوربا إلّا فی نهایة القرن الثامن عشر، فقد أُدرج مفهوم الاستشراق فی قاموس الأکادیمیة الفرنسیة عام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xml:space="preserve">م، وظهر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إنجلترا عام </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 xml:space="preserve">م، وفی فرنسا عام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نهایة القرن الثامن عشر وبالتحدید عام </w:t>
      </w:r>
      <w:r>
        <w:rPr>
          <w:rFonts w:eastAsia="IRNazanin" w:cs="IRNazanin"/>
          <w:color w:val="111111"/>
          <w:sz w:val="28"/>
          <w:szCs w:val="28"/>
          <w:lang w:bidi="fa-IR"/>
        </w:rPr>
        <w:t>1795</w:t>
      </w:r>
      <w:r>
        <w:rPr>
          <w:rFonts w:ascii="IRNazanin" w:hAnsi="IRNazanin" w:eastAsia="IRNazanin"/>
          <w:color w:val="111111"/>
          <w:sz w:val="28"/>
          <w:sz w:val="28"/>
          <w:szCs w:val="28"/>
          <w:rtl w:val="true"/>
          <w:lang w:bidi="fa-IR"/>
        </w:rPr>
        <w:t xml:space="preserve">م، أُنشئت فی باریس مدرسة اللغات الشرقیة، وبدأت حرکة الاستشراق فی فرنسا تتخذ طابعاً علمیّاً علی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سلفستر دی ساس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Lsaac Silvestre De Sacy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الذی أصبح إمام المستشرقین الأُوروبیین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مَن یعتبر الحملة الفرنسیة علی مصر وغیرها من بلاد الشرق عام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 xml:space="preserve">م هی البدایة الحقیقیة للاستشراق؛ لأنّ هذه الحملة عندما جاءت إلی مصر کان فی رکابها عدد کبیر من المستشرقین، الذین قاموا بدراسات مختلفة تمّ نشرها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مصر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ویعدّ القرنان التاسع عشر والعشرون بمثابة عصر الازدهار الحقیقی للحرکة الاستشراقیة، فعندما تخلّص الاستشراق من سیطرة اللاهوت أصبح الاستشراق علماً قائماً بنفسه، هدفه دراسة اللغات الشرقیة وآدابها، وبرزت نزعة علمیة تتّجه إلی دراسة الآداب والعقائد الشرقیة لذاتها، مستهدفةً المعرفة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رودی بارت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Rudi Paret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هذا الصدد أنّ الاستشراق تشکّل کعلم فی القرن التاسع عشر، وذلک عندما بدأ الغرب یعمل علی التخلّص من الصور </w:t>
      </w:r>
      <w:bookmarkStart w:id="71" w:name="pg5097_58190"/>
    </w:p>
    <w:p>
      <w:pPr>
        <w:pStyle w:val="BookText"/>
        <w:rPr/>
      </w:pPr>
      <w:bookmarkEnd w:id="71"/>
      <w:r>
        <w:rPr>
          <w:rFonts w:ascii="IRNazanin" w:hAnsi="IRNazanin" w:eastAsia="IRNazanin"/>
          <w:color w:val="111111"/>
          <w:sz w:val="28"/>
          <w:sz w:val="28"/>
          <w:szCs w:val="28"/>
          <w:rtl w:val="true"/>
          <w:lang w:bidi="fa-IR"/>
        </w:rPr>
        <w:t>الذهنیة النمطیة المشوّهة عن الآخر الإسلامی، والانصراف عن الآراء المسبقة عن الإسلام والمسلمین، وعن کلّ لون من ألوان الانعکاس الذاتی، والاعتراف لعالم الشرق بکیانه الخاص الذی تحکمه نظمه الخاصّة، وعندما اجتهدوا فی نقل صورة موضوعیة له ما استطاعوا إلی 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الربع الأخیر من القرن التاسع عشر عُقدَ أوّل مؤتمر للمستشرقین فی باریس عام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xml:space="preserve">م، وتتالی عقد المؤتمرات التی تُلقی فیها الدراسات عن الشرق وأدیانه وحضاراته، وما تزال تُعقد حتی هذه الأیام، وفی نهایة القرن التاسع عشر، أصبحت الدراسات الإسلامیة تخصّصاً قائماً بذاته داخل الحرکة الاستشراقیة العامّة، وکان کثیر من علماء الإسلامیات والشؤون العربیة فی ذلک الوقت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Theodor Noldeke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 تسیهر وفلهاوزن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مشهورین فی الوقت نفسه، بوصفهم علماء فی السامیات علی وجه العموم، أو متخصّصین فی الدراسات العبریة، أو دراسة الکتاب المقدس</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259848_774463916"/>
      <w:bookmarkStart w:id="73" w:name="_Toc28"/>
      <w:bookmarkEnd w:id="72"/>
      <w:r>
        <w:rPr>
          <w:rtl w:val="true"/>
        </w:rPr>
        <w:t>الاهتمام بالتراث الإسلامی</w:t>
      </w:r>
      <w:bookmarkEnd w:id="7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استغرقت الدراسات الاستشراقیة حول الإسلام مساحة واسعة من التراث، فعلی الصعید الاجتماعی کانت لهم دراسات ورحلات استکشافیة لتقالید وعادات الشعوب الإسلامیة، وعلی الصعید الأدبی لقد اهتمّوا بدراسة الأدب العربی فی جامعاتهم ومعاهدهم، وهذه الدراسات کانت تُقدّم کدراسات وتقاریر للأنظمة السیاسیة الأُوربیة فی إدارة سیاستها فی المستعمرات، فکان التأریخ الإسلامی من </w:t>
      </w:r>
    </w:p>
    <w:p>
      <w:pPr>
        <w:pStyle w:val="BookText"/>
        <w:rPr/>
      </w:pPr>
      <w:r>
        <w:rPr>
          <w:rFonts w:ascii="IRNazanin" w:hAnsi="IRNazanin" w:eastAsia="IRNazanin"/>
          <w:color w:val="111111"/>
          <w:sz w:val="28"/>
          <w:sz w:val="28"/>
          <w:szCs w:val="28"/>
          <w:rtl w:val="true"/>
          <w:lang w:bidi="fa-IR"/>
        </w:rPr>
        <w:t xml:space="preserve">المساحات المهمّة فی التراث الإسلامی التی تناولها الاستشراق دراسةً وتحقیقاً، فکتب أساتذة الاستشراق ومفکّروه حول التأریخ الإسلامی بشکل واسع، فقد وضع المستشرق الهولندی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خویه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Johanna De Goge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العدید من الکتب الجغرافیة والتأریخیة، معتمداً علی مخطوطات مکتبة لیدن، حیث حقّق کتاب البلدان للیعقوبی، وهو کتاب الجغرافیة الاقتصادیة، وکتاب فتوح البلدان الصغیر للبلاذری الذی نشره فی لیدن عام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وکتاب تاریخ الرسل والملوک للطبری، وقد نُشر أوّل مرّة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بالتعاون مع عدد من المستشرقین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جلداً، وأُضیفت له مقدّمة وفهرس فی لیدن عام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م، وقام بوضع تقاویم للتاریخ والجغرافیة الشرقیین فی لیدن عام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م فی ثلاثة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المستشرق الألمانی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Johan Jakob Reiske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م، أوّل مَن اهتمّ بالتراث الإسلامی، فقد حقّق عدداً من المصادر القدیمة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أبی الفداء، وتاریخ حمزة الأصفهانی، وتعتبر تحقیقاته وترجماته الحجر الأساس فی الدراسات العربیة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وبدأ اهتمام المستشرقین الألمان بدراسة الحضارة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الحملات الصلیبیة الثانیة عام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بترجمة الکتب العربیة، فکانت أوّل ترجمة للقرآن بین عامی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م، إلی اللغة اللاتینیة، وقام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هرمان الدلماشی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Hermann Von Dalmatien = Hermann De Dalmatie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وهو راهب ألمانی، وساهم معه فی هذه الترجمة،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روتین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Robert De Retina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وهو راهب </w:t>
      </w:r>
    </w:p>
    <w:p>
      <w:pPr>
        <w:pStyle w:val="BookText"/>
        <w:rPr/>
      </w:pPr>
      <w:r>
        <w:rPr>
          <w:rFonts w:ascii="IRNazanin" w:hAnsi="IRNazanin" w:eastAsia="IRNazanin"/>
          <w:color w:val="111111"/>
          <w:sz w:val="28"/>
          <w:sz w:val="28"/>
          <w:szCs w:val="28"/>
          <w:rtl w:val="true"/>
          <w:lang w:bidi="fa-IR"/>
        </w:rPr>
        <w:t>إنجلیزی، واشترک معهم راهب عربی أسبانی،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اسمه محمّد، ونُشرت هذه بعد أربعة قرون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ودأب المستشرق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رایسکه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Johann Jakob Reiske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دراسة وتحقیق الأدب العربی، ویعدّ أبرز مَن أسّس الدراسات العربیة فی ألمانیا، وأمضی جلّ حیاته فی دراسة العربیة والحضارة الإسلامیة، ویعتقد بأنّ مجیء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وانتصار الإسلام، من أحداث التاریخ التی لیس للعقل أن یدرک مداها، ویری فی ذلک برهاناً ودلیلاً علی تدبیر قوّة إلهیة</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وللاستشراق اهتمام بالتاریخ الإسلامی بشکل عام، من حیث دراسة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 ما یتعلق بحیاته وشخصه ونبوته وغزواته، حیث کَتَب المستشرق الإنجلیزی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توماس أرنولد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Thomas Walker Arnold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فقدّم الکاتب عرضاً تحلیلیاً لتأریخ الإسلام، وصوّر انتشاره منذ البعثة وحتی القرن التاسع عشر، ویعدّ من الکتب التی اتّسمت بالموضوعیة والإنصاف، حیث یرفض الکاتب فکرة أو مقولة انتشار الإسلام بالسیف والخوف</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وضع المستشرق الأمیرکی جورج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بَحَث فیه ظهور الإسلام، الدولة العربیة والحروب الصلیبیة، الإسلام فی الأندلس، الإسلام والتطوّر، الإسلام فی التاریخ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للمستشرق البلجیکی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أبیل أرمان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A.Abel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دراسات وتحقیقات کثیرة حول الإسلام وتأریخه، وحول شخص النبی الکریم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الطابع الاجتماعی لأصل تکریم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منوعات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التبادلات السیاسیة آداب الآخرة فی الإسلام، الدراسات الإسلامیة فی بروکسل وجاند، المعونة الاجتماعیة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وبحث المستشرق الأمیرکی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أدامز تشارلز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Charles Adams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أیضاً فی مختلف مجالات التراث الإسلامی، والتاریخ الإسلامی، فقدّم بحوثاً متعدّدة حول التاریخ الإسلامی،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الدیانات ودراسة الإسلام، المفاهیم الدینیة الأخلاقیة فی القرآن، وله مقالات علمیة فی دوائر المعارف، منها دائرة معارف الکتب العالمیة، تحت عناوین عدّة،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الحج، الإسلام، القرآن،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دائرة المعارف البریطانیة له المقالات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المستشرق البریطانی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المستشرقین المتطبّعین باللغة العربیة، ویجید اللغة الفارسیة، ویرأس قسم الدراسات الشرقیة، والأفریقیة عام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 فی جامعة لندن، فقد کتب کتباً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الإسلام، موقف الإسلام من الحرب، الإسلام الیوم، الجزیرة العربیة قبل الإسلام، وفهرس المخطوطات العربیة والفارسیة فی مکتبة مدرسة الدراسات الشرقیة والأفریقیة، وقد ترجم معانی القرآن إلی الإنجلیزیة فی جزأین، وطُبع فی نیویورک عام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م، وطُبع مرّة ثانیة فی لندن عام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وللمستشرق الدنمارکی فرانس بوهل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Frantz Buhl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دراسات موسّعة حول التراث الإسلامی والقرآن والتاریخ، وعن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الدنمارکیة، اعتمد فیه علی المصادر العربیة وأبحاث العلماء والمحدّثین، وصدّره بمقدّمة عن بلاد العرب، ثمّ أضاف إلی کتابه ذیلاً عن دعوة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وللمستشرق الفرنسی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درمنجم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Dermenghem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مؤلّفات اختصّت بالإسلام وتاریخه، حیث وضع کتابه التاریخی الشهیر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ویعدّ أفضل کتاب للمستشرقین حول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والسنة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المستشرق الإیطالی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 فید لیفی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Della Vida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Glevi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أبحاثاً حول النبی والتأریخ الإسلامی، فله تحقیق حول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للبلاذری، ودراسة حول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الإسلام، وفهرس المخطوطات العربیة الإسلامیة فی مکتبة الفاتیکان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فی دائرة المعارف الإسلامیة حول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دائرة المعارف الإیطالیة کتب حول العباسیین وبغداد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نماذج اهتمام الاستشراق وباحثیه فی التراث الإسلامی، المعاجم التی وُضعت فی ذلک، حیث ألفّ المستشرق النمساوی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زامباور فون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Zambaur</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E.Von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معجم الأنساب والأُسرات الحاکمة فی التاریخ الإسلامی، وهو معجم تناول التاریخ الإسلامی منذ صدر الإسلام حتی عام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 وقد تبنّت جامعة الدول العربیة ترجمته، وقام بمهمّة الترجمة الدکتور زکی محمد حسن، وطُبع فی مطبعة جامعة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للمستشرق المعروف لامنسی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Lammens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وهو بلجیکی المولد فرنسی الجنسیة وممَّن عُرف بتعصبّه تجاه التاریخ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کتب ومقالات، تطّرق فیها للتاریخ الإسلامی وأحوال رجاله، ومن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محمد وتاریخ السیرة، الجزیرة العربیة قبل الهجرة، خصائص محمد بحسب القرآن، مهد الإسلام والجزیرة العربیة الغربیة قبل الإسلام، فاطمة وبنات محمد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وللمستشرق الإسبانی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 فیلا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Bosch Villa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مؤلّفات فی التراث الإسلامی،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حول الآداب الإسلامیة القدیمة، کتاب المسلمون </w:t>
      </w:r>
      <w:bookmarkStart w:id="74" w:name="pg5097_58195"/>
    </w:p>
    <w:p>
      <w:pPr>
        <w:pStyle w:val="BookText"/>
        <w:rPr/>
      </w:pPr>
      <w:bookmarkEnd w:id="74"/>
      <w:r>
        <w:rPr>
          <w:rFonts w:ascii="IRNazanin" w:hAnsi="IRNazanin" w:eastAsia="IRNazanin"/>
          <w:color w:val="111111"/>
          <w:sz w:val="28"/>
          <w:sz w:val="28"/>
          <w:szCs w:val="28"/>
          <w:rtl w:val="true"/>
          <w:lang w:bidi="fa-IR"/>
        </w:rPr>
        <w:t>جغرافیاً، وهو کتاب بحث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التاریخ، المساحة، الإعمار، الکثافة السکانیة، التاریخ الثقافی والدینی، وثائق ومسکوکات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فی دائرة المعارف الإسلامیة مقالات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مفهوم جدید لتأریخ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نبذة مختصرة عن نتاج المستشرقین حول التراث الإسلامی عموماً بما یتناسب وحجم تحقیقنا حول هذا الکتاب، وبعد هذه الإطلالة السریعة، نعرض نتاجات الاستشراق حول التشیّع، علی نحو الاختصار؛ حیث لا یتسع المقام لأکثر من هذا</w:t>
      </w:r>
      <w:r>
        <w:rPr>
          <w:rFonts w:eastAsia="IRNazanin" w:cs="IRNazanin"/>
          <w:color w:val="111111"/>
          <w:sz w:val="28"/>
          <w:szCs w:val="28"/>
          <w:rtl w:val="true"/>
          <w:lang w:bidi="fa-IR"/>
        </w:rPr>
        <w:t>.</w:t>
      </w:r>
    </w:p>
    <w:p>
      <w:pPr>
        <w:pStyle w:val="Heading3"/>
        <w:numPr>
          <w:ilvl w:val="2"/>
          <w:numId w:val="1"/>
        </w:numPr>
        <w:rPr/>
      </w:pPr>
      <w:bookmarkStart w:id="75" w:name="__RefHeading___Toc1259850_774463916"/>
      <w:bookmarkStart w:id="76" w:name="_Toc29"/>
      <w:bookmarkEnd w:id="75"/>
      <w:r>
        <w:rPr>
          <w:rtl w:val="true"/>
        </w:rPr>
        <w:t>نتائج المستشرقین حول التشیع</w:t>
      </w:r>
      <w:bookmarkEnd w:id="76"/>
    </w:p>
    <w:p>
      <w:pPr>
        <w:pStyle w:val="BookText"/>
        <w:rPr/>
      </w:pPr>
      <w:r>
        <w:rPr>
          <w:rFonts w:ascii="IRNazanin" w:hAnsi="IRNazanin" w:eastAsia="IRNazanin"/>
          <w:color w:val="111111"/>
          <w:sz w:val="28"/>
          <w:sz w:val="28"/>
          <w:szCs w:val="28"/>
          <w:rtl w:val="true"/>
          <w:lang w:bidi="fa-IR"/>
        </w:rPr>
        <w:t xml:space="preserve">بدأت أقلام الاستشراق تتّجه نحو الکتابة والتحقیق فی المذاهب والفرق الإسلامیة، وکان التشیع من بین المذاهب الإسلامیة التی تناولها الجهد العلمی الاستشراقی، مع ما فی الکتابات من ملاحظات، إمّا حول رؤیة الکاتب ونظرته تجاه التشیع، أو عدم اطّلاعه الکامل عن التشیع، وهنا نقدّم عرضاً لأهمّ ما کُتِب حول التشیّع فی مختلف المواضیع بأقلام الاستشراق قدیماً وحدیثاً، ففی عام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م کتب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 زیهر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Goldziher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آداب الجدل عند الشیعة، وبحوث حول الشیعة، والصحیفة السجادیة فی المجلّة الشرقیة الألمانیة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المستشرق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فیتش جوزیف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Horovitz</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تاریخ الشیعة، وأصل التشیّع وأخباره وحوادثه، وترجم إلی الألمانیة القصائد الهاشمیات للکمیت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للمستشرق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أبیل أرمان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A.Abel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بحوث فی إمامة الشیعة، وللمستشرق الأمیرکی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أدامز تشارلز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جوزیف عدّة کتابات حول التشیّع، فقد کتب حول الشیخ الطوسی بحثاً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ومساهمته فی نظریة الشیعة لأُصول الفقه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وکتب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تاریخ الشیعة، فوضع کتابه نهضة الشیعیین فی الدولة الأُمویة وکتاب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مدعیاً وخلیفة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ووضع المستشرق البریطانی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 لدسون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Donaldson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أبحاثاً تطرّق فیها إلی عقائد الشیعة،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عقیدة الشیعة فی الإمامة، عام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م، وعقیدة الشیعة، عام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زوبرنایم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Sobernheim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التشیع من خلال أبحاثه، فقدّم دراسة عن الشیعة، وکتب حول الشیعة فی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 المستشرق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نجر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Spren 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بحثاً إحصائیاً فهرس فیه کتب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کتب فی عقائد الشیعة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Vadja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فقد کتب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المستشرقین المعاصرین الذین کتبوا حول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هنز هالم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کان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التشیّع، بَحَث فیه کلمة الشیعة اصطلاحاً، وتطرّق فیه إلی خلافة الإمام علی،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تعتبر أنّ هذا الأمر قد جاء متأخراً جدّاً؛ حیث إنّ النبی قد صرّح من قبل بأنّ الإمام علیاً خلیفته وإمام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اندره نیومن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Andrew J. Newman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تکّون التشیع الإمامی الاثنا عشری، یتناول فیه التشیّع فی بغداد فی القرن الثالث، وأبرز مدارس الحدیث فی بغداد وقم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فی العالم صحوة المتبعدین واستراتیجیتهم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لفرنسوا تویال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تضمّن إضافة لتطرّقه لعقائد الشیعة، إحصاءات لتواجد وعدد الشیعة فی العالم، وفرقهم</w:t>
      </w:r>
      <w:r>
        <w:rPr>
          <w:rFonts w:eastAsia="IRNazanin" w:cs="IRNazanin"/>
          <w:color w:val="111111"/>
          <w:sz w:val="28"/>
          <w:szCs w:val="28"/>
          <w:rtl w:val="true"/>
          <w:lang w:bidi="fa-IR"/>
        </w:rPr>
        <w:t xml:space="preserve">. </w:t>
      </w:r>
      <w:bookmarkStart w:id="77" w:name="pg5097_58197"/>
    </w:p>
    <w:p>
      <w:pPr>
        <w:pStyle w:val="BookText"/>
        <w:rPr/>
      </w:pPr>
      <w:bookmarkEnd w:id="77"/>
      <w:r>
        <w:rPr>
          <w:rFonts w:ascii="IRNazanin" w:hAnsi="IRNazanin" w:eastAsia="IRNazanin"/>
          <w:color w:val="111111"/>
          <w:sz w:val="28"/>
          <w:sz w:val="28"/>
          <w:szCs w:val="28"/>
          <w:rtl w:val="true"/>
          <w:lang w:bidi="fa-IR"/>
        </w:rPr>
        <w:t>ونکتفی بهذا القدر من عرض ما جاءت به أقلام المستشرقین حول التشیع طلباً للاختصار؛ لأنّنا لو استغرقنا بالحدیث حول مؤلّفات وأبحاث الاستشراق حول الشیعة سنحتاج إلی مجلّد أو عدّة مجلدات، وأخیراً نودّ الإشارة إلی مسألة علمیة مهمّة، وهی أنّ ما کتبه الغرب عن مذهب أهل البیت، کانت تشوبه الإخفاقات؛ لأسباب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الاطّلاع بشکل کامل علی مصادر الفکر والفقه المعتمدة لدی المذهب، ومنها أسباب مرحلیة کما لو کتبت فی مرحلة تحمل طبیعة العداء والتبشیر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عالمنا الیوم أصبح الاطلاع فیه من أیسر الأُمور، فمن الواجب العلمی أن یطلب الکاتب الغربی المصدر الأصیل لفکر أهل البیت سواء المکتوب منه أو من خلال المفکرین البارزین؛ کی یعطی نتاجه العلمی ثماراً علمیّة واقعیة بعیدة عن الإجحاف</w:t>
      </w:r>
      <w:r>
        <w:rPr>
          <w:rFonts w:eastAsia="IRNazanin" w:cs="IRNazanin"/>
          <w:color w:val="111111"/>
          <w:sz w:val="28"/>
          <w:szCs w:val="28"/>
          <w:rtl w:val="true"/>
          <w:lang w:bidi="fa-IR"/>
        </w:rPr>
        <w:t>.</w:t>
      </w:r>
    </w:p>
    <w:p>
      <w:pPr>
        <w:pStyle w:val="Heading3"/>
        <w:numPr>
          <w:ilvl w:val="2"/>
          <w:numId w:val="1"/>
        </w:numPr>
        <w:rPr/>
      </w:pPr>
      <w:bookmarkStart w:id="78" w:name="__RefHeading___Toc1259852_774463916"/>
      <w:bookmarkStart w:id="79" w:name="_Toc30"/>
      <w:bookmarkEnd w:id="78"/>
      <w:r>
        <w:rPr>
          <w:rtl w:val="true"/>
        </w:rPr>
        <w:t>نافذةٌ علی البنیویّة</w:t>
      </w:r>
      <w:bookmarkEnd w:id="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شغلت دراسة اللغة المفکّرین والباحثین منذ زمنٍ طویلٍ، کما نالت دراسة الأدب الذی اتّخذ من اللغة صورةً له حظّاً أوفر من العنایة والاهتمام، وبما أنّ الدارسین للأدب ینطلقون من تصوّراتٍ مختلفة، ویحملون أیدیولوجیات متعدّدة؛ فقد تعدّدت المناهج وتنوّعت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بین هذه المناهج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البنیوی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کانت نشأته فی الغرب، وأرسی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فردیناند دی سوسیر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Ferdinand De Saussure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دعائمه کمنهجٍ یدرس اللغة</w:t>
      </w:r>
      <w:r>
        <w:rPr>
          <w:rStyle w:val="FootnoteAnchor"/>
          <w:rtl w:val="true"/>
        </w:rPr>
        <w:footnoteReference w:id="31"/>
      </w:r>
      <w:r>
        <w:rPr>
          <w:rFonts w:ascii="IRNazanin" w:hAnsi="IRNazanin" w:eastAsia="IRNazanin"/>
          <w:color w:val="111111"/>
          <w:sz w:val="28"/>
          <w:sz w:val="28"/>
          <w:szCs w:val="28"/>
          <w:rtl w:val="true"/>
          <w:lang w:bidi="fa-IR"/>
        </w:rPr>
        <w:t>، ثمّ استفاد منه النقّاد واستثمروا مبادءه فی دراسة الأدب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ولإیضاح الفکرة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اللغة اشتُقّت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ویسقطها البنیویون علی کلِّ ظاهرة إنسانیة کانت أم 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دراستها یجب تحلیلها أو تفکیکها إلی عناصرها المؤلّفة منها، دون النظر إلی أیّة عوامل خارجیّة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النقّادُ فی بیان مفهومِ البنیویةِ، وأوردوا له تعریفاتٍ مختلفةً، لکنّها علی العموم وفی معناها 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بحثٍ فی الواقعِ، لا فی الأشیاءِ الفردیةِ بل فی العلاقاتِ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أبرز 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سوسیر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اعتباطیّة الرمز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أشکال التواصل الإنسانی ما هی إلّا أنظمة تتکوَّن من مجموعةٍ من العلاقات التعسّفیّة،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العلاقات التی لا ترتبط ارتباطاً طبیعیّاً أو منطقیّاً أو وظیفیّاً بمدلولات العالم الطبیعی، وأنّ کلّ نظامٍ لغوی یعتمد علی مبدأ لا معقول من اعتباطیّة الرمز وتعسّفه، أی تماماً کما یعتبط العقل الجمعی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دورکایم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فیفرض علی الناس ما هو خارج عن ذواتهم، ومن هنا انبعثت 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السیمولوجیا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الدلالة، أو العلامة والإیحاء، وتطوّرت فیما بعد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آمن روّاد النقد البنیوی بأهمّیة تحلیل العلاقة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للکشف عن معانیه الخفیّة، والتخلّی عن الفهم الإجمالی المباشر الذی یمارسه السواد الأعظم من النقّاد التقلیدیین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فإنّ تحلیل النصّ بنیویّاً یتحقّق بارتیاد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 علی ضوء طبیعة لغته الرمزیّة، والتخلّی عن واقعه وعناصر خیالاته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وتعنی البنیویّة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لوکاش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Georg Lukacs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استخدام اللغة بطریقة جدیدة بحیث یثیر لدینا وعیاً باللغة من حیث هی لغة، ومن خلال هذا الوعی یتجدّد الوعی بدلالات اللغة، هذا الوعی الذی تطمسه العادة والرتابة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یراه الکثیرون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Levi Strauss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ذهب إلی أنّ البنیویة یمکن تطبیقُها فی أی نوعٍ من الدراسات، وقد حدّد البنیةَ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نسقٌ یتألفُ من عناصرَ یکونُ من شأنِ أیِّ تحولٍ یعرضُ للواحدِ منها أن یُحدثَ تحوّلاً فی باقی العناصرِ الأُخری</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النقّاد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نظرائهم البنیویین الغربیین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یعدّون النصّ بنیةً مغلقةً علی ذاتِها ولا یسمحون بتغیّرٍ یقع خارج علاقاتهِ ونظامه الداخلی، فکان لهم فی تعریفها أرآء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عرِّف المنهج البنیوی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الولوج إلی بنیة النصّ الدلالیّة من خلال بنیته الترکیبیّة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یری أنّ المنهج البنیوی یعتمد فی دراسة الأدب علی النظر فی العمل الأدبی فی حدّ ذاته، بوصفه بناءً متکاملاً بعیداً عن أیَّة عوامل أُخری، فأصحاب هذا المنهج یعکفون من خلال اللغة علی استخلاص الوحدات الوظیفیة الأساسیة التی تحرّک العمل الأدبی</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یعتقد أنّ المنهج البنیوی منهجٌ فکری یقوم علی البحثِ عن العلاقات التی تُعطی العناصر المتّحدة قیمةً، ووصفها فی مجموعٍ منتظم ممّا یجعل من الممکن إدراک هذه المجموعات فی أوضاعها الدالّة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ومنهم مَن یعتبر البنیویة طریقة وصفیّة فی قراءة النصّ الأدبی تستند إلی خطوتین أساسیّتین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التفکیک والترکیب، کما أنّها لا تهتمّ بالمضمون المباشر، بل ترکّز علی شکل المضمون وعناصره وبناه التی تشکّل نسقیّة النصّ فی اختلافاته وتآلفاته، ویعنی هذا أنّ النصَّ عبارةٌ عن لعبة الاختلافات ونسق من العناصر البنیویّة التی تتفاعل فیما بینها وظیفیّاً داخل نظام ثابت من العلاقات والظواهر التی تتطلّب الرصد المحاید، والتحلیل من خلال الهدم والبناء، أو تفکیک النصّ الأدبی إلی تفصیلاته الشکلیّة وإعادة ترکیبها، من أجل معرفة میکانیزمات النصّ ومولّداته البنیویّة العمیقة؛ لفهم طریقة بناء النصّ الأدبی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البنیویّة جاءت لتکون منهجاً ونشاطاً وقراءةً وتصوّراً فلسفیّاً یقصی الخارج والتاریخ والإنسان، وکلّ ما هو مرجعی وواقعی، ویرکّز فقط علی ما هو لغوی، ویستقرئ الدوالّ الداخلیّة للنصّ دون الانفتاح علی الظروف السیاقیّة الخارجیّة التی لعلّها قد أفرزت هذا النصّ من قریبٍ أو من بعید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5097_58202"/>
      <w:bookmarkStart w:id="81" w:name="pg5097_58202"/>
      <w:bookmarkEnd w:id="81"/>
    </w:p>
    <w:p>
      <w:pPr>
        <w:pStyle w:val="Heading2"/>
        <w:numPr>
          <w:ilvl w:val="1"/>
          <w:numId w:val="1"/>
        </w:numPr>
        <w:rPr/>
      </w:pPr>
      <w:bookmarkStart w:id="82" w:name="pg5097_58202"/>
      <w:bookmarkStart w:id="83" w:name="__RefHeading___Toc1259854_774463916"/>
      <w:bookmarkStart w:id="84" w:name="_Toc31"/>
      <w:bookmarkEnd w:id="82"/>
      <w:bookmarkEnd w:id="83"/>
      <w:r>
        <w:rPr>
          <w:rtl w:val="true"/>
        </w:rPr>
        <w:t>تقدیم وشکر</w:t>
      </w:r>
      <w:bookmarkEnd w:id="84"/>
    </w:p>
    <w:p>
      <w:pPr>
        <w:pStyle w:val="BookText"/>
        <w:rPr/>
      </w:pPr>
      <w:r>
        <w:rPr>
          <w:rFonts w:ascii="IRNazanin" w:hAnsi="IRNazanin" w:eastAsia="IRNazanin"/>
          <w:color w:val="111111"/>
          <w:sz w:val="28"/>
          <w:sz w:val="28"/>
          <w:szCs w:val="28"/>
          <w:rtl w:val="true"/>
          <w:lang w:bidi="fa-IR"/>
        </w:rPr>
        <w:t>حینما شرعتُ بکتابة هذه الأُطروحة، کان فی ذهنی أنّها ستکون محلّ اهتمام مجموعتین من القرّاء، علاوةً علی أُولئک الذین یُعنون بتاریخ الأدیان عموماً، فالمجموعة الأُولی من القرّاء تشمل أُولئک الذین لهم اهتمام خاصّ بتاریخ الإسلام فی أوائل ظهوره، وخاصّةً المعنیین بتاریخ واقعة کربلاء، وما تحمله هذه الواقعة من تأویلات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والمجموعة الثانیة من القرّاء تشتمل علی المهتمّین بالنظریّة البنیویّة</w:t>
      </w:r>
      <w:r>
        <w:rPr>
          <w:rStyle w:val="FootnoteAnchor"/>
          <w:rtl w:val="true"/>
        </w:rPr>
        <w:footnoteReference w:id="34"/>
      </w:r>
      <w:r>
        <w:rPr>
          <w:rFonts w:ascii="IRNazanin" w:hAnsi="IRNazanin" w:eastAsia="IRNazanin"/>
          <w:color w:val="111111"/>
          <w:sz w:val="28"/>
          <w:sz w:val="28"/>
          <w:szCs w:val="28"/>
          <w:rtl w:val="true"/>
          <w:lang w:bidi="fa-IR"/>
        </w:rPr>
        <w:t>التی أوجدها لیفی شتراوس</w:t>
      </w:r>
      <w:r>
        <w:rPr>
          <w:rStyle w:val="FootnoteAnchor"/>
          <w:rtl w:val="true"/>
        </w:rPr>
        <w:footnoteReference w:id="35"/>
      </w:r>
      <w:r>
        <w:rPr>
          <w:rFonts w:ascii="IRNazanin" w:hAnsi="IRNazanin" w:eastAsia="IRNazanin"/>
          <w:color w:val="111111"/>
          <w:sz w:val="28"/>
          <w:sz w:val="28"/>
          <w:szCs w:val="28"/>
          <w:rtl w:val="true"/>
          <w:lang w:bidi="fa-IR"/>
        </w:rPr>
        <w:t>، وإمکانیة تطبیقها علی أنماط جدیدة من البحوث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الشروع بالعمل، بدأت أُدرک أنّ هذین الاهتمامین وللأسف لا یکادان یجتمعان أو یتقاربان عند نفس الشخص، ولهذا السبب أدرکت أنّه من الواجب علیَّ أن أبذل قصاری جهدی واهتمامی فی شرح وتوضیح الأُمور، ولو أنّ هذه الشروح قد تبدو لأوّل وهلةٍ غیر ضروریّة فی نظر بعض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أرجو من القارئ الذی یملُّ من قراءة فقرةٍ ما فی هذا الکتاب أن یتحوّل إلی فقرةٍ أخری تکون أکثر تشویقاً من سابقتها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استفاداتی من العربیّة کانت وفقاً للطریقة الأنجلوسکوئیة</w:t>
      </w:r>
      <w:r>
        <w:rPr>
          <w:rStyle w:val="FootnoteAnchor"/>
          <w:rtl w:val="true"/>
        </w:rPr>
        <w:footnoteReference w:id="36"/>
      </w:r>
      <w:r>
        <w:rPr>
          <w:rFonts w:ascii="IRNazanin" w:hAnsi="IRNazanin" w:eastAsia="IRNazanin"/>
          <w:color w:val="111111"/>
          <w:sz w:val="28"/>
          <w:sz w:val="28"/>
          <w:szCs w:val="28"/>
          <w:rtl w:val="true"/>
          <w:lang w:bidi="fa-IR"/>
        </w:rPr>
        <w:t xml:space="preserve">، وأمّا استشهادی </w:t>
      </w:r>
    </w:p>
    <w:p>
      <w:pPr>
        <w:pStyle w:val="BookText"/>
        <w:rPr/>
      </w:pPr>
      <w:r>
        <w:rPr>
          <w:rFonts w:ascii="IRNazanin" w:hAnsi="IRNazanin" w:eastAsia="IRNazanin"/>
          <w:color w:val="111111"/>
          <w:sz w:val="28"/>
          <w:sz w:val="28"/>
          <w:szCs w:val="28"/>
          <w:rtl w:val="true"/>
          <w:lang w:bidi="fa-IR"/>
        </w:rPr>
        <w:t xml:space="preserve">من القرآن، فاعتمدت فیه علی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آربری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Arberry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والتواریخ المتعلّقة بالتاریخ المبکر والتقلیدی للإسلام فی عصره الأوّل جاء ذکرها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التقویم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التقویم المسیحی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سنة وفاة النبیّ محمّد جاءت هکذا</w:t>
      </w:r>
      <w:r>
        <w:rPr>
          <w:rFonts w:eastAsia="IRNazanin" w:cs="IRNazanin"/>
          <w:color w:val="111111"/>
          <w:sz w:val="28"/>
          <w:szCs w:val="28"/>
          <w:rtl w:val="true"/>
          <w:lang w:bidi="fa-IR"/>
        </w:rPr>
        <w:t>: (</w:t>
      </w:r>
      <w:r>
        <w:rPr>
          <w:rFonts w:eastAsia="IRNazanin" w:cs="IRNazanin"/>
          <w:color w:val="111111"/>
          <w:sz w:val="28"/>
          <w:szCs w:val="28"/>
          <w:lang w:bidi="fa-IR"/>
        </w:rPr>
        <w:t>11/632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الحالات الأُخری فقد تمّ ذکر التواریخ المسیحیّة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وطوال السنوات الکثیرة التی احتجتها لکتابة هذا العمل بشکلٍ أو بآخر، ساهم عدد من الناس فی إظهار الکتاب علی ما هو علیه الآن، فأخذ بعضهم علی عاتقه مهمّة تدریسی فی مختلف مراحل دراستی لنیل شهادة الدکتوراه بأمانة ودقّة، وأذکر منهم المرحوم البروفسور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بیرجمان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Prof. Jan Bergman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 قسم اللاهوت فی جامعة أوبسالا، والبروفسور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إینار ثوماسن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Prof. Einar homassen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 قسم الدراسات الکلاسیکیّة والروسیّة وتاریخ الأدیان فی جامعة بیرجن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University Of Bergen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والبروفسور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جدمار أنیر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Prof. Gudmar Aneer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 قسم العلوم الإنسانیّة واللغات فی جامعة دالارنا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Dalarna University College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والبروفسور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هاکان ردفنج</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Prof. Håkan Rydving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 قسم الدراسات الکلاسیکیّة والروسیّة وتاریخ الأدیان فی جامعة بیرجن، ومن ثمَّ البروفسور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ماتیاس جاردل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Prof. Mattias Gardell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 قسم اللاهوت فی جامعة أوبسالا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Uppsala University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وإنّی لممتنٌّ جدّاً للنقد البنّاء والمساعدة والتشجیع الذی تلقیتُه من هؤلاء جمیعاً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أنسی الدکتور تشارلز أمجد علیّ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Dr. Charles Amjad-Ali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مدیر مرکز الدراسات المسیحیّة فی راولبندی فی الباکستان، الذی جعلنی أدرک أنّ الشیعة لیست فرقة ضالة فی الإسلام، وإنّما هی تأویل تطبیقی مزدهر لتعالیم الإسلام المتوارَثة، </w:t>
      </w:r>
    </w:p>
    <w:p>
      <w:pPr>
        <w:pStyle w:val="BookText"/>
        <w:rPr/>
      </w:pPr>
      <w:r>
        <w:rPr>
          <w:rFonts w:ascii="Amiri" w:hAnsi="Amiri" w:eastAsia="Amiri" w:cs="Amiri"/>
          <w:color w:val="111111"/>
          <w:sz w:val="28"/>
          <w:sz w:val="28"/>
          <w:szCs w:val="28"/>
          <w:rtl w:val="true"/>
          <w:lang w:bidi="ar-SA"/>
        </w:rPr>
        <w:t>وإنّها حقّاً تستحقّ الدراسة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قام عدد من الأساتذة بالقراءة والتعلیق علی النسخ الأولیّة للمقالة، تمّت بعد ذلک إعادة کتابتها بشکلٍ موسّع ومفصّل لتصبح علی ما هی علیه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الأساتذة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کلایس هلجرن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Dr. Claes Hallgren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 قسم الثقافة والإعلام فی جامعة دالارنا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Dalarna University College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والدکتورة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جودیث یوزیفسن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Dr. Judith Josephson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 قسم اللغات الشرقیّة والأفریقیّة فی جامعة جوتبورغ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Göteborg University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والدکتورة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أولریکا مورتنسن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Dr. Ulrika Mårtensson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 قسم علم الآثار والدراسات الدینیّة فی الجامعة النرویجیّة للعلوم والتکنولوجیا فی تروندهیم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Norwegian University Of Science And Technology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Trondheim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والدکتورة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کارین سبور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Dr. Karin Sporre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 قسم إعداد المعلّمین فی السوید والعلوم الاجتماعیّة فی جامعة أومیو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Umeå Univer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قرأ هذه الأُطروحة البروفسور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لیف ستنبورغ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Prof. Leif Stenberg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 مرکز اللاهوت والدراسات الدینیّة فی جامعة لوند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Lund University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وکتب عنها ملاحظات قیّمة من أوّل مسوّدة للمخطوطة الکاملة، من وجهة نظر أُستاذٍ متخصّصٍ فی الدراسات الإسلامیّة، وذلک من خلال حلقة دراسیّة أُقیمت فی جامعة أوبسالا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أشمل بشکری الجزیل الدکتور لوسیان سکوبلا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 Lucien Scubla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من مرکز بحوث نظریّة المعرفة التطبیقیّة فی مدرسة العلوم التطبیقیّة فی باریس؛ إذ قام مشکوراً بقراءة المخطوطة کاملة، والتعلیق علیها من وجهة نظر أُستاذٍ فی النظریّة البنیویّة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أعاننی السید یوجین رابی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Mr. Eugene Rapi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تقویم النصّ الإنجلیزی للصفحتین الأُولیین من الکتاب؛ إذ إنّنی قد کتبته باللغة السویدیّة منذ سنین طویلة، ثمّ تُرجم إلی الإنجلیزیّة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یُؤسف له أنّه لم تسنح لی الفرصة لمراجعة وتدقیق ما عدا ذلک من النص الإنجلیزی؛ ولهذا فإنّ القرّاء المتقنین اللغة الإنجلیزیّة سوف یضعون أیدیهم علی أغلاط کثیرة، ممّا یدعونی للاعتذار إلیهم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أصدقائی وزملائی فی قسم الدراسات الدینیّة فی جامعة دالارنا، فلم یتوقّف دعمهم لی، وکانوا دائماً مصدر تأییدٍ لی، وخاصّةً فی السنتین الأخیرتین حین دخل هذا العمل فی مرحلةٍ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وبالتالی، فإنّی أُقدم شکری الجزیل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للدکتور تورستن بلومکفیست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Dr. Torsten Blomkvist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والبروفسور لیسیلوت فریسک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Prof. Liselotte Frisk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والدکتور</w:t>
      </w:r>
    </w:p>
    <w:p>
      <w:pPr>
        <w:pStyle w:val="BookText"/>
        <w:rPr/>
      </w:pPr>
      <w:r>
        <w:rPr>
          <w:rFonts w:ascii="IRNazanin" w:hAnsi="IRNazanin" w:eastAsia="IRNazanin"/>
          <w:color w:val="111111"/>
          <w:sz w:val="28"/>
          <w:sz w:val="28"/>
          <w:szCs w:val="28"/>
          <w:rtl w:val="true"/>
          <w:lang w:bidi="fa-IR"/>
        </w:rPr>
        <w:t xml:space="preserve">یوهانا جوستافسون لوندبیرغ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 Johanna Gustafsson Lundberg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والسیّد</w:t>
      </w:r>
    </w:p>
    <w:p>
      <w:pPr>
        <w:pStyle w:val="BookText"/>
        <w:rPr/>
      </w:pPr>
      <w:r>
        <w:rPr>
          <w:rFonts w:ascii="IRNazanin" w:hAnsi="IRNazanin" w:eastAsia="IRNazanin"/>
          <w:color w:val="111111"/>
          <w:sz w:val="28"/>
          <w:sz w:val="28"/>
          <w:szCs w:val="28"/>
          <w:rtl w:val="true"/>
          <w:lang w:bidi="fa-IR"/>
        </w:rPr>
        <w:t xml:space="preserve">میخائیل تویفیو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Mr. Michael Toivio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والسیّدة هانا تروتسیغ،</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 Hanna Trotzig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والسیّدة جل تورنیجرن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 Gull Törnegren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والسیّدة لینا أوهمان هالینغ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 Lena Åhman Halling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کما أبدی کثیرٌ من زملائی دعمهم لی من أقسام أُخری من جامعة دارلانا، وهم أکثر من أن آتی علی ذکر أسمائهم هنا؛ لذا فأنا أُقدم لهم جمیعاً شکری وامتنانی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فالون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Falun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الثانی</w:t>
      </w:r>
      <w:r>
        <w:rPr>
          <w:rFonts w:eastAsia="IRNazanin" w:cs="IRNazanin"/>
          <w:color w:val="111111"/>
          <w:sz w:val="28"/>
          <w:szCs w:val="28"/>
          <w:rtl w:val="true"/>
          <w:lang w:bidi="fa-IR"/>
        </w:rPr>
        <w:t>/</w:t>
      </w:r>
      <w:r>
        <w:rPr>
          <w:rFonts w:eastAsia="IRNazanin" w:cs="IRNazanin"/>
          <w:color w:val="111111"/>
          <w:sz w:val="28"/>
          <w:szCs w:val="28"/>
          <w:lang w:bidi="fa-IR"/>
        </w:rPr>
        <w:t>2007</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تورستن هایلین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Torsten Hylén</w:t>
      </w:r>
      <w:r>
        <w:rPr>
          <w:rFonts w:eastAsia="Times New Roman" w:cs="Times New Roman" w:ascii="Times New Roman" w:hAnsi="Times New Roman"/>
          <w:color w:val="111111"/>
          <w:sz w:val="28"/>
          <w:szCs w:val="28"/>
          <w:rtl w:val="true"/>
          <w:lang w:val="en-US" w:bidi="en-US"/>
        </w:rPr>
        <w:t xml:space="preserve">) </w:t>
      </w:r>
      <w:bookmarkStart w:id="85" w:name="pg5097_58206"/>
    </w:p>
    <w:p>
      <w:pPr>
        <w:pStyle w:val="Heading2"/>
        <w:numPr>
          <w:ilvl w:val="1"/>
          <w:numId w:val="1"/>
        </w:numPr>
        <w:rPr/>
      </w:pPr>
      <w:bookmarkStart w:id="86" w:name="__RefHeading___Toc1259856_774463916"/>
      <w:bookmarkStart w:id="87" w:name="_Toc32"/>
      <w:bookmarkEnd w:id="85"/>
      <w:bookmarkEnd w:id="86"/>
      <w:r>
        <w:rPr>
          <w:rtl w:val="true"/>
        </w:rPr>
        <w:t>مدخل</w:t>
      </w:r>
      <w:r>
        <w:rPr>
          <w:rtl w:val="true"/>
        </w:rPr>
        <w:t xml:space="preserve">: </w:t>
      </w:r>
      <w:r>
        <w:rPr>
          <w:rtl w:val="true"/>
        </w:rPr>
        <w:t>واقعة کربلاء فی هذا العصر</w:t>
      </w:r>
      <w:bookmarkEnd w:id="87"/>
    </w:p>
    <w:p>
      <w:pPr>
        <w:pStyle w:val="Heading3"/>
        <w:numPr>
          <w:ilvl w:val="2"/>
          <w:numId w:val="1"/>
        </w:numPr>
        <w:rPr/>
      </w:pPr>
      <w:bookmarkStart w:id="88" w:name="__RefHeading___Toc1259858_774463916"/>
      <w:bookmarkStart w:id="89" w:name="_Toc33"/>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صورة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5097_58208"/>
      <w:bookmarkStart w:id="91" w:name="pg5097_58208"/>
      <w:bookmarkEnd w:id="91"/>
    </w:p>
    <w:p>
      <w:pPr>
        <w:pStyle w:val="Heading3"/>
        <w:numPr>
          <w:ilvl w:val="2"/>
          <w:numId w:val="1"/>
        </w:numPr>
        <w:rPr/>
      </w:pPr>
      <w:bookmarkStart w:id="92" w:name="pg5097_58208"/>
      <w:bookmarkStart w:id="93" w:name="__RefHeading___Toc1259860_774463916"/>
      <w:bookmarkStart w:id="94" w:name="_Toc34"/>
      <w:bookmarkEnd w:id="92"/>
      <w:bookmarkEnd w:id="93"/>
      <w:r>
        <w:rPr>
          <w:rtl w:val="true"/>
        </w:rPr>
        <w:t>مدخل واقعة کربلاء فی هذا العصر</w:t>
      </w:r>
      <w:bookmarkEnd w:id="94"/>
    </w:p>
    <w:p>
      <w:pPr>
        <w:pStyle w:val="BookText"/>
        <w:rPr/>
      </w:pPr>
      <w:r>
        <w:rPr>
          <w:rFonts w:ascii="IRNazanin" w:hAnsi="IRNazanin" w:eastAsia="IRNazanin"/>
          <w:color w:val="111111"/>
          <w:sz w:val="28"/>
          <w:sz w:val="28"/>
          <w:szCs w:val="28"/>
          <w:rtl w:val="true"/>
          <w:lang w:bidi="fa-IR"/>
        </w:rPr>
        <w:t xml:space="preserve">مواقف سیارات الأُجرة فی مرکز مدینة هاثی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راولبندی فی الباکستان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وتقاطع الفیل فی سوق سدّار، فی هذا المکان تتلاقی ثلاثة طرق ضیّقة، حیث تری ساحة مفتوحة بین البیوت، وفی وسط التقاطع کانت هناک جزرة وسطیة مظلّلة، لطالما ظننتُ أنّها قد أُعدّت لکی یقف تحتها شرطی المرور من أجل أن یقوم بعمله لتنظیم المرور، ولکنّنی لم أرَ قطّ أنّها استخدمت لهذا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الآن، فقد وُضع میکروفون هناک ومکبرات للصوت علی سقف المظلّة، ترجّلتُ من سیارتی، ووقع نظری علی بعض الأصدقاء الذین وضعوا مصاطب لهم فی مکان، حیث تطلّ إحدی تلک الطرقات الضیّقة علی الساحة، ثمّ حیَّونی وقدّموا لی کرسیّاً لأجلس علیه، وکان الجو السائد ینمُّ عن ترقُّبٍ لحدثٍ ما، وما کان التوتر الظاهر علی وجوه المجتمعین هناک لیخفی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وبدا أنّ العدد الکبیر من الشرطه الذین کان بعضهم متسلّحاً بکلِّ أنواع الأسلحة، قد أُمروا بالوقوف علی جمیع جوانب الساحة، وقد کانوا علی أُهبة الاستعداد لمواجهة أیِّ عملٍ قد یعکّر صفو النظام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سألت صدیقی نعمان، وهو من المسلمین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سببٍ کان هو وعائلته یقفون بجوار المصطبة التی أعدّوها وزینوها بأکواب الماء، کی یقدّموها مجاناً خلال ذلک المهرجان الشیعی الخالص؟</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فأجابنی بأنْ سرد علیَّ قصّة الإمام الحسین حفید النبیّ محمّد، وکیف هاجمته وحاصرته قوات الخلیفة یزید فی صحراء کربلاء فی العراق، حیث حُرموا من الماء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وهکذا فلقد أَصبح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عقیدة مقدَّسة یجب اتّباعُها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یکفَّروا عن ذنبهم هذا ببذل الماء</w:t>
      </w:r>
      <w:r>
        <w:rPr>
          <w:rStyle w:val="FootnoteAnchor"/>
          <w:rtl w:val="true"/>
        </w:rPr>
        <w:footnoteReference w:id="37"/>
      </w:r>
      <w:r>
        <w:rPr>
          <w:rFonts w:ascii="Amiri" w:hAnsi="Amiri" w:eastAsia="Amiri" w:cs="Amiri"/>
          <w:color w:val="111111"/>
          <w:sz w:val="28"/>
          <w:sz w:val="28"/>
          <w:szCs w:val="28"/>
          <w:rtl w:val="true"/>
          <w:lang w:bidi="ar-SA"/>
        </w:rPr>
        <w:t>للذین یحیون ذکری مقتل الحسین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علمتُ بعد ذلک أنّ الحسین هو شخص مقدّس عند أهل السُنّة أیضاً وخاصّةً فی جنوب آسیا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الیوم کان التاسع من المحرّم، ولقد کانت هذه أوّل مرّة لی أحضر فیها وأشاهد تلک الشعائر الشیعیّة التی لطالما قرأت عنها، وعلی بُعد بضع مئات من الأمتار بالقرب من المسجد الشیعی، رأیت أنا وأصدقائی رایاتٍ سوداء وحمراء مرفوعة، وکان یتبعها موکب منظّم، ثمّ سمعنا أصواتاً متناسقة، فتحرّکنا أنا وصدیقی نعمان للأمام، لنری أنّ مصدر تلک الأصوات کان مجموعة کبیرة من الرجال الذین کانوا یضربون بأیدیهم علی صدورهم الحاسرة، علی إیقاع رجال آخرین کانوا یُنشدون قصائد فی رثاء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تشکّلت حلقة من الناس بالقرب منّا، وکان الذین یحیطون بهذه الحلقة ینشدون بصوت واحد متناغم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یا حسین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رأینا فی وسط تلک الحلقة شابَّین متقابلین، لم یتجاوز عمرها العاشرة أو الثانیة عشرة، ولم یرتدیا قمصاناً، یمسکون بأیدیهما سوطین صُنعا من سلاسل تنتهی بشفراتٍ حادة، وکلّما ازدادت صیحات الجمع الذی کان یطوقهم حِدةً، بدأ الفَتَیان بضرب بدنیهما بالسلاسل التی فی أیدیهم حتی تسیل الدماء من ظهریهما، </w:t>
      </w:r>
    </w:p>
    <w:p>
      <w:pPr>
        <w:pStyle w:val="BookText"/>
        <w:rPr/>
      </w:pPr>
      <w:r>
        <w:rPr>
          <w:rFonts w:ascii="IRNazanin" w:hAnsi="IRNazanin" w:eastAsia="IRNazanin"/>
          <w:color w:val="111111"/>
          <w:sz w:val="28"/>
          <w:sz w:val="28"/>
          <w:szCs w:val="28"/>
          <w:rtl w:val="true"/>
          <w:lang w:bidi="fa-IR"/>
        </w:rPr>
        <w:t>وما أن تمرّ نصف دقیقة أو أکثر بقلیل حتّی یفقد الفتیان القدرة علی تحمّل أیّة ضربات أُخر، ویتوقفان عن جلد نفسیهما بتلک السلاسل مع خفّة شدّة الصیحات حولیهما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بقلیل، تشتد مرّة أخری حدّة صیحات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ویبدأ الفتیان بالضرب مرّة أُخری، ولا تتوقّف نظرة أحدهما للآخر، وکأنّ أحدهما یرید أن یستبین إن کان الآخر سیتوقف أوّلاً قبل صاحبه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غادرت أنا ونعمان المکان وعدنا إلی تلک المصطبة، حیث کان أصدقائی قد شرعوا بتوزیع المیاه، وعصیر اللیمون فی أکواب صغیرة صُنعت من الفخار؛ کی یرووا ظمأ المارَّة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هنیهة، اقترب الجمع منّا أکثر وتوقّف فی مرکز 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فجلس عدد کبیر منهم هناک، بینما تقدّم عدد آخر من المصطبة کی یشربوا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وقع نظری علی عدد من الرجال بدت ظهورهم حمراء وکأنّها قطع من الدماء بسبب ضرب أنفسهم بتلک السلاسل، إذ أُصیب اثنان أو ثلاثة منهم بالإغماء بسبب نقص الدم، فأُسرع بهم إلی مشفی کان قریباً من مکان الحدث، ثمَّ بدأ رجل بإلقاء کلمة من جهاز مکبر الصوت فی مرکز الازدحام المروری، ثمّ جاء رجل آخر فأنشد قصیدة فی رثاء الحسین، کانت کلماته تدور حول مأساة کربلاء، ثمّ تقدّم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لیلقی خطبة، ورغم أنّنی لم أفهم ما کان یقوله ذلک الخطیب، ولکن الجمع المحتشد کانوا بین فینة وأُخری یرفعون أصواتهم بالنداء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مکانٍ ما خلف تلک الساحة کانت النساء یبکین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الجو متوتراً، وقد فهمت الآن کیف یکون من السهل أن تُعبّأ الجماهیر من خلال الرمزیّة الفعّالة الموجودة بشکلٍ ملحوظ فی قصّة کربلاء، وهو عین ما حدث عند انطلاق الثورة الإیرانیّة فی العام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أُعطی الشاه دور یزید الخلیفة الفاسد، والشعب أخذ دور الحسین، وبهذا أصبحت الشهادة وسیلة شرعیّة فی الکفاح ضدّ النظام الفاسد الذی کان یحکم البلاد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استغرقت خطبة المُلاّ ما یقارب النصف ساعة، ثمّ بدأت الجموع بالتفرّق حال انتهاء الخطبة، ولم یستمر بالتجمهر سوی قسم من تلک الجموع، بینما عاد الأکثریّة إلی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 صفوف تلک الجموع وقع نظری فجأة علی حصان أبیض، قد تمّ تزیینه بشکلٍ جمیل، فبدأ أصدقائی بتفسیر ذلک المنظر لی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الحصان یمثّل ذا الجناح، وهو الجواد الذی کان الحسین یمتطیه فی معرکة کربلاء، ثمَّ اجتمع عدد کبیر من الناس حول ذلک الحصان، وکان أکثر المجتمعین من النسوة کان الحصان مغطیً بقطعة قماش أبیض مضرّجة بالدماء، وتعلوه أکالیل من الزهور والورود، کما رُفعت علی سرجه عصاً طویلة تنتهی بتمثال یشبه الید مصنوع من المعدن، والأصابع فی تلک الید المعدنیة تمثّل أفراد العائلة المقدّسة الخمسة، أهل بیت محمّد،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وعلیّ، وفاطمة، والحسن، والحسین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فالنسوة اللائی اجتمعنَ حول الحصان کنّ یدعین ویبکین، بینما کان هناک عدد </w:t>
      </w:r>
    </w:p>
    <w:p>
      <w:pPr>
        <w:pStyle w:val="BookText"/>
        <w:rPr/>
      </w:pPr>
      <w:r>
        <w:rPr>
          <w:rFonts w:ascii="IRNazanin" w:hAnsi="IRNazanin" w:eastAsia="IRNazanin"/>
          <w:color w:val="111111"/>
          <w:sz w:val="28"/>
          <w:sz w:val="28"/>
          <w:szCs w:val="28"/>
          <w:rtl w:val="true"/>
          <w:lang w:bidi="fa-IR"/>
        </w:rPr>
        <w:t>کبیر من الناس یعطون الصدقات لمستحقّیها</w:t>
      </w:r>
      <w:r>
        <w:rPr>
          <w:rStyle w:val="FootnoteAnchor"/>
          <w:rtl w:val="true"/>
        </w:rPr>
        <w:footnoteReference w:id="40"/>
      </w:r>
      <w:r>
        <w:rPr>
          <w:rFonts w:ascii="IRNazanin" w:hAnsi="IRNazanin" w:eastAsia="IRNazanin"/>
          <w:color w:val="111111"/>
          <w:sz w:val="28"/>
          <w:sz w:val="28"/>
          <w:szCs w:val="28"/>
          <w:rtl w:val="true"/>
          <w:lang w:bidi="fa-IR"/>
        </w:rPr>
        <w:t>الذین أحاطوا بالحصان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یستجیب لتلک الدعوات التی تُتلی عند ذی الجناح</w:t>
      </w:r>
      <w:r>
        <w:rPr>
          <w:rStyle w:val="FootnoteAnchor"/>
          <w:rtl w:val="true"/>
        </w:rPr>
        <w:footnoteReference w:id="41"/>
      </w:r>
      <w:r>
        <w:rPr>
          <w:rFonts w:ascii="IRNazanin" w:hAnsi="IRNazanin" w:eastAsia="IRNazanin"/>
          <w:color w:val="111111"/>
          <w:sz w:val="28"/>
          <w:sz w:val="28"/>
          <w:szCs w:val="28"/>
          <w:rtl w:val="true"/>
          <w:lang w:bidi="fa-IR"/>
        </w:rPr>
        <w:t>أکثر من غیرها التی تُتلی فی أماکن أُخری، ثمّ تحرّک الحصان وتحرّک الجمع معه، وعدنا نحن إلی جوار تلک المنصّة التی جُمعت وخلا المکان من الناس عند حلول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الیوم التالی، سوف یعاد نصب تلک المنصّة مرّةً أخری؛ لکی یقدّم الطعام للحشود التی ستجتمع هناک بعدد أکبر؛ لأنّ الیوم التالی سیصادف ذکری مقتل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أثّرت بی کثیراً هذه الحادثة التی شهدتُها فی راولبندی فی شهر حزیران من العام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أصبحت مفتتناً بتلک النوبة الجنونیّة، وبذلک التفانی والإخلاص اللذین أظهرهما أُولئک الناس، إلّا أننی لم أشعر بالارتیاح لمنظر الدماء والألم الذی ظهر هناک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ما تعلّمته وشاهدته فی الباکستان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ما تعلّمته أکثر بعد حضوری شعائر محرّم من العام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جعلنی أُدرک مدی العمق والتأصُّل </w:t>
      </w:r>
    </w:p>
    <w:p>
      <w:pPr>
        <w:pStyle w:val="BookText"/>
        <w:rPr/>
      </w:pPr>
      <w:r>
        <w:rPr>
          <w:rFonts w:ascii="IRNazanin" w:hAnsi="IRNazanin" w:eastAsia="IRNazanin"/>
          <w:color w:val="111111"/>
          <w:sz w:val="28"/>
          <w:sz w:val="28"/>
          <w:szCs w:val="28"/>
          <w:rtl w:val="true"/>
          <w:lang w:bidi="fa-IR"/>
        </w:rPr>
        <w:t>الذی خلَّفَتْهُ قصّة الحسین وموته فی کربلاء فی النظرة العالمیّة للمسلمین الشیعة، وفی ضمائر الشیعة أنفسهم؛ إذ إنّ هذه القصّة أنشأت أُنموذجاً مرکزیّاً یحمله کلُّ شیعیٍّ معه، سواء أکان رجلاً أم امرأة، وهو أُنموذج لرموز وقصص وطقوس ومواقف وقیم لا ترتبط بالحسین وشهادته فقط، وإنّما ترتبط بکلِّ أفراد آل النبیّ ومعاناتهم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فإنّ لتلک المراسیم والشعائر التی أتینا علی ذکرها آنفاً، جذورَها التی استمرت لعقود بعد موت النبیّ محمّد فی السنة الحادیة عشرة للهجرة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یتوقف سرد قصّة مأساة کربلاء بین المسلمین أبداً رغم اختلاف انتماءاتهم المذهبیّة، وإن کانت تُروی بصورة خاصّة بین المسلمین الشیعة، وقد سطّرتها الکتب فی نُسخ لا تُعدّ ولا تُحصی منذ فجر الإسلام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أقدم أشکال سرد هذه المأساة، وأطولها وأکثرها استرسالاً وتفصیلاً ما کتبه الطبری المتوفّی سنة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فقیه ومتکلّم ومؤرِّخ لا ینتمی إلی الطائفة الشیعیّة؛ وعلیه نعتمد فی استقصائنا لهذه المأساة فی الرسالة التی بین یدی القارئ</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وقد یفهم بعض الناس من مأساة کربلاء بأنّها تأسیس لنظرتهم لمثل هذه الحکایات، ما یوافق النظرة العامّة لمثیلاتها عالمیّاً، وبذلک ینظرون إلیها علی أنّها تمثّل حالة أطلقتُ علیها فی هذا الکتاب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ستأتی علی تفاصیلها قریباً فی أحد فصول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للآخرین منّا، فإنّ هذه القصّة لیست أکثر من مجرّد قصّة، مع کونها قصّة مثیرة ومأساویّة بحقٍّ، وتستحقّ أن تنال بجدارة وصف مأساة مشوّقة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للاطّلاع أکثر علی ما تعنیه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استخدام هذا المصطلح، نحیل القارئ إلی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الإسلامی السیاسی الحدیث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Modern Islamic Political Thought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للکاتب عنایت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Enayat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أجل القرّاء الذین لیست لدیهم فکرة عن تاریخ الإسلام، سوف نعرض فیما یلی نبذة مختصرةً عن خلفیة أحداث مأساة کربلاء کما ترد فی الکتب الدراسیة الحدیثة التی تتحدّث عن الإسلام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الحادیة عشرة للهجرة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یکن له ولد ذکر لیرثه، فقالت جماعة من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عُرفوا فیما بعد</w:t>
      </w:r>
      <w:r>
        <w:rPr>
          <w:rStyle w:val="FootnoteAnchor"/>
          <w:rtl w:val="true"/>
        </w:rPr>
        <w:footnoteReference w:id="44"/>
      </w:r>
      <w:r>
        <w:rPr>
          <w:rFonts w:ascii="IRNazanin" w:hAnsi="IRNazanin" w:eastAsia="IRNazanin"/>
          <w:color w:val="111111"/>
          <w:sz w:val="28"/>
          <w:sz w:val="28"/>
          <w:szCs w:val="28"/>
          <w:rtl w:val="true"/>
          <w:lang w:bidi="fa-IR"/>
        </w:rPr>
        <w:t xml:space="preserve">بالشیعة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أو حزب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فی حقیقة الأمر قد أوصی إلی ابن عمّه وصهره علیّ أن یکون الإمام والقائد علی المسملین بعد وفاة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الشیعة یؤکدون بأنّ مَن اختار علیّاً لهذا المنصب هو الله؛ لذا کان علیٌّ یحمل مهمّة الهدی الإلهی بنفسه، وبهذا فهو أولی الناس أو هو الشخص الوحید المناسب لمهمّة قیادة وهدایة المجتمع المسلم أو الأُمّة الإسلامیّة، فقد کان معصوماً من قبل الله ولم یرتکب ذنباً أو خطأً أبداً، علاوةً علی ذلک، کان علیٌّ زوج فاطمة بنت محمّد، وکان من الطبیعی أن یرث</w:t>
      </w:r>
      <w:r>
        <w:rPr>
          <w:rStyle w:val="FootnoteAnchor"/>
          <w:rtl w:val="true"/>
        </w:rPr>
        <w:footnoteReference w:id="45"/>
      </w:r>
      <w:r>
        <w:rPr>
          <w:rFonts w:ascii="IRNazanin" w:hAnsi="IRNazanin" w:eastAsia="IRNazanin"/>
          <w:color w:val="111111"/>
          <w:sz w:val="28"/>
          <w:sz w:val="28"/>
          <w:szCs w:val="28"/>
          <w:rtl w:val="true"/>
          <w:lang w:bidi="fa-IR"/>
        </w:rPr>
        <w:t>ابناه الحسن والحسین مهمّة القیادة الربانیّة من أبویهما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إلی الشکل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عبدالمطلب</w:t>
      </w:r>
    </w:p>
    <w:p>
      <w:pPr>
        <w:pStyle w:val="BookText"/>
        <w:rPr/>
      </w:pP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زین العابدین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tl w:val="true"/>
        </w:rPr>
        <mc:AlternateContent>
          <mc:Choice Requires="wps">
            <w:drawing>
              <wp:inline distT="0" distB="0" distL="0" distR="0">
                <wp:extent cx="5334000" cy="6070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1"/>
                        <a:stretch/>
                      </pic:blipFill>
                      <pic:spPr>
                        <a:xfrm>
                          <a:off x="0" y="0"/>
                          <a:ext cx="5334120" cy="6070680"/>
                        </a:xfrm>
                        <a:prstGeom prst="rect">
                          <a:avLst/>
                        </a:prstGeom>
                        <a:ln w="0">
                          <a:noFill/>
                        </a:ln>
                      </pic:spPr>
                    </pic:pic>
                  </a:graphicData>
                </a:graphic>
              </wp:inline>
            </w:drawing>
          </mc:Choice>
          <mc:Fallback>
            <w:pict>
              <v:shape id="shape_0" stroked="f" o:allowincell="f" style="position:absolute;margin-left:0pt;margin-top:-478.05pt;width:419.95pt;height:477.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لأسماء المکتوبة باللون الأسود الغامق تمثّل أهل بیت النبیّ المباشرین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الأرقام تمثّل تسلسل الأئمة عند الشیعة الإمامیّة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الشکل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بیت النبیّ محمّد </w:t>
      </w:r>
    </w:p>
    <w:p>
      <w:pPr>
        <w:pStyle w:val="BookText"/>
        <w:rPr/>
      </w:pPr>
      <w:r>
        <w:rPr>
          <w:rFonts w:ascii="Amiri" w:hAnsi="Amiri" w:eastAsia="Amiri" w:cs="Amiri"/>
          <w:color w:val="111111"/>
          <w:sz w:val="28"/>
          <w:sz w:val="28"/>
          <w:szCs w:val="28"/>
          <w:rtl w:val="true"/>
          <w:lang w:bidi="ar-SA"/>
        </w:rPr>
        <w:t>أمّا الجماعة الأُخری التی سُمّیت فیما بعد بالسنَّة</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ابتداءً وصفاً لمجموعة من العلماء المشتغلین بتدوین الحدیث، وعندما برز الإمام أحمد بن حنبل، أخذ یوسّع استخدام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لیشمل الأتباع والمقلّدین لمذهبه والعوام المؤیّدین لمنهج أهل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معاویة بلعن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المنابر زعم أنّ ذلک سنّة یُثاب فاعلها، وسُمّی ذلک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وتصالح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معاویة، قام معاویة بتسمیة ذلک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فأصبح کلّ مَن یعتقد بإمامة معاویة یقول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أهل السنّة یُراد به إثبات خلافة الخلفاء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أبا بکر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فی ذلک جمیع الطوائف إلاّ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أسعد، أزمة الخلافة والإمامة وآثارها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فإنّها ادّعت أنّ قیادة الأُمّة الإسلامیّة لیس بالضرورة أن تکون فی آل محمّد؛ لذا فقد اختاروا لهذا المنصب رجلاً کبیراً فی السن، وذا خبرة اسمه أبو بکر، وقد أصبح فعلاً قائد المسلمین، ثمَّ استولی علی السلطة بعد ذلک الأُمویون، وهم من أبناء الطبقة العلیا من بیوت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مرور الزمن ازداد التوتر بین تلک الجماعتین، وبعد مرور ما یقرب من خمسین عاماً علی وفاة النبیّ، انطلق الحسین الابن الأصغر لعلیٍّ نحو الکوفة فی العراق، حیث کانت هذه المدینة منذ أمدٍ لیس بالقصیر حصناً حصیناً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السلطات الحاکمة الأُمویّة اعتبرت حرکة الحسین هذه عملاً تمرّدیاً، وفی کربلاء عند نهر الفرات قام جیش کبیر العدّة والعدد بأمرٍ من الخلیفة یزید بمحاصرة الحسین ومنعه من ورود نهر الفرات، کما منعوا عنه کلَّ موارد المیاه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کانت حقیقة مرّة للحسین حین علم أنّ کثیراً من أهل الکوفة الذین کانوا قد بایعوه قد أظهروا الخیانة له، وجاءوا لیقفوا ضدّه مع جیش الخلیفة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بادئ الأمر حاول الحسین أن یتفاوض مع جیش الخلیفة، ولکن الشروط </w:t>
      </w:r>
    </w:p>
    <w:p>
      <w:pPr>
        <w:pStyle w:val="BookText"/>
        <w:rPr/>
      </w:pPr>
      <w:r>
        <w:rPr>
          <w:rFonts w:ascii="IRNazanin" w:hAnsi="IRNazanin" w:eastAsia="IRNazanin"/>
          <w:color w:val="111111"/>
          <w:sz w:val="28"/>
          <w:sz w:val="28"/>
          <w:szCs w:val="28"/>
          <w:rtl w:val="true"/>
          <w:lang w:bidi="fa-IR"/>
        </w:rPr>
        <w:t xml:space="preserve">الصعبة التی اشترطها حاکم الکوفة للهدنة کان من المستحیل علی الحسین أن یقبلها، فلم یکن له بدیل عن القتال حتّی الموت؛ لذا وفی الیوم العاشر من المحرّم سنة إحدی وستین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للعاشر من تشرین الأوّل سنة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هاجم جیش الخلیفة ذو الأربعة آلاف مقاتل الحسینَ ومجموعته الصغیرة، والتی کانت مکوّنة من حوالی مائة شخص أو أکثر قلیلاً من الرجال والنساء والأطفال</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أفراد معسکر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أفراد معسکر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 شهری، محمد، الصحیح من مقتل سیّد الشهداء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تفاصیل المعرکة، والموقف المیؤوس منه لتلک المجموعة الصغیرة وعطشهم واستبسالهم فی القتال، والمواقف الجبانة والوحشیّة لأعدائهم الذین قتلوا حتّی الأطفال الصغار وروّعوا النساء، فتجدها مفصّلةً بإسهاب فی الروایات المختلفة التی روت تلک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النهایة حتّی الحسین نفسه سقط قتیلاً، واحتُزَّ رأسه وأُحضر إلی الخلیفة فی دمشق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حینها والحسین وأصحابه یتربعون علی قمّة أروع نماذج الاستشهاد عند المسلمین الشیعة، وهکذا أصبح الحزن علی ما حلّ بالحسین وجماعته بکربلاء، والخزی </w:t>
      </w:r>
    </w:p>
    <w:p>
      <w:pPr>
        <w:pStyle w:val="BookText"/>
        <w:rPr/>
      </w:pPr>
      <w:r>
        <w:rPr>
          <w:rFonts w:ascii="IRNazanin" w:hAnsi="IRNazanin" w:eastAsia="IRNazanin"/>
          <w:color w:val="111111"/>
          <w:sz w:val="28"/>
          <w:sz w:val="28"/>
          <w:szCs w:val="28"/>
          <w:rtl w:val="true"/>
          <w:lang w:bidi="fa-IR"/>
        </w:rPr>
        <w:t>الذی لحق بأهل الکوفة لخیانتهم سیّدهم</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وفی هذا النظام العسکری الجدید حاول ابن زیاد تحقیق أهداف سیاسیة کدمج همدان، وهی القبیلة الشیعیة مع تمیم التی تبغض همدان، وعلی هذا استقر التقسیم العسکری فی الکوفة، وکان له رؤساء مشهورون یعرفون برؤساء الأرباع، وهم علی استعداد دائم للإستجابة عند دعوتها ، وسوقها لمیادین القتال، خوضاً لمعرکة جدیدة أو إمداد لجیش یطلب الإغاثة، وکان للمقاتلین عطاؤهم الخاص، ورواتبهم من بیت المال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والشیعة کانوا نسبة قلیلة وسط الغالبیة المتعاطفة مع الإمام علی وبنیه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تکن الکوفة شیعیة بأسرها أو نصفها یوم جاءها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یوم غادرها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غالبیة أهل الکوفة یرفضون حکم بنی أمیة جملة وتفصیلاً، ولکن یقتضی الثبات علی المبادئ ومقارعة حکومة ظالمة عاملها مستهتر بالدماء والحقوق مثل ابن زیاد درجة عالیة من الوعی والإیمان، وهذا یفسر السبب الذی جعل ابن زیاد یعمد إلی القوة والقهر فی سبیل حشد العسکر لمقاتلة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وتطویقه المدینة بالحرس حتی یمنعهم من الفرار أو اللحاق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علاوة علی ما ذکرته بعض الکتب من کثرة من سجنهم من معارضی بنی أمیة وخصوصاً الشیعة ورجالاتها من أمثال میثم التمار والمختار الثقفی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تأمل فی نهضة عاشوراء، لرسول جعفریان، حیث بحث هذا الموضوع بشکل علمی مفصل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السمة الأبرز لهذه الجماعة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15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7"/>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الشکل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خارطة توضّح مسیر الحسین والموضع الذی حدثت فیه مأساة کربلاء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الأیّام الأولی لشهر محرّم من کلِّ عامٍ، تُحیی ذکری هذه المأساة من خلال طقوسٍ وشعائر تغصّ بها المدن والقری، حیث یلطم أهالیها علی صدورهم ویضربون أنفسهم بسلاسل وما یشبهها کالسیاط، وفی بعض الأحیان یتجاوزون هذا الحدّ لیضربوا أنفسهم بسکاکین وسیوف، وکلُّ هذه الطقوس هی محاولة للتعبیر عن أسفهم علی مقتل الحسین وولائهم لآل بیت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 أنحاء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یتواجد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تقتصر مراسیم إحیاء الأفکار والقیم المستوحاة من مأساة کربلاء، وتردید الأحداث التی جرت هناک علی شعائر محرّم، بل تتجاوزها لتشمل أوقاتاً وأشکالاً أُخری کثیرة</w:t>
      </w:r>
      <w:r>
        <w:rPr>
          <w:rStyle w:val="FootnoteAnchor"/>
          <w:rtl w:val="true"/>
        </w:rPr>
        <w:footnoteReference w:id="50"/>
      </w:r>
      <w:r>
        <w:rPr>
          <w:rFonts w:ascii="IRNazanin" w:hAnsi="IRNazanin" w:eastAsia="IRNazanin"/>
          <w:color w:val="111111"/>
          <w:sz w:val="28"/>
          <w:sz w:val="28"/>
          <w:szCs w:val="28"/>
          <w:rtl w:val="true"/>
          <w:lang w:bidi="fa-IR"/>
        </w:rPr>
        <w:t xml:space="preserve">، ففی المجتمع الباکستانی، یعدّ من أظهر علامات الحضور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الممارسات الشعائریّة المذکورة آنفاً حسب ما لاحظت بنفسی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الوجه السیاسی للقیم المستوحاة من هذه المأساة التی لا یخفیها هؤلاء الشیعة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سبیل المثال، ینظر شیعة الباکستان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یمثّلون حوالی ثلاثین بالمائة من سکان 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المضایقات والاضطهاد الذی یتعرّضون له علی أیدی بعض الجماعات المتشدّدة التی تناهض التشیّع علی أنّها معاناة یجب تحمّلها فی سبیل الحسین وأهل بیته المقدّسین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وتبدو مُثُل الشیعة أکثر وضوحاً فی تفاصیل أُخری صغیرة، فلقد شاهدت أنا بنفسی أکثر من مرّة لافتات صغیرة معلّقة فی المحال والعیادات الطبیّة مکتوبٌ علیها باللغة الإنجلیزیّة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 حیاتک کعلِیٍّ، ومُتْ کالحسین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المظاهر الجلیّة الأُخری التی تعبّر عن ولاء هؤلاء الناس للعائلة المقدّسة هو کتابة أسمائهم بخطٍّ حسن علی الصور أو علی الجدران مباشرة، وتسمیة أبنائهم بتلک الأسماء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مشاهداتی الشخصیّة لأهمّیة مأساة کربلاء تدعمها دراسات أکادیمیّة عدیدة، حیث اتّفق کاتبوها علی أنّ حادثة کربلاء لم تکن مسألة حیاة أو موت فی هذه الدنیا فحسب، وإنّما لها أبعاد کونیّة واسعة إلی أبعد حدٍّ، یقول فیرنون شوبل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Vernon Schubel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الذی قام بدراسة میدانیّة فی کراتشی عام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یعتقد الشیعة فی کلِّ أنحاء العالم أنّ حادثة کربلاء إنّما هی واحدة من الأحداث الحاسمة فی تاریخ العالم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 کما تؤکد دراسات کُتبت عن المذهب الشیعی بأنّ الأفعال الشعائریّة التی یُراد منها إظهار التضامن والولاء للعائلة المقدّسة، إنّما یقوم بها أصحابها من أجل الثواب الذی یضمن لهم نجاتهم، فإنّ الله قد أعطی الحسین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فیهم 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الشفاعة للمؤمنین یوم القیامة؛ وذلک بسبب ثباتهم وصبرهم علی ما عانوه فی کربلاء</w:t>
      </w:r>
      <w:r>
        <w:rPr>
          <w:rStyle w:val="FootnoteAnchor"/>
          <w:rtl w:val="true"/>
        </w:rPr>
        <w:footnoteReference w:id="53"/>
      </w:r>
      <w:r>
        <w:rPr>
          <w:rFonts w:ascii="IRNazanin" w:hAnsi="IRNazanin" w:eastAsia="IRNazanin"/>
          <w:color w:val="111111"/>
          <w:sz w:val="28"/>
          <w:sz w:val="28"/>
          <w:szCs w:val="28"/>
          <w:rtl w:val="true"/>
          <w:lang w:bidi="fa-IR"/>
        </w:rPr>
        <w:t xml:space="preserve">ولهذا السبب تُرجی النجاة من الله بحقّهم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95" w:name="pg5097_58222"/>
    </w:p>
    <w:p>
      <w:pPr>
        <w:pStyle w:val="BookText"/>
        <w:rPr/>
      </w:pPr>
      <w:bookmarkEnd w:id="95"/>
      <w:r>
        <w:rPr>
          <w:rFonts w:ascii="IRNazanin" w:hAnsi="IRNazanin" w:eastAsia="IRNazanin"/>
          <w:color w:val="111111"/>
          <w:sz w:val="28"/>
          <w:sz w:val="28"/>
          <w:szCs w:val="28"/>
          <w:rtl w:val="true"/>
          <w:lang w:bidi="fa-IR"/>
        </w:rPr>
        <w:t>ومنذ العصور الأُولی، کان یُعتقد أنّ الأئمّة الاثنی عشر یملکون معرفة تفوق معرفة الناس العادیین</w:t>
      </w:r>
      <w:r>
        <w:rPr>
          <w:rStyle w:val="FootnoteAnchor"/>
          <w:rtl w:val="true"/>
        </w:rPr>
        <w:footnoteReference w:id="55"/>
      </w:r>
      <w:r>
        <w:rPr>
          <w:rFonts w:ascii="IRNazanin" w:hAnsi="IRNazanin" w:eastAsia="IRNazanin"/>
          <w:color w:val="111111"/>
          <w:sz w:val="28"/>
          <w:sz w:val="28"/>
          <w:szCs w:val="28"/>
          <w:rtl w:val="true"/>
          <w:lang w:bidi="fa-IR"/>
        </w:rPr>
        <w:t>، قد هدوا من خلالها المؤمنین علی مرِّ العصور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 عن ذلک، فإنّ لشهادة الحسین أثرها لیس علی الذین عاشوا بعد استشهاده فحسب، وإنّما تؤکد کتب التاریخ التی کتبها الشیعة ومجموعاتهم الروائیّة بأنّ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إنسان عاش علی هذا الکوکب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تأثّر کثیراً حینما سمع باسم الحسین لأوّل مرّة، وحین سأل عن سبب هذا الشعور الذی انتابه، أخبره ملَکٌ بقصّة مقتل الحسین التی ستحدث فی المستقبل البعید، وقد رُویت قصص کثیرة مشابهة عن الوقع المؤلم الذی ترکته قصّة مقتل الحسین علی أنبیاء عاشوا قبل الإسلام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259862_774463916"/>
      <w:bookmarkStart w:id="97" w:name="_Toc35"/>
      <w:bookmarkEnd w:id="96"/>
      <w:r>
        <w:rPr>
          <w:rtl w:val="true"/>
        </w:rPr>
        <w:t>الأُسطورة وصناعتها وکتابة التاریخ</w:t>
      </w:r>
      <w:bookmarkEnd w:id="9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حینما عدت إلی أبسالا بعد بضع سنین من مشاهدتی لشعائر محرّم فی راولبندی، حضرت سلسلة من حلقات دراسیّة حول مفهوم الأُسطورة، نظّمها الأُستاذ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بیرجمان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وطلاب الدکتوراه الذین کانوا تحت إشرافه، وقد طُلب منّا نحن الطلبة أن نکتب مقالةً حول هذا المفهوم من وجهة نظر العادات والتقالید </w:t>
      </w:r>
    </w:p>
    <w:p>
      <w:pPr>
        <w:pStyle w:val="BookText"/>
        <w:rPr/>
      </w:pPr>
      <w:r>
        <w:rPr>
          <w:rFonts w:ascii="Amiri" w:hAnsi="Amiri" w:eastAsia="Amiri" w:cs="Amiri"/>
          <w:color w:val="111111"/>
          <w:sz w:val="28"/>
          <w:sz w:val="28"/>
          <w:szCs w:val="28"/>
          <w:rtl w:val="true"/>
          <w:lang w:bidi="ar-SA"/>
        </w:rPr>
        <w:t>التی درسها کلُّ واحدٍ منّا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ذلک الوقت أدرکت أنّ مفهوم الأُسطورة یکاد ینعدم فی الإسلام، وحین شرعت بالبحث بشکلٍ نظامی عن مصادر تُعنی بموضوع الأُسطورة فی الإسلام، تأکّد لی ما کنت أعتقد به سالفاً من أنّ الأُسطورة لیس لها مکان فی الإسلام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نفس الوقت خامرنی شعور قوی، بأنّ قصصاً مثل قصّة مقتل الحسین فی کربلاء تلعب دوراً مهماً، ولها وزنها عند المسلمین الشیعة أکثر ممّا تلعبه تلک القصص التی نطلق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باقی الأُمم؛ لذا لماذا لا یُطلق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النوع من القصص فی الإسلام؟</w:t>
      </w:r>
    </w:p>
    <w:p>
      <w:pPr>
        <w:pStyle w:val="BookText"/>
        <w:rPr/>
      </w:pPr>
      <w:r>
        <w:rPr>
          <w:rFonts w:ascii="IRNazanin" w:hAnsi="IRNazanin" w:eastAsia="IRNazanin"/>
          <w:color w:val="111111"/>
          <w:sz w:val="28"/>
          <w:sz w:val="28"/>
          <w:szCs w:val="28"/>
          <w:rtl w:val="true"/>
          <w:lang w:bidi="fa-IR"/>
        </w:rPr>
        <w:t xml:space="preserve">هنالک علی الأقل سببان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نفور أساتذة الأدیان الغربیین</w:t>
      </w:r>
      <w:r>
        <w:rPr>
          <w:rStyle w:val="FootnoteAnchor"/>
          <w:rtl w:val="true"/>
        </w:rPr>
        <w:footnoteReference w:id="60"/>
      </w:r>
      <w:r>
        <w:rPr>
          <w:rFonts w:ascii="Amiri" w:hAnsi="Amiri" w:eastAsia="Amiri" w:cs="Amiri"/>
          <w:color w:val="111111"/>
          <w:sz w:val="28"/>
          <w:sz w:val="28"/>
          <w:szCs w:val="28"/>
          <w:rtl w:val="true"/>
          <w:lang w:bidi="ar-SA"/>
        </w:rPr>
        <w:t xml:space="preserve">من استخدام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ما یخصّ الإسلام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لمؤرِّخی الدِّین طریقتهم المتوارثة الخاصّة بهم فی تعریف الأُسطورة، وبالرغم من عدم وجود تعریف محدّد للأُسطورة یتّفق علیه کلُّ المعنیین بها، أو علی الأقل مؤرِّخو الأدیان، فإنّ هناک مقتضیات ضمنیّة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وصلت إلی مستوی قریب من الإجماع فیما بینهم، إذ یُجمعون علی أنّ الأُسطورة </w:t>
      </w:r>
    </w:p>
    <w:p>
      <w:pPr>
        <w:pStyle w:val="BookText"/>
        <w:rPr/>
      </w:pPr>
      <w:r>
        <w:rPr>
          <w:rFonts w:ascii="IRNazanin" w:hAnsi="IRNazanin" w:eastAsia="IRNazanin"/>
          <w:color w:val="111111"/>
          <w:sz w:val="28"/>
          <w:sz w:val="28"/>
          <w:szCs w:val="28"/>
          <w:rtl w:val="true"/>
          <w:lang w:bidi="fa-IR"/>
        </w:rPr>
        <w:t>یجب أن تُعرَّف علی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الروایة یمتاز عن غیره من الضروب، کالسیرة والحکایة الشعبیّة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هذا التمایز لا یستخدم إلّا نادراً فی تاریخ الأدیان المعاصر، ولکنّه ما زال یُخلِّف تأثیراً یُذکر، ونفس هذا التأثیر یمکن أن یُلاحظ فی علوم أُخری غیر تاریخ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ولکی نمیّز بین الأنواع المختلفة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الحکایات النثریّة</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کان من الطبیعی أن نعمد إلی معاییر نصنّف من خلالها شکل ومضمون کلٍّ من تلک الأنواع، ومعاییر أُخری تبیّن موقف تلک الأنواع المختلفة من القصّة بمفهومها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مثال هو جدول المعاییر الذی وضعه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یلیم باسکوم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William Bascom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وقام بتصنیف تلک الأنواع علی ضوئه حسب المعاییر المذکورة فی الجدول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أنواع من الحکایة النثریّة کما صنّفها ویلیم باسکوم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الأُسطورة،السیرة،الحکایة الشعبیة</w:t>
      </w:r>
    </w:p>
    <w:p>
      <w:pPr>
        <w:pStyle w:val="BookText"/>
        <w:rPr/>
      </w:pP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حقیقة،حقیقة،خیال</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 البعید،الماضی القریب،جمیع الأزمنة</w:t>
      </w:r>
    </w:p>
    <w:p>
      <w:pPr>
        <w:pStyle w:val="BookText"/>
        <w:rPr/>
      </w:pP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أماکن مختلفة من العالم القدیم والحدیث،العالم الحدیث،جمیع الأماکن</w:t>
      </w:r>
    </w:p>
    <w:p>
      <w:pPr>
        <w:pStyle w:val="BookText"/>
        <w:rPr/>
      </w:pPr>
      <w:r>
        <w:rPr>
          <w:rFonts w:ascii="IRNazanin" w:hAnsi="IRNazanin" w:eastAsia="IRNazanin"/>
          <w:color w:val="111111"/>
          <w:sz w:val="28"/>
          <w:sz w:val="28"/>
          <w:szCs w:val="28"/>
          <w:rtl w:val="true"/>
          <w:lang w:bidi="fa-IR"/>
        </w:rPr>
        <w:t>الموقف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مقدّس،دنیوی ومقدّس،دنیوی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الشخصیات الرئیسة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کائنات غیر بشریّة،کائنات بشریّة،کائنات بشریّة وغیر بشریّة </w:t>
      </w:r>
    </w:p>
    <w:p>
      <w:pPr>
        <w:pStyle w:val="BookText"/>
        <w:rPr/>
      </w:pPr>
      <w:r>
        <w:rPr>
          <w:rFonts w:ascii="IRNazanin" w:hAnsi="IRNazanin" w:eastAsia="IRNazanin"/>
          <w:color w:val="111111"/>
          <w:sz w:val="28"/>
          <w:sz w:val="28"/>
          <w:szCs w:val="28"/>
          <w:rtl w:val="true"/>
          <w:lang w:bidi="fa-IR"/>
        </w:rPr>
        <w:t>وبالاعتماد علی المعاییر التی رسمها ویلیم باسکوم فی جدوله، تُصنَّف مأساة کربلاء علی أنّها سیرة أکثر منها أُسطورة، بالرغم من أنّها تُعدّ حقیقة ومقدّسة، ولو بالنسبة للشیعة، فمن المفترض أن تکون حقیقة تاریخیة لا تقتصر علی الماضی البعید أو علی غیر عالمنا، ثمّ إنّ أبطال هذه القصّة هم بشر، وإن کان للربِّ دور فعّال وممیّز فی أحداثها، ولو من خلف الکوالیس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الشیء یمکن أن یُقال عن معظم القصص التی تروی أحداثاً وقعت فی الإسلام، کما فی قصّة حیاة وسیرة محمّد، والأحداث التی تلت وفاته واستمرت لعقود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السبب الثانی فی عدم تصنیف القصص التی تروی أحداثاً جوهریّة فی تاریخ الإسلام علی أنّها قصص أُسطوریّة، فهو أنّ الأساطیر یُنظر إلیها علی کونها قصصاً خرافیّة لا تمتّ إلی الواقع بصلة، فإنّ التفریق بین الأُسطورة بما هی قصّة زائفة، والقصّة بما هی کلمات أو حکایات صحیحة ومعقولة، یعود إلی أفلاطون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Plato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ومنذ ذلک الحین وهذا الفرق واضح ومفهوم فی المجتمع الغربی ککلٍّ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أصبح هذا التصنیف أداةً للتمییز بین الحقیقة والخیال فی الغرب، کما تمّ تطبیقه والاستفادة منه بنجاحٍ کبیر للتمییز بین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والمفاهیم الأُخری کالخرافات أو الأساطیر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الأُسطورة بمعناها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التاریخ حسب هذا التصنیف یدخل تحت مسمّی العلم، فقد أصبح نقیضاً </w:t>
      </w:r>
    </w:p>
    <w:p>
      <w:pPr>
        <w:pStyle w:val="BookText"/>
        <w:rPr/>
      </w:pPr>
      <w:r>
        <w:rPr>
          <w:rFonts w:ascii="IRNazanin" w:hAnsi="IRNazanin" w:eastAsia="IRNazanin"/>
          <w:color w:val="111111"/>
          <w:sz w:val="28"/>
          <w:sz w:val="28"/>
          <w:szCs w:val="28"/>
          <w:rtl w:val="true"/>
          <w:lang w:bidi="fa-IR"/>
        </w:rPr>
        <w:t>للأُسطورة، وإن کان لهذا التمییز عواقبه علی تصنیف التاریخ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سبعینیات القرن الماضی، کان معظم العلماء الغربیین المختصّین بالإسلام وتاریخه لا یعترضون علی النظرة الإسلامیّة التی تقول بأنّ کتابات المؤرِّخین المسلمین، بما فیها سِیَر النبیّ محمّد، وعدد کبیر من الأحادیث المرویة عنه، والتصانیف التاریخیّة التی کتبها مؤرِّخون کبار، کالبلاذری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والطبری، کلُّ هذه الکتابات قد نقلت حقائق أساسیّة عن الأحداث التی وقعت فعلاً فی عصر ظهور الإسلام والعصور التی تلته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إنّ المادّة الأساسیّة لهذا الکتاب تختصّ بالتاریخ، وإن کان علیَّ أن أعترف بأنّنی فی نقل کثیرٍ من الأحداث اعتمدت علی تاریخ متحیّز وغیر منصف، فإنّ من غیر الممکن أن نعتبر تلک الأحداث نوعاً من الأساطیر، ویؤیّد هذه الحقیقة العقیدة الإسلامیّة التی تقول بأنّ بعضاً من تلک المصادر التاریخیّة اعتمدت کلیّاً علی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أحادیث النبیّ وسیرته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اعتمدت وبشکلٍ أساسی علی التمییز القاطع بین خرافات عصر ما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بالعصر الجاهلی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حقیقة الإسلام التی نقلها النبیّ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وبالطبع فإنّ التفریق بین الحقیقة الموحاة والأُسطورة لیس شیئاً انفرد به الإسلام، وإنّما یمکن أن نراه فی جمیع الأدیان الأُخری ومنقولاتها، فبالإضافة إلی </w:t>
      </w:r>
    </w:p>
    <w:p>
      <w:pPr>
        <w:pStyle w:val="BookText"/>
        <w:rPr/>
      </w:pPr>
      <w:r>
        <w:rPr>
          <w:rFonts w:ascii="IRNazanin" w:hAnsi="IRNazanin" w:eastAsia="IRNazanin"/>
          <w:color w:val="111111"/>
          <w:sz w:val="28"/>
          <w:sz w:val="28"/>
          <w:szCs w:val="28"/>
          <w:rtl w:val="true"/>
          <w:lang w:bidi="fa-IR"/>
        </w:rPr>
        <w:t>التمییز بین التاریخ والأُسطورة الذی أسّسته الدراسات الغربیّة الأکادیمیّة، فإنّ للدِّین أیضاً تقسیماً مماثلاً یبیّن الفرق بین الحقیقة المستوحاة من الوحی الإلهی والقصص المستوحاة من مصادر أُخری، والتی أُصطلح علیها اسم الأُسطورة من وجهة نظر سیاقات تحلیلیّة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الإسلام، فإنّ کلا القسمین قد عملا معاً ضدّ کلّ ما یمکن أن یطلق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کمفهوم ینطبق علی قصص بالغة الأهمّیة تمّ توارثها من العصور المؤسّسة لأحداث تلک القصص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الأکادیمیّة</w:t>
      </w:r>
    </w:p>
    <w:p>
      <w:pPr>
        <w:pStyle w:val="BookText"/>
        <w:rPr/>
      </w:pPr>
      <w:r>
        <w:rPr>
          <w:rFonts w:ascii="Amiri" w:hAnsi="Amiri" w:eastAsia="Amiri" w:cs="Amiri"/>
          <w:color w:val="111111"/>
          <w:sz w:val="28"/>
          <w:sz w:val="28"/>
          <w:szCs w:val="28"/>
          <w:rtl w:val="true"/>
          <w:lang w:bidi="ar-SA"/>
        </w:rPr>
        <w:t>الدِّین</w:t>
      </w:r>
    </w:p>
    <w:p>
      <w:pPr>
        <w:pStyle w:val="BookText"/>
        <w:rPr/>
      </w:pPr>
      <w:r>
        <w:rPr>
          <w:rFonts w:ascii="IRNazanin" w:hAnsi="IRNazanin" w:eastAsia="IRNazanin"/>
          <w:color w:val="111111"/>
          <w:sz w:val="28"/>
          <w:sz w:val="28"/>
          <w:szCs w:val="28"/>
          <w:rtl w:val="true"/>
          <w:lang w:bidi="fa-IR"/>
        </w:rPr>
        <w:t>زیف أو باطل</w:t>
      </w:r>
    </w:p>
    <w:p>
      <w:pPr>
        <w:pStyle w:val="BookText"/>
        <w:rPr/>
      </w:pPr>
      <w:r>
        <w:rPr>
          <w:rFonts w:ascii="Amiri" w:hAnsi="Amiri" w:eastAsia="Amiri" w:cs="Amiri"/>
          <w:color w:val="111111"/>
          <w:sz w:val="28"/>
          <w:sz w:val="28"/>
          <w:szCs w:val="28"/>
          <w:rtl w:val="true"/>
          <w:lang w:bidi="ar-SA"/>
        </w:rPr>
        <w:t>أُسطورة</w:t>
      </w:r>
    </w:p>
    <w:p>
      <w:pPr>
        <w:pStyle w:val="BookText"/>
        <w:rPr/>
      </w:pPr>
      <w:r>
        <w:rPr>
          <w:rFonts w:ascii="Amiri" w:hAnsi="Amiri" w:eastAsia="Amiri" w:cs="Amiri"/>
          <w:color w:val="111111"/>
          <w:sz w:val="28"/>
          <w:sz w:val="28"/>
          <w:szCs w:val="28"/>
          <w:rtl w:val="true"/>
          <w:lang w:bidi="ar-SA"/>
        </w:rPr>
        <w:t>أُسطورة</w:t>
      </w:r>
    </w:p>
    <w:p>
      <w:pPr>
        <w:pStyle w:val="BookText"/>
        <w:rPr/>
      </w:pPr>
      <w:r>
        <w:rPr>
          <w:rFonts w:ascii="IRNazanin" w:hAnsi="IRNazanin" w:eastAsia="IRNazanin"/>
          <w:color w:val="111111"/>
          <w:sz w:val="28"/>
          <w:sz w:val="28"/>
          <w:szCs w:val="28"/>
          <w:rtl w:val="true"/>
          <w:lang w:bidi="fa-IR"/>
        </w:rPr>
        <w:t>حقیقة</w:t>
      </w:r>
    </w:p>
    <w:p>
      <w:pPr>
        <w:pStyle w:val="BookText"/>
        <w:rPr/>
      </w:pPr>
      <w:r>
        <w:rPr>
          <w:rFonts w:ascii="IRNazanin" w:hAnsi="IRNazanin" w:eastAsia="IRNazanin"/>
          <w:color w:val="111111"/>
          <w:sz w:val="28"/>
          <w:sz w:val="28"/>
          <w:szCs w:val="28"/>
          <w:rtl w:val="true"/>
          <w:lang w:bidi="fa-IR"/>
        </w:rPr>
        <w:t>التاریخ</w:t>
      </w:r>
    </w:p>
    <w:p>
      <w:pPr>
        <w:pStyle w:val="BookText"/>
        <w:rPr/>
      </w:pPr>
      <w:r>
        <w:rPr>
          <w:rFonts w:ascii="IRNazanin" w:hAnsi="IRNazanin" w:eastAsia="IRNazanin"/>
          <w:color w:val="111111"/>
          <w:sz w:val="28"/>
          <w:sz w:val="28"/>
          <w:szCs w:val="28"/>
          <w:rtl w:val="true"/>
          <w:lang w:bidi="fa-IR"/>
        </w:rPr>
        <w:t>الوحی الإلهی</w:t>
      </w:r>
    </w:p>
    <w:p>
      <w:pPr>
        <w:pStyle w:val="BookText"/>
        <w:rPr/>
      </w:pP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الأُسطورة ونقیضاتها فی الفکر الدِّینی التقلیدی وفی الفکر الأکادیمی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تکمن المشکلة فی أنّ کثیراً من القصص التی لها خلفیة تاریخیّة داخل المواریث الدینیّة تؤدّی وظیفتها المؤثرة علی حیاة المؤمنین بها، وبسبب تلک الآثار تکتسب تلک المواریث صفة الأُسطوریّة أکثر من صفة کونها سِیَراً أو أحداثاً تاریخیّة صرفة لا تتعدّی أهمّیتها ذلک، ولا تُعتبر نقلاً لأحداث وقعت بالفعل فی الماضی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یسری أیضاً علی مأساة کربلاء، وعلی قصص أُخری مماثلة حدثت فی بدایات ظهور الإسلام، وهذه القصص ومثیلاتها هی الأساس فی تشکیل النظرة العالمیّة عن الإسلام، کما تُعطی السبب فی ممارسة الطقوس وأُسلوب الحیاة الذی یتّخذه المؤمنون فی تلک القصص، بنفس الطریقة التی تعطیه القصص الشعبیّة عند المجتمعات الأُخری والتی نُطلق علیها اسم أُسطورة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الصعب أن نجد اصطلاحاً آخر یمکن أن ینقل بدقّة الأثر الذی تترکه تلک القصص علی المسلمین المؤمنین؛ لذا فإنّی أُفضّل أن أقترح استخدام التصنیف التحلیلی للأُسطورة علی أنّها قصة لها أثر ووظیفة معینة، لا أنّها قصة من نوع 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تناولت الأُسطورة بالبحث فی مواضع أُخری، اعتمدت علی مقالةٍ کتبها أُستاذ فنلندی متخصّص بالقصص الشعبیّة وعلم الأدیان المقارن، وهو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لاوری هونکو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Lauri Honko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وهو یبحث فی موضوع الأُسطورة</w:t>
      </w:r>
      <w:r>
        <w:rPr>
          <w:rStyle w:val="FootnoteAnchor"/>
          <w:rtl w:val="true"/>
        </w:rPr>
        <w:footnoteReference w:id="66"/>
      </w:r>
      <w:r>
        <w:rPr>
          <w:rFonts w:ascii="IRNazanin" w:hAnsi="IRNazanin" w:eastAsia="IRNazanin"/>
          <w:color w:val="111111"/>
          <w:sz w:val="28"/>
          <w:sz w:val="28"/>
          <w:szCs w:val="28"/>
          <w:rtl w:val="true"/>
          <w:lang w:bidi="fa-IR"/>
        </w:rPr>
        <w:t>، فإنّ التعریف الذی یقترحه هذا الأُستاذ طویل وغیر مجدٍ، ولکنّه مبنی علی أربعة معاییر، قد اعتمدت علیها کأُسس لتقدیم تعریفی الخاصّ بالأُسطورة</w:t>
      </w:r>
      <w:r>
        <w:rPr>
          <w:rStyle w:val="FootnoteAnchor"/>
          <w:rtl w:val="true"/>
        </w:rPr>
        <w:footnoteReference w:id="67"/>
      </w:r>
      <w:r>
        <w:rPr>
          <w:rFonts w:ascii="IRNazanin" w:hAnsi="IRNazanin" w:eastAsia="IRNazanin"/>
          <w:color w:val="111111"/>
          <w:sz w:val="28"/>
          <w:sz w:val="28"/>
          <w:szCs w:val="28"/>
          <w:rtl w:val="true"/>
          <w:lang w:bidi="fa-IR"/>
        </w:rPr>
        <w:t>، وتلک المعاییر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الأُسطورة هی من النوع الروائی؛ إذ إنّها متّصلة ببعضها لفظیّاً، إلّا أنّه یمکن التعبیر عنها بطرقٍ أُخری، کما فی القصص المأساویّة، والفنّ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الأساطیر یتفاوت بین أُسطورة وأُخری، ولکنّه یروی أحداثاً إبداعیّة أو حاسمة حدثت فی أوّل الزمان؛ لهذا السبب فإنّ تصویر أحداث حدثت فی بدایة نشأة الکون یکون عنصراً أساسیّاً فی کتابة الأساطیر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یصوّر مدی أهمّیة هذه النقطة فی کتابة الأساطیر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لیس بالضرورة أن یکون محتوی کلِّ الأساطیر هو تصویرات لبدایة </w:t>
      </w:r>
    </w:p>
    <w:p>
      <w:pPr>
        <w:pStyle w:val="BookText"/>
        <w:rPr/>
      </w:pPr>
      <w:r>
        <w:rPr>
          <w:rFonts w:ascii="IRNazanin" w:hAnsi="IRNazanin" w:eastAsia="IRNazanin"/>
          <w:color w:val="111111"/>
          <w:sz w:val="28"/>
          <w:sz w:val="28"/>
          <w:szCs w:val="28"/>
          <w:rtl w:val="true"/>
          <w:lang w:bidi="fa-IR"/>
        </w:rPr>
        <w:t xml:space="preserve">نشأة الکون، إذا ما استخدمنا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نشأة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بمعناها اللغوی المقیّد، ولو أنّ أهمّ ما 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یبدو لی أنا علی الأقلّ حین استخدامی لهذا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التطابق البنیوی بین الأساطیر التی تروی أحداث بدایة نشأة الکون، وقصص أُخری تروی أصل العالم والوجود، والتی تنظر إلیها المجتمعات علی أنّها الأساس فی تحدید هویّة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وبمعنیً آخر، فإنّ مصطلح بدایة نشأة الکون فی هذا المعنی یضمّ تحته جمیع أشکال القصص التی تروی کیف بدأ العالم، وکیف بدأت رحلتنا فیه کبشر، وکیف أنّ الأغراض التی نرمی إلی الوصول إلیها إنّما هی أغراض حتمیّة، وکیف أنّ مبادئنا المقدّسة هی تابعة لنوامیس طبیعیّة لا یمکن القفز علیها أو تجاهلها؟</w:t>
      </w:r>
    </w:p>
    <w:p>
      <w:pPr>
        <w:pStyle w:val="BookText"/>
        <w:rPr/>
      </w:pPr>
      <w:r>
        <w:rPr>
          <w:rFonts w:ascii="IRNazanin" w:hAnsi="IRNazanin" w:eastAsia="IRNazanin"/>
          <w:color w:val="111111"/>
          <w:sz w:val="28"/>
          <w:sz w:val="28"/>
          <w:szCs w:val="28"/>
          <w:rtl w:val="true"/>
          <w:lang w:bidi="fa-IR"/>
        </w:rPr>
        <w:t>وعلی أساس هذه الفکرة، فإنّ السورة السادسة والتسعین من القرآن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العلق، أوّل ما نزل من القرآن، وولادة المسیح، وحیاة لینین، وموت جیفارا، وخطابات ماو، کلّها أشیاء مادّیة یمکن أن تترکب تحت ظروف معیّنة بطریقةٍ تشبه أساطیر الزمن الغابر وبدایة نشأة الکون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الوظیفة التی تؤدّیها الأساطیر أمثلةً تُحتذی ونماذجَ قائمة، ویمکن تلخیص هذه النقطة التی طرحها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بالتعریف ذی الحدّین الذی قدّمه الکاتب کلیفورد جیتز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Clifford Geertz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حول مفهوم النموذج،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تارةً تکون الأساطیر نماذج جامدة عن العالم فی نشأته الأولی، وتارةً أخری تکون نماذج للسلوک الإنسانی</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الکلام فی الأساطیر عادةً یکون شعائریّاً بتکراره لحوادث حدثت فی زمانٍ ما، ولکن أحداثه مرتبطة بما یحدث فی الزمن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تطبیق المعیار الأوّل والأخیر بسهولة علی مأساة کربلاء؛ إذ إنّ هذه المأساة فی شکلها الأساسی هی روایة لأحداث، ولو أنّها کثیراً ما تُروی بشکل درامی یتجلی فیه الفن والشعر، کما أنّها متصلة بشکلٍ عمیق بعددٍ من الشعائر والطقوس یأتی علی رأسها شعائر إحیاء ذکری عاشوراء کما وصفتها فی الصفحات الأُولی لهذا الکتاب، وهناک شعائر أُخری تتمّ ممارستها أسبوعیّاً وشهریّاً وسنویّاً تختلف باختلاف الثقافات الشیعیّة المتنوّعة، ومع ذلک، فإنّها جمیعاً تشترک فی نفس العناصر الأساسیّة، وهی إحیاء معاناة ومقتل الحسین وأهل بیته فی کربلاء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وفی هذا العصر لا تجد کثیراً من المختصّین بتاریخ الأدیان یناقشون حقیقة أنّ الأُسطورة والشعیرة الدِّینیّة لا یمکن الفصل بینهما، وإن کانت حلقة الوصل بین الاثنین عادةً ما تکون قویة جدّاً، مع ذلک نجد کثیراً من الأساطیر خالیة من أیّة إشارة تتعلّق بالشعائر الدینیّة، کما نجد کثیراً من الشعائر الدینیّة لا ترتبط إطلاقاً بأیّة أُسطورة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وإن سلّمنا أنّ المعیار الأوّل والرابع من تلک المعاییر التی 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منطبقة علی مأساة کربلاء، فإنّ من غیر الواضح أن ندّعی أنّ المعیار الثانی ینطبق علی هذه المأساة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من المستحیل أن نقف علی حقائق ثابتة تاریخیّاً جرت فی معرکة کربلاء</w:t>
      </w:r>
      <w:r>
        <w:rPr>
          <w:rStyle w:val="FootnoteAnchor"/>
          <w:rtl w:val="true"/>
        </w:rPr>
        <w:footnoteReference w:id="71"/>
      </w:r>
      <w:r>
        <w:rPr>
          <w:rFonts w:ascii="IRNazanin" w:hAnsi="IRNazanin" w:eastAsia="IRNazanin"/>
          <w:color w:val="111111"/>
          <w:sz w:val="28"/>
          <w:sz w:val="28"/>
          <w:szCs w:val="28"/>
          <w:rtl w:val="true"/>
          <w:lang w:bidi="fa-IR"/>
        </w:rPr>
        <w:t xml:space="preserve">، فإنّ معظم الکتّاب الغربیین یتفقون علی أنّ هذه الحادثة لیست أکثر من </w:t>
      </w:r>
    </w:p>
    <w:p>
      <w:pPr>
        <w:pStyle w:val="BookText"/>
        <w:rPr/>
      </w:pPr>
      <w:r>
        <w:rPr>
          <w:rFonts w:ascii="IRNazanin" w:hAnsi="IRNazanin" w:eastAsia="IRNazanin"/>
          <w:color w:val="111111"/>
          <w:sz w:val="28"/>
          <w:sz w:val="28"/>
          <w:szCs w:val="28"/>
          <w:rtl w:val="true"/>
          <w:lang w:bidi="fa-IR"/>
        </w:rPr>
        <w:t>حدث تاریخی صغیر فی خِضم الأحداث الکبیرة التی حدثت فی القرن الأوّل من ظهور الإسلام، إذ یصف أحد هؤلاء الکتّاب حادثة کربلاء علی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عملیة سیاسیّة روتینیّة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بالنسبة للسلطات الأُمویّة الحاکمة آنذاک </w:t>
      </w:r>
      <w:r>
        <w:rPr>
          <w:rStyle w:val="FootnoteAnchor"/>
          <w:rtl w:val="true"/>
        </w:rPr>
        <w:footnoteReference w:id="72"/>
      </w:r>
      <w:r>
        <w:rPr>
          <w:rFonts w:ascii="IRNazanin" w:hAnsi="IRNazanin" w:eastAsia="IRNazanin"/>
          <w:color w:val="111111"/>
          <w:sz w:val="28"/>
          <w:sz w:val="28"/>
          <w:szCs w:val="28"/>
          <w:rtl w:val="true"/>
          <w:lang w:bidi="fa-IR"/>
        </w:rPr>
        <w:t>، کما یصفها آخر کما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یبدو أنّ حادثة کربلاء رمت بثقلها علی الأُمویین؛ إذ لم یحسبوا لها حساباً کبیراً، فإنّ قوّة الحسین وتأثیره کان قلیلاً، إذ تمت السیطرة علیه بسهولة تامّة إذا ما قُورن بالاضطرابات الأُخری التی حدثت فی ذلک الوقت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الاصطلاح التاریخی، لا یمکن التعبیر عن الحادثة بالمصیریّة أو الحاسمة فی تاریخ العالم أو فی المجتمع الإسلامی، حتی وإن درسناها علی ضوء المفهوم الموسّع الذی طرحه هونکو لمصطلحی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اقتبسنا منه آنفاً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تأخذ هذه الحادثة تلک الهالة الکبیرة إلّا بعد وقوعها بزمنٍ طویل، وبعد استمرار روایتها عبر الأجیال وإعطائها تفسیرات ذات أبعاد عدیدة؛ إذ أصبحت بعد ذلک قصّة مؤثّرة ومثالاً للبطولة وعبرةً وأُنموذجاً للمعاناة التی یتعرّض لها الصالحون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وهکذا، لا یمکن أن ننظر إلیها کقصّةٍ تحمل أماراتٍ عن نشأة 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یمیّز الأُسطورة عن باقی أشکال القصص الشعبیّة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أن نجعلها تتوافق مع المعیار الثالث، أی بعد أن ننظر إلی قصّة کربلاء علی أنّها تمثّل أُنموذجاً وعبرة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روسل مکوتشیون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Mccutcheon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 أشار إلی عملیة تفسیر حدثٍ ما إلی أُنموذج وعبرة حین عرَّف الأُسطورة علی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تحویل حدث یومی عابر إلی حدث استثنائی غیر عادی</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هونکو نفسه، کما فی مقالته المقتبسة أعلاه، یدمج المعیار الثالث للأُسطورة مع المعیار الثانی، وبذلک فهو یجعل المعیار الثالث غیر ضروری بشکلٍ أو بآخر، فما یجعل من القصّة أن تأخذ شکل الأُسطورة هو ما تؤدّیه من وظیفة ترتبط بحکایات نشأة الکون أکثر ممّا تحتویه هذه القصّة من أسطر حول مادّة نشأة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الکتاب، فإنّی ساستخدم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لکی أعبّر عن هذا الدمج بین تمرکز الأُسطورة حول أحداث تتعلّق بنشأة الکون، وبین تقدیمها أنموذجاً شعبیّاً أو عبرة تُستخلص منها دروس معیّنة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للمرء أن یقول الشیء ذاته عن کثیر من القصص التی تروی أحداثاً وقعت فی صدر الإسلام، أو أحداثاً وقعت للدیانة المسیحیّة، أو حتی تلک القصص الأُخری التی تحمل بصمات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بطولات تصلح </w:t>
      </w:r>
    </w:p>
    <w:p>
      <w:pPr>
        <w:pStyle w:val="BookText"/>
        <w:rPr/>
      </w:pPr>
      <w:r>
        <w:rPr>
          <w:rFonts w:ascii="IRNazanin" w:hAnsi="IRNazanin" w:eastAsia="IRNazanin"/>
          <w:color w:val="111111"/>
          <w:sz w:val="28"/>
          <w:sz w:val="28"/>
          <w:szCs w:val="28"/>
          <w:rtl w:val="true"/>
          <w:lang w:bidi="fa-IR"/>
        </w:rPr>
        <w:t>لأن تکون نموذجاً ومثالاً یُقتدی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یقول هونکو؛ لهذا السبب سوف أعتمد فی کتابی هذا علی التعریف التالی للأُسطورة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تأسیسیّة للنظرة العالمیّة حول شیءٍ ما أو لهویّة مجموعةٍ ما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 المیزات الواضحة لهذا التعریف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الأُسطورة بهذا التعریف تشمل کلَّ أنواع القصص التی لها أهمّیة بالغة عند الناس، بحیث یمکن أن تمثّل دوراً تأسیسیّاً فی معتقداتهم، وهی بذلک لا تفرّق بین أن تکون تلک القصّة صحیحة وثابتة تاریخیّاً أو لا،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أحداث تلک القصّة قد لا یمکن إثبات وقوعها بالفعل بالطرق العلمیّة؛ وهذا یعنی أنّ التفرّع بین الأُسطورة والتاریخ یفقد أهمّیته؛ إذ یمکن لروایة ثابتة تاریخیّاً أن تکون أُسطورة، ویمکن لأُسطورةٍ ما أن تکون حدثاً قد سجّل التاریخ وقوعه الفعلی رسمیّاً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الرغم من أنّ التاریخ الرسمی یُفترض أن یمثّل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موضوعیة وموثّقة</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إلاّ أنَّ کلَّ هذه الحقائق تکون خاضعة لما یفهمه المؤرِّخ الأکادیمی وما یثیر اهتمامه منها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الکاتب البریطانی سیث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متخصّص بعلم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الأنثروبولوجیا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وباحث فی علم الأساطیر العبریّة خصوصاً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الثنائیّة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ذات أهمّیة فی کثیر من الأحیان؛ لأنَّ کلَّ الأوصاف التی تقال عن حدث معیّن إنّما هی مصاغة بشکلٍ مکلَّف واصطناعی؛ إذ إنّها تعزل لحظات معیّنة من أحداث قصّةٍ ما، وتقدمها حسب ما یقتضیه تطوّر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وإنّنا وإن کنّا لا ننفی حدوث واقعةٍ ما فی الماضی، إلّا أنّنا ننفی إمکانیة تکرار ما حدث فی الماضی بشکلٍ لا یکون لراویه أیّة یدٍ فی إعادة صیاغته أو بنائه لیحاکی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کلاً من الأساطیر والأحداث التاریخیّة، لا بدّ أن تکون روایات قد صِیغت بشکلٍ متقن جدّاً؛ لکی تتناسب مع الأذواق والعالم الحاضر،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الأساطیر والأحداث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متطابقة من حیث الوظیفة التی تؤدّیها، والفرق یکمن فی المحتوی فقط؛ إذ إنّ الأساطیر تنقل أحداثاً قد تکون خیالیّة، وقد لا تکون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الأساطیر یمکن أن تتضمّن أحداثاً وقعت فعلاً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ینقل التاریخ أحداثاً یُفهم منها أنّها حقیقیّة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فی سیاقٍ آخر، حاولت أن أطبّق هذا النوع من التفکیر علی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الذاکرة الشخصیّة ما هی إلّا عملیة انتقائیّة حالُها حال التاریخ الرسمی، أی أنّ قبول حدثٍ ما کحقیقة أو کخیال یعتمد علی ذوق الشخص، کما ذکرتُ أنّ التاریخ الرسمی الذی نصنعه نحن بالاعتماد علی ماضینا الشخصی یؤدّی نفس الوظیفة التی یؤدّیها التاریخ الرسمی بشکله العام، وتؤدیها الأُسطورة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هایلین، کلمات فی نظریّات تاریخ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لی علی الأقل، أری أنّ الطرح الذی قدّمه کونین مثیر جدّاً للاهتمام؛ إذ إنّه یفکر بنفس الطریقة التی فکرت أنا بها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نفکر بما نأکل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فإنّی لا أری التعریف الذی قاله لینکولن للأُسطورة علی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تفکیر بنحوٍ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کافیاً؛ لأنّ تعریفه هذا یُفهم منه علی أنّ الأُسطورة دائماً ما تکون مبتنیة علی فکر 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الأُسطورة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فإنّ هذا التعریف یعتبر إحدی التقییدات التی تعرقل مفهوم جوتشاک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الذاکرة الجماعیّة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یعطی مجتمعنا أفضلیة وامتیازاً للحقائق علی الأشیاء غیر الحقیقیة، ولکن فی مجتمعات أُخر، یکون الأمر بالعکس تماماً؛ لذا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التاریخ الرسمی بما هو نقل لحقائق حدثت فعلاً، وبین الأُسطورة بما هی سرد لوقائع قد تکون زائفة، یعتمد بالأساس علی نظرة یکون العرق فیها هو الأساس فی الحکم علی الأشیاء، وبقولٍ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التاریخ الرسمی والأُسطورة یعتمد علی الطریقة التی ینظر إلیها مجتمعنا إلی العالم ویفهمه من خلالها</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للدِّین من أن یکون شرعیّاً من خلال التجارب التی یُنظر علی کونها موضوعیّةً ولا یکون مبتنیاً علی الإیمان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کونین، نفکر بما نأکل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وأنا أُوافق تماماً علی آراء کونین فی هذا الأمر، وأُضیف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وإن لم تکن أحداث التاریخ الرسمی دائماً تأسیسیّة، فإنّ الأساطیر تکون تأسیسیّة دائماً، کما أری أنّ التوافق بینی وبین کونین فی رؤیتنا للأُسطورة والتاریخ سببه هو حقیقة أنّ کلینا تعامل مع الأُسطورة من خلال مجتمعات تعتمد اعتماداً کلیّاً علی التاریخ فی وعیها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الأسطورة تعنی اصطناع العالم الذی نعیش فیه، ولکنها رغم ذلک مصطنعة، وقد تکون خارج هذا العالم الذی نعیش فیه؛ لأنّنا عادةً ما نستجیب لما نشاهده من تجارب شخصیّة علی أساس اصطناع وتحویر الأساطیر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روسل مکوتشیون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Russel Mccutcheon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وهو عالم أدیان أمیرکی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دراسة الأُسطورة یجب أن یُنقل من دراسة الأساطیر علی أنّها شیء متحجّر غیر قابل للتغییر، أو علی أنّها قصص تروی ما هو مقدّس، أو علی أنّها تروی أحداثاً غیر مألوفة، إلی دراسة صناعة الأساطیر کعملیة مستقلة، وکنوعٍ من الجدال الاجتماعی، وکأُسلوب معالجة، وکخطّة متقنة تکون طبیعیّة مائة بالمائة، وتکون إحدی الوسائل التی لا یمکن الاستغناء عنها فی بناء الهویّة الذاتیّة</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التغییر فی مفهوم الأُسطورة یتناسب تماماً مع الفکرة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الأحداث التاریخیّة العادیّة وکلَّ ما هو موجود فی محیط جماعةٍ ما یمکن أن یُستخدم کأُسطورة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Claude Lévi-Strauss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العالم الفرنسی المتخصِّص بعلم الإنسان والبنیویّة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أطلق علی عملیة التغییر هذه اسم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Bricolage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الترکیب الآنی، وهی کلمة یصعب ترجمتها إلی اللغة الإنجلیزیة؛ إذ إنّها مشتقة من الجذر الفرنسی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Bricoleur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وهو اسم یُطلق علی نوع من الرجال الذین یُستخدمون لإنجاز ضروب مختلفة من الأعمال، کما یُطلق علی الحرفیین الماهرین الذین لهم القدرة علی إصلاح وترمیم کلّ ما یرونه أمامهم، مستخدمین أیّة وسیلة تکون فی متناولهم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فالمرکّب الآنی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الماهر الذی یصلح لإنجاز أنواع مختلفة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عَاَلم أدواته مغلقاً، وقواعد لعبته هی أن یستخدم کلّ ما یراه متاحاً أمامه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الأساطیر یتمّ بناؤها بضروب مختلفة من العناصر الموجودة والمهمّة فی نظر مجتمع معیّن، سواء أکانت أحداثاً 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غالباً فی المجتمعات المتأثّرة بتاریخها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تفاصیل عن المحیط الطبیعی لمجتمعٍ ما، أو علائم اجتماعیّة أو اقتصادیّة داخل ثقافة المجتمع، أو کلّ ما یتوفر ویکون فی المتناول </w:t>
      </w:r>
      <w:r>
        <w:rPr>
          <w:rStyle w:val="FootnoteAnchor"/>
          <w:rtl w:val="true"/>
        </w:rPr>
        <w:footnoteReference w:id="84"/>
      </w:r>
      <w:r>
        <w:rPr>
          <w:rFonts w:ascii="IRNazanin" w:hAnsi="IRNazanin" w:eastAsia="IRNazanin"/>
          <w:color w:val="111111"/>
          <w:sz w:val="28"/>
          <w:sz w:val="28"/>
          <w:szCs w:val="28"/>
          <w:rtl w:val="true"/>
          <w:lang w:bidi="fa-IR"/>
        </w:rPr>
        <w:t xml:space="preserve">، فالأساطیر تعابیر أو مظاهر سیقت بشکلٍ روائی للتراکیب التحتیّة الملازمة لمجتمعٍ أو حضارةٍ ما، فی حین أنّ التراکیب عادةً ما تکون ثابتة بدرجة أو أُخری، وتکون الأساطیر متغیّرة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اصطلح علیها شتراوس؛ بسبب عملیة الترکیب الآنی المذکورة آنفاً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شتراوس، راجع الفصل الثالث من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الترکیب الآنی علی أنّه عملیة جماعیّة ومجهولة المصدر، وتصدر عن اللاوعی ولکن بشکلٍ متفاوت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لمکوتشیون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یری أنّ صناعة الأُسطورة هی أیضاً عملیة یقوم بأدائها مجموعة معیّنة من الأفراد أو المجامیع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النظرة یحملها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 لینکولن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Lincoln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وهو کاتب أمیرکی متخصِّص بعلم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أنّه یکّن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الاحترام، إلّا أنّه یختلف معه فی هذه النقطة </w:t>
      </w:r>
    </w:p>
    <w:p>
      <w:pPr>
        <w:pStyle w:val="BookText"/>
        <w:rPr/>
      </w:pPr>
      <w:r>
        <w:rPr>
          <w:rFonts w:ascii="IRNazanin" w:hAnsi="IRNazanin" w:eastAsia="IRNazanin"/>
          <w:color w:val="111111"/>
          <w:sz w:val="28"/>
          <w:sz w:val="28"/>
          <w:szCs w:val="28"/>
          <w:rtl w:val="true"/>
          <w:lang w:bidi="fa-IR"/>
        </w:rPr>
        <w:t xml:space="preserve">بالذات، إذ یری أنّ الغرض الرئیس من الأُسطورة هو تصنیف العالم الذی نعیش فیه، وهو جانبٌ أثار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ولکنّه مع ذلک لم یناقش الجوانب الأُخری السیاسیّة التی تخصّ علم التصنیف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دراسة المبادئ العامّة للتصنیف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 یری لینکولن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علم التصنیف لا یکون عادةً عملیة محایدة؛ لأنّ النظام الموضوع لکلِّ ما یجری تصنیفه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ذلک المواضع التی تُعامل علی أنّها إشارات ضمنیّة، والأنظمة التی یتمّ من خلالها تصنیف المجامیع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ما یکون متسلسلاً هرمیّاً أو طبقیّاً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لینکولن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فأنا أمیل إلی القول بأنّ علم التصنیف عندما یتمّ ترمیزه بشکلٍ أُسطوری، فإنَّ الروایات تتضمّن فی طیّاتها نظام تمییز محتمل فی شکلٍ جذّاب یبقی فی الذاکرة، بالإضافة إلی ذلک، هذه الروایات تعطی صفة الحیادیّة والشرعیّة للأُسطورة، وهکذا لا تکون الأُسطورة نظام تصنیف فحسب، بل هی آیدیولوجیّة علی شکلٍ روائی</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یؤکد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رؤیة الأُسطورة بهذا المنظار، یتطلّب منّا أن نأخذ بنظر الاعتبار دور الرواة الذین کثیراً ما یغیّرون فی روایة الأُسطورة، ویُحدثون تغییرات فی تصنیف الروایة؛ لکی یظهروا للعیان النقاط التی یریدون من المستمعین الترکیز علیها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98" w:name="pg5097_58239"/>
    </w:p>
    <w:p>
      <w:pPr>
        <w:pStyle w:val="BookText"/>
        <w:rPr/>
      </w:pPr>
      <w:bookmarkEnd w:id="98"/>
      <w:r>
        <w:rPr>
          <w:rFonts w:ascii="IRNazanin" w:hAnsi="IRNazanin" w:eastAsia="IRNazanin"/>
          <w:color w:val="111111"/>
          <w:sz w:val="28"/>
          <w:sz w:val="28"/>
          <w:szCs w:val="28"/>
          <w:rtl w:val="true"/>
          <w:lang w:bidi="fa-IR"/>
        </w:rPr>
        <w:t xml:space="preserve">وبالأخذ بنظر الاعتبار تقیید المعنی الذی یقترحه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الأُسطورة والتحوّل الأُسطوری، وجدت أنّها تجذب الانتباه إلی خواص عملیة بناء الأُسطورة، ولهذا السبب سوف أستخدمها فی تحلیلی لمأساة کربلاء حسب ما نقلها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البدء بهذا العمل، علیَّ أن ألفت نظر القارئ إلی أنّ هناک تصادماً بین استخدامی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استخدام لیفی شتراوس لنفس الکلمة، بینما یکون تعریفی للأُسطورة مبنیاً علی الوظیفة التی تؤدّیها الروایة،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یستخدم المعاییر البنویّة والوظیفیّة من أجل تصنیف قصّةٍ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حتی مجموعة من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کأُسطورة </w:t>
      </w:r>
      <w:r>
        <w:rPr>
          <w:rStyle w:val="FootnoteAnchor"/>
          <w:rtl w:val="true"/>
        </w:rPr>
        <w:footnoteReference w:id="88"/>
      </w:r>
      <w:r>
        <w:rPr>
          <w:rFonts w:ascii="IRNazanin" w:hAnsi="IRNazanin" w:eastAsia="IRNazanin"/>
          <w:color w:val="111111"/>
          <w:sz w:val="28"/>
          <w:sz w:val="28"/>
          <w:szCs w:val="28"/>
          <w:rtl w:val="true"/>
          <w:lang w:bidi="fa-IR"/>
        </w:rPr>
        <w:t xml:space="preserve">، بَیْدَ أنّ هذا لا یعنی أنّنی أنفی وجود التراکیب فی الأساطیر، ولکننی علی العکس من ذلک، کما أسعی لإثباته فی هذه الدراسة، أری أنّ الأساطیر فی معظمها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تکن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ذات تراکیب مبنیّة بشکلٍ مُتقن، ویبقی الفرق الوحید بین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لمصطلح الأُسطورة واستخدامی أنا لنفس المصطلح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أضع الوظیفة التی تؤدّیها الأُسطورة فی المقام الأوّل، ما یجعل مفهوم شتراوس للأُسطورة یبدو أوسع من مفهومی لها، وهکذا تدخل کثیر من القصص تحت مسمّی الأُسطورة حسب مفهوم شتراوس بخلاف ما هی علیه حسب مفهومی لها</w:t>
      </w:r>
      <w:r>
        <w:rPr>
          <w:rFonts w:eastAsia="IRNazanin" w:cs="IRNazanin"/>
          <w:color w:val="111111"/>
          <w:sz w:val="28"/>
          <w:szCs w:val="28"/>
          <w:rtl w:val="true"/>
          <w:lang w:bidi="fa-IR"/>
        </w:rPr>
        <w:t>.</w:t>
      </w:r>
    </w:p>
    <w:p>
      <w:pPr>
        <w:pStyle w:val="Heading3"/>
        <w:numPr>
          <w:ilvl w:val="2"/>
          <w:numId w:val="1"/>
        </w:numPr>
        <w:rPr/>
      </w:pPr>
      <w:bookmarkStart w:id="99" w:name="__RefHeading___Toc1259864_774463916"/>
      <w:bookmarkStart w:id="100" w:name="_Toc36"/>
      <w:bookmarkEnd w:id="99"/>
      <w:r>
        <w:rPr>
          <w:rtl w:val="true"/>
        </w:rPr>
        <w:t>الغرض من هذه الدراسة وفحواها</w:t>
      </w:r>
      <w:bookmarkEnd w:id="10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سوف أقوم فی هذه الدراسة بتحلیلٍ لقصّة مقتل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مأساة </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رواها محمّد بن جریر الطبری، المؤرِّخ واللاهوتّی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واللاهوت فی أوسع معانیه هو فرعٌ من الفلسفة، ولکن معناه الشائع أنّه تنظیر لدینٍ معیّن،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 مسیحی أو یهودی أو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هذه الزاویة الضیّقة یصبح تاریخیّاً وجدالیّاً ودفاعیّاً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اللاهوت عند المسیحیین هو علم الکلام عند المسلمین، وموضوعه البحث عن وجود الله وذاته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المسلم، المتوفّی سنة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هذه الدراسة، سوف أنظر إلی هذه القصّة علی أنّها أُسطورة حسب المعنی الذی ذکرته للأُسطورة فی القسم السابق من الکتاب، وسوف یکون تحلیلی لها مبنیاً علی النظریّة البنیویّة وعلی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 لیفی شتراوس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Claude Lévi-Strauss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کما طوّره علماء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کونغاس ماراندا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 Köngäs Maranda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بییر ماراندا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Maranda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مارکوس،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سکوبلا، بالإضافة إلی آخرین</w:t>
      </w:r>
      <w:r>
        <w:rPr>
          <w:rStyle w:val="FootnoteAnchor"/>
          <w:rtl w:val="true"/>
        </w:rPr>
        <w:footnoteReference w:id="90"/>
      </w:r>
      <w:r>
        <w:rPr>
          <w:rFonts w:ascii="IRNazanin" w:hAnsi="IRNazanin" w:eastAsia="IRNazanin"/>
          <w:color w:val="111111"/>
          <w:sz w:val="28"/>
          <w:sz w:val="28"/>
          <w:szCs w:val="28"/>
          <w:rtl w:val="true"/>
          <w:lang w:bidi="fa-IR"/>
        </w:rPr>
        <w:t>، راجیاً فی عملی هذا تحقیق هدفین اثنین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مفهوم أعمق لمأساة کربلاء کقصّةٍ تأسیسیّة فی نظر الطبری، وربّما للصورة الذاتیّة للمجتمع الإسلامی فی عصره، ولکی أفهم بشکلٍ صحیح مغزی هذه المأساة بالنسبة للطبری وعصره، کان علیَّ أن أعمل مقارنة بین هذه القصّة کما رواها الطبری، وبین مرویاتها من طرقٍ أُخر، ولکن هذا لم یکن ممکناً لی فی ضمن </w:t>
      </w:r>
      <w:bookmarkStart w:id="101" w:name="pg5097_58241"/>
    </w:p>
    <w:p>
      <w:pPr>
        <w:pStyle w:val="BookText"/>
        <w:rPr/>
      </w:pPr>
      <w:bookmarkEnd w:id="101"/>
      <w:r>
        <w:rPr>
          <w:rFonts w:ascii="IRNazanin" w:hAnsi="IRNazanin" w:eastAsia="IRNazanin"/>
          <w:color w:val="111111"/>
          <w:sz w:val="28"/>
          <w:sz w:val="28"/>
          <w:szCs w:val="28"/>
          <w:rtl w:val="true"/>
          <w:lang w:bidi="fa-IR"/>
        </w:rPr>
        <w:t>الإطارات المعتمد علیها فی هذا الکتاب؛ لذا علینا أن نعتبر هذه الدراسة کخطوة أُولی فی هذا المضمار، مع استجلاب استقصاءات أُخری مأخوذة من المرویات الأُخری لهذه القصّة ومقارنتها بما سنقوم بدراسته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أستقصی مدی وکیفیة تطبیق نظریّة البنیویّة عند شتراوس علی ما وصلتنا من روایات تعود إلی الفترة الأُولی لظهور الإسلام، وکما سأبیّن فیما بعد، فإنّه لا نکاد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من الدراسات التی وصلتنا باللغة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شکلٍ مطابق لما قد نطلق علیه تسمیة البنیویّة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من ذلک، فمنذ أن تلاشی الاهتمام بکتابات لیفی شتراوس ونظریّاته فی أواخر السبعینیات من القرن الماضی، لم یعد مناسباً أن نطبّق أدواته النظریّة والمنهجیّة علی دراسة تاریخ الأدیان، وإن تمّ تطویر أفکاره والتعلیق علیها فی العقدین الأخیرین، ما حدا بی إلی الاعتقاد الجازم بأنّ تاریخ الأدیان بما هو فرع من الدراسات الأکادیمیّة کان من الممکن أن نعید إدماجه فی ضمن مجموعة نظریّات وأسالیب البنیویّة التی تبنّاها شتراوس</w:t>
      </w:r>
      <w:r>
        <w:rPr>
          <w:rFonts w:eastAsia="IRNazanin" w:cs="IRNazanin"/>
          <w:color w:val="111111"/>
          <w:sz w:val="28"/>
          <w:szCs w:val="28"/>
          <w:rtl w:val="true"/>
          <w:lang w:bidi="fa-IR"/>
        </w:rPr>
        <w:t>.</w:t>
      </w:r>
    </w:p>
    <w:p>
      <w:pPr>
        <w:pStyle w:val="Heading3"/>
        <w:numPr>
          <w:ilvl w:val="2"/>
          <w:numId w:val="1"/>
        </w:numPr>
        <w:rPr/>
      </w:pPr>
      <w:bookmarkStart w:id="102" w:name="__RefHeading___Toc1259866_774463916"/>
      <w:bookmarkStart w:id="103" w:name="_Toc37"/>
      <w:bookmarkEnd w:id="102"/>
      <w:r>
        <w:rPr>
          <w:rtl w:val="true"/>
        </w:rPr>
        <w:t>دراسات مسبقة</w:t>
      </w:r>
      <w:r>
        <w:rPr>
          <w:rtl w:val="true"/>
        </w:rPr>
        <w:t xml:space="preserve">: </w:t>
      </w:r>
      <w:r>
        <w:rPr>
          <w:rtl w:val="true"/>
        </w:rPr>
        <w:t>الأُسطورة فی الإسلام</w:t>
      </w:r>
      <w:bookmarkEnd w:id="103"/>
    </w:p>
    <w:p>
      <w:pPr>
        <w:pStyle w:val="BookText"/>
        <w:rPr/>
      </w:pPr>
      <w:r>
        <w:rPr>
          <w:rFonts w:ascii="IRNazanin" w:hAnsi="IRNazanin" w:eastAsia="IRNazanin"/>
          <w:color w:val="111111"/>
          <w:sz w:val="28"/>
          <w:sz w:val="28"/>
          <w:szCs w:val="28"/>
          <w:rtl w:val="true"/>
          <w:lang w:bidi="fa-IR"/>
        </w:rPr>
        <w:t>بالرغم من أنّ من النادر أن نجد منفذاً للأُسطورة فی الإسلام، إلاّ أنّ دراسات قلیلة فی السنوات السابقة قد ناقشت مفهوم الأُسطورة فی الإسلام، ولو بشکلٍ نظری فقط، وفیما یلی سأتعرّض ولو بشکلٍ ملخّص لبعض من أُولئک الکتّاب الذین ناقشوا هذا الموضوع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إحدی أکثر المناقشات توسّعاً حول موضوع الأُسطورة فی الإسلام هی تلک التی کتبتها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أنجلیکا نیوویرث</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Angelika Neuwirth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الألمانیّة التی رکّزت جلَّ </w:t>
      </w:r>
    </w:p>
    <w:p>
      <w:pPr>
        <w:pStyle w:val="BookText"/>
        <w:rPr/>
      </w:pPr>
      <w:r>
        <w:rPr>
          <w:rFonts w:ascii="IRNazanin" w:hAnsi="IRNazanin" w:eastAsia="IRNazanin"/>
          <w:color w:val="111111"/>
          <w:sz w:val="28"/>
          <w:sz w:val="28"/>
          <w:szCs w:val="28"/>
          <w:rtl w:val="true"/>
          <w:lang w:bidi="fa-IR"/>
        </w:rPr>
        <w:t>اهتمامها علی موضوع الأُسطورة فی القرآن الکریم خصوصاً، ففی إحدی مقالاتها التی ساهمت فی إصدار موسوعة القرآن الکریم</w:t>
      </w:r>
      <w:r>
        <w:rPr>
          <w:rStyle w:val="FootnoteAnchor"/>
          <w:rtl w:val="true"/>
        </w:rPr>
        <w:footnoteReference w:id="91"/>
      </w:r>
      <w:r>
        <w:rPr>
          <w:rFonts w:ascii="IRNazanin" w:hAnsi="IRNazanin" w:eastAsia="IRNazanin"/>
          <w:color w:val="111111"/>
          <w:sz w:val="28"/>
          <w:sz w:val="28"/>
          <w:szCs w:val="28"/>
          <w:rtl w:val="true"/>
          <w:lang w:bidi="fa-IR"/>
        </w:rPr>
        <w:t>المطبوعة حدیثاً، تفصّل الکاتبة بین الأُسطورة والخرافة فی القرآن الکریم</w:t>
      </w:r>
      <w:r>
        <w:rPr>
          <w:rStyle w:val="FootnoteAnchor"/>
          <w:rtl w:val="true"/>
        </w:rPr>
        <w:footnoteReference w:id="92"/>
      </w:r>
      <w:r>
        <w:rPr>
          <w:rFonts w:ascii="IRNazanin" w:hAnsi="IRNazanin" w:eastAsia="IRNazanin"/>
          <w:color w:val="111111"/>
          <w:sz w:val="28"/>
          <w:sz w:val="28"/>
          <w:szCs w:val="28"/>
          <w:rtl w:val="true"/>
          <w:lang w:bidi="fa-IR"/>
        </w:rPr>
        <w:t>، فتقدّم تعریفاً للأُسطورة علی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تساهم فی تفسیر ووصف العالم المکتشَف عن طریق إظهار نماذج ذات طراز بدائی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عادةً ما تؤطَّر بشکل نصوصٍ عن نشأة الکون، أو عن ظواهر خارقة للعادة، تصلح لأن تخلق معانی مشخّصة وتعطی نصائح وتوجیهات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الخرافات، فتعریف الکاتبة لها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 خیالیّة تمجّد التقوی التی یبدیها أشخاص یصلحون لأن یُتَّخذوا أُسوة حسنة</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عدّة نواحٍ، تحاکی هذه التعریفات التصنیفات التقلیدیّة التی سبق أن أسّس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هو مبیّن فی الجدول السابق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لم یتوضّح لی جلیّاً ما تقصده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نماذج ذات طراز بدائی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حسب المجال الذی تعمل فیه، یبدو أنّها تشیر إلی معانٍ طُرحت فی الکتاب المقدّس المکتوب باللغة العبریّة کما فی العهد الجدید کذلک، علاوةً علی الموروثات العربیّة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بشکلٍ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تؤدّی وظیفة نماذج لتأکید الهویّة، وللهدایة التی تجسّدت فی المیثولوجیا الإسلامیّة، 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الضروب من الروایات التی تتمیّز بکونها تؤخذ علی شکلها التأویلی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موجودة فی القرآن فحسب، بل یمکن رؤیتها فی أشکال الأدب العربی الأُخری</w:t>
      </w:r>
      <w:r>
        <w:rPr>
          <w:rStyle w:val="FootnoteAnchor"/>
          <w:rtl w:val="true"/>
        </w:rPr>
        <w:footnoteReference w:id="94"/>
      </w:r>
      <w:r>
        <w:rPr>
          <w:rFonts w:ascii="IRNazanin" w:hAnsi="IRNazanin" w:eastAsia="IRNazanin"/>
          <w:color w:val="111111"/>
          <w:sz w:val="28"/>
          <w:sz w:val="28"/>
          <w:szCs w:val="28"/>
          <w:rtl w:val="true"/>
          <w:lang w:bidi="fa-IR"/>
        </w:rPr>
        <w:t xml:space="preserve">، ففی القرآن تمّ إزالة الشکل الأُسطوری لتلک </w:t>
      </w:r>
    </w:p>
    <w:p>
      <w:pPr>
        <w:pStyle w:val="BookText"/>
        <w:rPr/>
      </w:pPr>
      <w:r>
        <w:rPr>
          <w:rFonts w:ascii="IRNazanin" w:hAnsi="IRNazanin" w:eastAsia="IRNazanin"/>
          <w:color w:val="111111"/>
          <w:sz w:val="28"/>
          <w:sz w:val="28"/>
          <w:szCs w:val="28"/>
          <w:rtl w:val="true"/>
          <w:lang w:bidi="fa-IR"/>
        </w:rPr>
        <w:t>الشخصیات التی تُتَّخذ کنماذج یُحتذی بها، أی أُخرجت من شکلها التاریخی والروائی، ثمّ أُعید بناؤها حسب إطار إسلامی 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تسجّل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الکاتبة نیوویرث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بعدد من تلک الأساطیر والخرافات المذکورة فی القرآن، قبل أن تحاول أن تبرهن أنّ هناک روایة قرآنیّة واحدة، یمکن أن ینظر إلیها علی أنّها من أساطیر التاریخ</w:t>
      </w:r>
      <w:r>
        <w:rPr>
          <w:rStyle w:val="FootnoteAnchor"/>
          <w:rtl w:val="true"/>
        </w:rPr>
        <w:footnoteReference w:id="95"/>
      </w:r>
      <w:r>
        <w:rPr>
          <w:rFonts w:ascii="Amiri" w:hAnsi="Amiri" w:eastAsia="Amiri" w:cs="Amiri"/>
          <w:color w:val="111111"/>
          <w:sz w:val="28"/>
          <w:sz w:val="28"/>
          <w:szCs w:val="28"/>
          <w:rtl w:val="true"/>
          <w:lang w:bidi="ar-SA"/>
        </w:rPr>
        <w:t>، وهی قصّة خروج أو هجرة موسی التی قدّمت عِبرةً ومثالاً یُحتذی به للنبیّ محمّد والمسلمین الأوائل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أحد أهمّ العبر ذات الطراز البدائی التی تکرّر ذکرها فی القرآن فی مناسبات کثیرة، فهی مسألة إهلاک الأُمم السابقة التی لم تؤمن بأنبیائها ولم تُطِعهم، وهی تسمّی قصص العقوبات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نظر نیوویرث هذه القصص إنّما هی استعارة وإعادة تشکیل لقصّة برج بابل المذکورة فی التوراة والإنجیل، إلّا أنّ القرآن یری بأنّ هذه القصّة حدثت مراراً وتکراراً فی التاریخ، لا فی مناسبة فریدة فی زمن معیّن قبل تاریخ الإنسانیّة، کما هو الحال فی روایتها فی التوراة والإنجیل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الغرض من ذکر قصص العقوبات الإلهیّة تلک، فهو لإعطاء معنی لذلک الوضع المحفوف بالمخاطر الذی واجه النبیّ والمسلمین الأوائل، حینما استهزأ بهم وثنیو مکّة واضطهدوهم؛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الوضع الراهن اکتسب معنیً أبعد، تطلّب أن یتمّ التأکید علیه من خلال إعطائه بُعداً له صلةٌ بأمثلة مشابهة حدثت فی التاریخ البعید، وإن کان بعض تلک الأمثلة حدثت فی أماکن أُخری بعیدة عن وطن أُولئک الذین تعرّضوا لهذا الاستهزاء والاضطهاد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مقالةٍ أُخری، 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أُسطوریّة؛ وذلک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تذکر الأفعال الفردیّة لخلق السماوات والأرض، کما تبیّن أنّ إنشاء الأرض ورفع السماوات قد تمّا بشکلٍ نظامی ودقیق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تحذّر السورة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 والجان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إن حاولا تخطّی الحدود الإلهیّة، فإنّهما سیواجهان العقوبة فی الآخرة </w:t>
      </w:r>
      <w:r>
        <w:rPr>
          <w:rStyle w:val="FootnoteAnchor"/>
          <w:rtl w:val="true"/>
        </w:rPr>
        <w:footnoteReference w:id="98"/>
      </w:r>
      <w:r>
        <w:rPr>
          <w:rFonts w:ascii="IRNazanin" w:hAnsi="IRNazanin" w:eastAsia="IRNazanin"/>
          <w:color w:val="111111"/>
          <w:sz w:val="28"/>
          <w:sz w:val="28"/>
          <w:szCs w:val="28"/>
          <w:rtl w:val="true"/>
          <w:lang w:bidi="fa-IR"/>
        </w:rPr>
        <w:t>، وهنا أیضاً یمکننا رؤیة آثار من النظرة التقلیدیّة للأُسطورة، حیث یعاد سرد أحداث ما جری قبل التاریخ؛ إذ بمشارکة کائنات غیر البشر أمکن الاستفادة من عناصر أُخری من عناصر تصنیف الأُسطورة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أهم ما یواجه الکاتبة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مشاکل فی مناقشتها هذه للأُسطورة فی القرآن برأیی، فهو أنّها تذبذبت بین رأیین حول الأُسطورة المبنیة علی الأُسلوب الأدبی،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القائل بأنّ الأُسطورة تؤدّی وظیفة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والرأی الآخر القائل بأنّ الأُسطورة ما هی إلّا تقلید عند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تقول الکاتبة بأنّ تلک الأساطیر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تُلقی بشکلٍ تأویلی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أنّها قصص تزوِّد متلقیها بنماذج مقصود منها أخذ العبرة من شخصیات من الأزمنة الغابرة،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نعنی به العنصر الوظیفی للأُسطورة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وتارةً أخری تتحدّث الکاتبة عن قصص تعود لطبقات معیّنة، ثمّ تفصل بین الأُسطورة والخرافة، بأنّ کلاً منهما یمثّل ضرباً محدّداً من ضروب العمل الأدبی </w:t>
      </w:r>
      <w:r>
        <w:rPr>
          <w:rStyle w:val="FootnoteAnchor"/>
          <w:rtl w:val="true"/>
        </w:rPr>
        <w:footnoteReference w:id="99"/>
      </w:r>
      <w:r>
        <w:rPr>
          <w:rFonts w:ascii="IRNazanin" w:hAnsi="IRNazanin" w:eastAsia="IRNazanin"/>
          <w:color w:val="111111"/>
          <w:sz w:val="28"/>
          <w:sz w:val="28"/>
          <w:szCs w:val="28"/>
          <w:rtl w:val="true"/>
          <w:lang w:bidi="fa-IR"/>
        </w:rPr>
        <w:t xml:space="preserve">، ولکنّها مع ذلک تشیر إلی أمرٍ مهم، حین تذکر أنّ مواضیع من قصص سابقة تمّ </w:t>
      </w:r>
    </w:p>
    <w:p>
      <w:pPr>
        <w:pStyle w:val="BookText"/>
        <w:rPr/>
      </w:pPr>
      <w:r>
        <w:rPr>
          <w:rFonts w:ascii="IRNazanin" w:hAnsi="IRNazanin" w:eastAsia="IRNazanin"/>
          <w:color w:val="111111"/>
          <w:sz w:val="28"/>
          <w:sz w:val="28"/>
          <w:szCs w:val="28"/>
          <w:rtl w:val="true"/>
          <w:lang w:bidi="fa-IR"/>
        </w:rPr>
        <w:t>إعادة استخدامها وإعادة نسجها؛ لکی تتلائم مع المثال القرآنی، وهذا ما اعتبره ضرباً من الترکیب الآنی عند المسلمین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دراسة أُخری مثیرة للاهتمام حول موضوع الأُسطورة فی القرآن وفی أدب ما بعد القرآن، وقد قام کاتبها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یاروسلاف</w:t>
      </w:r>
    </w:p>
    <w:p>
      <w:pPr>
        <w:pStyle w:val="BookText"/>
        <w:rPr/>
      </w:pPr>
      <w:r>
        <w:rPr>
          <w:rFonts w:ascii="IRNazanin" w:hAnsi="IRNazanin" w:eastAsia="IRNazanin"/>
          <w:color w:val="111111"/>
          <w:sz w:val="28"/>
          <w:sz w:val="28"/>
          <w:szCs w:val="28"/>
          <w:rtl w:val="true"/>
          <w:lang w:bidi="fa-IR"/>
        </w:rPr>
        <w:t>ستیکیفیتش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Jaroslav Stetkevych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ببحث کیفیة انتقال ودمج نمط الأُسطورة فی فترة ما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فترة ازدهار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الأُسطورة الإسلامیّة </w:t>
      </w:r>
      <w:r>
        <w:rPr>
          <w:rStyle w:val="FootnoteAnchor"/>
          <w:rtl w:val="true"/>
        </w:rPr>
        <w:footnoteReference w:id="100"/>
      </w:r>
      <w:r>
        <w:rPr>
          <w:rFonts w:ascii="IRNazanin" w:hAnsi="IRNazanin" w:eastAsia="IRNazanin"/>
          <w:color w:val="111111"/>
          <w:sz w:val="28"/>
          <w:sz w:val="28"/>
          <w:szCs w:val="28"/>
          <w:rtl w:val="true"/>
          <w:lang w:bidi="fa-IR"/>
        </w:rPr>
        <w:t xml:space="preserve">، ویبدو من کتابه أنّ هذا الکاتب یحمل نفس الفکرة عن الأُسطورة التی تحملها الکاتبة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نیوویرث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یتطرّق أبداً إلی تعریف واضح المعالم لمفهوم الأُسطورة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الذی بین یدیک، فهو تاریخ لفترة ما بعد القرآن عموماً، ولفترة الطبری خصوصاً، والذی سوف أُرکّز جلَّ اهتمامی علیه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کاتبان اثنان علی وجه الخصوص قد ناقشا مفهوم الأُسطورة فی کتب التاریخ الإسلامی عموماً وکتابات الطبری خصوصاً،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البروفسور فی التاریخ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ستیفن همفریز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 Stephen Humphreys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وهو أُستاذ أمیرکی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والبروفسور فی التراث والحضارة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 جیلوت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Claude Gilliot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وهو أُستاذ فرنسی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بَیْدَ أنّ کلاهما لم یقدّم أیَّ تعریفٍ لمفهوم الأُسطورة، بل ناقشا هذا المفهوم علی أنّه موجود فی تراکیب الروایات التاریخیّة، ولیس ضرباً خاصّاً من ضروب الأدب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تفسیر التاریخ فی الروایات التی أرّخت للعصر </w:t>
      </w:r>
    </w:p>
    <w:p>
      <w:pPr>
        <w:pStyle w:val="BookText"/>
        <w:rPr/>
      </w:pPr>
      <w:r>
        <w:rPr>
          <w:rFonts w:ascii="IRNazanin" w:hAnsi="IRNazanin" w:eastAsia="IRNazanin"/>
          <w:color w:val="111111"/>
          <w:sz w:val="28"/>
          <w:sz w:val="28"/>
          <w:szCs w:val="28"/>
          <w:rtl w:val="true"/>
          <w:lang w:bidi="fa-IR"/>
        </w:rPr>
        <w:t xml:space="preserve">الإسلامی الأوّل قد تأثر إلی حدٍّ کبیر بالقرآن </w:t>
      </w:r>
      <w:r>
        <w:rPr>
          <w:rStyle w:val="FootnoteAnchor"/>
          <w:rtl w:val="true"/>
        </w:rPr>
        <w:footnoteReference w:id="101"/>
      </w:r>
      <w:r>
        <w:rPr>
          <w:rFonts w:ascii="IRNazanin" w:hAnsi="IRNazanin" w:eastAsia="IRNazanin"/>
          <w:color w:val="111111"/>
          <w:sz w:val="28"/>
          <w:sz w:val="28"/>
          <w:szCs w:val="28"/>
          <w:rtl w:val="true"/>
          <w:lang w:bidi="fa-IR"/>
        </w:rPr>
        <w:t>، وقد کان لزاماً علی مؤرِّخی تلک الفترة أن یتعاملوا مع صدمة العنف والاختلافات التی عصفت بالمسلمین الأوائل، ما حدا بأُولئک المؤرِّخین أن ینظروا إلی تلک الخلافات من منظار القرآن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ویضیف همفریز بأنّ هذه النقطة تبدو جلیّة؛ وذلک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حقیقة أنّ جمیع المؤرِّخین لتلک الفترة قد آمنوا بأنّ ظهور الإسلام والقرآن کان بدایة لعصرٍ جدید فی تاریخ العالم ککلٍّ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أولئک المؤرِّخین قد رووا فعلیّاً نفس الأحداث المفصلیّة التی جرت فی بدایات ظهور الإسلام، والتی تبدو ملائمة لخلق أُنموذج بنیوی یمکن أن نراه أیضاً بشکلٍ جلیٍّ فی القرآن، حیث یلاحظ فی هذا الأُنموذج وجود ثلاثة مفاهیم،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الوعد الإلهی بالنجاة حین یلتزم کلُّ الناس بطاعة وعبادة الإله دون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عجز البشر عن إیفائهم بواجباتهم تجاه المیثاق الإلهی وإنکار بعضهم للنبیّین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إیمان بعض المجتمعات بالنبیّین وتجدیدهم للمیثاق أو العهد الذی قطعوه علی أنفسهم تجاه الإله</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البحث عن الروح التی أثارتها جدلیّة الکتاب المقدّس والعِبر المستوحاة من التاریخ، قد تبلورت فی شکل أُسطورة یؤمن بها </w:t>
      </w:r>
    </w:p>
    <w:p>
      <w:pPr>
        <w:pStyle w:val="BookText"/>
        <w:rPr/>
      </w:pPr>
      <w:r>
        <w:rPr>
          <w:rFonts w:ascii="IRNazanin" w:hAnsi="IRNazanin" w:eastAsia="IRNazanin"/>
          <w:color w:val="111111"/>
          <w:sz w:val="28"/>
          <w:sz w:val="28"/>
          <w:szCs w:val="28"/>
          <w:rtl w:val="true"/>
          <w:lang w:bidi="fa-IR"/>
        </w:rPr>
        <w:t>جمیع البشر تقریباً؛ وبذا یمکن لنا أن نسمّیها أُسطورة المیثاق، والخیانة، والخلاص</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یبرهن بأنَّ هذه الأُسطورة تُعطی مثالاً یُحتذی به، تُفسَّر علی أساسها جمیع أحداث التاریخ عند کلِّ المؤرِّخین الإسلامیین علی مرِّ التاریخ حتی القرن العاشر؛ إذ یعتقد کلُّ أولئک المؤرِّخین بأنّ المیثاق الذی أخذه الله علی الأُمّة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المواثیق الإلهیّة مع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نقضه؛ ما جعل الأُمّة الإسلامیّة تغرق فی الاختلاف فیما بینها؛ لذا کان من المهمّ أن نستقصی أسباب وعوامل حدوث هذا النقض للمیثاق الإلهی، وکیف یمکن أن نستجلب الخلاص الإلهی إن أمکن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وجّه البروفسور الإسرائیلی فی الدراسات التاریخیة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بواز 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Boaz 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نقداً لفکرة همفریز هذه، یتلخّص فی أنّ الآخر قد أسّس فکرته علی قراءات لتاریخ أحداث العصر الأوّل للإسلام أکثر ممّا هی علیه فی الواقع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ویضیف شوشان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یُعطَ أهمّیة قصوی فی القرآن ولا فی التاریخ المتأخّر بالخصوص، کما ادّعی همفریز</w:t>
      </w:r>
      <w:r>
        <w:rPr>
          <w:rStyle w:val="FootnoteAnchor"/>
          <w:rtl w:val="true"/>
        </w:rPr>
        <w:footnoteReference w:id="106"/>
      </w:r>
      <w:r>
        <w:rPr>
          <w:rFonts w:ascii="IRNazanin" w:hAnsi="IRNazanin" w:eastAsia="IRNazanin"/>
          <w:color w:val="111111"/>
          <w:sz w:val="28"/>
          <w:sz w:val="28"/>
          <w:szCs w:val="28"/>
          <w:rtl w:val="true"/>
          <w:lang w:bidi="fa-IR"/>
        </w:rPr>
        <w:t xml:space="preserve">، بالرغم من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أضیق معانیه قد لا یکون بالوضوح الذی بیَّنه همفریز، إلّا أنّنی أری أنّ المدالیل والأفکار التی یعبّر عنها هذا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العلاقة الجیّدة بین الربِّ والإنسان، والتی تشمل مجموعة من المسؤولیات المتبادلة بین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نکران وجودها بشکلٍ أو بآخر فی القرآن وفی الکتابات التی أرّخت العصر </w:t>
      </w:r>
    </w:p>
    <w:p>
      <w:pPr>
        <w:pStyle w:val="BookText"/>
        <w:rPr/>
      </w:pPr>
      <w:r>
        <w:rPr>
          <w:rFonts w:ascii="IRNazanin" w:hAnsi="IRNazanin" w:eastAsia="IRNazanin"/>
          <w:color w:val="111111"/>
          <w:sz w:val="28"/>
          <w:sz w:val="28"/>
          <w:szCs w:val="28"/>
          <w:rtl w:val="true"/>
          <w:lang w:bidi="fa-IR"/>
        </w:rPr>
        <w:t xml:space="preserve">الأوّل للإسلام؛ لذا فإنّنی أتّفق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الأُنموذج الذی وصفه یمکن رؤیته فی تلک النصوص، أی القرآن والکتابات المؤرِّخة للحقبة الأُولی للإسلام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أمّا فیما یخصّ مفهوم المیثاق عند الطبری، فإنّ ما کتبه همفریز عن هذا الموضوع قد تبعَته به إلی حدٍّ ما الکاتبة اولریکا</w:t>
      </w:r>
    </w:p>
    <w:p>
      <w:pPr>
        <w:pStyle w:val="BookText"/>
        <w:rPr/>
      </w:pPr>
      <w:r>
        <w:rPr>
          <w:rFonts w:ascii="IRNazanin" w:hAnsi="IRNazanin" w:eastAsia="IRNazanin"/>
          <w:color w:val="111111"/>
          <w:sz w:val="28"/>
          <w:sz w:val="28"/>
          <w:szCs w:val="28"/>
          <w:rtl w:val="true"/>
          <w:lang w:bidi="fa-IR"/>
        </w:rPr>
        <w:t>مورتنسون فی کتابها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المقالة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Discourse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یذکر الکاتب الفرنسی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 جیلیو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مرکّباً من التناقضات والوسطیّة المزدوجة فی کتابات الطبری، مثلما هی موجودة فی العهد القدیم</w:t>
      </w:r>
      <w:r>
        <w:rPr>
          <w:rStyle w:val="FootnoteAnchor"/>
          <w:rtl w:val="true"/>
        </w:rPr>
        <w:footnoteReference w:id="108"/>
      </w:r>
      <w:r>
        <w:rPr>
          <w:rFonts w:ascii="IRNazanin" w:hAnsi="IRNazanin" w:eastAsia="IRNazanin"/>
          <w:color w:val="111111"/>
          <w:sz w:val="28"/>
          <w:sz w:val="28"/>
          <w:szCs w:val="28"/>
          <w:rtl w:val="true"/>
          <w:lang w:bidi="fa-IR"/>
        </w:rPr>
        <w:t xml:space="preserve">، ویضیف بأنّ الطبری یستخدم هذا النوع من الترکیب فی کتاباته التاریخیّة والتفسیریّة؛ لکی ینقل إلی القارئ رسالته الأخلاقیّة، وهی التأکید علی إحیاء عقائد السلف، فإنّ المفتاح التفسیری والشبکة التأویلیّة التی ینظر من خلالها الطبری لأحداث التاریخ، هو التناقض البنیوی بین التسلیم لله من جهة، والتمرّد ضدّ القوانین الإلهیّة من جهةٍ أُخری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یؤکد الکاتب أنّه لیس هناک حاجة لاستخدام نوع خاص من الروایة، والذی نطلق علیه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نقل رسالة الطبری الأُسطوریّة، فإنّ تراکیب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الأُسطورة الذهنیّة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والتی من خلالها فقط یمکن لی أن أفهم المقصود </w:t>
      </w:r>
      <w:bookmarkStart w:id="104" w:name="pg5097_58249"/>
    </w:p>
    <w:p>
      <w:pPr>
        <w:pStyle w:val="BookText"/>
        <w:rPr/>
      </w:pPr>
      <w:bookmarkEnd w:id="104"/>
      <w:r>
        <w:rPr>
          <w:rFonts w:ascii="IRNazanin" w:hAnsi="IRNazanin" w:eastAsia="IRNazanin"/>
          <w:color w:val="111111"/>
          <w:sz w:val="28"/>
          <w:sz w:val="28"/>
          <w:szCs w:val="28"/>
          <w:rtl w:val="true"/>
          <w:lang w:bidi="fa-IR"/>
        </w:rPr>
        <w:t xml:space="preserve">بالتناقض والوسطیّة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تحقیقها فی قصةٍ ما أو فی روایةٍ تاریخیّة، کما هو الحال فیما نحن بصدد مناقشته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ترکیبة الأُسطورة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همفریز لم یستخدم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أکثر ممّا ناقشا مسألة الأُسطورة فی شکل روایةٍ تاریخیّة،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رؤیته متحقّقاً فی قصص مختلفة؛ لذا فإنّ مفهومهما للأُسطورة قد یبدو أقرب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ممّا أفهمه أنا عنها، فإنّنی أعتبر نفس تلک القصص التی تُروی من العصر الأوّل للإسلام أساطیراً، ولکن لسببٍ آخر یختلف عمّا علّله الآخرون، وهو أنّ تلک القصص هی مواد تأسیسیّة للمسلمین فی عصر ظهورها، ولکن النقطة الأهمّ هی أنّ همفریز وجیلوت قد أشارا إلی أنّ من الممکن أنّ نحلّل بنیویّاً الکتابات التی أرّخت العصر الأوّل للإسلام؛ لکی نحصل علی فهم أفضل للنظرة العالمیّة والهویّة للمسلمین الذین عاشوا فی عصور الإسلام الأُولی</w:t>
      </w:r>
      <w:r>
        <w:rPr>
          <w:rFonts w:eastAsia="IRNazanin" w:cs="IRNazanin"/>
          <w:color w:val="111111"/>
          <w:sz w:val="28"/>
          <w:szCs w:val="28"/>
          <w:rtl w:val="true"/>
          <w:lang w:bidi="fa-IR"/>
        </w:rPr>
        <w:t>.</w:t>
      </w:r>
    </w:p>
    <w:p>
      <w:pPr>
        <w:pStyle w:val="Heading3"/>
        <w:numPr>
          <w:ilvl w:val="2"/>
          <w:numId w:val="1"/>
        </w:numPr>
        <w:rPr/>
      </w:pPr>
      <w:bookmarkStart w:id="105" w:name="__RefHeading___Toc1259868_774463916"/>
      <w:bookmarkStart w:id="106" w:name="_Toc38"/>
      <w:bookmarkEnd w:id="105"/>
      <w:r>
        <w:rPr>
          <w:rtl w:val="true"/>
        </w:rPr>
        <w:t>دراسات حدیثة حول مأساة کربلاء</w:t>
      </w:r>
      <w:bookmarkEnd w:id="106"/>
    </w:p>
    <w:p>
      <w:pPr>
        <w:pStyle w:val="BookText"/>
        <w:rPr/>
      </w:pPr>
      <w:r>
        <w:rPr>
          <w:rFonts w:ascii="IRNazanin" w:hAnsi="IRNazanin" w:eastAsia="IRNazanin"/>
          <w:color w:val="111111"/>
          <w:sz w:val="28"/>
          <w:sz w:val="28"/>
          <w:szCs w:val="28"/>
          <w:rtl w:val="true"/>
          <w:lang w:bidi="fa-IR"/>
        </w:rPr>
        <w:t>مع أنّ عدداً من الدراسات الحدیثة قد کُتبت حول حادثة مقتل الحسین بن علیٍّ فی کربلاء وأهمّیتها فی الإسلام، إلّا أنّ من المستغرب أن نری أنّ عدداً قلیلاً من مثیلات تلک الدراسات قد کُتبت حول أحداث مأساة کربلاء علی شکل متون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القسم من الکتاب سوف أُلقی نظرةً عامّة، ولکن بشکلٍ مختصر علی مجموعة من الدراسات التی کتبت حول مأساة کربلاء علی شکل 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هناک عدد أکبر من هذه الدراسات یمکن أن نختار من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أُناقش </w:t>
      </w:r>
    </w:p>
    <w:p>
      <w:pPr>
        <w:pStyle w:val="BookText"/>
        <w:rPr/>
      </w:pPr>
      <w:r>
        <w:rPr>
          <w:rFonts w:ascii="IRNazanin" w:hAnsi="IRNazanin" w:eastAsia="IRNazanin"/>
          <w:color w:val="111111"/>
          <w:sz w:val="28"/>
          <w:sz w:val="28"/>
          <w:szCs w:val="28"/>
          <w:rtl w:val="true"/>
          <w:lang w:bidi="fa-IR"/>
        </w:rPr>
        <w:t>دراستین کُتبتا حول هذه المأساة علی شکل متون علی حدِّ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معظم الدراسات التی ذکرت تاریخ مأساة کربلاء قد ناقشت هذه الحادثة علی ضوء العلاقة بینها وبین نشوء التشیّع، وإنّ بعض تلک الدراسات قد استفادت من عدد من المصادر کانت حصة الأسد منها لما رواه أبو مخنف کما رواه الطبری عنه، وأکثر الدراسات من هذا النوع ما هی إلّا صیاغة جدیدة لقصّة کربلاء بتفاصیل مطوّلة أحیاناً ومختصرة أحیاناً أُخری، دون التطرّق إلی أیِّ نقدٍ أو تقییمٍ لأحداثها، ثمّ تنتهی تلک الدراسات بتعلیقات علی الأحداث تعتمد علی وجهة نظر مؤلِّفیها الذین تتباین آراؤهم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أکثر من مائة عام،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جولیوس ولهاوزن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Julius Wellhausen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فصلاً عن الحسین ومعرکة کربلاء فی کتابه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Religio- Political Factions Inearly Islam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الطوائف الدینیّة السیاسیّة فی العصر الأوّل للإسلام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 حیث قام بتلخیص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هی فی کتاب الطبری، ثمّ کتب تعلیقة علی أُسلوب أبی مخنف، وکیفیة استفادته من مصادر روایته، وذلک بعد أن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من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العناصر النفسیّة والوجدانیّة لأبطال القصّة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کتابه هذا لا یخفی ترکیز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دور السیاسة المتسلطة فی القصّة، فهو یری أنّ الحسین أنانی وضعیف، وقد کان یعیش فی دنیا الخیال، ولکنّه لم یستطِع تحقیق شیءٍ من أحلامه تلک حینما قام بتلک المحاولة الهشّة للاستیلاء علی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کطفلٍ یمدّ یده لیتناول القمر</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کلُّ عواطف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مع حاکم العراق آنذاک عبیدالله بن زیاد، المسؤول بشکل مباشر عن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بوسائل قلیلة، ولکن بنیّة صادقة وعزم کبیر، استطاع الحاکم أن یصل إلی حلِّ هذه المعضلة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 بواجبه، ولکنّه تخطی کلَّ الحدود بشکلٍ افتقد إلی الحکمة</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لذا حین التقی الخصمان لم یکن إلّا ما کان متوقعاً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کقِدرٍ مصنوع من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یتصادم مع عبیدالله، الرجل الحدیدی</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مثل هذا الموقف الذی لا یُبدی أیَّ تعاطفٍ مع الحسین لا نجده عادةً فی کتابات المؤلِّفین المتأخّرین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 فاشیا فاغلیری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Laura Veccia Vaglieri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فقد قامت بإلقاء نظرة شاملة غایة فی الروعة حول هذه القصّة فی مقالتها حول الحسین، المنشورة فی الطبعة الثانیة 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Encyclopedia Of Islam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موسوعة الإسلام</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إذ تناقش المقالة شخصیة الحسین أکثر ممّا تسرد أحداث کربلاء، ونظراً لکون جمیع المصادر عن الحسین ترکّز علی هذه الحادثة بشکلٍ کبیر، فإنّ جزءاً کبیراً من المقالة یتمرکز حول معرکة کربلاء</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تبدأ الکاتبة بسرد قصّة معرکة کربلاء، ثمّ تناقش أُسطورة الحسین،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المعجزات والعجائب التی جرت علی یدیه</w:t>
      </w:r>
      <w:r>
        <w:rPr>
          <w:rStyle w:val="FootnoteAnchor"/>
          <w:rtl w:val="true"/>
        </w:rPr>
        <w:footnoteReference w:id="117"/>
      </w:r>
      <w:r>
        <w:rPr>
          <w:rFonts w:ascii="IRNazanin" w:hAnsi="IRNazanin" w:eastAsia="IRNazanin"/>
          <w:color w:val="111111"/>
          <w:sz w:val="28"/>
          <w:sz w:val="28"/>
          <w:szCs w:val="28"/>
          <w:rtl w:val="true"/>
          <w:lang w:bidi="fa-IR"/>
        </w:rPr>
        <w:t xml:space="preserve">، ثمّ تختم مقالتها بتفنید ما کتبه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حول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نهایة المطاف تشیر الکاتبة إلی خطب الحسین کما روتها المصادر، لتصل إلی نتیجة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رجل قادته عقیدته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بتأسیس نظام حاکم یلبّی متطلبات الإسلام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اتخاذ هذا الموقف، بالرغم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قرّر بصلابةٍ لا تلین أن یصنع نهایته بیده، کما هو الحال مع کلِّ نهایات الأبطال الدینیین الملتزمین</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کتاب محمود</w:t>
      </w:r>
      <w:r>
        <w:rPr>
          <w:rStyle w:val="FootnoteAnchor"/>
          <w:rtl w:val="true"/>
        </w:rPr>
        <w:footnoteReference w:id="119"/>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المعاناة الفدائیّة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یکون من أکثر المصادر تأثیراً علی نظرة الکتّاب الغربیین للعاطفة الشیعیّة، مع أنّ الغرض الرئیس من کتابه هو وصف وتحلیل المظاهر العبادیّة لشعیرة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التحضیرات الأخیرة لمأساة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الکاتب لا یغفل مسألة الأبعاد التاریخیّة لشخصیة الحسین وأحداث کربلاء، ودون التطرّق إلی أدنی عاطفة فی تحلیلاته لشخصیة الحسین، یصف الکاتب هذا الشخص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تقوی وعقیدة، ومکارم أخلاق، وزهد وابتعاد عن هذه الدنیا</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یخلص إلی القول بأنّ دراسة دقیقة للمصادر تؤکد النظرة القائلة بأنّ الحسین کان محقّاً فی ثورته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اغتصاب السلطة غیر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کان منافیاً لمُثُل الإسلام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الرغم من أنّ محمّد أیوب کان حذراً فی القول بأنّ عوامل سیاسیّة کان لها دورها فی مأساة کربلاء، إلاّ أنّه حاول أن یبرهن أنّ هذه العوامل وحدها لا یمکنها تفسیر ما فعله الحسین،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تلک العوامل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یقرّر الکاتب </w:t>
      </w:r>
    </w:p>
    <w:p>
      <w:pPr>
        <w:pStyle w:val="BookText"/>
        <w:rPr/>
      </w:pPr>
      <w:r>
        <w:rPr>
          <w:rFonts w:ascii="IRNazanin" w:hAnsi="IRNazanin" w:eastAsia="IRNazanin"/>
          <w:color w:val="111111"/>
          <w:sz w:val="28"/>
          <w:sz w:val="28"/>
          <w:szCs w:val="28"/>
          <w:rtl w:val="true"/>
          <w:lang w:bidi="fa-IR"/>
        </w:rPr>
        <w:t>ثلاثة دوافع أدّت إلی استشهاد الحسین،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مثالیّة سیرة وسلوک الحسین، وإیمانه أنّ مصیره الذی سیلقاه قد کان رُسِم له مسبقاً، وحقیقة أنّه لم یکن أمامه سوی خیارین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یستسلم وإمّا أن یُقتل</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نفس الفصل من الکتاب، حاول الکاتب أن یفهم الحسین کشخص وعاطفة أکثر من نظرته للمصادر التی ذکرت مأساة کربلاء علی أنّها صورة لما أوَّلَه جیل متأخّر لحادثة حدثت فی السابق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فصول أُخری من کتابه، حاول أیوب أن یعطینا دراسة بدیعة تدلّ علی براعته الأکادیمیّة عن التفسیرات العبادیّة المتأخّرة لمأساة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أُطروحة رسالة الدکتوراه التی کتبتها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 ماسی داکاکه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Maria Massi Dakake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التی حملت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Loylty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Faith</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الولاء والحبّ والإیمان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 فهی دراسة من نوعٍ آخر عن هذا الموضوع، فقد تتبّعت الکاتبة فی أُطروحتها هذه تطوّر الهویّة الطائفیّة الشیعیّة، کما حاولت أن تبرهن بأنّ حادثة کربلاء لم تکن نقطة تحوّل من حرکة سیاسیّة إلی حرکة دینیّة بحتة، کما وُصفت فی کثیر من الدراسات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تستنتج الکاتبة بأنّ الحرکة الشیعیّة کان لها أبعادها الدینیّة منذ البدایة؛ وبهذا تؤیّد الکاتبة هذه الفرضیّة حین تقوم بدراسةٍ لاستخدام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IRNazanin" w:hAnsi="IRNazanin" w:eastAsia="IRNazanin"/>
          <w:color w:val="111111"/>
          <w:sz w:val="28"/>
          <w:sz w:val="28"/>
          <w:szCs w:val="28"/>
          <w:rtl w:val="true"/>
          <w:lang w:bidi="fa-IR"/>
        </w:rPr>
        <w:t>مصطلح دینی سیاسی ذو دلالات کثیرة، ولکن أسهل تفسیر له هو القول بأنّه یعنی السلطة والولاء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بالرغم من أنّ هذا المصطلح استُخدم کثیراً فی الحکایات التی روت الحرب الأهلیّة الأُولی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حینما هوجمت سلطة علیٍّ، والد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غابت تماماً فی الروایات التی روت قضیة کربلاء، إذ استُخدمت فی هذه الروایات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تعنی الدعم والمساندة للحسین کبدیل لمصطلح الولایة، ولو أنّ کلمة النصرة ما هی إلّا مرادف لمصطلح الولایة کلّما استخدمت فی هذا السیاق، والفرق الوحید بین الکلمتین هو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 من أیِّ معنیً طائفی أو إعجازی، أو سلطة مطلقة ولو بشکلٍ باطنی غیر معلن، وهو ما تدلّ علیه کلمة ولایة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تکن النقطة الأهمّ فی جمیع الروایات التی تحدّثت عن الحسین فی مأساة کربلاء هی موضوع شرعیّة سلطته کما کان الحال مع أبیه علیٍّ، ولکن تلک الروایات رکّزت علی انتهاک حرمة الحسین وکونه رمزاً للهدایة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والحقیقة أنّ أُطروحة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اختلافاً کلیّاً عن جمیع ما کُتب عن هذا الموضوع ممّا ذکرناه آنفاً، ونقطة الاختلاف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أطروحتها ترکزّت علی مفاهیم جاءت فی الروایات التی أرّخت للإسلام، أکثر ممّا ترکّزت علی القصص التی روت تلک الحادثة، ما یفتح الباب للکاتبة؛ لکی تنفصل بشکلٍ سلیم عن محتوی النصوص التی روت الحادثة، وتجد بدیلاً آخر وهو استقصاء الجانب التاریخی فی حادثة کربلاء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حاولت الکاتبة استنطاق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 الذی یحیط بثورة الحسین التی أخفقت، کما جاء فی کتب التاریخ الشهیرة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ما زالت هناک مشکلة،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الکاتبة لم تتعرّض لوضعیة المصادر التی روت الحادثة، ولکنها ناقشت ما ذکرته تلک المصادر علی أنّه حقائق تاریخیّة لا مجال للشکِّ فیها، فالکاتبة بدت وکأنّها تؤمن سلفاً بأنَّ أیَّ خطابٍ أو رسالةٍ دوَّنَها المصدر التاریخی لا بدّ أن تکون قد نُقلت کما کُتبت أو قیلت بالضبط،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الکاتبة لا تدع مجالاً للشکِّ فی نقل مُتون تلک الخطب والرسائل</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جعل من الصعب علی الکاتبة أن تفصل نفسها عن شخصیة الحسین وعن أفکاره، حینما تتحدّث فی مواطن متفرّقة من الأُطروحة عن دوافع قیام الحسین والأفکار التی کان یحملها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وبالترکیز علی مأساة کربلاء کحادثة تاریخیّة، فقد قرأ هؤلاء الکتّاب وغیرهم المصادر التی روت المأساة علی أنّها حقائق حدثت فعلاً فی التاریخ، ولکن بشکلٍ یتفاوت فیه مدی مصداقیتها حسب نظر کلٍّ من أُولئک الکُتّاب، مع أنّنی لا أُنکر أن ما روته تلک المصادر واقعیّاً إلی حدٍّ ما، إلّا أنّ مثل هذا النهج یتطلّب منّا أن نناقش بشکلٍ أعمق کون تلک المصادر حوت نصوصاً تمّ استقصاؤها بدقّة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علاوةً علی ذلک، فإننی أری أنّ من المستحیل أن نجد شیئاً أبعد من الخصائص الرئیسة لأیّة حادثةٍ تاریخیّةٍ فی مثل تلک النصوص؛ لذا فقد تبقی العواطف والأفکار والدوافع الشخصیّة لأبطال الحادثة مخفیّةً عنّا للأبد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التحلیل الأمثل الذی وقع نظری علیه لحادثة کربلاء من ناحیة النصِّ، فقد وجدته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بواز 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Boaz 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الموسوم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Poetics Of Islamc Historiography</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أشعار التاریخ الإسلامی</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 فی القسم الثانی من الکتاب، 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أربعة أمثلة علی طریقة الطبری فی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أُسلوبه فی سرد مأساة کربلاء، فیری الکاتب فی قصّة مقتل الحسین مأساة بکلِّ أبعاد المأساة، إذ تتکون من قضیتین رئیسیتین مختلفتین، بمعنی أنّ القصّة بشکلها المعقّد تؤدّی بالتالی إلی نتیجة مأساویة واحدة، ففی أحد جوانبها یقرّر الحسین أن یرضَ بقضاء الله، لیسیر إلی الکوفة ولا یستمع إلی نصائح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أشاروا علیه عدم المسیر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الجانب الآخر، یحاول أن یفلت من مصیره بعد أن یُدرک أنَّه مهدّدٌ بالقتل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الطریقة، یخلص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إلی القول بأنّ مأساة کربلاء تبدو قریبة جدّاً من تعریف المأساة إلاّ فی جانبٍ واحد، وهو عنصر الثقة المفرطة بالنفس</w:t>
      </w:r>
      <w:r>
        <w:rPr>
          <w:rStyle w:val="FootnoteAnchor"/>
          <w:rtl w:val="true"/>
        </w:rPr>
        <w:footnoteReference w:id="133"/>
      </w:r>
      <w:r>
        <w:rPr>
          <w:rFonts w:ascii="IRNazanin" w:hAnsi="IRNazanin" w:eastAsia="IRNazanin"/>
          <w:color w:val="111111"/>
          <w:sz w:val="28"/>
          <w:sz w:val="28"/>
          <w:szCs w:val="28"/>
          <w:rtl w:val="true"/>
          <w:lang w:bidi="fa-IR"/>
        </w:rPr>
        <w:t xml:space="preserve">، ولکنّنی لا أتفق مع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الخاصّ به لقصّة مأساة کربلاء، کما سیتّضح ذلک فی تحلیلی الخاصّ لنصوص هذه المأساة الذی سیأتی </w:t>
      </w:r>
    </w:p>
    <w:p>
      <w:pPr>
        <w:pStyle w:val="BookText"/>
        <w:rPr/>
      </w:pPr>
      <w:r>
        <w:rPr>
          <w:rFonts w:ascii="IRNazanin" w:hAnsi="IRNazanin" w:eastAsia="IRNazanin"/>
          <w:color w:val="111111"/>
          <w:sz w:val="28"/>
          <w:sz w:val="28"/>
          <w:szCs w:val="28"/>
          <w:rtl w:val="true"/>
          <w:lang w:bidi="fa-IR"/>
        </w:rPr>
        <w:t xml:space="preserve">لاحقاً فی هذا الکتاب، ولو أنّ طریقته فی فهم نصوص هذه المأساة أقرب لی من الطریقة التی سلکها کُتّاب آخرون ممَّن ذکرتُهم سابقاً؛ إذ إنّی فی هذا الکتاب سوف أخطو خطوة أکثر، وأقوم بتحلیل القصّة علی أنّها أُسطورة، بمعنی أنّها قصّة تأسیسیّة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تؤسّس لمذهبٍ معیّن وطریقة فهم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مجرّد نصّ تاریخی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الاثنین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أبحث عن تراکیب عمیقة وأساسیّة یمکن إیصالها إلی المتلقّی من خلال محتوی وترکیب القصّة الروائی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07" w:name="pg5097_58258"/>
    </w:p>
    <w:p>
      <w:pPr>
        <w:pStyle w:val="Heading2"/>
        <w:numPr>
          <w:ilvl w:val="1"/>
          <w:numId w:val="1"/>
        </w:numPr>
        <w:rPr/>
      </w:pPr>
      <w:bookmarkStart w:id="108" w:name="__RefHeading___Toc1259870_774463916"/>
      <w:bookmarkStart w:id="109" w:name="_Toc39"/>
      <w:bookmarkEnd w:id="107"/>
      <w:bookmarkEnd w:id="108"/>
      <w:r>
        <w:rPr>
          <w:rtl w:val="true"/>
        </w:rPr>
        <w:t>الفصل الأول</w:t>
      </w:r>
      <w:r>
        <w:rPr>
          <w:rtl w:val="true"/>
        </w:rPr>
        <w:t xml:space="preserve">: </w:t>
      </w:r>
      <w:r>
        <w:rPr>
          <w:rtl w:val="true"/>
        </w:rPr>
        <w:t>الطبری وروایته</w:t>
      </w:r>
      <w:bookmarkEnd w:id="109"/>
    </w:p>
    <w:p>
      <w:pPr>
        <w:pStyle w:val="Heading3"/>
        <w:numPr>
          <w:ilvl w:val="2"/>
          <w:numId w:val="1"/>
        </w:numPr>
        <w:rPr/>
      </w:pPr>
      <w:bookmarkStart w:id="110" w:name="__RefHeading___Toc1259872_774463916"/>
      <w:bookmarkStart w:id="111" w:name="_Toc40"/>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29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5097_58260"/>
      <w:bookmarkStart w:id="113" w:name="pg5097_58260"/>
      <w:bookmarkEnd w:id="113"/>
    </w:p>
    <w:p>
      <w:pPr>
        <w:pStyle w:val="Heading3"/>
        <w:numPr>
          <w:ilvl w:val="2"/>
          <w:numId w:val="1"/>
        </w:numPr>
        <w:rPr/>
      </w:pPr>
      <w:bookmarkStart w:id="114" w:name="pg5097_58260"/>
      <w:bookmarkStart w:id="115" w:name="__RefHeading___Toc1259874_774463916"/>
      <w:bookmarkStart w:id="116" w:name="_Toc41"/>
      <w:bookmarkEnd w:id="114"/>
      <w:bookmarkEnd w:id="115"/>
      <w:r>
        <w:rPr>
          <w:rtl w:val="true"/>
        </w:rPr>
        <w:t>الطبری وسیاق روایته</w:t>
      </w:r>
      <w:bookmarkEnd w:id="116"/>
    </w:p>
    <w:p>
      <w:pPr>
        <w:pStyle w:val="Heading4"/>
        <w:numPr>
          <w:ilvl w:val="3"/>
          <w:numId w:val="1"/>
        </w:numPr>
        <w:rPr/>
      </w:pPr>
      <w:bookmarkStart w:id="117" w:name="__RefHeading___Toc1259876_774463916"/>
      <w:bookmarkStart w:id="118" w:name="_Toc42"/>
      <w:bookmarkEnd w:id="117"/>
      <w:r>
        <w:rPr>
          <w:rtl w:val="true"/>
        </w:rPr>
        <w:t>نشوء علم الکلام والسیاسة فی الإسلام</w:t>
      </w:r>
      <w:bookmarkEnd w:id="118"/>
    </w:p>
    <w:p>
      <w:pPr>
        <w:pStyle w:val="BookText"/>
        <w:rPr/>
      </w:pPr>
      <w:r>
        <w:rPr>
          <w:rFonts w:ascii="IRNazanin" w:hAnsi="IRNazanin" w:eastAsia="IRNazanin"/>
          <w:color w:val="111111"/>
          <w:sz w:val="28"/>
          <w:sz w:val="28"/>
          <w:szCs w:val="28"/>
          <w:rtl w:val="true"/>
          <w:lang w:bidi="fa-IR"/>
        </w:rPr>
        <w:t xml:space="preserve">سأحاول فی هذا القسم من الکتاب أن أرسم صورة للنظرة المحتملة لنشوء الأُمّة الإسلامیّة فی القرون الثلاثة الأُولی من ظهورها، والحقیقة هی أنّنا لا نعرف إلّا القلیل عن التطوّر التاریخی المعقّد لهذه الأُمّة فی تلک الحقبة؛ إذ بالرغم من وجود مجموعة هائلة من الأدب الذی یؤرِّخ لتلک الحقبة محفوظاً لدینا من خلال کتابات کُتبت فی القرون التی تلتها، إلّا أنّنا لا نکاد نری شیئاً من ذلک الأدب یعود للحقبة من القرن الأوّل إلی الثانی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القرن السابع إلی الثامن المیلادی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نری إلّا النزر الیسیر من الأدب المکتوب فی القرن الثالث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المیلادی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 فهو لا یمثّل شکلاً ینمّ عن التقدّم فی تلک الفترة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ما تبقّی لدینا الیوم من تلک الحقبة هی نُسخٌ محقّقة ومنظّمة، وتصانیف تعود للقرن الثانی الهجری، ولکی نبسط القول قلیلاً، نقول بأنّ المصادر التی تروی عن العقود الأُولی للحضارة الإسلامیّة ما هی إلّا کتابات کُتبت فی القرن الثالث </w:t>
      </w:r>
    </w:p>
    <w:p>
      <w:pPr>
        <w:pStyle w:val="BookText"/>
        <w:rPr/>
      </w:pPr>
      <w:r>
        <w:rPr>
          <w:rFonts w:ascii="Amiri" w:hAnsi="Amiri" w:eastAsia="Amiri" w:cs="Amiri"/>
          <w:color w:val="111111"/>
          <w:sz w:val="28"/>
          <w:sz w:val="28"/>
          <w:szCs w:val="28"/>
          <w:rtl w:val="true"/>
          <w:lang w:bidi="ar-SA"/>
        </w:rPr>
        <w:t>الهجری، وفیها کتب ربّما تکون قد صُنِّفت قبل قرن من ذلک التاریخ، ولکنها جُمِعت أو حُقِّقت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وتلک المصادر تعتمد فیما روت علی نُقولٍ شفاهیة، قد قال قائلوها إنّهم سمعوها من أُناس رأوا تلک الأحداث رأی العین </w:t>
      </w:r>
      <w:r>
        <w:rPr>
          <w:rStyle w:val="FootnoteAnchor"/>
          <w:rtl w:val="true"/>
        </w:rPr>
        <w:footnoteReference w:id="136"/>
      </w:r>
      <w:r>
        <w:rPr>
          <w:rFonts w:ascii="IRNazanin" w:hAnsi="IRNazanin" w:eastAsia="IRNazanin"/>
          <w:color w:val="111111"/>
          <w:sz w:val="28"/>
          <w:sz w:val="28"/>
          <w:szCs w:val="28"/>
          <w:rtl w:val="true"/>
          <w:lang w:bidi="fa-IR"/>
        </w:rPr>
        <w:t xml:space="preserve">، علی أنّنا لا نجد دلیلاً توثیقیّاً أو آثاریّاً مرویّاً فی کتابات تاریخیّة لغیر المسلمین یؤیّد ما نُقل فی تلک المصادر، حتی أنّ تاریخ القرآن الذی یتناقله الکُتّاب المسلمون لم یزل موضع تساؤل وشکّ عند الأکادیمیین الغربیین، وقد کثر هذا التساؤل فی العقود الأخیرة، بالرغم من عدم وجود إجماع علی وصول بدیل عن ذلک التاریخ إلی أیدینا، ولیس من المعلوم أنّنا نستطیع أن نستفید من ذلک التاریخ کمصدر لمعرفة تاریخ رسالة محمّد أو عقیدة معاصریه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الحقیقة تجعلنا نطرح کمّاً کبیراً من التساؤلات حول قیمة التاریخ العربی کمصدر لتاریخ الحقبة الأُولی للإسلام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الأکادیمیّة الغربیّة، فقد اتّخذت مواقف متباینة حول هذا الموضوع، فقد اعتبر بعضها تلک النصوص الواصلة إلینا من الحقبة الأُولی للإسلام مصادر یمکن الوثوق بها، بینما اعتبرها بعضٌ آخر کتابات یعتریها شکّ مطلق وتساؤل حول إمکانیة ترمیمها وإعادة بنائها أم لا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ولیس البحث الحالی مناسباً لعرض مناقشة وافیة لوضعیة مصادر التاریخ الإسلامی، ولکن ما سنتلوه علیک من ملاحظات حول تلک المصادر قد یجذب نظرک إلی نقطةٍ مهمة،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الخلاصة التاریخیة حول تطوّر الإسلام فی القرون الأُولی أمرٌ نظری، مثله مثل أیّة عملیة ترمیم</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أمّا إحدی أحدث الدراسات العلمیّة الشاملة حول نشوء الفکر السیاسی فی المرحلة الأُولی للإسلام، فهو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السیاسی الإسلامی فی القرون الوسطی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Medieval Islamic Political Thought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لکاتبته باتریشا 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یقلّ أهمّیة عن الکتاب السابق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الکلام والمجتمع فی القرنین الثانی والثالث للهجرة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Theologie Und Gesellschaft Im 2. Und 3. Jahrhundert Hidschra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الذی کتبه جوزف فان أس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Josef Van Ess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حیث نجد فی المجلد الرابع من هذا الکتاب الضخم نظرة عامّة موضوعیّة لنشوء وتطوّر علم الکلام والنظریّة السیاسیّة، وقد قام الکاتب بکتابة مقالة موجزة باللغة الإنجلیزیّة للقسم الذی یتحدّث عن علم السیاسة من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الأفکار السیاسیّة فی الفکر الدینی للحقبة الأُولی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استفدتُ کثیراً فی کتابة هذا الفصل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المجتمع القبلی إلی الدولة المرکزیّة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للأحداث والنوادر فی فترة تکوین الإسلام للکاتبة إیلالانداو تاسیرون، کما تحتوی جمیع تلک المصادر علی مصادر أکثر تمّت مراجعتها حین کتابتها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رؤیة صورةٍ للدولة التی قامت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کانت للنبیّ الذی یتلقی هداه من الله السلطة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مصادر التاریخ الإسلامی منذ عهوده الأُولی</w:t>
      </w:r>
      <w:r>
        <w:rPr>
          <w:rStyle w:val="FootnoteAnchor"/>
          <w:rtl w:val="true"/>
        </w:rPr>
        <w:footnoteReference w:id="140"/>
      </w:r>
      <w:r>
        <w:rPr>
          <w:rFonts w:ascii="IRNazanin" w:hAnsi="IRNazanin" w:eastAsia="IRNazanin"/>
          <w:color w:val="111111"/>
          <w:sz w:val="28"/>
          <w:sz w:val="28"/>
          <w:szCs w:val="28"/>
          <w:rtl w:val="true"/>
          <w:lang w:bidi="fa-IR"/>
        </w:rPr>
        <w:t xml:space="preserve">، ومن تلک المصادر علمنا أنّ سیرة محمّد بدأت هناک، إذ لم تکن أیّة دولة فی وسط الجزیرة العربیّة، ولکن کان هناک نظام القرابة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العوائل والعشائر </w:t>
      </w:r>
    </w:p>
    <w:p>
      <w:pPr>
        <w:pStyle w:val="BookText"/>
        <w:rPr/>
      </w:pPr>
      <w:r>
        <w:rPr>
          <w:rFonts w:ascii="IRNazanin" w:hAnsi="IRNazanin" w:eastAsia="IRNazanin"/>
          <w:color w:val="111111"/>
          <w:sz w:val="28"/>
          <w:sz w:val="28"/>
          <w:szCs w:val="28"/>
          <w:rtl w:val="true"/>
          <w:lang w:bidi="fa-IR"/>
        </w:rPr>
        <w:t xml:space="preserve">والقبائل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کانت کلُّ مجموعةٍ تضمن مصالح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أوَّل علماء معاصرون نشوء مجتمع إسلامی فی المدینة کمحاولة لتفتیت التکتّلات القبلیة وإبدالها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قبیلة واحدة عظیمة تضمّ کلَّ المؤمنین</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جاءت الأوامر الإلهیّة التی تلقّاها النبیّ من الله، وبلّغها بدوره إلی المسلمین؛ لتحلّ محلّ العادات والتقالید القبلیة، إذ إنّ المعنی المألوف لکون المرء مؤمناً هو أن یعترف بقیادة محمّد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کلُّ أفراد الأُمّة یحملون نفس الفکرة عن کیفیة الحکم وإدارة أُمور مجتمعهم، ومع ازدیاد عدد المسلمین ازدادت الحاجة إلی تطبیق الأوامر الإلهیة علی المؤمنین العاصین، وبذلک کثرت والسائل لتطبیقها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ذکرت مصادر تاریخیّة متأخّرة عن تلک الفترة بأنّ مشیئة الله بدت ظاهرة للعیان من خلال حیاة ونجاح الأُمّة الإسلامیّة، وأنّ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الواسطة بین الله والناس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القائد السیاسی والمرشد الدِّینی لهذا المجتمع، وتلک الصفتان اجتمعتا معاً فی شخصه، إذ یصفه القرآن بالأُسوة الحسنة التی یجب علی الجمیع أن یقتدی بها فی کلِّ نواحی الحیاة؛ لأنّه مسدَّد من الربّ </w:t>
      </w:r>
      <w:r>
        <w:rPr>
          <w:rStyle w:val="FootnoteAnchor"/>
          <w:rtl w:val="true"/>
        </w:rPr>
        <w:footnoteReference w:id="143"/>
      </w:r>
      <w:r>
        <w:rPr>
          <w:rFonts w:ascii="IRNazanin" w:hAnsi="IRNazanin" w:eastAsia="IRNazanin"/>
          <w:color w:val="111111"/>
          <w:sz w:val="28"/>
          <w:sz w:val="28"/>
          <w:szCs w:val="28"/>
          <w:rtl w:val="true"/>
          <w:lang w:bidi="fa-IR"/>
        </w:rPr>
        <w:t>، وفی کثیر من مواضع القرآن یؤمر الناس بإطاعة الله والرسول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وجهة نظر القرآن، ینقسم الناس إلی ثلاث فئات؛ فمنهم من آمن بالرسول واتبعه علی هدًی، وهؤلاء موعودون بالخلود فی نعیم الآخرة، ومنهم من نأی عن الرسول وصدّ عنه جهاراً نهاراً، وهؤلاء محکومون بدخول النار، والقسم الثالث، وهم الذین أعلنوا ولاءهم له بألسنتهم ولکن أفعالهم تقول عکس ذلک، یُسمَّون بالمنافقین فی القرآن، وهؤلاء عادةً ما یُعتبرون من المؤمنین</w:t>
      </w:r>
      <w:r>
        <w:rPr>
          <w:rStyle w:val="FootnoteAnchor"/>
          <w:rtl w:val="true"/>
        </w:rPr>
        <w:footnoteReference w:id="145"/>
      </w:r>
      <w:r>
        <w:rPr>
          <w:rFonts w:ascii="Amiri" w:hAnsi="Amiri" w:eastAsia="Amiri" w:cs="Amiri"/>
          <w:color w:val="111111"/>
          <w:sz w:val="28"/>
          <w:sz w:val="28"/>
          <w:szCs w:val="28"/>
          <w:rtl w:val="true"/>
          <w:lang w:bidi="ar-SA"/>
        </w:rPr>
        <w:t>، ولکنّهم علی جرف الرِّدَّة عن الدِّین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لم یکن المجتمع المسلم تحت قیادة محمّدٍ متّحداً سیاسیّاً فحسب، حسب ما تذکره تلک المصادر القدیمة، بل کان الشغل الشاغل لأفراد ذلک المجتمع هو إیجاد السبیل إلی النجاة وإلی الآخرة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أُولئک الذین عاشوا مع النبیّ فی فترة حیاته، فقد أُطلق علیهم فیما بعد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 ولأنّهم شارکوه فی حیاته وتبعوه، فقد کان یُنظر إلیهم بعد وفاة النبیّ علی أنّهم أقدس الأشخاص، والتالون له فی کونهم الأُسوة الحسنة التی یجب </w:t>
      </w:r>
    </w:p>
    <w:p>
      <w:pPr>
        <w:pStyle w:val="BookText"/>
        <w:rPr/>
      </w:pPr>
      <w:r>
        <w:rPr>
          <w:rFonts w:ascii="Amiri" w:hAnsi="Amiri" w:eastAsia="Amiri" w:cs="Amiri"/>
          <w:color w:val="111111"/>
          <w:sz w:val="28"/>
          <w:sz w:val="28"/>
          <w:szCs w:val="28"/>
          <w:rtl w:val="true"/>
          <w:lang w:bidi="ar-SA"/>
        </w:rPr>
        <w:t>أن تُتّبع</w:t>
      </w:r>
      <w:r>
        <w:rPr>
          <w:rStyle w:val="FootnoteAnchor"/>
          <w:rtl w:val="true"/>
        </w:rPr>
        <w:footnoteReference w:id="148"/>
      </w:r>
      <w:r>
        <w:rPr>
          <w:rFonts w:ascii="IRNazanin" w:hAnsi="IRNazanin" w:eastAsia="IRNazanin"/>
          <w:color w:val="111111"/>
          <w:sz w:val="28"/>
          <w:sz w:val="28"/>
          <w:szCs w:val="28"/>
          <w:rtl w:val="true"/>
          <w:lang w:bidi="fa-IR"/>
        </w:rPr>
        <w:t>، فقد کانوا متّحدِین فی أیّام حیاته تحت رایته فی الإیمان، وقد جاهدوا معه ضدّ الهجمات التی تعرّض لها المجتمع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بعد وفاة محمّدٍ، لم یستطِع المسلمون أبداً تحقیق الوحدة بصورتها المتکاملة التی کانت علیها فی أیّام الحکومة التی أسّسها النبیّ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 المصادر کیف أنّه فی خلال عقدین من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رحیل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طوائفٌ مختلفة ومخالفة لبعضها البعض، تحمل کلٌّ منها عقیدتها الخاصّة بها فی تطبیق الإسلام علی الواقع، وقد تصارعت تلک الطوائف علی السلطة السیاسیّة؛ لغرض تطبیق وجهة نظرها عن الدِّین والسیاسة، فکان کلٌّ من تلک الطوائف یدّعی أنّه الأحقّ، وأنّ أفراده یمثّلون المؤمنین الحقیقیین، وقد استخدموا کلَّ أسالیب الحسم والصلابة؛ لکی یتمکّنوا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ادّعائهم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تطبیق إرادة الله؛ إذ إنّهم آمنوا أنّ الهدایة الإلهیّة لم توجد إلّا فیهم ومعهم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مفهوم إمام الأُمّة، فقد کان الأساس فی کلِّ شیءٍ،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باتریشا کرون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Patricia Crone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بأنّ دور الإمام کان شبیهاً بدور قائد القافلة فی الصحراء، إذ أُنیطت به مهمّتان أساسیتان،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یمنح الأُمّة وجودها؛ إذ بدونه لیس هناک وجود لأیّة قافلة، وإنّما یکون أفراد تلک القافلة مجرّد مسافرین مبعثرین هنا وهناک یحاولون عبور الصحراء بلا قائد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والمهمّة الثانیة هی أنّ القائد یُوصل تلک القافلة إلی مقصدها؛ لأنّ الإمام </w:t>
      </w:r>
    </w:p>
    <w:p>
      <w:pPr>
        <w:pStyle w:val="BookText"/>
        <w:rPr/>
      </w:pPr>
      <w:r>
        <w:rPr>
          <w:rFonts w:ascii="IRNazanin" w:hAnsi="IRNazanin" w:eastAsia="IRNazanin"/>
          <w:color w:val="111111"/>
          <w:sz w:val="28"/>
          <w:sz w:val="28"/>
          <w:szCs w:val="28"/>
          <w:rtl w:val="true"/>
          <w:lang w:bidi="fa-IR"/>
        </w:rPr>
        <w:t>الحقیقی نفسه کان یتلقّی الهدایة مباشرة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وتضیف الکاتبة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یفهم کلَّ الأُمور أکثر من أیِّ أحدٍ آخر؛ لأنّه أفضل أهل زمانه، وقد اتّبعه الجمیع من أجل ما یتمیّز به من فضیلة تفوق کلّ ما یتمیّز به الآخرون، أمّا إرشاداته وهدایته، فهی شرعیّة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یبیّن ما هو حقّ وما هو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بالعیش فی ظلِّ تطبیق أحکام الله وحده یستطیع الناس الوصول إلی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یُکره الإمام بعض المخالفین علی الالتزام بأوامر الله ونواهیه کیلا یضلّوا، وهذا نوع آخر من الهدایة الممنوحة له؛ لأنّ من ضلَّ عن الصراط القویم فقد خسر، وإذا ما تفرّقت تلک القافلة، فإنّ ذلک یعنی هلاک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 مع الإمام فقد نجا، ومن تخلّف فقد هلک</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أنّ محمداً، یُعتبر أوّل الأئمّة، وقد سار کلُّ أفراد الأُمّة التی أنشأها فی المدینة علی الصراط المستقیم نحو النجاة حینما اتبعوه، لهذا السبب فإنّ الصراع علی السلطة الذی ظهر بین أصحابه بُعید وفاته مثَّل صدمة لا دواء لها، إذ یتساءل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یستطع أصحاب النبیّ أن یفلحوا فی تدبّر أمرهم من بعده، فمَن ذا الذی یستطیع ذلک؟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تترکّز معظم النصوص التاریخیّة المذکورة فی تلک المصادر</w:t>
      </w:r>
      <w:r>
        <w:rPr>
          <w:rStyle w:val="FootnoteAnchor"/>
          <w:rtl w:val="true"/>
        </w:rPr>
        <w:footnoteReference w:id="150"/>
      </w:r>
      <w:r>
        <w:rPr>
          <w:rFonts w:ascii="IRNazanin" w:hAnsi="IRNazanin" w:eastAsia="IRNazanin"/>
          <w:color w:val="111111"/>
          <w:sz w:val="28"/>
          <w:sz w:val="28"/>
          <w:szCs w:val="28"/>
          <w:rtl w:val="true"/>
          <w:lang w:bidi="fa-IR"/>
        </w:rPr>
        <w:t>التی أرّخت لتلک الفترة علی الخلیفتین الثالث والرابع،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الأُموی، وعلیّ الهاشمی، ابن عمّ النبیّ وزوج ابنته، وبالرغم من أنّهما کانا یُصنّفان کصحابة للنبیّ، إلّا أنّ التقسیم فی </w:t>
      </w:r>
    </w:p>
    <w:p>
      <w:pPr>
        <w:pStyle w:val="BookText"/>
        <w:rPr/>
      </w:pPr>
      <w:r>
        <w:rPr>
          <w:rFonts w:ascii="IRNazanin" w:hAnsi="IRNazanin" w:eastAsia="IRNazanin"/>
          <w:color w:val="111111"/>
          <w:sz w:val="28"/>
          <w:sz w:val="28"/>
          <w:szCs w:val="28"/>
          <w:rtl w:val="true"/>
          <w:lang w:bidi="fa-IR"/>
        </w:rPr>
        <w:t xml:space="preserve">أشدّ حالاته یبدأ منهما، فقد أُخبرنا أنّه حینما أتُّهم عثمان بالحکم الفاسد، وقُتِلُ فی عام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اتُّهم علیٌّ بأنّ له یداً فی قتله، أو أنّه لم یفعل ما کان بوسعه أن یفعل من ملاحقة القتلة والتنکیل بهم، وانتهی الأمر إلی نشوب حرب فی صفّین بین معاویة زعیم الأُمویین وأنصاره من جهة، وعلیّ والموالین له</w:t>
      </w:r>
      <w:r>
        <w:rPr>
          <w:rStyle w:val="FootnoteAnchor"/>
          <w:rtl w:val="true"/>
        </w:rPr>
        <w:footnoteReference w:id="151"/>
      </w:r>
      <w:r>
        <w:rPr>
          <w:rFonts w:ascii="IRNazanin" w:hAnsi="IRNazanin" w:eastAsia="IRNazanin"/>
          <w:color w:val="111111"/>
          <w:sz w:val="28"/>
          <w:sz w:val="28"/>
          <w:szCs w:val="28"/>
          <w:rtl w:val="true"/>
          <w:lang w:bidi="fa-IR"/>
        </w:rPr>
        <w:t>من الجهة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حدثت انشقاقات أُخری، وقد وصل الأمر حین اغتیل علیٌّ فی الکوفة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أنّ معارکاً ومناوشاتٍ حدثت بین أربعة أحزاب علی الأقلّ، یدّعی کلٌّ منهم أنّه الأحقّ فی تولّی الحکم علی المسلمین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وتسمّی هذه الحقبة من الاضطرابات بالفتنة الأُولی، إذ تعنی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أو امتحان، أو إغراء، وبذا فإنّ مصطلح الفتنة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امتحن المسلمین عن طریق هذه الانشقاقات، لیمیّز المؤمن الحقیقی من المنافق أو الکافر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الفتنة الثانیة، فقد بدأت فی العام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معرکة کربلاء، واستمرت بنشوب سلسلة من الصراعات المتفاوتة فی حجمها حتی العام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تبع ذلک فترة من السلام النسبی حتی حدوث الفتنة الثالثة </w:t>
      </w:r>
    </w:p>
    <w:p>
      <w:pPr>
        <w:pStyle w:val="BookText"/>
        <w:rPr/>
      </w:pPr>
      <w:r>
        <w:rPr>
          <w:rFonts w:ascii="IRNazanin" w:hAnsi="IRNazanin" w:eastAsia="IRNazanin"/>
          <w:color w:val="111111"/>
          <w:sz w:val="28"/>
          <w:sz w:val="28"/>
          <w:szCs w:val="28"/>
          <w:rtl w:val="true"/>
          <w:lang w:bidi="fa-IR"/>
        </w:rPr>
        <w:t xml:space="preserve">التی بلغت أوجها فی الفترة ما بین عامی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وأدّت إلی سقوط الحکم الأُموی، وظهور الحکم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الکاتبة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 لانداو تاسیرون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Ella Landau-Tasseron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ملخّصةً بدقة التفاعل المعقّد للعوامل التی ساهمت فی تلک الانقسامات فی المجتمع الإسلامی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المجتمع القبلی فی فترة ما قبل الإسلام متجانساً وبعیداً عن المرکزیّة فی القیادة أکثر ممّا کان علیه المجتمع الإسلامی، إذ کان مقسّماً إلی مجامیع متوازیة تحکمها الأنساب، وقد جاء الإسلام لیُحدث تطوّرات بعیدة المدی فی جمیع نواحی الحیاة الروحیّة والسیاسیّة والاجتماعیّة والمادیّة، وقد أدّت تلک التطوّرات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أشیاء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النمو المعقّد لخطوط الانقسام التی تفرّقت لیس إلی مجامیع قبلیة فحسب، بل إلی زُمَر قبلیة کقیس والیمان، ومجامیع دینیّة سیاسیّة، کالشیعة</w:t>
      </w:r>
      <w:r>
        <w:rPr>
          <w:rStyle w:val="FootnoteAnchor"/>
          <w:rtl w:val="true"/>
        </w:rPr>
        <w:footnoteReference w:id="155"/>
      </w:r>
      <w:r>
        <w:rPr>
          <w:rFonts w:ascii="IRNazanin" w:hAnsi="IRNazanin" w:eastAsia="IRNazanin"/>
          <w:color w:val="111111"/>
          <w:sz w:val="28"/>
          <w:sz w:val="28"/>
          <w:szCs w:val="28"/>
          <w:rtl w:val="true"/>
          <w:lang w:bidi="fa-IR"/>
        </w:rPr>
        <w:t>والخوارج والقادریة والمرجئة، وإلی أقالیم کأهل الشام ضد أهل العراق وأهل الحجاز، وإلی طبقات اجتماعیّة کالعسکر والمدنیین، وإلی مجامیع عرقیة کالعرب والموالی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هذه الخطوط تتقاطع مع بعضها البعض، وتشکّل مجامیع متصارعة فیما بینها، ولم یکن بوسع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ربّما لم یشأ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یصبح فی منأی من تلک الصراعات</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الرغم من کلِّ شیءٍ، کانت فکرة خلق أُمّة مختارة ومهدیة من قبل الله مهمة جدّاً، کما جاءت فکرة الأُمّة المختارة هذه لتفتح طریقاً إلی الابتعاد عن التقالید </w:t>
      </w:r>
    </w:p>
    <w:p>
      <w:pPr>
        <w:pStyle w:val="BookText"/>
        <w:rPr/>
      </w:pPr>
      <w:r>
        <w:rPr>
          <w:rFonts w:ascii="IRNazanin" w:hAnsi="IRNazanin" w:eastAsia="IRNazanin"/>
          <w:color w:val="111111"/>
          <w:sz w:val="28"/>
          <w:sz w:val="28"/>
          <w:szCs w:val="28"/>
          <w:rtl w:val="true"/>
          <w:lang w:bidi="fa-IR"/>
        </w:rPr>
        <w:t>البالیة وعن الیهودیّة والمسیحیّة بالدرجة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حسّ الاختیار هذا استلزم وحدة المسلمین، فقد ذکر القرآن بأنّ الاختلاف والافتراق کان أحد خصائص المجتمعات الهالکة </w:t>
      </w:r>
      <w:r>
        <w:rPr>
          <w:rStyle w:val="FootnoteAnchor"/>
          <w:rtl w:val="true"/>
        </w:rPr>
        <w:footnoteReference w:id="157"/>
      </w:r>
      <w:r>
        <w:rPr>
          <w:rFonts w:ascii="IRNazanin" w:hAnsi="IRNazanin" w:eastAsia="IRNazanin"/>
          <w:color w:val="111111"/>
          <w:sz w:val="28"/>
          <w:sz w:val="28"/>
          <w:szCs w:val="28"/>
          <w:rtl w:val="true"/>
          <w:lang w:bidi="fa-IR"/>
        </w:rPr>
        <w:t xml:space="preserve">، إذ کیف یمکن لأُمّةٍ أن تکون شعب الله المختار لو أنّها کانت متمزّقة کالمسیحیین؟ لذا کان تمزّق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أوضح صوره اغتیال الخلیفة الثالث والخلیفة الرابع والحروب الأهلیّة</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وأمّا فی زمن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تکن هناک حروب أهلیة، بل حروب للدولة مع الخارجین عنها والمخالفین لها، کلٌّ بحسب غایاته ونوایاه، ولو صحّت هذه الشخصیة فکانت الأولی أن یُوصف بها عهد الخلیفة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 نشبت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القروح إیلاماً، ما حدا بکُتّاب التاریخ الذین جاؤوا فیما بعد أن یولوا هذا الأمر جلّ اهتمامهم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Van Ess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أنّ تلک الأحداث الجسیمة أعطت الدافع لبروز العدید من الاتجاهات الفکریّة ذات الأهمّیة فی التاریخ، والتی لم تزل آثارها محفوظة فی نصوص التاریخ الإسلامی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ویضیف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أن یکون أحدٌ ما مسؤولاً عن تلک الاختلافات، هذا ما اعتقده الناس، لذا سارع کلٌّ منهم إلی إبراء ساحته، وهذا ما أدّی إلی ظهور کتابة تاریخ تلک الأحداث، ما جعلنا نضع أیدینا علی رسائل کثیرة کُتبت عن معرکة الجمل وصفّین، وعن یوم السقیفة قبلهما، وهکذا بدأ المؤرِّخون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یجب علیهم </w:t>
      </w:r>
    </w:p>
    <w:p>
      <w:pPr>
        <w:pStyle w:val="BookText"/>
        <w:rPr/>
      </w:pPr>
      <w:r>
        <w:rPr>
          <w:rFonts w:ascii="IRNazanin" w:hAnsi="IRNazanin" w:eastAsia="IRNazanin"/>
          <w:color w:val="111111"/>
          <w:sz w:val="28"/>
          <w:sz w:val="28"/>
          <w:szCs w:val="28"/>
          <w:rtl w:val="true"/>
          <w:lang w:bidi="fa-IR"/>
        </w:rPr>
        <w:t>کمسلمین حقیقیین أن یتجاوزوا تلکم الخلافات، ویتقدّموا بدل أن یتقهقروا؟ وهذا ما أدّی إلی نشوء النظریّة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 معرفة أو التغاضی عن المجرم الحقیقی الذی کان السبب وراء کلّ إدخال تلک الخلافات، فقد کانت معضلة دینیّة، وهذا ما أدّی إلی توریط علم الکلام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أکثر الأُمور الملفتة للانتباه فی هذا السیاق أنّ تلک العناصر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وعلم الکلام، والفکر 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ظهرت فی نفس الوقت وبشکلٍ مبکّر؛ ما جعلها لا تنفک عن مسألة البحث عن الهویّة التی کانت الشغل الشاغل للأُمّة الإسلامیّة فی أوّل نشوئها واستمرّت حتی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الحیویة فی تفسیر الأحداث، فهی أنّ أُولئک الصحابة الذین تقاتلوا وقتل بعضهم بعضاً فی أحداث الفتنة الأُولی أصبحوا شیئاً فشیئاً مثلاً یُحتذی به للأجیال التی جاءت بعدهم، ولکن تبقی الحقیقة أنّ أُولئک الصحابة قد ارتکبوا إثماً، فکیف یمکن أن نتعامل مع هذه الحقیقة؟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وضّحت سلفاً، فإنّ أساتذة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ستیفن همفریز، وکلاود جیلوت، وآخرین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یرون أنّ الانشقاق فی الأُمّة الإسلامیّة مهدّ لنشوء فکرة نقض الأُمّة الإسلامیّة العهد أو المیثاق مع الله، وهو موضوع غایة فی الأهمّیة فی تاریخ </w:t>
      </w:r>
    </w:p>
    <w:p>
      <w:pPr>
        <w:pStyle w:val="BookText"/>
        <w:rPr/>
      </w:pPr>
      <w:r>
        <w:rPr>
          <w:rFonts w:ascii="IRNazanin" w:hAnsi="IRNazanin" w:eastAsia="IRNazanin"/>
          <w:color w:val="111111"/>
          <w:sz w:val="28"/>
          <w:sz w:val="28"/>
          <w:szCs w:val="28"/>
          <w:rtl w:val="true"/>
          <w:lang w:bidi="fa-IR"/>
        </w:rPr>
        <w:t xml:space="preserve">الإسلام الأوّل، إذ یشارک هؤلاء الأساتذة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Van 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الرأی فی أنّ أحد أهمّ أهداف کتابة التاریخ کان لمعرفة کیفیة وأسباب حدوث هذه 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النجاة من عواقبها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تشیر تلک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مصادر تاریخ الإسلام فی فترته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کثیراً من المسلمین فی القرون الأُولی لظهور الإسلام أبدوا غایة القلق من تلک الاختلافات بین المؤمنین، وسعوا إلی إیجاد طریقةٍ ما إلی الإصلاح بینهم، فمثلاً، تقول فرقة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طالما لا نمتلک معرفة کافیة عن عثمان وعلیّ، فإنّ علینا أن نرجئ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هذه القضیة إلی الله وإلی الیوم الآخر؛ کی یتبیّن مَن منهم کان علی الحقِّ ومَن کان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توسعت هذه الفکرة لاحقاً لتأخذ شکلاً آخر،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علینا أن نکفّ عن اتّهام أیِّ أحدٍ بالکفر طالما کان ذلک الشخص مسلماً، کما طُرحت فی الوقت ذاته أفکار إصلاحیّة أُخری، وتطوّرت تلک الأفکار لتشمل دوائر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نفس الوقت تطوّرت هذه الفکرة واستحوذت علی الکثیر؛ لینتهی بها المطاف إلی الاعتقاد بأنّ الخلفاء الأربعة الأوائل الذین کانوا من صحابة النبیّ کانوا جمیعاً علی نفس المستوی، ویجب أن یُعتبروا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مهدیین من قبل الله، ومعنی هذه الفکرة هو أنّ الحکّام الذین جاؤوا بعد أُولئک الخلفاء الراشدین لم یکونوا من الضروری أتقیاء ومسلمین نموذجیین، ولکن الحقیقة هو أنّ معظمهم کانوا عکس ذلک، کما تؤکّد تلک المصادر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وفکرة أنّه لیس من الضروری أن یکون الخلیفة أفضل المؤمنین جعلت کثیراً من الناس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العیش تحت حکم رجلٍ آثم؟ إذ إنّ فکرة أنّ الواجب علی المسلمین أن یؤدّبوا مَن وُجد آثماً هی فکرة قرآنیّة، والکثیر من أهل </w:t>
      </w:r>
    </w:p>
    <w:p>
      <w:pPr>
        <w:pStyle w:val="BookText"/>
        <w:rPr/>
      </w:pPr>
      <w:r>
        <w:rPr>
          <w:rFonts w:ascii="IRNazanin" w:hAnsi="IRNazanin" w:eastAsia="IRNazanin"/>
          <w:color w:val="111111"/>
          <w:sz w:val="28"/>
          <w:sz w:val="28"/>
          <w:szCs w:val="28"/>
          <w:rtl w:val="true"/>
          <w:lang w:bidi="fa-IR"/>
        </w:rPr>
        <w:t xml:space="preserve">الدِّین یرون أنّ من الواجب علی کلِّ فردٍ أن ینهی عن المنکر وإن کان صادراً من الخلیفة؛ إذ إنّ واجب الأمر بالمعروف والنهی عن المنکر یجب ألّا یُعطّل، وأن یکون ساری المفعول فی کلِّ الأحوال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یجب أن یُقام بالید، أی بالقوّة، أو باللسان، أی بالکلام التأدیبی، أو بالقلب، أی بالاعتراض داخلیاً علی المنکر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اختلفت الطوائف الإسلامیّة القدیمة حول هذه المسألة کثیراً، فقد أفتی بعضهم بالقتال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الحاکم الآثم، وأفتی بعضٌ آخر بتوبیخه بالکلام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السکوت علیه وإبداء عدم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أمثلة کثیرة فی تاریخ الفترة الأُولی للإسلام علی اللجوء إلی مسألة قتال الحاکم الآثم، ولکن مع مرور الزمن استحوذت فکرة اللسان والقلب علی فکرة الید، ثمّ انتهی الأمر إلی غلبة هذه الفکرة فی الفکر الشرعی والسیاسی للمسلمین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ومع ازدیاد المجتمع المسلم تعقیداً، أصبح من غیر الممکن أن نری وظیفتی الهدایة الإلهیّة والسلطة السیاسیّة مجتمعتین فی نفس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آخر محاولة جادّة قام بها مَن یتمتع بسلطة الخلیفة لإبقاء وظیفة الهدایة الدینیّة تحت رعایته، فقد کانت فی الزمن الذی یسمّی زمن المحنة، أی التحقیق التعسّفی، الذی حرّض علیه الخلیفة المأمون فی العام </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أثار الخلیفة مسألة کلامیّة خلافیّة حول خلق القرآن، وأمر جمیع مَن کان یشغل منصباً قضائیّاً أو لاهوتیّاً أن یوافقه علی اعتقاده القائل بأنّ القرآن مخلوق ولیس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یمکننا أن نفسّر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حرکة ضد حزب علماء الدِّین والفقهاء، الذین یُطلق علیهم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مارسوا بالفعل أدوارهم فی هدایة الناس فی القضایا الکلامیّة والفقهیّة، فآمن أصحاب الحدیث بأنّ القرآن لم یکن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أنّ أهمّیة هذا الإجراء من قبل الخلیفة لا تکمن کثیراً فی المعتقد نفسه، ولکنّها محاولة لفرضه علی الناس من أجل تقویة سلطة الخلیفة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فلتة، وبعد مضی عشرین عاماً انتهت تماماً، أمّا منصب طبقة العلماء کسلطة دینیّة، فقد حُفظت وضعفت سلطة الخلیفة أکثر وأکثر فی العقدین التالیین، وأصبحت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أهمّیةً من ذی قبل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یجب أن لا نُسیء فهم الفصل بین السلطة السیاسیّة والسلطة الدِّینیّة، وذلک لسببین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هناک فاصل واضح بین السلطتین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لم یبرحا أن یکونا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الکاتبة 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 تکلّمنا عن الإسلام فی عصوره الوسطی، فإنّ هذا الإنقسام یعتبر تغییراً فی نمط تطبیق حکومة الله علی الأرض، ولیس عملیة لإفراغ الحکومة من مفهومها الدِّینی، فهی تعنی أنّه لم یعد هناک رجل معیّن فوّض الله إلیه کامل سلطته؛ إذ إنّ العلماء قد أخذوا علی عاتقهم مهمّة هدایة البشر، وتُرِک نائب الله مع الدور القسری الذی تحوّل آخر الأمر إلی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الفصل بین السلطة والدِّین مشابهاً لما حصل فی أوروبا فی قرونها الوسطی، حیث احتفظ الإله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 مؤسّسة معیّنة،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مؤسّسة أُخری، وفی کلا الحالتین فإنّ السیف والکتاب لم یبرحا للإله، وکلُّ ما فی الأمر هو أنّ الإله لم یعُد یُعطی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السیف والکتاب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 الشخص</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أمّا النقد الذی وُجِّه إلی الوصف الذی ذکره الکاتبان فی کتابهما المزبور، فهو أنّهما لم یأخذا فی نظر الاعتبار أنّ التوتر بین علماء الدِّین والسلطة السیاسیّة فی هذا الجزء من العالم قدیم، وأنّ سبب هذا التوتر هو تفضیل الجانب الملکی للحکّام علی علماء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خلیفة الله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Review Of God’s Caliph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للکاتب کالدر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أولریکا مورتنسون،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مع مصادر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التی أودّ أن أطرحها هنا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أشکال السلطتین الدِّینیّة والسیاسیّة التی کانت واحدة فی أقدم أشکال الحکم فی الإسلام انفصلت شیئاً فشیئاً فیما بعد، ولا یمکن لأحد أن یعترض علی هذه النقطة علی حدِّ درایتی بالموضوع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تعطی الکاتبة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توضیحیّة لعملیة الفصل بین ممالک الأُمّة الإسلامیّة برسم ثلاث دوائر تمثّل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السلطة 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والأُمّة والدِّین، </w:t>
      </w:r>
    </w:p>
    <w:p>
      <w:pPr>
        <w:pStyle w:val="BookText"/>
        <w:rPr/>
      </w:pPr>
      <w:r>
        <w:rPr>
          <w:rFonts w:ascii="IRNazanin" w:hAnsi="IRNazanin" w:eastAsia="IRNazanin"/>
          <w:color w:val="111111"/>
          <w:sz w:val="28"/>
          <w:sz w:val="28"/>
          <w:szCs w:val="28"/>
          <w:rtl w:val="true"/>
          <w:lang w:bidi="fa-IR"/>
        </w:rPr>
        <w:t xml:space="preserve">فتتّحد تلک الدوائر مبدئیاً فی دائرة واحدة تمثّل ما کان علیه المجتمع الإسلامی حینما حکمه النبیّ فی المدینة، حیث کانت تلک الحقول الثلاثة متطابقة تماماً وبشکلٍ متکامل، ثمّ تفرقت هذه الدوائر تدریجیّاً وأصبحت دائرتا الدولة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أصبّ جلّ اهتمامی علیه فی هذه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وصارتا بمعزل عن بعضهما البعض بشکلٍ فعلی، وهو ما کان علیه الحال فی نهایة حقبة الحکم الإسلامی التقلیدی</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زمان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أواخر القرن الثالث، وبدایة القرن الرابع الهجریین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القرنین التاسع والعاشر المیلادیین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هناک تداخل بین السلطتین السیاسیّة والدِّینیّة، أی الدولة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ReIigion</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stat</w:t>
      </w:r>
    </w:p>
    <w:p>
      <w:pPr>
        <w:pStyle w:val="BookText"/>
        <w:rPr/>
      </w:pPr>
      <w:r>
        <w:rPr>
          <w:rtl w:val="true"/>
        </w:rPr>
        <mc:AlternateContent>
          <mc:Choice Requires="wps">
            <w:drawing>
              <wp:inline distT="0" distB="0" distL="0" distR="0">
                <wp:extent cx="5334000" cy="3530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39"/>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التدریجی للدین عن الدولة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قدّمت فی الفقرات السابقة رسماً توضیحیّاً عن التطوّر الذی حصل للأغلبیّة المسلمة التی أُطلق علیها فیما بعد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مختصر لتسمیة أهل السنّة والجماعة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الجماعة الأُخری التی استمرّت فی البقاء فی إزاء هذه الجماعة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لا یعیرون أیَّ اهتمامٍ لخلافة الخلفاء الراشدین الأربعة؛ إذ إنّهم یؤمنون بأنّ قیادة المسلمین إنّما هی امتیاز لأهل بیت النبیّ، سواء کان ذلک فی معنی ضیّق أم واسع؛ لذا فلا أحد من أُولئک الخلفاء الأربعة کان شرعیّاً سوی علیّ، إذ کان ابن عمّ محمّد وزوج ابنته</w:t>
      </w:r>
      <w:r>
        <w:rPr>
          <w:rStyle w:val="FootnoteAnchor"/>
          <w:rtl w:val="true"/>
        </w:rPr>
        <w:footnoteReference w:id="167"/>
      </w:r>
      <w:r>
        <w:rPr>
          <w:rFonts w:ascii="IRNazanin" w:hAnsi="IRNazanin" w:eastAsia="IRNazanin"/>
          <w:color w:val="111111"/>
          <w:sz w:val="28"/>
          <w:sz w:val="28"/>
          <w:szCs w:val="28"/>
          <w:rtl w:val="true"/>
          <w:lang w:bidi="fa-IR"/>
        </w:rPr>
        <w:t>، أمّا الثلاثة الآخرون، فقد کانوا غاصبین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التصق الشیعة بفکرة أنّ القیادتین السیاسیّة والدینیّة لا یمکن أن یفترقا، إذ إنّهما متحدتان فی شخصٍ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انتجبه وهداه الله</w:t>
      </w:r>
      <w:r>
        <w:rPr>
          <w:rStyle w:val="FootnoteAnchor"/>
          <w:rtl w:val="true"/>
        </w:rPr>
        <w:footnoteReference w:id="168"/>
      </w:r>
      <w:r>
        <w:rPr>
          <w:rFonts w:ascii="IRNazanin" w:hAnsi="IRNazanin" w:eastAsia="IRNazanin"/>
          <w:color w:val="111111"/>
          <w:sz w:val="28"/>
          <w:sz w:val="28"/>
          <w:szCs w:val="28"/>
          <w:rtl w:val="true"/>
          <w:lang w:bidi="fa-IR"/>
        </w:rPr>
        <w:t>، ولکن الشیعة لم یحصلوا علی سلطة سیاسیّة حقیقیّة لا فی الزمان ولا المکان الذی یدور موضوع هذا الکتاب حوله، وبهذا لم تُختبر نظریّاتهم حول الحکم والسلطة السیاسیّة عملیاً، ولم تدخل عالم السیاسة کواقع</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العملیة التی أتیت علی ذکرها فی الأسطر السابقة معقّدة جدّاً، ولم أذکر منها إلّا النزر الیسیر من مراحل تطوّرها، ولأغراض تفیدنا فی تحلیلنا لهذه العملیة سوف أذکر بالخصوص مُرکّبین متقاربین جدّاً ومتداخلین مع بعضهما البعض، یمکن أن نستفید منهما فی عرض التطوّر الذی حصل للفکر السیاسی الدِّینی فی القرون الثلاثة الأُولی لظهور الإسلام، وسوف نوضِّح کلاً من هذین المرکّبین عن طریق حرکتین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طردیة وجاذبة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مندفعة نحو المرکز أو بعیداً عن المرکز</w:t>
      </w:r>
      <w:r>
        <w:rPr>
          <w:rFonts w:eastAsia="IRNazanin" w:cs="IRNazanin"/>
          <w:color w:val="111111"/>
          <w:sz w:val="28"/>
          <w:szCs w:val="28"/>
          <w:rtl w:val="true"/>
          <w:lang w:bidi="fa-IR"/>
        </w:rPr>
        <w:t xml:space="preserve">: </w:t>
      </w:r>
      <w:bookmarkStart w:id="119" w:name="pg5097_58277"/>
    </w:p>
    <w:p>
      <w:pPr>
        <w:pStyle w:val="BookText"/>
        <w:rPr/>
      </w:pPr>
      <w:bookmarkEnd w:id="119"/>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المجتمع المسلم إلی مجامیع، یدّعی کلٌّ منها أنّ رؤیتها للإسلام هی الأصحّ، وأنّها النموذج الأمثل لحرکة کثیر من الکلامیین، وأنّها تمثّل الحکومة المرکزیّة التی ترید أن تحقّق الوحدة السیاسیّة والدِّینیّة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الانفصال التدریجی للسلطة الواحدة التی کان علیها المسلمون فی بادئ الأمر، إلی مساحة کبیرة من السلطات السیاسیّة والدِّینیّة والحرکات المعارضة، التی تمثّلها سلطة الخلیفة من أجل الحفاظ علی وحدة تلک السلطات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صورة المجتمع المسلم الموحد ومؤسّساته السیاسیّة والدِّینیّة، التی لم تتحقّق فی الواقع إلّا علی ید النبیّ محمّد فی المدینة، کانت عامل إلهام للفکر السیاسی الإسلامی، واستمرت کذلک حتی فی زمن الطبری علی الأقل، إذ نراها واضحة فی المصادر التی اعتمد علیها هذا المؤرِّخ</w:t>
      </w:r>
      <w:r>
        <w:rPr>
          <w:rFonts w:eastAsia="IRNazanin" w:cs="IRNazanin"/>
          <w:color w:val="111111"/>
          <w:sz w:val="28"/>
          <w:szCs w:val="28"/>
          <w:rtl w:val="true"/>
          <w:lang w:bidi="fa-IR"/>
        </w:rPr>
        <w:t>.</w:t>
      </w:r>
    </w:p>
    <w:p>
      <w:pPr>
        <w:pStyle w:val="Heading4"/>
        <w:numPr>
          <w:ilvl w:val="3"/>
          <w:numId w:val="1"/>
        </w:numPr>
        <w:rPr/>
      </w:pPr>
      <w:bookmarkStart w:id="120" w:name="__RefHeading___Toc1259878_774463916"/>
      <w:bookmarkStart w:id="121" w:name="_Toc43"/>
      <w:bookmarkEnd w:id="120"/>
      <w:r>
        <w:rPr>
          <w:rtl w:val="true"/>
        </w:rPr>
        <w:t>الطبری وتاریخه</w:t>
      </w:r>
      <w:bookmarkEnd w:id="12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یُنسب أبو جعفر محمّد بن جریر الطبری إلی إقلیم طبرستان علی الساحل الجنوبی لبحر قزوین، حیث کانت لأسرته قطعة من الأرض هناک، وهی محل ولادته فی العام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 ومنذ نعومة أظفاره کان ناضجاً عقلیّاً أکثر من أقرانه فی الدروس التی کان یتلقّاها،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أُخبرنا بأنّه حفظ القرآن عن ظهر قلب فی سنِّ السابعة، وأمَّ المسلمین فی الصلاة فی سنِّ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سنِّ الثانیة عشرة أُرسل الطبری من مدینته آمل التی تقع شمال مدینة الری الإیرانیة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p>
    <w:p>
      <w:pPr>
        <w:pStyle w:val="BookText"/>
        <w:rPr/>
      </w:pPr>
      <w:r>
        <w:rPr>
          <w:rFonts w:ascii="IRNazanin" w:hAnsi="IRNazanin" w:eastAsia="IRNazanin"/>
          <w:color w:val="111111"/>
          <w:sz w:val="28"/>
          <w:sz w:val="28"/>
          <w:szCs w:val="28"/>
          <w:rtl w:val="true"/>
          <w:lang w:bidi="fa-IR"/>
        </w:rPr>
        <w:t xml:space="preserve">طهران حالیاً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لیکمل دراسته، وبعد مضی خمس سنوات سافر إلی بغداد لطلب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السنوات الخمسة عشرة التی تلت ذلک درس الطبری فی بغداد، وقام برحلتین مدرسیتین طویلتین علی الأقل، انتقل فی إحداهما إلی جنوب العراق، والأُخری إلی سوریا وفلسطین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التقی وتتلمذ علی ید عدد من العلماء البارزین فی مختلف صنوف العلم، حیث دوّن ملاحظات من المحاضرات التی کان یتلقّاها من أساتذته، مثله مثل أیِّ طالب علمٍ آخر، وقد أشار فی کتاباته إلی کثیر من أُولئک الأساتذة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وأثناء مکوثه فی بغداد عمل کأُستاذ لابن وزیر الخلیفة المتوکل عبیدالله بن یحیی ابن خاقان، وحین عودته إلی بغداد من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حدّاً لدراسته، وأمضی ما بقی من سنی عمره فی التعلیم والکتابة، وإنّه لم یتوقف أبداً عن 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المحتمل أنّ الطبری لم یتزوج أبداً ولم یکن له عقب، أمّا وفاته فکانت فی العام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 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عاصره من العلماء کان یأخذ قسطاً وافراً من علم الحدیث، والفقه، والدراسات القرآنیّة، والتاریخ حیث کان یعنی بجمع معلومات عن سیرة عدد من الشخصیات، وبالرغم من أنّ اهتمام الطبری العلمی کان منصبّاً علی الفقه، إلّا أنّ مساهماته الکبیرة فی کلِّ میادین العلم لا تُنکر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کان مهتماً کثیراً بالفلسفة العربیّة، وکانت له معرفة ببعض اللغات الأُخری </w:t>
      </w:r>
    </w:p>
    <w:p>
      <w:pPr>
        <w:pStyle w:val="BookText"/>
        <w:rPr/>
      </w:pPr>
      <w:r>
        <w:rPr>
          <w:rFonts w:ascii="IRNazanin" w:hAnsi="IRNazanin" w:eastAsia="IRNazanin"/>
          <w:color w:val="111111"/>
          <w:sz w:val="28"/>
          <w:sz w:val="28"/>
          <w:szCs w:val="28"/>
          <w:rtl w:val="true"/>
          <w:lang w:bidi="fa-IR"/>
        </w:rPr>
        <w:t>غیر الفارسیّة، التی لا بدّ أنّه کان یُتقنها بحکم مسقط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علاوةً علی ذلک، کان الطبری مولعاً بالطب، فقد درس هذا العلم وإن لم یمارسه کطبیب محترف، إلّا أنّه کان یعطی نصائح طبیة لأصدقائه وتلامذته بین الحین والآخر، وقد أُخبرنا بأنّ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علیّ بن ربّن، وهو خلاصة وافیة فی علم الطب، کان واحداً من الکتب المفضّلة لدی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دخل الطبری فی صراع مع مفکّرین آخرین، مثله مثل کلِّ عالمٍ ذی استقامة ومنزلة رفیعة، وقد کان صِدامه مع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أتباع العالم الکبیر أحمد ابن حنبل المتوفّی سنة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مشهوراً جدّاً، إلّا أنّ جذور ومنهج هذا الصِدام لم تکن معروفة، ولکن المعروف هو أنّ الحنابلة لطالما هدّدوا الطبری ودخلوا معه فی دوامة العنف، ومهما یکن سبب هذا الصِدام، فإنّ المهم فی الموضوع هو أنّ الطبری کان یجلّ ابن حنبل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سبب توجّهه إلی بغداد فی سنٍّ مبکرة، فیقال إنّه أراد الحضور عند هذا العالم الکبیر، ولکن ابن حنبل توفی قبل وصول الطبری إلی بغداد، أضِف إلی ذلک أنّ الطبری کان کثیراً ما یستشهد بما رواه ابن حنبل، واعتبره مرجعاً کبیراً فی باب 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لم یکن الصِدام مع ابن حنبل نفسه، ولکنّه کان مع بعض أتباعه الذین جاؤوا بعده، وقد یکون هذا الصِدام حول مسائل فی الفقه والإدارة، وأنّ الحنابلة سعوا لتأسیس مدرسة فی الفقه لهم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الرغم من إعجاب الطبری بابن حنبل کأُستاذ فی علم الحدیث، إلّا أنّه لم </w:t>
      </w:r>
    </w:p>
    <w:p>
      <w:pPr>
        <w:pStyle w:val="BookText"/>
        <w:rPr/>
      </w:pPr>
      <w:r>
        <w:rPr>
          <w:rFonts w:ascii="IRNazanin" w:hAnsi="IRNazanin" w:eastAsia="IRNazanin"/>
          <w:color w:val="111111"/>
          <w:sz w:val="28"/>
          <w:sz w:val="28"/>
          <w:szCs w:val="28"/>
          <w:rtl w:val="true"/>
          <w:lang w:bidi="fa-IR"/>
        </w:rPr>
        <w:t>یکن یری أنّه ذو علم واسع بالفقه، ما حدا بأتباع ابن حنبل أن یحملوا الظغینة ضد الطبری</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خضّم هذا الصراع شُیّع فی الأوساط أنّ الطبری کان شیعیّاً، وکانت هذه التهمة فی ذلک الوقت کافیة لتشویه سمعة أیِّ خصمٍ، ولکن لا نری أیّة إشارة إلی هذا التوجّه فی أیٍّ من کتب الطبری، والعکس هو الصحیح؛ إذ إنّ الطبری کان یدافع عن الرأی القائل بأنّ الخلفاء الأربعة الراشدین متساوون فی المنزلة، ومن الواضح أنّ الطبری کان یدعم رأی أهل السنّة فیما یخصّ علم الکلام والفقه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المؤرِّخ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 هودجسون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Marshall Hodgson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فیما یخصّ الشؤون السیاسیّة المعاصرة، بأنّ جلّ اهتمام الطبری کان مرکّزاً علی تحویل المجتمع المسلم من خلال إصلاحات شرعیّة أکثر من ثورة 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ویضیف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الطبری یمثّل مجموعة من المسلمین</w:t>
      </w:r>
      <w:r>
        <w:rPr>
          <w:rStyle w:val="FootnoteAnchor"/>
          <w:rtl w:val="true"/>
        </w:rPr>
        <w:footnoteReference w:id="174"/>
      </w:r>
      <w:r>
        <w:rPr>
          <w:rFonts w:ascii="IRNazanin" w:hAnsi="IRNazanin" w:eastAsia="IRNazanin"/>
          <w:color w:val="111111"/>
          <w:sz w:val="28"/>
          <w:sz w:val="28"/>
          <w:szCs w:val="28"/>
          <w:rtl w:val="true"/>
          <w:lang w:bidi="fa-IR"/>
        </w:rPr>
        <w:t xml:space="preserve">الذین آمنوا بأنّ الحلَّ لمسألة تحقیق أهداف الإسلام العلیا لا یمکن أن یوجد فی التمرّد المسلّح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أمل أن یتسلّم السلطة حاکمٌ عادل، وإن کان هذا الأمل ضعیفاً بحدِّ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یجب علی المجتمع أن یتکاتف حتی وإن کان ثمن هذا التکاتف هو الرضوخ للحاکم، ومن ثَمّ یجب علی المجتمع أن یفضح کلَّ العیوب اللاأخلاقیّة لأُولئک الحکّام وأن یبطلها فعلیّاً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 الحلّ لهذه المعضلة یکمن فی العمل علی الإرتقاء بأفراد المجتمع الإسلامی؛ للوصول إلی مرحلة من الوضوح والوحدة علی أُسس شرعیّة، ما یضمن لهم حیاة کریمة لا یستطیع إنکارها أیُّ حاکمٍ مهما کان متسلّطاً، وإن تمکّن هؤلاء المسلمون من إرساء القواعد لأحکام یعترف بها الجمیع ویطبّقها، فإنّ ماهیّة الحاکم وأُسلوب حکمه لن یکون ضروریّاً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وبالنظر إلی هذه الرؤیة التی یحملها الطبری عن الثورة علی الحاکم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مهمته فی التعامل التاریخی لمسألة القیام المسلّح ضد الحاکم الجائر الذی أشعله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 النبیّ محمّد، والمثل الأعلی للإسلام الحقیقی – لا بدّ أنّها کانت مهمّة شاقة للطبری؛ إذ إنّها تعارض ما یحمله من فکرة حول الثورة علی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الغرض من هذا الکتاب؛ إذ إنّ مهمتنا هی أن نحلّل کیفیة تعامل الطبری مع هذا الحدث</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الطبری مکثاراً فی الکتابة، وقد دوّن له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وعشرین کتاباً</w:t>
      </w:r>
      <w:r>
        <w:rPr>
          <w:rStyle w:val="FootnoteAnchor"/>
          <w:rtl w:val="true"/>
        </w:rPr>
        <w:footnoteReference w:id="176"/>
      </w:r>
      <w:r>
        <w:rPr>
          <w:rFonts w:ascii="IRNazanin" w:hAnsi="IRNazanin" w:eastAsia="IRNazanin"/>
          <w:color w:val="111111"/>
          <w:sz w:val="28"/>
          <w:sz w:val="28"/>
          <w:szCs w:val="28"/>
          <w:rtl w:val="true"/>
          <w:lang w:bidi="fa-IR"/>
        </w:rPr>
        <w:t xml:space="preserve">، بَیْدَ أننا لم نعثر علی معظمها، والبعض الآخر لم نعثر إلّا علی جزء </w:t>
      </w:r>
      <w:bookmarkStart w:id="122" w:name="pg5097_58282"/>
    </w:p>
    <w:p>
      <w:pPr>
        <w:pStyle w:val="BookText"/>
        <w:rPr/>
      </w:pPr>
      <w:bookmarkEnd w:id="122"/>
      <w:r>
        <w:rPr>
          <w:rFonts w:ascii="IRNazanin" w:hAnsi="IRNazanin" w:eastAsia="IRNazanin"/>
          <w:color w:val="111111"/>
          <w:sz w:val="28"/>
          <w:sz w:val="28"/>
          <w:szCs w:val="28"/>
          <w:rtl w:val="true"/>
          <w:lang w:bidi="fa-IR"/>
        </w:rPr>
        <w:t>أو أجزاء منها محفوظة علی شکل أجزاء مبعثرة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بین کتبه الکثیرة، لم یبقَ منها کاملاً إلّا تفسیره للقرآن المتعدّد المجلدات، والذی یحمل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 والمشهور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وکتابه الآخر الذی یضاهی بضخامته کتب التاریخ العالمیّة والذی یحمل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کتابه فی الفقه والذی یحمل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علماء الأمصار فی أحکام شرائع الإسلام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فلم یصلنا منه إلّا أجزاء معدودة، أمّا باقی کتبه الفقهیّة، فلم یبقَ منها محفوظاً إلّا النزر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اشتهر الطبری عند معاصریه باطلاعه الواسع فی المسائل الفقهیّة والکلامیّة، وبالرغم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شهرة واسعة فی وقته، إلّا أنّه لم یحظَ بتلک الأهمّیة البالغة إلّا بعد مرور قرون علی وفاة کاتبه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1259880_774463916"/>
      <w:bookmarkStart w:id="124" w:name="_Toc44"/>
      <w:bookmarkEnd w:id="123"/>
      <w:r>
        <w:rPr>
          <w:rtl w:val="true"/>
        </w:rPr>
        <w:t>السمات العامّة للتاریخ الإسلامی فی مراحله الأُولی</w:t>
      </w:r>
      <w:bookmarkEnd w:id="12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یشاطر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من السمات المشترکة لجمیع ما کُتب عن </w:t>
      </w:r>
    </w:p>
    <w:p>
      <w:pPr>
        <w:pStyle w:val="BookText"/>
        <w:rPr/>
      </w:pPr>
      <w:r>
        <w:rPr>
          <w:rFonts w:ascii="IRNazanin" w:hAnsi="IRNazanin" w:eastAsia="IRNazanin"/>
          <w:color w:val="111111"/>
          <w:sz w:val="28"/>
          <w:sz w:val="28"/>
          <w:szCs w:val="28"/>
          <w:rtl w:val="true"/>
          <w:lang w:bidi="fa-IR"/>
        </w:rPr>
        <w:t xml:space="preserve">التاریخ الإسلامی فی ذلک الوقت، وسوف أناقش الآن سمتین عامّتین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امتازت به الکتب التی أرّخت للإسلام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السمة الأبرز لکتب التاریخ العربیّة التی کتبت فی ذلک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فهی اعتمادها علی الأخبار، وهی تقاریر مستقلة تتباین فی طولها من سطرٍ واحد إلی عدّة صفحات للخبر الواحد، وعادةً ما یتقدّمها إسناد، وهو سلسلة من الرواة تنتهی عند شاهد عیان قد عاصر الحدث الذی تنقله تلک الأخبار، وکثیراً ما تکون تلک الأخبار مرتّبة، لکی یکون الحدث الذی ینقله الخبر متسلسلاً، وفی بعض تلک الأخبار وخاصّةً عند الطبری، توضع روایات متعدّدة تروی نفس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مختلفة قلیلاً عن بعضها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لکی تکون متمّمة لبعضها البعض، وقد نری فی بعض الأخبار روایات متضاربة عن نفس الحدث توضع واحدة تلو الأُخری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والإشارة المستمرة للسند عند نقل أیٍّ من تلک الأخبار قد جعلت بعض الأکادیمیین الغربیین التقلیدیین یتّهمون التاریخ الإسلامی بالتقلیدیّة والسعی للمحافظة علی شکله القدیم، ما یقلّل من شأن دَور المصنِّف فی تصنیفه لذلک الکتاب، وضیاع سماته الفردیّة فی الکتابة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والحقیقة أنّ الکاتبة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أولریکا مورتنسون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Ulrika Mårtensson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 حاولت ببراعة البرهنة علی أنّ الإسناد فی الکتب التی أرّخت للإسلام، ککتاب الطبری، </w:t>
      </w:r>
    </w:p>
    <w:p>
      <w:pPr>
        <w:pStyle w:val="BookText"/>
        <w:rPr/>
      </w:pPr>
      <w:r>
        <w:rPr>
          <w:rFonts w:ascii="IRNazanin" w:hAnsi="IRNazanin" w:eastAsia="IRNazanin"/>
          <w:color w:val="111111"/>
          <w:sz w:val="28"/>
          <w:sz w:val="28"/>
          <w:szCs w:val="28"/>
          <w:rtl w:val="true"/>
          <w:lang w:bidi="fa-IR"/>
        </w:rPr>
        <w:t>یلعب نفس الدور الذی تلعبه الهوامش فی الکتب التقلیدیّة الأکادیمیّة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یذکر الطبری أخباراً متضاربة عن نفس الحدث، فإنّه یرید أن یبیّن بأنّ شهود العیان الذین نقلوا تلک الحادثة قد فهموها بأشکال مختلفة، کما یرید الطبری أن یکشف عن حقیقة أنّ رواة حادثةٍ ما لهم بصماتهم الشخصیّة فی نقل تلک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تضیف الکاتبة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مورتنسون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والخبر الذی ینقل بشکله التقلیدی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ذکر السند قبل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لنا الآراء الشخصیّة للمؤرِّخ الذی یسطّره فی کتابه، کما تظهر الدراسات حول نقل الطبری لأحداث تاریخیّة معیّنة، کالفتنة الثانیة، ومقتل عثمان بن عفّان، وحرب الجمل، فإنّ آراء الطبری الشخصیّة قد وجدت لها سبیلاً فی طریقته لعرض تسلسل الحدث وتطوّره، کما یمکن رؤیة آرائه الشخصیّة فی تعلیقاته علی الأحداث المتناثرة هنا وهناک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سآتی قریباً علی ذکر تنقیحات الطبری المذکورة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السمة الأُخری التی تشترک فیها جمیع الکتب التاریخیّة المکتوبة باللغة العربیّة، فهی سمة الدِّین، فإنّ جمیع الکتب التی أرّخت للإسلام والتی کُتبت فی مرحلةٍ مبکرة من ظهوره مبنیة أساساً علی نظرة دینیّة، وهذا یعنی أنّ تلک الکتب تنظر إلی أنّ العالم بأجمعه خاضع لحکم الله، وأنّ التطوّر التاریخی ما هو إلّا تعبیر عن العلاقة بین الله والإنسان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سمة التأثّر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محلّ إجماع مطبق، یتفق علیه جمیع </w:t>
      </w:r>
      <w:bookmarkStart w:id="125" w:name="pg5097_58285"/>
    </w:p>
    <w:p>
      <w:pPr>
        <w:pStyle w:val="BookText"/>
        <w:rPr/>
      </w:pPr>
      <w:bookmarkEnd w:id="125"/>
      <w:r>
        <w:rPr>
          <w:rFonts w:ascii="IRNazanin" w:hAnsi="IRNazanin" w:eastAsia="IRNazanin"/>
          <w:color w:val="111111"/>
          <w:sz w:val="28"/>
          <w:sz w:val="28"/>
          <w:szCs w:val="28"/>
          <w:rtl w:val="true"/>
          <w:lang w:bidi="fa-IR"/>
        </w:rPr>
        <w:t>الکتّاب المعاصرین</w:t>
      </w:r>
      <w:r>
        <w:rPr>
          <w:rStyle w:val="FootnoteAnchor"/>
          <w:rtl w:val="true"/>
        </w:rPr>
        <w:footnoteReference w:id="184"/>
      </w:r>
      <w:r>
        <w:rPr>
          <w:rFonts w:ascii="IRNazanin" w:hAnsi="IRNazanin" w:eastAsia="IRNazanin"/>
          <w:color w:val="111111"/>
          <w:sz w:val="28"/>
          <w:sz w:val="28"/>
          <w:szCs w:val="28"/>
          <w:rtl w:val="true"/>
          <w:lang w:bidi="fa-IR"/>
        </w:rPr>
        <w:t xml:space="preserve">، ولو أنّ هناک اختلافاً فی الرأی حول مدی تأثیر سمة الدِّین علی کتابات التاریخ التی کتبها المؤرِّخون المسلمون، فقد أوضح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بعض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فرانز روزنتهال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Franz Rosenthal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وجون وانزبرو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إلی کتابة التاریخ الإسلامی علی أنّه جامد ومتحجّر بالأساس، وأنّه غیر مثمر، ومنجرّ نحو نظرة مبنیة علی أنّ التاریخ لیس إلّا الاشتیاق إلی الماضی، بمعنی أنّ المؤرِّخین المسلمین ینظرون إلی العقود الأُولی لظهور الإسلام علی أنّها العصر الذهبی، وینظرون إلی العصر الذی یعیشون فیه علی أنّه لیس إلّا إحدی الانتکاسات التی تلت ذلک العصر الذهبی</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ناحیةٍ أُخری،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بالإضافة إلی کتّاب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هودجسون وجیلوت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بأنّ الأُنموذج الدِّینی فی تلک الکتابات مثمر جدّاً، ویعبّر عن برنامج ملیء بالنشاط والحیویّة؛ إذ إنّه یهدف إلی إحیاء نظام أخلاقی بدائی</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259882_774463916"/>
      <w:bookmarkStart w:id="127" w:name="_Toc45"/>
      <w:bookmarkEnd w:id="126"/>
      <w:r>
        <w:rPr>
          <w:rtl w:val="true"/>
        </w:rPr>
        <w:t>بعض الدراسات المعاصرة ل</w:t>
      </w:r>
      <w:r>
        <w:rPr>
          <w:rtl w:val="true"/>
        </w:rPr>
        <w:t>-(</w:t>
      </w:r>
      <w:r>
        <w:rPr>
          <w:rtl w:val="true"/>
        </w:rPr>
        <w:t>تاریخ الطبری</w:t>
      </w:r>
      <w:r>
        <w:rPr>
          <w:rtl w:val="true"/>
        </w:rPr>
        <w:t>)</w:t>
      </w:r>
      <w:bookmarkEnd w:id="12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أنّ عدداً من الدراسات قد نُشرت فی العقود الأخیرة حول موضوع کتابة التاریخ الإسلامی عموماً، إلّا أنّه لم تظهر أعمال کثیرة حول تاریخ </w:t>
      </w:r>
    </w:p>
    <w:p>
      <w:pPr>
        <w:pStyle w:val="BookText"/>
        <w:rPr/>
      </w:pPr>
      <w:r>
        <w:rPr>
          <w:rFonts w:ascii="IRNazanin" w:hAnsi="IRNazanin" w:eastAsia="IRNazanin"/>
          <w:color w:val="111111"/>
          <w:sz w:val="28"/>
          <w:sz w:val="28"/>
          <w:szCs w:val="28"/>
          <w:rtl w:val="true"/>
          <w:lang w:bidi="fa-IR"/>
        </w:rPr>
        <w:t xml:space="preserve">الطبری بالخصوص، وأهمّ حدث فی دراسة تاریخ الطبری التی ظهرت مؤخّراً هی ترجمة کاملة للکتاب إلی اللغة الإنجلیزیّة، وقد ظهرت بین عامی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وثمانین مجلّداً، یتکون کلُّ مجلّدٍ منها علی ما یقارب المائتی صفحة، وقد قام بالترجمة عددٌ من الأساتذة الأفذاذ المختصّین باللغة العربیّة وتاریخ الإسلام، ویشتمل کلُّ مجلّدٍ علی مقدّمة کتبها المترجم، وهوامش علی طول متن الکتاب، وقد کتب مقدّمة عامّة لکلِّ العمل بأجمعه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فرانز روزنتهال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Franz Rosenthal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المذکور سالفاً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ویتضمّن الکثیر من تلکم المقدّمات أفکاراً قیّمة عن الکتاب، ولکن لا یمکن اعتبار تلک المقدّمات دراسات منظّمة للکتاب ککلِّ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کمثال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روزنتهال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Rosenthal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فهی لا تتعدّی کونها ترجمة لحیاة الطبری متبوعة بقائمة بأعماله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فإنّی أودّ مناقشة ثلاث دراسات کُتبت حدیثاً عن تاریخ الطبری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مثیرة للاهتمام حول کتابة تاریخ العصر العبّاسی، کتبها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أُستاذ أمیرکی متخصّص بالدراسات العربیّة والشرق الأدنی</w:t>
      </w:r>
      <w:r>
        <w:rPr>
          <w:rStyle w:val="FootnoteAnchor"/>
          <w:rtl w:val="true"/>
        </w:rPr>
        <w:footnoteReference w:id="188"/>
      </w:r>
      <w:r>
        <w:rPr>
          <w:rFonts w:ascii="IRNazanin" w:hAnsi="IRNazanin" w:eastAsia="IRNazanin"/>
          <w:color w:val="111111"/>
          <w:sz w:val="28"/>
          <w:sz w:val="28"/>
          <w:szCs w:val="28"/>
          <w:rtl w:val="true"/>
          <w:lang w:bidi="fa-IR"/>
        </w:rPr>
        <w:t xml:space="preserve">، وعلی الرغم من أنّ الکاتب الهبری لا یذکر فی أیِّ موضعٍ من کتابه صراحةً أنّه سیعتمد فی دراسته علی التاریخ الذی کتبه الطبری، إلّا أنّه فی قسم کبیر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فی الأقسام التی یناقش فیها، ویحلّل تاریخ الخلیفة هارون الرشید وابنیه </w:t>
      </w:r>
    </w:p>
    <w:p>
      <w:pPr>
        <w:pStyle w:val="BookText"/>
        <w:rPr/>
      </w:pPr>
      <w:r>
        <w:rPr>
          <w:rFonts w:ascii="IRNazanin" w:hAnsi="IRNazanin" w:eastAsia="IRNazanin"/>
          <w:color w:val="111111"/>
          <w:sz w:val="28"/>
          <w:sz w:val="28"/>
          <w:szCs w:val="28"/>
          <w:rtl w:val="true"/>
          <w:lang w:bidi="fa-IR"/>
        </w:rPr>
        <w:t xml:space="preserve">الأمین والمأمون وحفیده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یعتمد اعتماداً کلیّاً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النقطة الأبرز والأهمّ فیما یخصّ هذه الدراسة التی بین یدیک، فهی المنهج الذی تبعه الهبری فی کتابه، إذ إنّه یحاول أن یبرهن بأنّ الغرض من الکتابة عند الطبری ومؤرِّخین آخرین فیما یخصّ العبّاسیین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نقل الحقائق بالأساس، وإنّما کان لکتابة تعلیقات علی قضایا سیاسیّة ودینیّة واجتماعیّة وثقافیّة معیّنة، والتی قد تکون قد استُلَّت من سلسلة أحداث حقیقیّة ومثیرة للخلاف حدثت فعلاً فی الحیاة الواقعیة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وبعملهم هذا لقد استفاد المؤرِّخون من عدد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ضروب أُسلوبیة معقّدة، الغرض منها التعبیر عن آرائهم الشخصیّة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کاستخدامهم لأُسلوب المجاز والتلمیح والسخریة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وبما إنّ نصوصهم لطالما استخدمت أو أعطت إیحاءات إلی نماذج یمکن أن نراها فی الأساطیر وقصص الزمن الغابر،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کقصص من أیّام الأسلام الأُولی ومن القرآن، أو حتّی من الکتاب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ترجمة وتأویل تلک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مهمّة مزدوجة فی تعقّب المعنی المقصود من النصِّ، وتأسیس سلاسل وصل عبر العصور والمناطق وطرق التفکیر المختلفة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کتاب الهبری لم یتطرّق أبداً إلی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البنیویّة، ولم یقصد الکاتب أیّاً من تلک المفاهیم فی کتابه فیما أری، ألّا أنّ من المغری أن نطبّق بعضاً من تلک المفاهیم علی المنهج الذی سنصفه لاحقاً فی هذا الکتاب؛ لذا فإنّی سأفسّر مصطلحه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مزدوجة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أعلاه علی أنّه تطبیق مفهوم بناء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p>
    <w:p>
      <w:pPr>
        <w:pStyle w:val="BookText"/>
        <w:rPr/>
      </w:pPr>
      <w:r>
        <w:rPr>
          <w:rFonts w:ascii="IRNazanin" w:hAnsi="IRNazanin" w:eastAsia="IRNazanin"/>
          <w:color w:val="111111"/>
          <w:sz w:val="28"/>
          <w:sz w:val="28"/>
          <w:szCs w:val="28"/>
          <w:rtl w:val="true"/>
          <w:lang w:bidi="fa-IR"/>
        </w:rPr>
        <w:t xml:space="preserve">استخدامه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 المعنی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استخدامه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سلاسل وصل عبر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المذکورة أعلاه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مفاهیم تعود إلی البنیویّة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مصطلحات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إضعاف المتناقضات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الإسهاب</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فهی مفاهیم بنیویّة أُخری ترتبط بوصف العملیة الروائیّة للطبری حسب ما یقول الهبری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والمشکلة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تکمن فی افتقار کتابه إلی منهجیّة منظّمة ومفصّلة أکثر من العبارات المبعثرة فی متن کتابه هنا وهناک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العبارات نراها فی بعض الأحایین طبیعیّة جدّاً، ومن الصعب أن نجد لها شیئاً یدعمها فی الکتاب، إلّا أن نرجع إلی دراسات أُخری کُتبت فی نفس الموضوع، وفی أحیان أُخر نری أنّ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إلی نفس الفقرة القصیرة من الموضوع المناقَش، إذ یصبح من الصعب أن نفهم کیف أمکن للکاتب أن یطبّق تلک العبارة علی دراسة الطبری؟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المؤسف له أنّ هذا الأمر یفتح الباب لسوء تفسیر والدراسة التی قام بها الهبری وسوء فهمها، وإن کانت دراسة رائعة؛ إذ إنّ الأُسلوب البنیوی لفهم </w:t>
      </w:r>
    </w:p>
    <w:p>
      <w:pPr>
        <w:pStyle w:val="BookText"/>
        <w:rPr/>
      </w:pPr>
      <w:r>
        <w:rPr>
          <w:rFonts w:ascii="IRNazanin" w:hAnsi="IRNazanin" w:eastAsia="IRNazanin"/>
          <w:color w:val="111111"/>
          <w:sz w:val="28"/>
          <w:sz w:val="28"/>
          <w:szCs w:val="28"/>
          <w:rtl w:val="true"/>
          <w:lang w:bidi="fa-IR"/>
        </w:rPr>
        <w:t>التاریخ العربی لم یزَل غریباً جدّاً، وإنّ وجهة النظر البنیویّة وأدواتها النظریّة الأساسیّة قد تکون غیر معروفة لمعظم مؤرِّخی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المشکلة الأُخری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أشار إلیها کثیر من الذین راجعوا کتابه، فتکمن فی نقطة المغادرة، أی أنّ المؤرِّخین المسلمین فی ذلک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فیهم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ینوون نقل الحقائق التاریخیّة، وإنّما کان جلُّ اهتمامهم هو کتابة تعلیقات علی قضایا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أنّ الهبری لم یکن ثابتاً علی هذه النقطة، ولکنّه کان کثیراً ما یحاول إعادة صیاغة التاریخ من خلال النصوص التی درسها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أضف إلی ذلک أنّ هذه النقطة لطالما تعرّضت للنقد، فمثلاً یقول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لانغ</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Kate Lang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مراجعة وافیه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ازدواجیة لیس لها أدنی ضرورة، وقد أقحم نفسه فی مهمّة مستحیلة، وهی مهمّة الفصل بین الحقیقة والخیال</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وحقیقة أنّ المؤرِّخین استفادوا من حادثةٍ ما لنقل رسالة أخلاقیّة لا یمکن أنّ تثبت أنّ تلک الحادثة لم تکن تاریخیّة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Boaz Shoshan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وهو الذی کتب الدراسة الثانیة حول تاریخ الطبری، والتی أودّ أن أتکلم عنها فی الأسطر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أنّ الطبری کان ینوی فعلاً نقل الحقیقة التاریخیّة، ولطالما ادّعی تصریحاً وتلمیحاً بأنّ عمله هو إظهار الحقیقة من کلِّ واقعةٍ تاریخیّة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ویخصِّص الکاتب فصلاً کاملاً لذکر الأدوات المختلفة التی یستخدمها الطبری، ومصادره لإعطاء الانطباع بأنّ واقعة تاریخیّةً ما إنّما هی حقیقیّة وواقعیّة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لا یمنع بأیِّ شکلٍ من الأشکال بأن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متورطین، أو لهما دور فی المسألة، وأنّه إنّما ینقل رسالة أخلاقیّة عن طریق اختیاره للمادّة، وترتیب سرد الأحداث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وأنا أتفق تماماً مع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حول نیّة الطبری فی نقل محاکاة الأحداث، أو إعادة إبراز الحقائق التاریخیّة کما وقعت، ولکنّی أیضاً مقتنع بأنّ فی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کثیر من الروایات التاریخیّة والدِّینیّة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 أعمق، یجب أن یتمّ تحلیله عن طریق مناهج تشابه تلک التی استخدمها الهبری فی کتابه، ولکن بشکلٍ أکثر تنظیماً وتنظیراً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التراکیب الأعمق لمأساة کربلاء، ففی دراسته لنصوص هذه المأساة فاته أن یشیر إلی نقاط أساسیّة تتعلق بهذه القصّة، کما سنناقشه فیما بعد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یناقشان تاریخ الطبری کنصٍّ أکثر من کونه سجلاً لأحداث تاریخیّة، ولکنّهما یختلفان اختلافاً کلیّاً فی مناقشتیهما للموضوع، وأنا أری أنّهما یکملان بعضهما الآخر أکثر ممّا یختلفان، بالرغم من أنّ جدالهما مخالف لأحدهما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فضلاً عن ذلک، یقول شوشان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 تاریخ الطبری لا یمثّل نموذجاً کلامیّاً أو سیاسیّاً واحداً فحسب، بل یمثّل نماذج عدّة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الدراسة الثالثة التی أودّ أن أذکرها ها هنا، فهی للکاتبة السویدیة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أولریکا مورتنسون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Ulrika Mårtensson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المتخصِّصة بتاریخ الأدیان، إذ تؤکد الکاتبة فی دراستها هذه أنّ الطبری کتب تاریخه من أجل أن یدافع عن نظام دینی سیاسی خاصّ، وهو حکومة الخلیفة المرکزیّة التی تخضع لمعاییر التشریع الإلهی فی علاقته برعیته، ما یجعل هذا النوع من الحکومة متمیّزاً عن السلطة اللامرکزیّة، حیث یمکن بسهولة أن تکون الید العلیا فیها للاستبداد السلطوی والإداری</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السیاق میّز الطبری بین الدِّین والدولة، وقرّر بأنّ وظیفة الدِّین هی تزوید الدولة بالهدایة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مورتنسون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مفهوم المیثاق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مفهوم مرکزی عند الطبری؛ إذ إنّه یعبّر عن العلاقة الصحیّة بین میدان الدِّین ومیدان الدولة، فالمیثاق هو عقد بین الله والإنسان، أمّا الأنبیاء من آدم إلی محمّد، فهم وسطاء ینقلون أوامر الدِّین إلی الإنسان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تشیر الکاتبة إلی أنّ الطبری ینظر إلی أنّ أشخاصاً قلائل من الماضی جمعوا </w:t>
      </w:r>
    </w:p>
    <w:p>
      <w:pPr>
        <w:pStyle w:val="BookText"/>
        <w:rPr/>
      </w:pPr>
      <w:r>
        <w:rPr>
          <w:rFonts w:ascii="IRNazanin" w:hAnsi="IRNazanin" w:eastAsia="IRNazanin"/>
          <w:color w:val="111111"/>
          <w:sz w:val="28"/>
          <w:sz w:val="28"/>
          <w:szCs w:val="28"/>
          <w:rtl w:val="true"/>
          <w:lang w:bidi="fa-IR"/>
        </w:rPr>
        <w:t>بین النبوّة والملک علی أنّهم استثناء للقاعدة، وهم داود، وسلیمان، والنبیّ محمّد، والخلفاء الراشدون الأربعة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أوقات أُخری، کما فی العصر الذی عاش فیه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یتقاسم السلطة مؤسّستان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والدولة، مع الهدایة النبویّة عن طریق العلماء الذین یتولَّون رئاسة المؤسّسة الدِّینیّة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وتری الکاتبة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تاریخ لکلا المؤسّستین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والدولة اللتین یمثّلهما الأنبیاء والملوک علی التوالی، وهذا هو بالضبط ما یشیر إلیه عنوان کتاب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الأنبیاء والملوک</w:t>
      </w:r>
      <w:r>
        <w:rPr>
          <w:rStyle w:val="FootnoteAnchor"/>
          <w:rtl w:val="true"/>
        </w:rPr>
        <w:footnoteReference w:id="205"/>
      </w:r>
      <w:r>
        <w:rPr>
          <w:rFonts w:ascii="IRNazanin" w:hAnsi="IRNazanin" w:eastAsia="IRNazanin"/>
          <w:color w:val="111111"/>
          <w:sz w:val="28"/>
          <w:sz w:val="28"/>
          <w:szCs w:val="28"/>
          <w:rtl w:val="true"/>
          <w:lang w:bidi="fa-IR"/>
        </w:rPr>
        <w:t xml:space="preserve">، وهذا الفهم للتاریخ الذی دوَّنه الطبری یدعم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والسلطة، الذی هو موضوع الفصل القادم من الکتاب</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5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60" o:detectmouseclick="t"/>
                <v:stroke color="#3465a4" joinstyle="round" endcap="flat"/>
                <w10:wrap type="none"/>
              </v:shape>
            </w:pict>
          </mc:Fallback>
        </mc:AlternateContent>
      </w:r>
      <w:bookmarkStart w:id="128" w:name="pg5097_58294"/>
    </w:p>
    <w:p>
      <w:pPr>
        <w:pStyle w:val="Heading2"/>
        <w:numPr>
          <w:ilvl w:val="1"/>
          <w:numId w:val="1"/>
        </w:numPr>
        <w:rPr/>
      </w:pPr>
      <w:bookmarkStart w:id="129" w:name="__RefHeading___Toc1259884_774463916"/>
      <w:bookmarkStart w:id="130" w:name="_Toc46"/>
      <w:bookmarkEnd w:id="128"/>
      <w:bookmarkEnd w:id="129"/>
      <w:r>
        <w:rPr>
          <w:rtl w:val="true"/>
        </w:rPr>
        <w:t>الفصل الثانی</w:t>
      </w:r>
      <w:r>
        <w:rPr>
          <w:rtl w:val="true"/>
        </w:rPr>
        <w:t xml:space="preserve">: </w:t>
      </w:r>
      <w:r>
        <w:rPr>
          <w:rtl w:val="true"/>
        </w:rPr>
        <w:t>البِنیة والتحلیل البنیوی</w:t>
      </w:r>
      <w:bookmarkEnd w:id="130"/>
    </w:p>
    <w:p>
      <w:pPr>
        <w:pStyle w:val="Heading3"/>
        <w:numPr>
          <w:ilvl w:val="2"/>
          <w:numId w:val="1"/>
        </w:numPr>
        <w:rPr/>
      </w:pPr>
      <w:bookmarkStart w:id="131" w:name="__RefHeading___Toc1259886_774463916"/>
      <w:bookmarkStart w:id="132" w:name="_Toc47"/>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صورة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6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5097_58296"/>
      <w:bookmarkStart w:id="134" w:name="pg5097_58296"/>
      <w:bookmarkEnd w:id="134"/>
    </w:p>
    <w:p>
      <w:pPr>
        <w:pStyle w:val="Heading3"/>
        <w:numPr>
          <w:ilvl w:val="2"/>
          <w:numId w:val="1"/>
        </w:numPr>
        <w:rPr/>
      </w:pPr>
      <w:bookmarkStart w:id="135" w:name="pg5097_58296"/>
      <w:bookmarkStart w:id="136" w:name="__RefHeading___Toc1259888_774463916"/>
      <w:bookmarkStart w:id="137" w:name="_Toc48"/>
      <w:bookmarkEnd w:id="135"/>
      <w:bookmarkEnd w:id="136"/>
      <w:r>
        <w:rPr>
          <w:rtl w:val="true"/>
        </w:rPr>
        <w:t>ما هی البنیویّة؟</w:t>
      </w:r>
      <w:bookmarkEnd w:id="137"/>
    </w:p>
    <w:p>
      <w:pPr>
        <w:pStyle w:val="BookText"/>
        <w:rPr/>
      </w:pPr>
      <w:r>
        <w:rPr>
          <w:rFonts w:ascii="IRNazanin" w:hAnsi="IRNazanin" w:eastAsia="IRNazanin"/>
          <w:color w:val="111111"/>
          <w:sz w:val="28"/>
          <w:sz w:val="28"/>
          <w:szCs w:val="28"/>
          <w:rtl w:val="true"/>
          <w:lang w:bidi="fa-IR"/>
        </w:rPr>
        <w:t>ما هی البنیویّة؟</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إنّ الطریقة التی یستخدم بها البنیویون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أو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موحّدة بینهم، أی أنّهم جمیعاً یستخدمون هذه اللفظة لتدلّ علی معنًی واحد عندهم، وتدلّ اللفظة عادةً علی العلاقات بین عناصرٍ ظاهرةٍ ما فی الطبیعة، أو فی حضارةٍ ما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التحلیل البنیوی یترکّز علی العلاقات بین العناصر أکثر ممّا ینصبّ علی العناصر نفسها، فإنَّ کلَّ عنصرٍ بحدٍّ ذاته خالٍ من أیِّ معنیً ولو بشکلٍ متفاوت، إلّا إذا تمّ ربطه بعناصر أُخری، کما فی الحروف الأبجدیّة التی لا تُضمّ إلی بعضها، أو فی الکلمات المجرّدة إذا لم توضع جنب بعضها فی جملةٍ ما، فالعناصر تصبح ذات معنی إذا رُبطت بعناصر أُخری، بحیث یکون مجموع العناصر تابعاً لنفس النظام، یمکن أن نری التراکیب فی کلِّ مکانٍ حولنا، کما فی عالم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شیءٍ، ابتداءً من الجزیئات وانتهاءً بالمجرّات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 وراء الطبیعة بما فی ذلک الأفکار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کعلم النحو، وعلم بناء الجملة، والألحان، والوزن الشعری، والسلوک، والطقوس، وأنظمة التصنیف الرمزی، وعلم الکونیات الدینی</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الفیلسوف البنیوی الأمیرکی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 کوز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 Caws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فإنّه یشیر إلی أنّه فی نوع التراکیب التی تتمّ دراستها فی العلوم الاجتماعیّة والإنسانیّة،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تتضمن النوایا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یمیّزها عن تلک التراکیب الموجودة فی الطبیعة</w:t>
      </w:r>
      <w:r>
        <w:rPr>
          <w:rStyle w:val="FootnoteAnchor"/>
          <w:rtl w:val="true"/>
        </w:rPr>
        <w:footnoteReference w:id="209"/>
      </w:r>
      <w:r>
        <w:rPr>
          <w:rFonts w:ascii="IRNazanin" w:hAnsi="IRNazanin" w:eastAsia="IRNazanin"/>
          <w:color w:val="111111"/>
          <w:sz w:val="28"/>
          <w:sz w:val="28"/>
          <w:szCs w:val="28"/>
          <w:rtl w:val="true"/>
          <w:lang w:bidi="fa-IR"/>
        </w:rPr>
        <w:t>لهذا السبب یری الکاتب أنّ التراکیب التی هی من صنع الإنسان تشترک فی صفتین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تلک التراکیب ذات معنی، وبذلک تکون تلک التراکیب بحدِّ ذاتها واضحة جلیّة، ویمکن إدراکها بالعقل، کما أنّ بإمکانها أن تجعل العالم الذی نعیش فیه مدرَکاً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تلک التراکیب التی یصوغها الإنسان هی تراکیب مؤثرة أو مهمّة، بمعنی أنّها ضروریّة ومرغوب فیها من قِبل أُولئک الذین صاغوها وتعاملوا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وتکمن جذور تلک الأهمیّة فی بنیة الحاجات الأحیائیّة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البیولوجیّة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تقع ضمن تلبیة عقلانیّة لتلک الحاجات، وهذه التلبیة تتطلب تقدیم المعنی علی کلِّ شیءٍ سواه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لذا فإنّ البنیویّة ضمن العلوم الاجتماعیّة والإنسانیّة عادةً ما تبحث فی قضایا تعود إلی أعمق شؤون الوجود الإنسانی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الطریقة التی تبنی بها عقولنا هذا العالم هی طریقة لا شعوریّة وغیر مقصودة إلی حدٍّ کبیر</w:t>
      </w:r>
      <w:r>
        <w:rPr>
          <w:rStyle w:val="FootnoteAnchor"/>
          <w:rtl w:val="true"/>
        </w:rPr>
        <w:footnoteReference w:id="211"/>
      </w:r>
      <w:r>
        <w:rPr>
          <w:rFonts w:ascii="IRNazanin" w:hAnsi="IRNazanin" w:eastAsia="IRNazanin"/>
          <w:color w:val="111111"/>
          <w:sz w:val="28"/>
          <w:sz w:val="28"/>
          <w:szCs w:val="28"/>
          <w:rtl w:val="true"/>
          <w:lang w:bidi="fa-IR"/>
        </w:rPr>
        <w:t xml:space="preserve">إذ إنّنا فی کثیر من الأحیان لا ندرک کیف نربط تجاربنا </w:t>
      </w:r>
    </w:p>
    <w:p>
      <w:pPr>
        <w:pStyle w:val="BookText"/>
        <w:rPr/>
      </w:pPr>
      <w:r>
        <w:rPr>
          <w:rFonts w:ascii="IRNazanin" w:hAnsi="IRNazanin" w:eastAsia="IRNazanin"/>
          <w:color w:val="111111"/>
          <w:sz w:val="28"/>
          <w:sz w:val="28"/>
          <w:szCs w:val="28"/>
          <w:rtl w:val="true"/>
          <w:lang w:bidi="fa-IR"/>
        </w:rPr>
        <w:t>ببعضها البعض، وحینما نرید أن نعبّر عن أنفسنا، سواء عن طریق الکلام، أو کتابة نصوص، أو تلحین قطعة موسیقیّة، أو إبداء فنٍّ ما، أو فی الطریقة التی ننظم بها مجتمعنا، فإنّ تلک التراکیب التی نصوغها بلا وعی هی التی تحدّد کیف نفعل تلک الأشیاء، ولو جزئیاً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ولطالما قیل عن البنیویّة کحرکةٍ أنّها بدأت عند ظهور کتاب دروس فی علم اللغة العام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Course De Linguistique Générale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فیردناند دی سوسیر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Ferdinand De Saussure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 ولکن جذور البنیویّة تعود إلی زمن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والحقیقة أنّ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بتیتو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Petitot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یعزو ظهور البنیویّة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إمانیویل کانت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Immanuel Kant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المتوفّی عام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 xml:space="preserve">م، أمّا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Leach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فإنّه یعزو ظهورها إلی مرحلة قبل ذلک بکثیر علی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جیامباتیستا فیکو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Giambattista Vico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 xml:space="preserve">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تطوّرت البنیویّة ونحت مناحی مختلفة؛ ما جعل من الصعب علی أحد أن یتکلّم عن حرکة بنیویّة واحدة، ولعلَّ تصویر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ایرنست کاسیرر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Ernst Cassirer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للبنیویّة علی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عن نزعة عامّة فی الفکر…</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التی أطلقها عام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الوصف الأنسب لهذه الحرکة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وهکذا، فإنّ البنیویّة بمعنی طریقة تفکیر یمکن رؤیتها فی علوم مختلفة، کعلم الأحیاء والریاضیات وعلم النفس وعلم اللغة وعلم الاجتماع وعلم الإنسان والأدب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الدراسة التی بین یدیک سنصبّ اهتمامنا علی الجانب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الانثروبولوجی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البنیویّة عموماً، وعلی بنیویّة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 لیفی شتراوس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Claude Lévi-Strauss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وجه الخصوص</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فرنسا عام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ونشأ وسط عائلة فرنسیّة تهتمّ بالموسیقی والرسم، ودرس القانون والفلسفة فی جامعة السوربون</w:t>
      </w:r>
      <w:r>
        <w:rPr>
          <w:rStyle w:val="FootnoteAnchor"/>
          <w:rtl w:val="true"/>
        </w:rPr>
        <w:footnoteReference w:id="217"/>
      </w:r>
      <w:r>
        <w:rPr>
          <w:rFonts w:ascii="IRNazanin" w:hAnsi="IRNazanin" w:eastAsia="IRNazanin"/>
          <w:color w:val="111111"/>
          <w:sz w:val="28"/>
          <w:sz w:val="28"/>
          <w:szCs w:val="28"/>
          <w:rtl w:val="true"/>
          <w:lang w:bidi="fa-IR"/>
        </w:rPr>
        <w:t>، وبعد تخرجّه ببضع سنوات حظی بموقع فی جامعة ساوباولو فی البرازیل، ورغم أنّه لم تکن له سابق دراسة فی حقول علم الإنسان وعلم الأعراق الوصفی، إلّا أنّه صبّ جلّ اهتمامه علی هذین العلمین، وأخذ بدراستهما بشکلٍ شخصی، وقد قام بجولتین میدانیتین أثناء إقامته فی البرازیل، ولم تفلح إلّا واحدة منهما فی تکوین مادّة تمّ الترویج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 عودته إلی فرنسا نشبت الحرب العالمیّة الثانیة، وتمّ احتلال باریس، واضطر إلی الفرار إلی الولایات المتحدة؛ لأنّه کان من أصل یهودی، وفی نیویورک بدأ بدراسة علم الإنسان بجدّ، وتعرّف إلی أحد أبرز علماء اللغة البنیویّین،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 جاکوبسون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Roman Jakobson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الذی أدخله إلی حقل علم اللغة والبنیویّة، وعند عودته إلی فرنسا بعد انتهاء الحرب قدّم ودافع عن أُطروحته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التراکیب الأولیّة للقرابة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Les Structures Élémentaires De La Parenté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والتی طُبعت فیما بعد فی شکل کتاب، وقد تلقاه القرّاء بشغفٍ کبیر، وأصبحت البنیویّة علی ید لیفی شتراوس تمثّل آخر صرعة فی باب الفکر والنزعات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أصدر عدداً من الکتب بما فیها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 المتوحشة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 Pansée Sauvage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الذی طُبع فی عام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بدأ لیفی شتراوس بإصدار تحفته الأدبیّة، وهی سلسلة کتابه ذی الأربعة مجلّدات الذی یحمل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الأساطیر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Mythologiques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الفترة بین عامی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ویناقش الکتاب مئات من الأساطیر الأمیرکیّة، وفی العام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 فی الأکادیمیّة الفرنسیّة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لنا من الاعتراف بأنّ 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صعبة الفهم والإدراک، وقد کانت البنیویّة منذ سبعینیات القرن الماضی قدیمة الطراز، ولم تکن مطابقة للنزعات الفکریّة السائدة آنذاک، ولم تحظَ کتابات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بإعادة تقییم ونظر إلّا بشکلٍ بطیء جدّاً؛ ما جعل أفکاره غیر معروفة فی الأوساط الأدبیّة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عدداً کبیراً من المقالات التی کُتبت کمقدّمات لطریقة تفکیر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لیفی </w:t>
      </w:r>
    </w:p>
    <w:p>
      <w:pPr>
        <w:pStyle w:val="BookText"/>
        <w:rPr/>
      </w:pPr>
      <w:r>
        <w:rPr>
          <w:rFonts w:ascii="IRNazanin" w:hAnsi="IRNazanin" w:eastAsia="IRNazanin"/>
          <w:color w:val="111111"/>
          <w:sz w:val="28"/>
          <w:sz w:val="28"/>
          <w:szCs w:val="28"/>
          <w:rtl w:val="true"/>
          <w:lang w:bidi="fa-IR"/>
        </w:rPr>
        <w:t>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تهمل دقائق تفاصیل نظریّاته فحسب، بل زادت علی ذلک بأنّها أساءت فهم أساسیات تلک النظریّات</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أمّا المقدّمة الأُخری حول هذا الموضوع، والتی هی أشمل من سابقتها إلّا أنّها أقلّ أصالة، فهی تلک التی کتبها هیناف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Hénaff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کتابه المعنون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کلود 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الإنجلیزیّة، کما یحتوی هذا الکتاب علی قائمة موسّعة نوعاً ما بالکتب والمقالات التی کتبها لیفی شتراوس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النسخة الأصلیّة من الکتاب التی کُتبت باللغة الفرنسیّة، فتمتاز باحتوائها علی خلاصات بأهمّ کتبه ومقالاته التی کتبها حتی تاریخ طبع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هیناف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Hénaff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دلییجه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Deliège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فهو یستحقّ القراءة کمقدّمة أولیّة لطریقة تفکیر لیفی شتراوس، إلّا أنّ مؤلّف الکتاب فاته أن یتطرّق إلی نقاط مهمّة فی طریقة تفکیر لیفی شتراوس، کما أنّه مرّ علی بعض الجوانب الأُخری من شخصیته الفکریّة مرور الکرام، ولم یبدِ تعاطفاً بالمستوی الذی یبدو لی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الحدیث عن المقدّمات التی کُتبت حول لیفی شتراوس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أنّ بعضها قد تبدو أحیاناً تقنیة صرفة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یمکننا تغافل تلک التی ذکرها الکاتب سکوبلا فی القسم الأوّل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لیفی شتراوس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Lire Lévi-Strauss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ولو أنّ الکتاب یعالج مسألة طریقة تفکیر لیفی شتراوس من زاویة واحدة معیّنة، وهی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یفوتنا أن نذکر أن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Vocabulaire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للکاتب مانیغلییر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Maniglier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مفید جدّاً فی أیّة دراسة تخصّ لیفی شتراوس، بالرغم من أنّ هذا الکتاب وحده لیس کافیاً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وبافتراض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معروفاً بالقیاس إلی کتّاب آخرین عند معظم المؤرِّخین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الحقّ یحتّم علینا أن نقول بأنّه لیس معروفاً عند معظم المؤرِّخین فی العالم، وعلی الأقل خارج العالم المتحدّث بالفرنسیّة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المقدّمة إلی طریقة تفکیره ومناهجه ستکون مطوّلة ومسهبة إلی حدٍّ بعید</w:t>
      </w:r>
      <w:r>
        <w:rPr>
          <w:rFonts w:eastAsia="IRNazanin" w:cs="IRNazanin"/>
          <w:color w:val="111111"/>
          <w:sz w:val="28"/>
          <w:szCs w:val="28"/>
          <w:rtl w:val="true"/>
          <w:lang w:bidi="fa-IR"/>
        </w:rPr>
        <w:t xml:space="preserve">. </w:t>
      </w:r>
      <w:bookmarkStart w:id="138" w:name="pg5097_58302"/>
    </w:p>
    <w:p>
      <w:pPr>
        <w:pStyle w:val="BookText"/>
        <w:rPr/>
      </w:pPr>
      <w:bookmarkEnd w:id="138"/>
      <w:r>
        <w:rPr>
          <w:rFonts w:ascii="IRNazanin" w:hAnsi="IRNazanin" w:eastAsia="IRNazanin"/>
          <w:color w:val="111111"/>
          <w:sz w:val="28"/>
          <w:sz w:val="28"/>
          <w:szCs w:val="28"/>
          <w:rtl w:val="true"/>
          <w:lang w:bidi="fa-IR"/>
        </w:rPr>
        <w:t xml:space="preserve">وبالرغم من أنّ کثیراً من أعماله التی کتبها فی أوّل انطلاقته الفکریّة کانت مخصّصة لمسألة التراکیب التی تستخدم للتعبیر عن القرابة النسَبیّة، وعن الطوطمیّة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الاعتقاد بوجود صلة خفیة بین جماعةٍ ما وکائن أقوی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أفکاره وکتاباته عن الأُسطورة هی ما جذب انتباهی فی کتابی هذا؛ لذا سوف أناقش فیما تبقی من هذا الفصل أفکاره، وکیفیة تطبیقها علی تحلیلی لمأساة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یلی من أسطر، سأحاول الترکیز علی طریقة تفکیر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أنّنی ساستعین أحیاناً بما ذکره کُتّاب آخرون من تفسیرات لتلک الطریقة، وبعد أن ذکرت السمات الأساسیّة لطریقة التفکیر تلک، سأنتقل الآن لذکر بعض التفسیرات التی أشار إلیها علماء آخرون لبعض الجوانب المهمّة فی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وبالخصوص نظریّته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 القانونیّة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سیجرّنی إلی الحدیث عن القضیة المنهجیّة لکیفیة تحلیل النصّ، الذی هو محور کتابی هذا فی القسم الأخیر من هذا الفصل</w:t>
      </w:r>
      <w:r>
        <w:rPr>
          <w:rFonts w:eastAsia="IRNazanin" w:cs="IRNazanin"/>
          <w:color w:val="111111"/>
          <w:sz w:val="28"/>
          <w:szCs w:val="28"/>
          <w:rtl w:val="true"/>
          <w:lang w:bidi="fa-IR"/>
        </w:rPr>
        <w:t>.</w:t>
      </w:r>
    </w:p>
    <w:p>
      <w:pPr>
        <w:pStyle w:val="Heading3"/>
        <w:numPr>
          <w:ilvl w:val="2"/>
          <w:numId w:val="1"/>
        </w:numPr>
        <w:rPr/>
      </w:pPr>
      <w:bookmarkStart w:id="139" w:name="__RefHeading___Toc1259890_774463916"/>
      <w:bookmarkStart w:id="140" w:name="_Toc49"/>
      <w:bookmarkEnd w:id="139"/>
      <w:r>
        <w:rPr>
          <w:rtl w:val="true"/>
        </w:rPr>
        <w:t>المفاهیم الأساسیّة فی بنیویّة لیفی شتراوس</w:t>
      </w:r>
      <w:bookmarkEnd w:id="14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أجل مسایرة العالم الذی نعیش فیه، لا بدّ لجمیع البشر أن یهتمّوا بطریقةٍ تساهم فی تنظیمه ذهنیّاً، أی لا بدّ لهم أن یوجدوا معانی من التدفّق المستمرّ للإدراکات الحسّیّة التی تغزو عقولهم بلا توقّف، ثمّ إنّه من المهمّ لأکثرنا أن ننظر إلی عالمنا بشکله التام المترابط، دون النظر إلی جانبٍ ما وإغفال الجوانب الأُخری؛ إذ یجب أن ننظر إلی جمیع تفاصیله علی أنّها مرتبطة ارتباطاً لا انفصال فیه بشکلٍ أو بآخر، وإلّا فلن نتمکّن أن نفهم أیّاً من تلک التفاصیل، وهذا ینطبق علی الشعوب التی نحن بصدد دراسة أساطیرها وسلوکها، کما ینطبق علی العالم الذی یسعی إلی شرح تلک الأساطیر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وجود هذا التشویش واللانظام فی الممارسات الاجتماعیّة أو الصور المختلفة التی تمثّل الأدیان، هل سنستمر فی البحث عن تفسیرات جزئیّة تختلف مع اختلاف القضیة التی نحن بصددها، أو علینا أن نحاول اکتشاف نظام تحتی أساسی وبنیة عمیقة، نستطیع من خلال آثارها أن نحلّل ونفسّر هذا التنوّع، وأن نتغلّب علی التنافر الحاصل فیها؟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یحاول البنیویون أن یرسموا خارطة طریق لکیفیة إیجاد هذا التنظیم الذهنی فی الواقع، أو علی الأقلّ لما یجب أن یبدو علیه فی الثقافات المختلفة، وهذا یعنی أنّ البنیویّة تبحث کثیراً فی الطرق التی نستطیع بها تصنیف وتنظیم عالمنا، وقد مرَّ بک أنّ الحاجة إلی التصنیف لطالما اعتُبرت حاجة أحیائیّة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بایولوجیة أو حیاتیة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أحیان کثیرة ألمح إلی أنّ التراکیب کلّها تعود فی الأصل إلی جذور بیولوجیة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لم یتطرّق إلی هذا الموضوع علی شکل أفکار متناسقة ومتماسکة إلّا نادراً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رأیه أنّ المستویات الأُخری للتراکیب أسهل فی التحلیل إذا ما قِیست بمستوی تحلیلها علی أُسس بیولوجیّة، وفی مناقشته لهذه النقطة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سیث کونین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یتعامل مع التراکیب علی مستویات مختلفة، ولأسباب </w:t>
      </w:r>
    </w:p>
    <w:p>
      <w:pPr>
        <w:pStyle w:val="BookText"/>
        <w:rPr/>
      </w:pPr>
      <w:r>
        <w:rPr>
          <w:rFonts w:ascii="IRNazanin" w:hAnsi="IRNazanin" w:eastAsia="IRNazanin"/>
          <w:color w:val="111111"/>
          <w:sz w:val="28"/>
          <w:sz w:val="28"/>
          <w:szCs w:val="28"/>
          <w:rtl w:val="true"/>
          <w:lang w:bidi="fa-IR"/>
        </w:rPr>
        <w:t xml:space="preserve">تحلیلیّة، وهذا ما یجعل الأمر مناسباً لأنْ یُستخدم کنموذج لأربعة مستویات مختلفة، ثلاثة منها تخصّ الترکیب الأساسی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والآخر یخصّ المستوی الروائی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المستوی الأوّل الأعمق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فإنّه یخصّ الترکیب البیولوجی للدماغ؛ لذا فهو مستوی کلّی، أی یشمل الجمیع، ولطالما قیل بأنّ الترکیب علی هذا المستوی هو مزدوج فی طبیعته، ولکن من المستحیل أن یکون معقّداً أکثر من ذلک، وفی وصفه لهذا المستوی من الترکیب یشبِّه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المستوی بالقطعات الداخلیّة أو الأساسیّة التی یتکون منها جهاز الحاسوب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هی أنّ تحلیل المستوی الأوّل الأعمق للتراکیب لم یکن الغرض الأسمی الذی یقصده البنیویون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المستوی الثانی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یُفهم علی أنّ حضارةً ما، أو ربّما مجموعة حضارات، حین أعطت ذلک الترکیب شکلاً ما، لم تفعل ما فعلت وهی علی درایة بما تفعل، بل إنّها أعطته ذلک الشکل بلا وعی منها، ونعنی بمجموعة الحضارات تلک المجموعة التی تربط عدداً من الحضارات ببعضها البعض بشکل أقلّ إحکاماً من الروابط التی تربط حضارة بعینها</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فالمستویان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النقلة من القوّة البیولوجیّة للترکیب إلی الصورة </w:t>
      </w:r>
    </w:p>
    <w:p>
      <w:pPr>
        <w:pStyle w:val="BookText"/>
        <w:rPr/>
      </w:pPr>
      <w:r>
        <w:rPr>
          <w:rFonts w:ascii="IRNazanin" w:hAnsi="IRNazanin" w:eastAsia="IRNazanin"/>
          <w:color w:val="111111"/>
          <w:sz w:val="28"/>
          <w:sz w:val="28"/>
          <w:szCs w:val="28"/>
          <w:rtl w:val="true"/>
          <w:lang w:bidi="fa-IR"/>
        </w:rPr>
        <w:t>الواقعیّة الحضاریّة لترکیب أو تراکیب معیّنة</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 والترکیب بهذا المعنی مثالی جدّاً، وخالٍ من أیِّ محتویً معیّن، بل إنّ الشکل الذی تأخذه الأنواع المختلفة للموجودات یتکوّن فی هذا المستوی من التراکیب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یتحدّد کون هذا النوع ثنائیّاً أو ثلاثیّاً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یتحدّد فی هذا المستوی أیضاً النمط الذی ترتبط فیه تلک الأنواع المختلفة مع بعضها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ولکی یوضِّح الصورة أکثر، استخدم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التشابه بین هذه العملیة والمستوی الأساسی فی عملیة برمجة جهاز الحاسوب، کلغة آلیّة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المستوی الثالث للتراکیب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فهو الحضارة والسیاق الخاصّ بها، وهذا المستوی أقلّ مثالیّة من سابقه، إذ یتمّ فی هذا المستوی من التراکیب تنظیم عناصر الأُسطورة والطقوس بطریقةٍ تمنحها معنی، وهو المعنی الذی تمّ تحدیده فی المستوی الأوّل للتراکیب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وحدات قیاس الأُسطورة، ووحدات قیاس الشعیرة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أصغر العناصر فی بناء الأُسطورة والشعیرة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هذا المستوی، وحیث إنّ هذه الوحدات لا تحمل أیَّ معنیً لوحدها، فإنّها تکتسب معانیها من خلال علاقتها بالعناصر الأُخری التی هی من سنخها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المستوی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نظیر المستوی الذی تنصبّ فیه المعلومات الخاصّة لجهاز حاسوبٍ ما، ثمّ تُستخدم هذه المعلومات أو تُنظّم علی أساس البرمجة المجرّدة التی وُضعت سالفاً فی جهاز الحاسوب، وبإضافة أیّة معلومة جدیدة فإنَّ البرمجة هی التی تحدّد أنسب طریقة لتنظیمها داخل الجهاز</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المستوی الأخیر للتراکیب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المستوی الروائی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یتمّ إعادة ترتیب وحدات الأُسطورة والشعیرة؛ لتأخذ شکل روایة أو شعیرة، وهذه الروایة تعتمد فی شکلها کثیراً علی السیاق الحضاری والتاریخی للأُسطورة، ثمّ تتغیّر تلک الروایات والشعائر وتنتقل من حالةٍ إلی أُخری، مع التحوّل المکانی والزمانی الذی یطرأ علی تلک الأُسطورة والشعیرة، فإنّ المستوی الروائی للتراکیب هو مستوی واعٍ، بخلاف مستویات التراکیب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مقارنة بین هذا المستوی الروائی، وبین الناتج الذی یظهر علی شاشة جهاز الحاسوب، کلعبةٍ ما أو وثیقة 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مرّات مصطلحات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 وفی هذا الکتاب سوف استخدم هذه المصطلحات کنظائر تطابق فی معناها مستویات الترکیب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استخدمها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تعتبر الأساطیر التی هی من نتاج الإنسان إحدی أکثر الحقول التی استخدم الإنسان فیها ترکیبات متقنة جدّاً؛ للتعبیر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یجعل دراستها سهلة المنال</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الغرض الرئیس من الأساطیر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لبیان السبب الذی جعل الأشیاء التی اختلفت عن بعضها البعض منذ البدایة تبدو بالشکل الذی </w:t>
      </w:r>
    </w:p>
    <w:p>
      <w:pPr>
        <w:pStyle w:val="BookText"/>
        <w:rPr/>
      </w:pPr>
      <w:r>
        <w:rPr>
          <w:rFonts w:ascii="IRNazanin" w:hAnsi="IRNazanin" w:eastAsia="IRNazanin"/>
          <w:color w:val="111111"/>
          <w:sz w:val="28"/>
          <w:sz w:val="28"/>
          <w:szCs w:val="28"/>
          <w:rtl w:val="true"/>
          <w:lang w:bidi="fa-IR"/>
        </w:rPr>
        <w:t>هی علیه، والسبب الذی یجعلها لا تنفک عمّا هی علیه؛ وذلک لأنّ الأشیاء إذا تغیّرت فی عالمٍ واحد، فإنّ النظام الکلّی للعالم سوف ینقلب رأساً علی عقب؛ بسبب التشاکل بین کلِّ العوالم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فالأساطیر تساعدنا علی إیجاد تراکیب نعبّر بها عن عالمنا الذی نعیش فیه، کما تساعدنا علی إیجاد تفسیرات لهذا العالم، ولکن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یعلم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تسمح لنا بسهولة لأن نجد لها تراکیب نعبّر بها عنها؛ إذ إنّ هناک دائماً أُموراً شاذّة، وحالات استثنائیّة تقف بین أصنافها وبین أیّ تغیّرٍ قد یطرأ علی فئاتها، وکثیراً ما تخلق تلک الأُمور الشاذة معضلات کبیرة تتحدّی الطبیعة الاجتماعیّة والوجودیّة لأیِّ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والأساطیر هی التی تتعامل مع المشاکل التی یوجدها هذا الصراع، الذی سببه وجود تلک الاستثناءات والحالات الشاذة؛ إذ إنّ الأساطیر هی ما یقف فی وجه تلک الحالات؛ لکی تجد حلولاً للتناقضات بین المثال والواقع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أنّ تلک الصراعات لیس لها تفسیر؛ لأنّها غیر متأصّلة فی الوجود الإنسانی وفی المجتمع، ولکن تلک الأساطیر تنقل تلک المشاکل إلی مساحات تبدو أقلّ خطراً علی المجتمع</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ففی الأساطیر إذن یصبح الصراع مشابهاً للتضادات الأُخری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لا تستطیع أبداً حلّ التناقض الأساس بین الأشیاء، ولکنها تجعله یتکرّر ویعیش إلی الأبد فی مجالٍ أضیق وأصغر</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أوضح تعبیر استخدمه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للتعبیر عن هذه الفکرة، فنجده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محادثاته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الصحفی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دیدییه أریبون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Didier Eribon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إذ یناقش الکاتبان فی حادثةٍ واحدة تأکید سجموند فروید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Sigmund Freud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الأحادی الجانب علی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التأکید علی الشؤون الجنسیّة الذی ینفرد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أریبون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Eribon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تحلیل محتوی الأُسطورة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الأساطیر التی قمتُ بتحلیلها، فإنّ المرء قد یصبح مغرماً بوجود الجنس الطاغی، وبسلسلة أعمال العنف التی تصاحبه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نلاحظ ذلک؛ لأنّ هذا الجانب قد شغل مساحة واسعة فی نظام القیم والحیاة الاجتماعیّة الذی تبنّیناه، ولکن لاحظ أنّ الأُسطورة لا تتعامل أبداً مع المشکلة العائدة إلی الجنس من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بدون عوامل 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مجرّدة عن کلِّ القضایا الأُخری المتعلّقة بها، فالأُسطورة تسعی لبیان أنّ هذه المشکلة هی أساساً نظیرة المشاکل الأُخری التی یتحدّث عنها الناس فیما یخصّ الأجسام السماویّة، وتعاقب اللیل والنهار، وتعاقب فصول السنة، والتنظیم الاجتماعی، والعلاقات السیاسیّة بین المجموعات المتجاورة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فالفکر الأُسطوری حینما یواجه مشکلة خاصّة فإنّه ینظر إلیها کما ینظر إلی جمیع المشاکل الأخری دون أدنی فرق، ثمّ یبدأ حالاً باستخدام شیفرات عدیدة لحلِّ تلک المشکلة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أریبون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Eribon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إذن هذا تفسیر یأتی عن طریق استخدام وسائل المشاکل المتعاقبة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یعطی انطباعاً بأنّ تلک المشاکل یمکن 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الوصول إلی حلٍّ لأیٍّ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التشابه بینها کلّها؛ لأنّ هذا یجعل المرء علی درایة بأنّ الصعوبة الکامنة فی قضیةٍ ما لا یمکن أن نراها فی القضایا الأُخری، أو علی الأقل لا تکون فی القضایا الأُخری بنفس المستوی الذی توجد علیه فی هذه القضیة، ونبرّر نحن ذلک قلیلاً بنفس التبریر الذی نستخدمه حینما نُسأل عن تفسیر لقضیةٍ ما، فإنّنا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التفسیر ممکن فقط عندما تکون المسألة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هذه القضیة شبیهة بقضیة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والحقیقة أنّ جوابنا هذا هو ضربٌ من الکسل الذی أُصبنا به، ولکنّ الفکر الأُسطوری یستخدم هذا الإجراء استخداماً مطواعاً ونظامیّاً، ما یجعله یحلّ محلّ البرهان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فالأساطیر إذن لا تتحاشی الصراعات، وإنّما فی الواقع تحدّدها بدّقة، ولکن الغرض الحقیقی للأساطیر یظهر بالعملیة التی تقوم بها الأساطیر، وهی عملیة نقل المشکلة من جوانب مختلفة فی الحیاة إلی صورة ضبابیة غیر واضحة عن الصراع الحقیقی، هذا ما یقوله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الآن هو کیف تتصرّف الأُسطورة فی التعامل مع هذه المشاکل والصراعات؟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المقتبسة السابقة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حدیثه عن جوانب الحیاة المختلفة، وتُستخدم تلک الشیفرات لإیصال الرسالة التی </w:t>
      </w:r>
    </w:p>
    <w:p>
      <w:pPr>
        <w:pStyle w:val="BookText"/>
        <w:rPr/>
      </w:pPr>
      <w:r>
        <w:rPr>
          <w:rFonts w:ascii="IRNazanin" w:hAnsi="IRNazanin" w:eastAsia="IRNazanin"/>
          <w:color w:val="111111"/>
          <w:sz w:val="28"/>
          <w:sz w:val="28"/>
          <w:szCs w:val="28"/>
          <w:rtl w:val="true"/>
          <w:lang w:bidi="fa-IR"/>
        </w:rPr>
        <w:t>ترید الأُسطورة إیصالها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أنّ مفهوم الرمز لیس خالیاً تماماً من الإشکالات، ولکنّنی سأؤجّل البحث فیه إلی قسم آخر من هذا الکتاب، ویکفینا ها هنا أن نعترف بأنّ الرمز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أو صنف من المصطلحات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یرتبط بجانبٍ من جوانب الحیاة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 فرضیاته الرئیسة أنّ ترکیباً واحداً معیّناً فی الأُسطورة یتمّ التعبیر عنه من خلال رموز مختلفة، ویمکن ترجمة أیٍّ من تلک الرموز إلی رمزٍ آخر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حدِّ علمی، فإنّ أوّل استخدام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نراه فی مقالته المشهورة حول أُسطورة أسدیوال، وهی إحدی أساطیر الهنود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السیمشینیین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یقطنون الساحل الغربی الکندی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عرض هذه الأُسطورة یتمّ استخدام أربع شیفرات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المقالة استبدل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مرّات وبالعکس، ولو أنّ اللفظتین کانتا تدلّان علی نفس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لتوصیل الرسالة المبتغاة من الأُسطورة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فرسالة جغرافیّة، وأُخری اقتصادیّة، وثالثة اجتماعیّة، ورابعة کونیّة،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واحدٍ من تلک المستویات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الرموز المناسبة لکلٍّ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إلیه علی أنّه عملیة تحویل فی الترکیب المنطقی الأساسی المشترک بین جمیع تلک المستویات</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یمکن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یمیّز بین تلک الرموز؛ </w:t>
      </w:r>
    </w:p>
    <w:p>
      <w:pPr>
        <w:pStyle w:val="BookText"/>
        <w:rPr/>
      </w:pPr>
      <w:r>
        <w:rPr>
          <w:rFonts w:ascii="IRNazanin" w:hAnsi="IRNazanin" w:eastAsia="IRNazanin"/>
          <w:color w:val="111111"/>
          <w:sz w:val="28"/>
          <w:sz w:val="28"/>
          <w:szCs w:val="28"/>
          <w:rtl w:val="true"/>
          <w:lang w:bidi="fa-IR"/>
        </w:rPr>
        <w:t xml:space="preserve">لذا حین تتحدّث الأُسطورة عن الصراع والخلاف بین السماء والعالم التحتی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ونرمز إلی هذا الصراع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 الکونی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وقُلل الجبال والودیان، أی الرمز الجغرافی، والصید فی الجبال وصید البحر، أی الرمز الاقتصادی، فإنّنا نرید بذلک أن نعبّر عن الصراع بین العالی والمنخفض، وهذه هی الرسالة التی ترید الأُسطورة أن تنقلها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المشکلة الحقیقیّة هی أنّ الأُسطورة تحاول أن تبقَ متماسکة من خلال جمیع تلک الرموز المختلفة، وهذه المشکلة تقع فی جانب مختلف کلیّاً عن الجوانب التی تعالجها الأُسطورة، وهو جانب التنظیم الاجتماعی للهنود السیمشینیین عموماً، وجانب عادات الزواج عندهم علی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الهنود السیمشینیین کانوا یحملون فکرة أنّ الزواج بین اثنین ینتسبون إلی أحدهم الآخر من جهة الأُمّ یحلّ عدداً کبیراً من الصراعات حول السلطة والملکیّة، التی عادةً ما تحدث بین مجامیع ینتمون إلی نفس القبیلة، ولکن التجربة أظهرت بأنّه لم یکن من السهل أن یتمّ التغلب علی تلک التشنجات بین مجامیع کهذه، فالصراع الذی تسعی الأُسطورة إلی إیجاد حلٍّ له یکمن بین خلق مجتمع مسالم وعادل، ولا یمکن أن یطبّق فیه السلام والعدل إلّا من خلال تزویج أُولئک الذین تربطهم صلة قرابة عن طریق الأُمّ بعضهم ببعض، وبین حقیقة أنّ تلک المؤسّسة الاجتماعیّة التی تحکم تلک القبائل لن تؤثّر فیها النتیجة المتوخّاة من تلک الزیجات، ورغم ذلک تفشل الأُسطورة فی إیجاد حلٍّ للصراع، ولکنّها تنجح فی نقل جوانبه الأُخری الجغرافیّة والکونیّة والاقتصادیّة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کلَّ المفارقات اللفظیّة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العبارات الموهمة للتناقض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یعیها العقل الفطری فی أکثر الجوانب اختلافاً کالجانب الجغرافی والاقتصادی </w:t>
      </w:r>
    </w:p>
    <w:p>
      <w:pPr>
        <w:pStyle w:val="BookText"/>
        <w:rPr/>
      </w:pPr>
      <w:r>
        <w:rPr>
          <w:rFonts w:ascii="IRNazanin" w:hAnsi="IRNazanin" w:eastAsia="IRNazanin"/>
          <w:color w:val="111111"/>
          <w:sz w:val="28"/>
          <w:sz w:val="28"/>
          <w:szCs w:val="28"/>
          <w:rtl w:val="true"/>
          <w:lang w:bidi="fa-IR"/>
        </w:rPr>
        <w:t>والاجتماعی وحتی الکونی، تستوعبها تلک المعضلة الأقل وضوحاً والأکثر توهیماً بحقٍّ، وهی معضلة الزواج بین الأقارب من جهة الأُمّ، والتی حاولت ولکنّها فشلت فی حلِّ المشکلة، ولقد اعترفت أساطیرنا بهذا الفشل، وهنا تکمن وظیفة تلک الأساطیر</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السیاق یبدو من غیر الممکن أن نغوص أکثر فی المشکلة التی تسعی أُسطورة أسدیوال إلی التمسّک بها، والنقطة التی نودّ إلفات النظر إلیها ها هنا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الرسالة التی تودّ الأساطیر إیصالها إلی المتلقی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بالفعل تبلیغها من خلال رموز مختلفة، ولکنها کلّها تعبّر عن نفس الترکیب الأساسی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الانتقالة بین رمزٍ وآخر قد تمّ من خلال استخدام أُسلوب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یعود إلی رمز معیّن یتمّ استبداله بمصطلح من رمزٍ آخر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تکون الاستعارات هی العلاقات المبنیة علی وجه التشابه بین عنصرین یقعان جنباً إلی جنب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أُسطورة أسدیوال یمثّل اللفظان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استعارتین تعبّران عن القرابة من جهة الأُمّ والقرابة من جهة الأب علی التوالی، وهما لفظان مأخوذان من الرمز الجغرافی فی الأُسطورة، لیکونا بدیلین عن الرمز الاجتماعی فیها، وهکذا فقد </w:t>
      </w:r>
    </w:p>
    <w:p>
      <w:pPr>
        <w:pStyle w:val="BookText"/>
        <w:rPr/>
      </w:pPr>
      <w:r>
        <w:rPr>
          <w:rFonts w:ascii="IRNazanin" w:hAnsi="IRNazanin" w:eastAsia="IRNazanin"/>
          <w:color w:val="111111"/>
          <w:sz w:val="28"/>
          <w:sz w:val="28"/>
          <w:szCs w:val="28"/>
          <w:rtl w:val="true"/>
          <w:lang w:bidi="fa-IR"/>
        </w:rPr>
        <w:t>تمّ إیجاد علاقة استعاریّة بین ذلکما الرمزین الجغرافی والاجتماعی</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نوضِّح الأمر أکثر،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التشابه بین اللفظین فی داخل الرمز الجغرافی ونفس اللفظین فی داخل الرمز الاجتماعی، قد تمّ تلقیهما علی الشکل الذی أُرید لهما أن یعنیاه، ففی الغرب وفی المجتمع الذی تربط أفراده علاقات نسبیّة من جهة الأب یکون الطعام متوفراً بغزارة، ولکن فی الشرق وفی المجتمع الذی تربط أفراده علاقات نسبیّة من جهة الأُمّ لا یکون هناک طعام کافٍ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أعود إلی شرح هذه النقطة بکشل موسّع فی مناسبة أُخری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حینما یتحدّث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إدموند لیتش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Edmund Leach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وهو بریطانی متخصّص بعلم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الأنثروبولوجیا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الاستعارة، فهو یعتبرها تعابیر اعتباطیّة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تخضع لقاعدة أو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تربط بین أصناف أو رموز معیّنة </w:t>
      </w:r>
      <w:r>
        <w:rPr>
          <w:rStyle w:val="FootnoteAnchor"/>
          <w:rtl w:val="true"/>
        </w:rPr>
        <w:footnoteReference w:id="237"/>
      </w:r>
      <w:r>
        <w:rPr>
          <w:rFonts w:ascii="IRNazanin" w:hAnsi="IRNazanin" w:eastAsia="IRNazanin"/>
          <w:color w:val="111111"/>
          <w:sz w:val="28"/>
          <w:sz w:val="28"/>
          <w:szCs w:val="28"/>
          <w:rtl w:val="true"/>
          <w:lang w:bidi="fa-IR"/>
        </w:rPr>
        <w:t xml:space="preserve">، فمثلاً هناک علاقة استعاریّة بین الأفعی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العالم الغربی وعلی العکس من ذلک، نری أنّ الأفاعی فی الهند کثیراً ما تعتبر مظاهر للأرواح الخیِّرة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إنّ الأفاعی بحدِّ ذاتها لیست خیرة ولا شریرة، ولکن الأساطیر العائدة لتلک المنطقتین الحضاریتین ربطت قیمتا الخیر والشرّ بذلک الحیوان بشکلٍ اعتباطی علی الغالب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الاستعارات تعابیر تقلیدیّة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Leach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إذ إنَّ أیَّ شخصٍ من الشطر الغربی للحضارة الإنسانیّة لیس له أدنی فکرة عمّا یرمز إلیه هذا </w:t>
      </w:r>
    </w:p>
    <w:p>
      <w:pPr>
        <w:pStyle w:val="BookText"/>
        <w:rPr/>
      </w:pPr>
      <w:r>
        <w:rPr>
          <w:rFonts w:ascii="IRNazanin" w:hAnsi="IRNazanin" w:eastAsia="IRNazanin"/>
          <w:color w:val="111111"/>
          <w:sz w:val="28"/>
          <w:sz w:val="28"/>
          <w:szCs w:val="28"/>
          <w:rtl w:val="true"/>
          <w:lang w:bidi="fa-IR"/>
        </w:rPr>
        <w:t>الحیوان فی الحضارة الهندیّة، فإنّه سیری تقدیس الأفعی فی الهند أمراً لا ینمّ عن عقلٍ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والنوع الآخر من العلاقة فی التراکیب اللغویّة هو 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استخدام کلمة تشیر إلی إحدی صفات کلمة أُخری فی محلِّ تلک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یمکن أن نعرّفها علی أنّها علاقة انتقال أو قرب، وأکثر شکل شائع للکنایة هو ما نسمّیه المجاز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ذکر الجزء وإرادة الکلّ، أو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قطع خصلة من الشعر للدلالة علی الشخص الذی قطعت تلک الخصلة من شعره، أو حینما یمثّل التاج ملوکیة ملکٍ ما، ولکن توجد علاقات ترکیبیّة أخری فی اللغة، کالعلاقة المسمّاة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علاقة السبب والنتیجة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لکی نمیّز بین الکنایة والاستعارة، والتی هی علاقة اعتباطیّة، نقول بأنّ العلاقات الکنائیّة یعتقد بأنّها باطنیّة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ناشئة من نفس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أمر جلیّ وطبیعی فی النصوص الصادرة من حضارات تستخدم علاقات کنائیّة کهذه فی أسالیبها، ولکن الأمر لن یبدو طبیعیّاً لمَن یأتی من حضارات أُخری تُخِضع الأشیاء لتصنیف مخالف لتصنیف الحضارة الأُولی لها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التمییز بین الاستعارة والکنایة لیس واضحاً، خلاف ما قد یبدو علیه للوهلة الأُولی، فإنَّ أیَّ ترابط اعتباطی تکرّر استخدامه مرّات ومرّات یبدو أن ترابطه جوهری</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وهناک مصطلحان آخران قریبان جدّاً ومرتبطان بالاستعارة والکنایة،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التصریف، وبناء الجملة، وهما مستعاران من علم اللغة البنیوی، کما هو الحال فی الاستعارة والکنایة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صفحات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الخزاف الغیور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نعلم جمیعاً بأنّ معنی أیّة کلمةٍ یشوبه الشکّ حین نرید أن نحدّد ما یُقصد منه، ویتحدّد معنی أیّة کلمةٍ إمّا عن طریق الکلمات التی تسبقها، أو التی تلیها فی الجملة، وإمّا عن طریق الکلمات التی تصلح أن تکون بدیلاً عنها لنقل نفس الفکرة التی ترمی إلیها تلک الکلمة، ویسمّی علماء اللغة السلسلة من الکلمات من النوع الأوّل بالسلسلة المنتظمة، وهی منطوقة فی وقتها، أمّا النوع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البدیلة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فتسمّی بالمجامیع الصرفیّة، وتتکوّن من کلمات قد تتبدّل بأُخری فی اللحظة التی یراها المتکلّم أنسب من التی استخدمها سابقاً فی نفس السیاق</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ولنضرب مثالاً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سلسلة منتظمة فی جملة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لدی ماری حمَل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کلمات هذه الجملة تُنطق بالتسلسل واحدةً تلو الأُخری، ویعتمد معنی هذه الجملة علی الترتیب السلیم لکلماتها، فإذا ما تغیّر ترتیب نفس الکلمات فقد تعطی الجملة معنیً آخر، کما لو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لدی حمل صغیر 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لدی صغیر حمل 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لا تعطی الجملة أیَّ معنیً إذا ما تغیّر ترتیب الکلمات رأساً علی عقب،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لدی صغیر ماری کان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من الممکن أن نحافظ علی نفس ترتیب الجملة، ولکن نختار کلمات مرادفة للکلمات المستخدمة فی الجملة، فنصنع جملاً عدّة من قبیل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لدی ماری حمل 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لدی الفتاة حمل 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امتلکت ماری حملاً صغیراً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لدی ماری نعجة حدیثة الولادة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لدی ماری خروف فی أوّل سنی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وطالما الکلمات تبقی فی مکانها الصحیح فی الجملة، فإنّنا نستطیع أن نستبدلها بکلماتٍ أُخر تحمل نفس الدلالة اللفظیّة، ویبقی الأمر منوطاً بالمتکلّم؛ إذ یمکن له أن یستخدم إمّا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معادلها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کلا اللفظین یصنعان مجموعة صرفیّة، کما یمکن أن تنشأ مجموعة صرفیّة أُخری من أحد اللفظین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یمکن استخدام ألفاظ أُخری لها نفس الدلالة،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توضیح هذه الفکرة من خلال الجدول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w:t>
      </w:r>
    </w:p>
    <w:p>
      <w:pPr>
        <w:pStyle w:val="BookText"/>
        <w:rPr/>
      </w:pPr>
      <w:r>
        <w:rPr>
          <w:rFonts w:ascii="IRNazanin" w:hAnsi="IRNazanin" w:eastAsia="IRNazanin"/>
          <w:color w:val="111111"/>
          <w:sz w:val="28"/>
          <w:sz w:val="28"/>
          <w:szCs w:val="28"/>
          <w:rtl w:val="true"/>
          <w:lang w:bidi="fa-IR"/>
        </w:rPr>
        <w:t>کان عندها</w:t>
      </w:r>
    </w:p>
    <w:p>
      <w:pPr>
        <w:pStyle w:val="BookText"/>
        <w:rPr/>
      </w:pPr>
      <w:r>
        <w:rPr>
          <w:rFonts w:ascii="Amiri" w:hAnsi="Amiri" w:eastAsia="Amiri" w:cs="Amiri"/>
          <w:color w:val="111111"/>
          <w:sz w:val="28"/>
          <w:sz w:val="28"/>
          <w:szCs w:val="28"/>
          <w:rtl w:val="true"/>
          <w:lang w:bidi="ar-SA"/>
        </w:rPr>
        <w:t>حملٌ</w:t>
      </w:r>
    </w:p>
    <w:p>
      <w:pPr>
        <w:pStyle w:val="BookText"/>
        <w:rPr/>
      </w:pPr>
      <w:r>
        <w:rPr>
          <w:rFonts w:ascii="IRNazanin" w:hAnsi="IRNazanin" w:eastAsia="IRNazanin"/>
          <w:color w:val="111111"/>
          <w:sz w:val="28"/>
          <w:sz w:val="28"/>
          <w:szCs w:val="28"/>
          <w:rtl w:val="true"/>
          <w:lang w:bidi="fa-IR"/>
        </w:rPr>
        <w:t>صغیر</w:t>
      </w:r>
    </w:p>
    <w:p>
      <w:pPr>
        <w:pStyle w:val="BookText"/>
        <w:rPr/>
      </w:pPr>
      <w:r>
        <w:rPr>
          <w:rFonts w:ascii="Amiri" w:hAnsi="Amiri" w:eastAsia="Amiri" w:cs="Amiri"/>
          <w:color w:val="111111"/>
          <w:sz w:val="28"/>
          <w:sz w:val="28"/>
          <w:szCs w:val="28"/>
          <w:rtl w:val="true"/>
          <w:lang w:bidi="ar-SA"/>
        </w:rPr>
        <w:t>الفتاة</w:t>
      </w:r>
    </w:p>
    <w:p>
      <w:pPr>
        <w:pStyle w:val="BookText"/>
        <w:rPr/>
      </w:pPr>
      <w:r>
        <w:rPr>
          <w:rFonts w:ascii="IRNazanin" w:hAnsi="IRNazanin" w:eastAsia="IRNazanin"/>
          <w:color w:val="111111"/>
          <w:sz w:val="28"/>
          <w:sz w:val="28"/>
          <w:szCs w:val="28"/>
          <w:rtl w:val="true"/>
          <w:lang w:bidi="fa-IR"/>
        </w:rPr>
        <w:t>امتلکت</w:t>
      </w:r>
    </w:p>
    <w:p>
      <w:pPr>
        <w:pStyle w:val="BookText"/>
        <w:rPr/>
      </w:pPr>
      <w:r>
        <w:rPr>
          <w:rFonts w:ascii="IRNazanin" w:hAnsi="IRNazanin" w:eastAsia="IRNazanin"/>
          <w:color w:val="111111"/>
          <w:sz w:val="28"/>
          <w:sz w:val="28"/>
          <w:szCs w:val="28"/>
          <w:rtl w:val="true"/>
          <w:lang w:bidi="fa-IR"/>
        </w:rPr>
        <w:t>نعجة حدیثة</w:t>
      </w:r>
    </w:p>
    <w:p>
      <w:pPr>
        <w:pStyle w:val="BookText"/>
        <w:rPr/>
      </w:pPr>
      <w:r>
        <w:rPr>
          <w:rFonts w:ascii="Amiri" w:hAnsi="Amiri" w:eastAsia="Amiri" w:cs="Amiri"/>
          <w:color w:val="111111"/>
          <w:sz w:val="28"/>
          <w:sz w:val="28"/>
          <w:szCs w:val="28"/>
          <w:rtl w:val="true"/>
          <w:lang w:bidi="ar-SA"/>
        </w:rPr>
        <w:t>الولادة</w:t>
      </w:r>
    </w:p>
    <w:p>
      <w:pPr>
        <w:pStyle w:val="BookText"/>
        <w:rPr/>
      </w:pPr>
      <w:r>
        <w:rPr>
          <w:rFonts w:ascii="IRNazanin" w:hAnsi="IRNazanin" w:eastAsia="IRNazanin"/>
          <w:color w:val="111111"/>
          <w:sz w:val="28"/>
          <w:sz w:val="28"/>
          <w:szCs w:val="28"/>
          <w:rtl w:val="true"/>
          <w:lang w:bidi="fa-IR"/>
        </w:rPr>
        <w:t>صغیرة</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الصرفی للجمل</w:t>
      </w:r>
    </w:p>
    <w:p>
      <w:pPr>
        <w:pStyle w:val="BookText"/>
        <w:rPr/>
      </w:pPr>
      <w:r>
        <w:rPr>
          <w:rFonts w:ascii="IRNazanin" w:hAnsi="IRNazanin" w:eastAsia="IRNazanin"/>
          <w:color w:val="111111"/>
          <w:sz w:val="28"/>
          <w:sz w:val="28"/>
          <w:szCs w:val="28"/>
          <w:rtl w:val="true"/>
          <w:lang w:bidi="fa-IR"/>
        </w:rPr>
        <w:t>وبعمل تغییرات فی معظم کلمات الجملة یمکننا أن نصل إلی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الفتاة امتلکت نعجة حدیثة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جملة مفیدة ومفهومة، وهی تؤدّی نفس الغرض، وتنقل نفس المعنی المرجو نقله من الجملة الأُولی المأخوذة من أنشودة شهیرة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نفس المعنی قد لا تنقله الجملة البدیلة، ففی بعض الحالات تکون الألفاظ البدیلة لیست معادلة لألفاظ الجملة الأصلیّة،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فتاة بعینها، ولکن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تشیر إلی أیّة بنت أو امرأة، وسیأتی شرح مفصّل أکثر </w:t>
      </w:r>
    </w:p>
    <w:p>
      <w:pPr>
        <w:pStyle w:val="BookText"/>
        <w:rPr/>
      </w:pPr>
      <w:r>
        <w:rPr>
          <w:rFonts w:ascii="IRNazanin" w:hAnsi="IRNazanin" w:eastAsia="IRNazanin"/>
          <w:color w:val="111111"/>
          <w:sz w:val="28"/>
          <w:sz w:val="28"/>
          <w:szCs w:val="28"/>
          <w:rtl w:val="true"/>
          <w:lang w:bidi="fa-IR"/>
        </w:rPr>
        <w:t>لهذه المسألة فی هذا القسم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الاستعارة والکنایة فی ضوء هذین الاصطلاحین، فیقول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الخزّاف الغیور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استخدام الاستعارة یعنی أنّنا ننقل کلمة أو عبارة من سلسلة منتظمة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معیّنة ونضعها فی سلسلة نظامیّة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عبارة أُخری له ذکرها فی نفس الکتاب إلی أنّ السلاسل النظامیّة هی دلالات علی الرموز التی ذکرناها مسبقاً فی هذا الکتاب، والاستعارات لا تنقل المعنی من مصطلحٍ إلی آخر، ولکنها تنقل المعنی من رمزٍ إلی رمزٍ آخر</w:t>
      </w:r>
      <w:r>
        <w:rPr>
          <w:rStyle w:val="FootnoteAnchor"/>
          <w:rtl w:val="true"/>
        </w:rPr>
        <w:footnoteReference w:id="241"/>
      </w:r>
      <w:r>
        <w:rPr>
          <w:rFonts w:ascii="IRNazanin" w:hAnsi="IRNazanin" w:eastAsia="IRNazanin"/>
          <w:color w:val="111111"/>
          <w:sz w:val="28"/>
          <w:sz w:val="28"/>
          <w:szCs w:val="28"/>
          <w:rtl w:val="true"/>
          <w:lang w:bidi="fa-IR"/>
        </w:rPr>
        <w:t>وهکذا، فی حین أنّ الروابط الاستعاریّة تکون مصاحبات لغویّة بین رموز مختلفة، فإنَّ الکنایات روابط تستخدم فی نفس الرمز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یستخدم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السلسلة المنتظمة لیشیر إلی الأساطیر باعتبارها قصصاً مرویّة، وفی هذه الحالة تکون المجموعة الصرفیّة عدداً من الأساطیر المرتبطة بعضها بالبعض الآخر، أو تکون أجزاءً من نفس الأُسطورة، والتی تعبّر عن نفس الترکیب ولکن بتغییرات مختلفة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 الحالتین یبدو من الواضح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الفکر الأُسطوری من سنخ الأشکال اللغویّة المترابطة والقابلة للتبادل، ولکن حینما یکون المعنی المضمور فی الصیغ الصرفیّة ملفوظاً، فحینها لا بدّ من أن یتمّ التعبیر عنه عن طریق </w:t>
      </w:r>
    </w:p>
    <w:p>
      <w:pPr>
        <w:pStyle w:val="BookText"/>
        <w:rPr/>
      </w:pPr>
      <w:r>
        <w:rPr>
          <w:rFonts w:ascii="IRNazanin" w:hAnsi="IRNazanin" w:eastAsia="IRNazanin"/>
          <w:color w:val="111111"/>
          <w:sz w:val="28"/>
          <w:sz w:val="28"/>
          <w:szCs w:val="28"/>
          <w:rtl w:val="true"/>
          <w:lang w:bidi="fa-IR"/>
        </w:rPr>
        <w:t xml:space="preserve">سلسلة منتظمة، أی یأخذ شکل قصّة أو روایة، وفی هذه السلسلة المنتظمة یتمّ الربط بین المفاهیم من خلال الاستعارات والکنایات؛ لذا تکون الاستعارات والکنایات متحدّة دائماً فی الأساطیر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 مقالةٍ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ویعتمد المعنی الواقعی لکلِّ أُسطورة علی التنقلات بین الأشکال الصرفیّة والتسلسل المنتظم لنصوصها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انتشار وإعادة إلقاء الأُسطورة تحدث تغییرات جدیدة فی نصوصها، وبالرغم من بقاء النمط الترکیبی الأساسی للأُسطورة دون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الرموز المستخدمة فی نصوص تلک الأُسطورة قد تتغیّر، وقد یتمّ قلب الأدوار الملعوبة فی الأُسطورة، وقد تُضاف أو تُحذف بعض العناصر منها، وتقل حدّة الصراعات داخل أحداث الأُسطورة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عدداً من العناصر التی یسمّیها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تنقّلات داخل الأُسطورة قد تجد لها مکاناً، ولأنّها مرتبطة واحدة بالأُخری فإنّها تخلق سلسلة من التنقّلات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تنقّلیة</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وکمثال علی هذه العملیة یمکننا أن نتصوّر کیف جرت وانتشرت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أُسطورة أسدیوال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النظرة العالمیّة للهنود السیمشینیین اشتملت علی عدد من الأفکار عن محیطهم الجغرافی، والطرق المختلفة لحصولهم علی ما یقتاتون به، وتفکیرهم عن الکون، والقوی العلیا الخفیّة التی أثّرت فی حیاتهم، والصورة عن تکوین مجتمعهم، وکیف یمکن فهم ترکیبة ذلک المجتمع، کما أنّ تلک الأُسطورة نقلت لنا فکرة عن المشاکل الأساسیّة فی مجتمعهم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والحقیقة أنَّ کلَّ تلک الأفکار تداخلیة بمعنی أنّها ترتبط ارتباطاً لصیقاً واحدة بالأُخری، وقد حملتها معاً فی وقتٍ واحدٍ، وربطت هذه الأفکار معاً شبکة من العلاقات، وهی مجموعة صرفیّة من الصعب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حین أراد الهنود السیمشینیون التعبیر عن معضلة التعارض بین أُسلوب الحیاة المثالی وما کان علیه أُسلوب حیاتهم بالواقع، کان لا بدّ لهم من أن یرتّبوا تلک الأفکار علی شکل سلسلة منتظمة، وفی هذه الحالة وبسبب أنّهم نظروا إلی مشکلتهم تلک علی أنّها صعبة للغایة وملیئة بالمخاطر، فقد أخذت تلک السلسلة شکل قصّة، نسمّیها نحن المحلّلین للحضارات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بالأخذ بنظر الاعتبار شکلها الخارجی </w:t>
      </w:r>
      <w:r>
        <w:rPr>
          <w:rStyle w:val="FootnoteAnchor"/>
          <w:rtl w:val="true"/>
        </w:rPr>
        <w:footnoteReference w:id="244"/>
      </w:r>
      <w:r>
        <w:rPr>
          <w:rFonts w:ascii="IRNazanin" w:hAnsi="IRNazanin" w:eastAsia="IRNazanin"/>
          <w:color w:val="111111"/>
          <w:sz w:val="28"/>
          <w:sz w:val="28"/>
          <w:szCs w:val="28"/>
          <w:rtl w:val="true"/>
          <w:lang w:bidi="fa-IR"/>
        </w:rPr>
        <w:t>ونظراً لأنّ هذه الأُسطورة قد تمّ تداولها من قبل مختلف أصناف الناس؛ لذا تباینت النصوص التی نقلتها بتباین مستویات أُولئک الناس، فقد ظهرت نسخ مختلفة من تلک الأُسطورة، ولکن جمع تلک النسخ المختلفة اشترکت فی نفس الترکیب الأساسی للقصّة، وهذا ما یهمّ لیفی شترواس</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جمع بعض المتخصّصین بعلم الإنسان قلیلاً من تلک النسخ المختلفة لأُسطورة أسدیوال، وقد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کتابات تحلیلیّة عن تلک النسخ، وقد تشابکت عناصر من الرموز الجغرافیّة والاقتصادیّة والکونیّة والاجتماعیّة فی هذه الأُسطورة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المجموعة من الأساطیر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علاقات استعاریّة، ما جعل اتجاهاتها الجغرافیّة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ترمز إلی منظمات اجتماعیّة معیّنة، حیث یرمز </w:t>
      </w:r>
      <w:bookmarkStart w:id="141" w:name="pg5097_58320"/>
    </w:p>
    <w:p>
      <w:pPr>
        <w:pStyle w:val="BookText"/>
        <w:rPr/>
      </w:pPr>
      <w:bookmarkEnd w:id="141"/>
      <w:r>
        <w:rPr>
          <w:rFonts w:ascii="IRNazanin" w:hAnsi="IRNazanin" w:eastAsia="IRNazanin"/>
          <w:color w:val="111111"/>
          <w:sz w:val="28"/>
          <w:sz w:val="28"/>
          <w:szCs w:val="28"/>
          <w:rtl w:val="true"/>
          <w:lang w:bidi="fa-IR"/>
        </w:rPr>
        <w:t>الشرق فی الأُسطورة إلی سکن الزوجین فی بیت أهل الزوج، ویرمز الغرب إلی سکن الزوجین فی بیت أهل الزوجة، فالعلاقة إذن بین الاتجاهات الجغرافیّة فی القصّة والمنظمات الاجتماعیّة هی تشبیه تقلیدی، یمکن أن نرسمه علی الشکل التالی</w:t>
      </w:r>
      <w:r>
        <w:rPr>
          <w:rFonts w:eastAsia="IRNazanin" w:cs="IRNazanin"/>
          <w:color w:val="111111"/>
          <w:sz w:val="28"/>
          <w:szCs w:val="28"/>
          <w:rtl w:val="true"/>
          <w:lang w:bidi="fa-IR"/>
        </w:rPr>
        <w:t>:</w:t>
      </w:r>
    </w:p>
    <w:p>
      <w:pPr>
        <w:pStyle w:val="Heading3"/>
        <w:numPr>
          <w:ilvl w:val="2"/>
          <w:numId w:val="1"/>
        </w:numPr>
        <w:rPr/>
      </w:pPr>
      <w:bookmarkStart w:id="142" w:name="__RefHeading___Toc1259892_774463916"/>
      <w:bookmarkStart w:id="143" w:name="_Toc50"/>
      <w:bookmarkEnd w:id="142"/>
      <w:r>
        <w:rPr>
          <w:rtl w:val="true"/>
        </w:rPr>
        <w:t>الشرق</w:t>
      </w:r>
      <w:r>
        <w:rPr>
          <w:rtl w:val="true"/>
        </w:rPr>
        <w:t xml:space="preserve">: </w:t>
      </w:r>
      <w:r>
        <w:rPr>
          <w:rtl w:val="true"/>
        </w:rPr>
        <w:t>الغرب</w:t>
      </w:r>
      <w:r>
        <w:rPr>
          <w:rtl w:val="true"/>
        </w:rPr>
        <w:t xml:space="preserve">: </w:t>
      </w:r>
      <w:r>
        <w:rPr>
          <w:rtl w:val="true"/>
        </w:rPr>
        <w:t>السکن فی بیت أهل الزوج</w:t>
      </w:r>
      <w:r>
        <w:rPr>
          <w:rtl w:val="true"/>
        </w:rPr>
        <w:t xml:space="preserve">: </w:t>
      </w:r>
      <w:r>
        <w:rPr>
          <w:rtl w:val="true"/>
        </w:rPr>
        <w:t>السکن فی بیت أهل الزوجة</w:t>
      </w:r>
      <w:bookmarkEnd w:id="143"/>
    </w:p>
    <w:p>
      <w:pPr>
        <w:pStyle w:val="BookText"/>
        <w:rPr/>
      </w:pPr>
      <w:r>
        <w:rPr>
          <w:rFonts w:ascii="IRNazanin" w:hAnsi="IRNazanin" w:eastAsia="IRNazanin"/>
          <w:color w:val="111111"/>
          <w:sz w:val="28"/>
          <w:sz w:val="28"/>
          <w:szCs w:val="28"/>
          <w:rtl w:val="true"/>
          <w:lang w:bidi="fa-IR"/>
        </w:rPr>
        <w:t>وهذا الشکل یمکن أن نقرأه کما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نسبة الشرق إلی الغرب هی نفس نسبة سکن الزوجین عند أهل الزوج إلی سکن الزوجین عند أهل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والهدف من تشبیهٍ کهذا فی أُسطورةٍ ما هو إنشاء علاقات بین رمزین، وهما فی حالتنا هذه الرمز الجغرافی والرمز الاجتماعی، وبقولٍ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الاستعارات إلی کنایات وتحویل الکنایات إلی استعارات، وقد تمّ الربط بین الشرق والغرب بشکلٍ کنائی، إذ إنّهما من نفس الرمز، ونفس الشیء ینطبق علی أشکال السکن الأُخری بالنسبة للأزواج الجدد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نظرنا إلی المسألة من وجهة نظر تخصّ ترکیب الأُسطورة، فإنّا سنجد رابطاً آخر بین الشرق ومسألة سکن الزوجین عند بیت أهل الزوج، وبین الغرب ومسألة سکنهم عند بیت أهل الزوجة، مع الأخذ بنظر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کانت فی السابق علاقات استعاریّة أصبحت روابط کنائیّة، وما کانت فی السابق علاقات کنائیّة أصبحت علاقات استعاریّة</w:t>
      </w:r>
      <w:r>
        <w:rPr>
          <w:rFonts w:eastAsia="IRNazanin" w:cs="IRNazanin"/>
          <w:color w:val="111111"/>
          <w:sz w:val="28"/>
          <w:szCs w:val="28"/>
          <w:rtl w:val="true"/>
          <w:lang w:bidi="fa-IR"/>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الشکل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التغییر بین الاستعارة والکنایة، حسبما یراه الکاتب موسکو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Mosko</w:t>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2895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91"/>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192" o:detectmouseclick="t"/>
                <v:stroke color="#3465a4" joinstyle="round" endcap="flat"/>
                <w10:wrap type="none"/>
              </v:shape>
            </w:pict>
          </mc:Fallback>
        </mc:AlternateConten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والأساطیر زاخرة بمثل تلک التشبیهات، کما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والتحوّلات من الاستعارة إلی الکنایة وبالعکس تضیف أهمّیة إلی بعض المفاهیم، وبذلک تعمل علی ربط مساحات من الحیاة بعضها بالبعض الآخر؛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العقل یعمل حسب التناقض فی المنهج الدیکارتی، أی أنّه یرفض أن یحوّل الصعوبة أو المشکلة إلی أجزاء صغیرة، ولا یقبل بأیِّ حالٍ من الأحوال نصف الحلول، یبحث عن تفسیرات تحیط بکلیّة الظاهرة ولیس بجزء منها، وحینما تواجه الأُسطورة أیّة مشکلة فإنّها تتعامل معها علی أنّها شبیهة بالمشاکل الأُخری التی توجد فی أبعاد أُخری من الحیاة، کالبعد الکونی والطبیعی والأخلاقی والفقهی والاجتماعی… إلخ، ویحاول أن یعالج کلَّ تلک الأبعاد فی نفس الوقت وبشکلٍ مباشر</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عملیة إنشاء ارتباطات جدیدة بین مجالات الحیاة غیر المترابطة، فإنّ التنقّلات بین الاستعارة والکنایة تخلق تغییراً فی نظام التصنیف الخاصّ بمجموعة أو حضارة معیّنة، ثمّ إنَّ هذه التنقلات کثیراً ما تستخدم لمناقشة الأسباب التی تقف وراء اعتبار تصنیف معیّن أنسب من الآخر؛ لتظهر علاقة ما بین کیانین بالتی قد تبدو اعتباطیّة وبعیدة الإحتمال هی فی الواقع حقیقیة وطبیعیّة،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إدموند لیتش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Edmund Leach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إنّنا نستخدم تلک التنقلات بین الاستعارة والکنایة؛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نُثبت بأنّ التعبیر المجازی الذی یبدو فاقداً للمعنی سیکون ذا معنی إذا حوّلناه إلی تعبیر کنائی، وبالعکس</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الحرکة التنقلیّة موجودة فی کثیر من الأساطیر، ثمّ یحاول أن یعطی الشرعیّة لتلک العملیات المنطقیّة البعیدة الاحتمال التی ینتجها العقل، والتی یکون وجودها مصاحباً لبعضها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الاستدلال ذو الاحتمال الخارق للطبیعة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وذلک عن طریق جعل تلک العملیات تبدو وکأنّها طبیعیّة ومبنیّة علی تجارب تتحصّل عن طریق الملاحظة، والتی یسمّیها هو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الاستدلال التجریبی</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ذکر هذه النقطة یوضِّح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التغییر من استدلال خارق للطبیعة إلی استدلال تجریبی، هو لیس نفس التحویل بین الاستعارة والکنایة، ولکنّه من الطبیعی أن یکون أکثر تعقیداً من ذلک؛ إذ إنّ الاستعارة والکنایة کلاهما </w:t>
      </w:r>
    </w:p>
    <w:p>
      <w:pPr>
        <w:pStyle w:val="BookText"/>
        <w:rPr/>
      </w:pPr>
      <w:r>
        <w:rPr>
          <w:rFonts w:ascii="IRNazanin" w:hAnsi="IRNazanin" w:eastAsia="IRNazanin"/>
          <w:color w:val="111111"/>
          <w:sz w:val="28"/>
          <w:sz w:val="28"/>
          <w:szCs w:val="28"/>
          <w:rtl w:val="true"/>
          <w:lang w:bidi="fa-IR"/>
        </w:rPr>
        <w:t>یتمّ توظیفهما فی الاستدلال التجریبی</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النقطة التی أودّ أن أُثیرها هنا، فهی أنّ الأساطیر مهما یکن المنهج الذی تستخدمه تحاول أن تخلق ارتباطات بعیدة الاحتمال واعتباطیّة ومبهمة، وتجعلها تبدو طبیعیّة جوهریّة وواضحة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مأساة کربلاء تظهر هذه النقطة بأجلی صورة کما سیمرّ علیک فی هذا الکتاب، ومحاولة التغییر من علاقة بعیدة الاحتمال إلی علاقة طبیعیة، عادةً ما تتمّ من خلال تنقلات بسیطة بین الاستعارة والکنایة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المثال المطروح حول الانتقال من الاستعارة إلی الکنایة وبالعکس فیما یخصّ أُسطورة أسدیوال، وقد لفت نظری مفهوم مهم آخر من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مفهوم التعارض، ویجب أن لا نفهم هذه الکلمة بمفهومها السلبی؛ إذ إنّها بالواقع اصطلاح محاید یشیر فی أغلب استخداماته إلی أیّة علاقةٍ بین مفهومین، یقول لیفی شتراوس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یعمل الفکر الأُسطوری من خلال وسائل تعارض ورموز، ولکن نظریّة التعارض المزدوج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اتُّهِمت باستخدامها بشکلٍ 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بشکلٍ طارئ علی تحلیل الأُسطورة، بصفتها القاسم المشترک الأصغر للقیم المتبادلة التی تنشأ من المقارنة والتشبیه، وهکذا فقد تبدو التعارضات المزدوجة بأشکال متنوّعة کثیرة من المشروطات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متوقّفة علی شروط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التماثلات، والتی تکون علی أشکال مختلفة، والتناقضات، والتعارضات، والقیم النسبیّة، والعبارات المجازیّة، والأفکار المجازیّة، وما شابهها، کلُّ تلک الضروب المختلفة من التعارض تعود إلی الأنواع الغریبة من أشکال الکلام، أضف إلی ذلک أنّها لا تأتی أبداً </w:t>
      </w:r>
    </w:p>
    <w:p>
      <w:pPr>
        <w:pStyle w:val="BookText"/>
        <w:rPr/>
      </w:pPr>
      <w:r>
        <w:rPr>
          <w:rFonts w:ascii="Amiri" w:hAnsi="Amiri" w:eastAsia="Amiri" w:cs="Amiri"/>
          <w:color w:val="111111"/>
          <w:sz w:val="28"/>
          <w:sz w:val="28"/>
          <w:szCs w:val="28"/>
          <w:rtl w:val="true"/>
          <w:lang w:bidi="ar-SA"/>
        </w:rPr>
        <w:t>بشکلٍ مجرّد؛ أی لا تأخذ شکلاً نظریّاً، ولکنها تأخذ شکلاً تطبیقیّاً من ضمن الرموز</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لا یبدو غریباً فی المثال المذکور سالفاً والمأخوذ من أُسطورة أسدیوال أنّ الاتجاهین الجغرافیین أو طریقتی السکن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السکن عند أهل الزوج أو أهل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إحداهما الأُخری، فقد رأینا أنّ الرابط الذی یربط العناصر المأخوذة من الرموز الجغرافیّة والاجتماعیّة مأخوذ أصلاً من رمز ثالث وهو الرمز الاقتصادی التقنی، وهو ما تشیر إلیه الأُسطورة علی أنّه الشرق، والسکن عند أهل الزوج، إذ یشیر هذا الرمز إلی وفرة الطعام بغزارة، ولکن فی 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السکن عند أهل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المجاعة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الأُسطورة یتعارض السکن عند أهل الزوج بالسکن عند أهل الزوجة فیما یتعلّق بوفرة مؤونة الطعام، کما هو الحال فی الفرق بین الشرق والغرب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التی أودّ أن أُشیر إلیها هنا هو أنّ التعارضات التی تکتسب أهمّیة تکون دائماً تعارضات فیما یتعلّق بموضوع معیّن؛ لذا فیمکن للمرء أن یلعب أدواراً عدّة فی الحیاة، فیمکنه أن یصبح زوجاً وأباً ومعلّماً ولاعب کرة قدم هاویاً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فحینما یتعلّق الأمر بعلاقة ذلک المرء مع زوجته، فهذا لا یمتّ بأیّة صلةٍ بکونه لاعب کرة قدم مهاجماً أو مدافعاً، وعندما یکون الحدیث عن قاعة الصف، فهذا ممّا لیس له علاقة بکون ذلک المعلّم متزوجاً أو أعزباً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وحینما یتعلّق الأمر بالحیاة الأُسریّة، فما یخطر علی الذهن هو الأدوار المنزلیّة التی یلعبها الإنسان بصفته زوجاً أو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والتعارض یکون بینه وبین زوجته بصفته الزوج، کما یکون التعارض بینه وبین أطفاله بصفته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ساحة کرة القدم، فتکون الاحتمالات کثیرة فیما یخصّ الدور الذی یلعبه اللاعب، إذ قد أن یکون مهاجماً أو مدافعاً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والتعارض بینه وبین أعضاء الفریق الآخرین یمکن أن یأخذ شکل کونه رجلاً خلوقاً فی غرفة تبدیل الملابس، ویمکن أن یأخذ شکل کونه مهاجماً فی الفریق، کما یمکن أن تأخذ أشکالاً أُخری، ککونه بطل الفریق إذا کان الأفضل بینهم، والتعارض بینه وبین الفرق الأُخری، هو أنّه یعتبر خطراً علی تلک الفرق التی تواجه فریقه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 یحلّل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الأساطیر فإنّه کثیراً ما یتکلّم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مؤهلة للقیام بأکثر من وظیفة؛ إذ یمکن لتلک الاصطلاحات أن تکون ممثلة بأشخاص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أناساً معینین أو حیوانات أو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أی موضوع قادر علی التمثیل، وقادر علی أن یلعب دوراً ما فی الأُسطورة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الوظیفة التی نتحدّث عنها فتأخذ أدواراً مختلفة، أو سمات تحملها وتعبّر عنها تلک الاصطلاحات، ویواجهنا فی الأُسطورة عدد من الشخصیات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یمکن أن یکون لها أدوار عدیدة، أی وظائف</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نُوقش 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من قبل الأُستاذ الرومانی سولومون مارکوس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Solomon Marcus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وهو متخصّص فی الریاضیات ونظریّة وظائف الإشارات والعلامات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 کلُّ </w:t>
      </w:r>
    </w:p>
    <w:p>
      <w:pPr>
        <w:pStyle w:val="BookText"/>
        <w:rPr/>
      </w:pPr>
      <w:r>
        <w:rPr>
          <w:rFonts w:ascii="IRNazanin" w:hAnsi="IRNazanin" w:eastAsia="IRNazanin"/>
          <w:color w:val="111111"/>
          <w:sz w:val="28"/>
          <w:sz w:val="28"/>
          <w:szCs w:val="28"/>
          <w:rtl w:val="true"/>
          <w:lang w:bidi="fa-IR"/>
        </w:rPr>
        <w:t>شخصیةٍ میداناً من السمات الدلالیّة، ولکن قلیلاً من تلک الشخصیات أو واحدة یمکن أن تخلق دوراً، فإذا لم تحدّد الاصطلاحات بالوظائف فإنّها لن تکون أکثر من عناصر عائمة، وهذا یعنی أنّ الشخصیات بمجرّدها إذا کانت لا تمثّل أیَّ دورٍ، فإنّها تصوّریّة وکیانات خیالیّة لیس لها وجود علی أرض الواقع</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یمکننا من بین الأدوار الکثیرة المحتملة، أن نعرف الدور الذی یمکن أن یتحقّق فی الواقع فی السیاق الذی بین أیدینا إلّا من خلال معرفة التعارض بینه وبین شخصیة أُخری تلعب دوراً مختلفاً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یضرب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مثالاً مأخوذاً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الخزاف الغیور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للکاتب لیفی شتراوس، ففی هذا الکتاب ینشأ الترابط بین الأساطیر من خلال تعارض المرأة وطائر السبد من جهة، برجال آخرین من جهةٍ أُخری،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حینما یکون التعارض بین امرأة وطائر، فإنّنا سنختار تلک السمات الدلالیّة للمرأة التی تکون أوثق صلة بالموضوع فی تعریفنا لذلک الاختلاف والتعارض بینها وبین ذلک الطائر، ولکن حین یکون التعارض بین امرأة ورجل، فإنّنا سنختار السمات الدلالیّة التی تبیّن التعارض بین المرأة والرجل؛ لذا فإنّ سمة الإنسانیّة هی الأنسب فی الحالة الأُولی، بینما سمات أُخری مثل الغیرة تکون هی الأوثق صلةً بالموضوع</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یمکن أن نعرّف التعارضات المزدوجة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مرکبات البنیة </w:t>
      </w:r>
    </w:p>
    <w:p>
      <w:pPr>
        <w:pStyle w:val="BookText"/>
        <w:rPr/>
      </w:pPr>
      <w:r>
        <w:rPr>
          <w:rFonts w:ascii="IRNazanin" w:hAnsi="IRNazanin" w:eastAsia="IRNazanin"/>
          <w:color w:val="111111"/>
          <w:sz w:val="28"/>
          <w:sz w:val="28"/>
          <w:szCs w:val="28"/>
          <w:rtl w:val="true"/>
          <w:lang w:bidi="fa-IR"/>
        </w:rPr>
        <w:t>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التعریف الذی یعود للکاتب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حقّاً تعریف رائد ودقیق</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وسنعود إلی مناقشة أوسع لمفهومی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لاحقاً، ولکن یبدو أنّ علینا الآن أن نقدّم مصطلحاً آخر مهماً من المصطلحات التی استخدمها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للتعبیر عن طریقة تفکیره، وهو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علمنا أنّ وظیفة الأُسطورة علی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تقلیل التناقضات الحاصلة فی الواقع، إذ لا یمکن بأیِّ حالٍ من الأحوال أن نضع حدّاً للصراعات فی الأُسطورة، ولکن یمکننا أن نتعامل معها علی أساس تشبیهها بمجالات أُخری من الحیاة، حیث یمکن لنا من خلال تلک المجالات أن نتعامل مع الصراعات بشکلٍ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ویلعب الوسطاء دوراً مهماً فی هذه العملیة التی یناقشها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مقالته الرئیسة المسمّاة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الدراسة البنیویّة للأُسطورة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یشیر إلی حقیقة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الأساطیر الأمیرکیّة لطالما یتعامل معه محلّلو الأساطیر علی أنّه شخصیة مشکلة ومشکوک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یتساءل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یُعطی هذا الدور فی أغلب الأحیان إلی القیوط</w:t>
      </w:r>
      <w:r>
        <w:rPr>
          <w:rStyle w:val="FootnoteAnchor"/>
          <w:rtl w:val="true"/>
        </w:rPr>
        <w:footnoteReference w:id="256"/>
      </w:r>
      <w:r>
        <w:rPr>
          <w:rFonts w:ascii="IRNazanin" w:hAnsi="IRNazanin" w:eastAsia="IRNazanin"/>
          <w:color w:val="111111"/>
          <w:sz w:val="28"/>
          <w:sz w:val="28"/>
          <w:szCs w:val="28"/>
          <w:rtl w:val="true"/>
          <w:lang w:bidi="fa-IR"/>
        </w:rPr>
        <w:t>أو الغراب الأسود؟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ویجیب عن هذا التساؤل عن طریق ضرب مثال من أساطیر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الهنود البویبلو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Pueblo Indians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دائماً ما یتمّ استبدال اصطلاحین متعارضین لا یتوسطهم أیّة واسطة باصطلاحین آخرین مقابلین لهما، شریطة أن یکون بینهما واسطة، ثمّ یأتی ثالوث آخر لیستبدل الاصطلاحین الآخرین وواسطتهما وهکذا؛ فیصبح لنا مرکّب وسطی یأخذ الشکل المطروح فی الجدول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 الأوّلی</w:t>
      </w:r>
    </w:p>
    <w:p>
      <w:pPr>
        <w:pStyle w:val="BookText"/>
        <w:rPr/>
      </w:pPr>
      <w:r>
        <w:rPr>
          <w:rFonts w:ascii="IRNazanin" w:hAnsi="IRNazanin" w:eastAsia="IRNazanin"/>
          <w:color w:val="111111"/>
          <w:sz w:val="28"/>
          <w:sz w:val="28"/>
          <w:szCs w:val="28"/>
          <w:rtl w:val="true"/>
          <w:lang w:bidi="fa-IR"/>
        </w:rPr>
        <w:t>الثالوث الأوّل</w:t>
      </w:r>
    </w:p>
    <w:p>
      <w:pPr>
        <w:pStyle w:val="BookText"/>
        <w:rPr/>
      </w:pPr>
      <w:r>
        <w:rPr>
          <w:rFonts w:ascii="IRNazanin" w:hAnsi="IRNazanin" w:eastAsia="IRNazanin"/>
          <w:color w:val="111111"/>
          <w:sz w:val="28"/>
          <w:sz w:val="28"/>
          <w:szCs w:val="28"/>
          <w:rtl w:val="true"/>
          <w:lang w:bidi="fa-IR"/>
        </w:rPr>
        <w:t>الثالوث</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الحیاة</w:t>
      </w:r>
    </w:p>
    <w:p>
      <w:pPr>
        <w:pStyle w:val="BookText"/>
        <w:rPr/>
      </w:pPr>
      <w:r>
        <w:rPr>
          <w:rFonts w:ascii="Amiri" w:hAnsi="Amiri" w:eastAsia="Amiri" w:cs="Amiri"/>
          <w:color w:val="111111"/>
          <w:sz w:val="28"/>
          <w:sz w:val="28"/>
          <w:szCs w:val="28"/>
          <w:rtl w:val="true"/>
          <w:lang w:bidi="ar-SA"/>
        </w:rPr>
        <w:t>الزراعة</w:t>
      </w:r>
    </w:p>
    <w:p>
      <w:pPr>
        <w:pStyle w:val="BookText"/>
        <w:rPr/>
      </w:pPr>
      <w:r>
        <w:rPr>
          <w:rFonts w:ascii="IRNazanin" w:hAnsi="IRNazanin" w:eastAsia="IRNazanin"/>
          <w:color w:val="111111"/>
          <w:sz w:val="28"/>
          <w:sz w:val="28"/>
          <w:szCs w:val="28"/>
          <w:rtl w:val="true"/>
          <w:lang w:bidi="fa-IR"/>
        </w:rPr>
        <w:t>الحیوانات المقتاتة</w:t>
      </w:r>
    </w:p>
    <w:p>
      <w:pPr>
        <w:pStyle w:val="BookText"/>
        <w:rPr/>
      </w:pPr>
      <w:r>
        <w:rPr>
          <w:rFonts w:ascii="IRNazanin" w:hAnsi="IRNazanin" w:eastAsia="IRNazanin"/>
          <w:color w:val="111111"/>
          <w:sz w:val="28"/>
          <w:sz w:val="28"/>
          <w:szCs w:val="28"/>
          <w:rtl w:val="true"/>
          <w:lang w:bidi="fa-IR"/>
        </w:rPr>
        <w:t>علی العشب</w:t>
      </w:r>
    </w:p>
    <w:p>
      <w:pPr>
        <w:pStyle w:val="BookText"/>
        <w:rPr/>
      </w:pPr>
      <w:r>
        <w:rPr>
          <w:rFonts w:ascii="IRNazanin" w:hAnsi="IRNazanin" w:eastAsia="IRNazanin"/>
          <w:color w:val="111111"/>
          <w:sz w:val="28"/>
          <w:sz w:val="28"/>
          <w:szCs w:val="28"/>
          <w:rtl w:val="true"/>
          <w:lang w:bidi="fa-IR"/>
        </w:rPr>
        <w:t>الحیوانات</w:t>
      </w:r>
    </w:p>
    <w:p>
      <w:pPr>
        <w:pStyle w:val="BookText"/>
        <w:rPr/>
      </w:pPr>
      <w:r>
        <w:rPr>
          <w:rFonts w:ascii="IRNazanin" w:hAnsi="IRNazanin" w:eastAsia="IRNazanin"/>
          <w:color w:val="111111"/>
          <w:sz w:val="28"/>
          <w:sz w:val="28"/>
          <w:szCs w:val="28"/>
          <w:rtl w:val="true"/>
          <w:lang w:bidi="fa-IR"/>
        </w:rPr>
        <w:t xml:space="preserve">المقتاتة علی الجیف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کالغراب</w:t>
      </w:r>
    </w:p>
    <w:p>
      <w:pPr>
        <w:pStyle w:val="BookText"/>
        <w:rPr/>
      </w:pPr>
      <w:r>
        <w:rPr>
          <w:rFonts w:ascii="IRNazanin" w:hAnsi="IRNazanin" w:eastAsia="IRNazanin"/>
          <w:color w:val="111111"/>
          <w:sz w:val="28"/>
          <w:sz w:val="28"/>
          <w:szCs w:val="28"/>
          <w:rtl w:val="true"/>
          <w:lang w:bidi="fa-IR"/>
        </w:rPr>
        <w:t>والقیوط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الحیوانات</w:t>
      </w:r>
    </w:p>
    <w:p>
      <w:pPr>
        <w:pStyle w:val="BookText"/>
        <w:rPr/>
      </w:pPr>
      <w:r>
        <w:rPr>
          <w:rFonts w:ascii="Amiri" w:hAnsi="Amiri" w:eastAsia="Amiri" w:cs="Amiri"/>
          <w:color w:val="111111"/>
          <w:sz w:val="28"/>
          <w:sz w:val="28"/>
          <w:szCs w:val="28"/>
          <w:rtl w:val="true"/>
          <w:lang w:bidi="ar-SA"/>
        </w:rPr>
        <w:t>المفترسة</w:t>
      </w:r>
    </w:p>
    <w:p>
      <w:pPr>
        <w:pStyle w:val="BookText"/>
        <w:rPr/>
      </w:pPr>
      <w:r>
        <w:rPr>
          <w:rFonts w:ascii="IRNazanin" w:hAnsi="IRNazanin" w:eastAsia="IRNazanin"/>
          <w:color w:val="111111"/>
          <w:sz w:val="28"/>
          <w:sz w:val="28"/>
          <w:szCs w:val="28"/>
          <w:rtl w:val="true"/>
          <w:lang w:bidi="fa-IR"/>
        </w:rPr>
        <w:t>لصید</w:t>
      </w:r>
    </w:p>
    <w:p>
      <w:pPr>
        <w:pStyle w:val="BookText"/>
        <w:rPr/>
      </w:pPr>
      <w:r>
        <w:rPr>
          <w:rFonts w:ascii="IRNazanin" w:hAnsi="IRNazanin" w:eastAsia="IRNazanin"/>
          <w:color w:val="111111"/>
          <w:sz w:val="28"/>
          <w:sz w:val="28"/>
          <w:szCs w:val="28"/>
          <w:rtl w:val="true"/>
          <w:lang w:bidi="fa-IR"/>
        </w:rPr>
        <w:t>الحرب</w:t>
      </w:r>
    </w:p>
    <w:p>
      <w:pPr>
        <w:pStyle w:val="BookText"/>
        <w:rPr/>
      </w:pPr>
      <w:r>
        <w:rPr>
          <w:rFonts w:ascii="IRNazanin" w:hAnsi="IRNazanin" w:eastAsia="IRNazanin"/>
          <w:color w:val="111111"/>
          <w:sz w:val="28"/>
          <w:sz w:val="28"/>
          <w:szCs w:val="28"/>
          <w:rtl w:val="true"/>
          <w:lang w:bidi="fa-IR"/>
        </w:rPr>
        <w:t>الموت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ترکیبة أساطیر الهنود البویبلو کما یراها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ویولّد کلُّ اصطلاح الاصطلاح الذی یأتی بعده عن طریق عملیة مزدوجة من التعارض والواسطة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یُظهر الجدول السابق بأنّ التعارض الرئیس عند الهنود البویبلو هو تعارض الموت والحیاة، وهذا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فی الحقیقة التعارض الرئیس عند کلّ الجنس البشری ککل</w:t>
      </w:r>
      <w:r>
        <w:rPr>
          <w:rStyle w:val="FootnoteAnchor"/>
          <w:rtl w:val="true"/>
        </w:rPr>
        <w:footnoteReference w:id="259"/>
      </w:r>
      <w:r>
        <w:rPr>
          <w:rFonts w:ascii="IRNazanin" w:hAnsi="IRNazanin" w:eastAsia="IRNazanin"/>
          <w:color w:val="111111"/>
          <w:sz w:val="28"/>
          <w:sz w:val="28"/>
          <w:szCs w:val="28"/>
          <w:rtl w:val="true"/>
          <w:lang w:bidi="fa-IR"/>
        </w:rPr>
        <w:t xml:space="preserve">، والذی هو تعارض أخطر وأصعب من أن یتمّ التعامل معه، وقد تمّ استبداله بالتعارض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سبب الحیاة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سبب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التعارض أضعف من التعارض بین الحیاة والموت؛ لأنّه یکون تحت سیطرة الإنسان إلی حدٍّ معیّن علی الأقلّ، ولکن یتمّ إدخال الصید بین هذین القطبین فی هذا التعارض الجدید کواسطة؛ لأنّه یشاطر القطبین المتعارضین فی صفاتهما، حیث إنّ الزراعة توفر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تسبّب الحروب الموت، وفی حالة الزراعة والصید یُنشیء أحد الاصطلاحات المحوریّة والواسطة تعارضاً جدیداً، حیث تدخل الحیوانات التی تقتات علی العشب کواسطة، فبالرغم من أنّ هذه الحیوانات تأکل النبات فقط ولا تقتل ما تقتات علیه، ولکنّها عرضة للاصطیاد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الجهة المقابلة لتلک الحیوانات التی تقتات علی النبات تقف الحیوانات المفترسة، ثمّ تدخل واسطة جدیدة بین هذین النوعین من الحیوانات، وهی الحیوانات التی تقتات علی الجیف، السباع التی تأکل جیف الحیوانات المیتة ولکنها </w:t>
      </w:r>
    </w:p>
    <w:p>
      <w:pPr>
        <w:pStyle w:val="BookText"/>
        <w:rPr/>
      </w:pPr>
      <w:r>
        <w:rPr>
          <w:rFonts w:ascii="IRNazanin" w:hAnsi="IRNazanin" w:eastAsia="IRNazanin"/>
          <w:color w:val="111111"/>
          <w:sz w:val="28"/>
          <w:sz w:val="28"/>
          <w:szCs w:val="28"/>
          <w:rtl w:val="true"/>
          <w:lang w:bidi="fa-IR"/>
        </w:rPr>
        <w:t>لا تسبب الموت لما تأکل، تماماً مثل الحیوانات المقتاتة علی العشب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یدخل حیوانا القیوط والغراب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حیوانان یقتاتان علی الجیف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المشهد، وحسب 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المخادع یلعب دور الواسطة، ولأنّ وظیفته فی التوسط تشغل موقعاً یقع فی الوسط بین اصطلاحین محوریین؛ فلا بدّ له من أن یستبقی شیئاً من تلک الازدواجیّة، أی تکون شخصیته غامضة ومریبة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وظیفة الواسطة هی إنشاء جسر بین الأشیاء المتعارضة، ولکن تلک الواسطة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حالات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علی تأکید المسافة بین تلک الأشیاء المتعارضة، أی أنّها تبیّن بأنّ من الاستحالة لتلک الأشیاء المتعارضة أن تنتصر، أو یجب أن یُسمح لها بالانتصار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ولنأخذ مثالاً مشوّقاً علی الوظیفة المزدوجة للواسطة من إحدی أساطیر منطقة الأمازون، وفی هذه الأُسطورة تسافر الشمس والقمر فی زورق، وهذا الزورق یستلزم أن یقوده شخصان، یجلس أحدهما فی مقدّمته لیجذف، والآخر الذی یوجّه الزورق یجلس فی مؤخّرته، وکلا الشخصین لا بدّ من وجودهما فی الزورق، ولا یمکن لهما أن یقتربا أو یبتعدا عن بعضهما البعض؛ إذ لا بدّ لهما من المحافظة علی مرکزهما فی الزورق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وتقول الأُسطورة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اقتربت الشمس والقمر من بعضهما البعض فی ذلک الزورق، فإنّ العالم سیحترق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حرارة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یتعفّن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الماء الذی یرافق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یحترق ویتعفّن فی نفس الوقت، وإذا ابتعدت الشمس والقمر أکثر من اللازم، فإنّ تعاقب اللیل والنهار سیتعرّض للخطر، مّما یسبب تشوّشاً واضطراباً فی نظام الکون، ومع بقاء الشمس والقمر فی الزورق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الواسطة فی </w:t>
      </w:r>
    </w:p>
    <w:p>
      <w:pPr>
        <w:pStyle w:val="BookText"/>
        <w:rPr/>
      </w:pPr>
      <w:r>
        <w:rPr>
          <w:rFonts w:ascii="IRNazanin" w:hAnsi="IRNazanin" w:eastAsia="IRNazanin"/>
          <w:color w:val="111111"/>
          <w:sz w:val="28"/>
          <w:sz w:val="28"/>
          <w:szCs w:val="28"/>
          <w:rtl w:val="true"/>
          <w:lang w:bidi="fa-IR"/>
        </w:rPr>
        <w:t>هذه الأُسطورة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المسافة بینهما ستحقّق التکامل فی الکون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والمثال الآخر علی الدور المزدوج الذی یلعبه الواسطة هو القبّعة فی بعض الأساطیر، والتی تؤدّی نفس الدور الذی یلعبه الضباب فی أساطیر أُخری،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نری فی فکر الهنود الأمیرکیین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فی فکر أقوام آخرین فی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القبعة تؤدی وظیفة واسطة بین العالی والمنخفض، والسماء والأرض، والعالم الخارجی والجسد، فهی تلعب دور الوساطة بین هذین القطبین؛ إذ إنّهما إمّا أن یتّحدا وإمّا أن یتفرّقا إلی مسافات مختلفة، وکما قلت فیما مضی، فهذا هو أیضاً الدور الذی یلعبه الضباب، والذی یکون تارةً فاصلاً وتارةً أُخری رابطاً بالتناوب بین العالی والمنخفض وبین السماء والأرض، فهو اصطلاح توسطی یوحِّد الطرفین ویجعلهما غیر متمیّزین عن بعضهما البعض، أو یدخل بینهما لکی یمنع اقتراب أحدهما من الآخر</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وظیفتی الربط والفصل التی یؤدّیها أُولئک الذین یلعبون دور الوسائط فی الأساطیر، باعتبارهم وسائط إیجابیّة وسلبیّة علی التوالی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144" w:name="pg5097_58332"/>
    </w:p>
    <w:p>
      <w:pPr>
        <w:pStyle w:val="Heading3"/>
        <w:numPr>
          <w:ilvl w:val="2"/>
          <w:numId w:val="1"/>
        </w:numPr>
        <w:rPr/>
      </w:pPr>
      <w:bookmarkStart w:id="145" w:name="__RefHeading___Toc1259894_774463916"/>
      <w:bookmarkStart w:id="146" w:name="_Toc51"/>
      <w:bookmarkEnd w:id="144"/>
      <w:bookmarkEnd w:id="145"/>
      <w:r>
        <w:rPr>
          <w:rtl w:val="true"/>
        </w:rPr>
        <w:t>الصیغة القانونیّة وتطبیقاتها</w:t>
      </w:r>
      <w:bookmarkEnd w:id="146"/>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الأساطیر تتحوّل حسب نمطٍ خاصٍّ، والذی یسمّیه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قانونیّة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ویمکن إیجاز هذه العلاقة فی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أوّلاً فی إحدی مقالاته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الدراسة البنیویّة للأُسطورة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وتکرّرت فی فترات متباعدة جدّاً لحین نشر بعض مقالاته فی علم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الأنثروبولوجیا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والأُسطورة </w:t>
      </w:r>
      <w:r>
        <w:rPr>
          <w:rFonts w:eastAsia="Times New Roman" w:cs="Times New Roman" w:ascii="Times New Roman" w:hAnsi="Times New Roman"/>
          <w:color w:val="111111"/>
          <w:sz w:val="28"/>
          <w:szCs w:val="28"/>
          <w:lang w:val="en-US" w:bidi="en-US"/>
        </w:rPr>
        <w:t>Anthropology And Myth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الخزّاف الغیور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Jealous Potter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وأعماله الأخیرة، حیث استخدم هذه الصیغة بصورة صریحة</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وهناک مقالة مهمّة جدّاً، علی الرغم من أنّها فنیّة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حدٍّ بعید، هی مقالة بتیتو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إلی التشکّل الدینامیکی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Petitot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Approche Morphodynamique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وهناک مجموعة منتخبة من المقالات حول الصیغة القانونیّة من وجهات نظر مختلفة فی کتاب ماراندا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الانعطاف المزدوج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Maranda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Double Twist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الذی یتضمّن خلاصة بالإنجلیزیّة حول المیزات المهمّة لکتاب سکوبلا المذکور أعلاه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الرغم من أنّ هذه الصیغة غائبة تماماً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المیثولوجیا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الأساطیر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Mythologiques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فقد بیّن مرّات عدیدة أنّها کانت علی قدرٍ کبیر من </w:t>
      </w:r>
    </w:p>
    <w:p>
      <w:pPr>
        <w:pStyle w:val="BookText"/>
        <w:rPr/>
      </w:pPr>
      <w:r>
        <w:rPr>
          <w:rFonts w:ascii="IRNazanin" w:hAnsi="IRNazanin" w:eastAsia="IRNazanin"/>
          <w:color w:val="111111"/>
          <w:sz w:val="28"/>
          <w:sz w:val="28"/>
          <w:szCs w:val="28"/>
          <w:rtl w:val="true"/>
          <w:lang w:bidi="fa-IR"/>
        </w:rPr>
        <w:t>الأهمّیة له فی کلِّ أجزاء کتابه مع الأساطیر التی قام بتحلیلها فی تلک الکتب</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تکون الصیغة کالتالی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Fx(A): Fy(B): : Fx(B): Fa-1(Y)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التعلیق الغامض حول هذه الصیغة، عندما ظهرت أول مرّة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مع إعطاء طرفین أو عنصرین هما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ووظیفتین هما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لهذین الطرفین؛ یُفترض وجود علاقة من التکافؤ بین موقفین یُعَرَّفان علی التوالی بتضادّ الأطراف والعلاقات تحت 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استبدال أحد الأطراف بنقیضه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الصیغة أعلاه،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A-1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بین قیمة الوظیفة وقیمة الطرف لعنصرین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الصیغة أعلاه</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الفقرة، ظهرت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أعلاه لأوّل مرّة،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الجزء الحاسم من المعادلة هو العنصر الرابع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حیث الطرف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 استبدل بنقیضه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والطرف والوظیفة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أو بالأحری قیمتاهما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غیّرا مکانیهما، والآن، ماذا یعنی ذلک؟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المشکلة الأساسیّة فی الصیغة القانونیّة هی أنّ مؤلّفها لم یوضّح بصورة صریحة أبداً معناها، ولم یُعطِ مثالاً خالیاً من الغموض، لیبیّن کیفیّة استخدام هذه الصیغة، أو کیف ینبغی أن تُطبّق فی الحالات الأُخری، وبالرغم من مظهر الصیغة الریاضی، </w:t>
      </w:r>
    </w:p>
    <w:p>
      <w:pPr>
        <w:pStyle w:val="BookText"/>
        <w:rPr/>
      </w:pP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لیفی شتراوس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Lévi-Strauss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 صرّح لمرّاتٍ عدیدة بألّا تُقرأَ علی أنّها معادلة ریاضیّة،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کشکل أو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کتصمیم بیانی والذی یمکن، کما أعتقد، أن ییسّر الإدراک البدهی لسلسلة من العلاقات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شتراوس، الرجل العاری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Naked 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وألی کونغاس ماراندا وبییر ماراندا، النماذج البنیویّة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Maranda And Maranda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Structural Models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بیّنت ردود الأفعال علی هذه الصیغة، فإنّها لیست بتلک السهولة حتی تُفهَم بالبدیهة من قبل أغلب القرّاء، کما یقول المؤلّف، ولا لأُولئک الذین اتّخذوا موقفاً سلبیّاً تجاهها، ولا لأُولئک الذین مالوا إلیها إیجابیّاً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الأکثر وضوحاً لهذه الصیغة، والذی 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هو استخدامه العملی لهذه الصیغة فی تحلیله لسلسلة أساطیر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جیفارو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Jivaro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الخزّاف الغیور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Jealous Potter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وفیما یلی خلاصة للأُسطورة الرئیسیّة فی هذا الکتاب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للشمس</w:t>
      </w:r>
      <w:r>
        <w:rPr>
          <w:rStyle w:val="FootnoteAnchor"/>
          <w:rtl w:val="true"/>
        </w:rPr>
        <w:footnoteReference w:id="269"/>
      </w:r>
      <w:r>
        <w:rPr>
          <w:rFonts w:ascii="IRNazanin" w:hAnsi="IRNazanin" w:eastAsia="IRNazanin"/>
          <w:color w:val="111111"/>
          <w:sz w:val="28"/>
          <w:sz w:val="28"/>
          <w:szCs w:val="28"/>
          <w:rtl w:val="true"/>
          <w:lang w:bidi="fa-IR"/>
        </w:rPr>
        <w:t xml:space="preserve">والقمر نفس الزوجة، وتسمّی أوهو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Aôho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وتعنی طائر السُّبَد</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xml:space="preserve">، الشمس الحارّة القویّة ضحکت من القمر البارد الضعیف، غضب القمر </w:t>
      </w:r>
    </w:p>
    <w:p>
      <w:pPr>
        <w:pStyle w:val="BookText"/>
        <w:rPr/>
      </w:pPr>
      <w:r>
        <w:rPr>
          <w:rFonts w:ascii="IRNazanin" w:hAnsi="IRNazanin" w:eastAsia="IRNazanin"/>
          <w:color w:val="111111"/>
          <w:sz w:val="28"/>
          <w:sz w:val="28"/>
          <w:szCs w:val="28"/>
          <w:rtl w:val="true"/>
          <w:lang w:bidi="fa-IR"/>
        </w:rPr>
        <w:t xml:space="preserve">وصعد إلی السماء علی شجرة الکرم، وهو ینفخ علی الشمس لیدفعها بعیداً، تسلّقت أوهو خلف القمر، وأخذت سلّةً من الطین کالذی تستخدمه النساء فی صناعة الخزف، قطع القمر الکرمة فسقطت أوهو إلی الأرض، تناثر الطین علی جمیع الأرض، حیث یمکن للرجال العثور علیه، وتحوّلت أوهو إلی طائر السُّبَد، وبعد ذلک تسلّقت الشمس الکَرمة، ولکنّ الشمس والقمر أخذا یتهرّبان من بعضهما البعض، ولم یُرَیا معاً أبداً، من أجل هذا، أصبح رجال الجیفارو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Jivaro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غیورین من أحدهما الآخر وتقاتلوا علی النساء</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تحلیله هذه الأُسطورة مع عددٍ آخر من أساطیر مختلفة، یتساءل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العلاقة بین السُّبّد، الذی یمثّل هنا طائراً غَیوراً أو سبباً للغیرة، وبین النساء اللاتی یأتین هنا لبیان أصل صناعة الخزف؟</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وإحدی الأفکار الرئیسیّة فی هذه الأُسطورة هی الغیرة الزوجیّة، وزیادةً علی ذلک، فإنّ صناعة الخزف تعتبر فی الغالب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فقط فی ثقافة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جیفارو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Jivaro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بل فی جمیع أنحاء العالم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فرض الشکل علی الشیء عدیم الشکل هو ممارسة السیطرة علیه؛ أی فرض الثقافة علی الطبیعة وامتلاکها، بالإضافة إلی ذلک، فإنّ التقنیات المتّبعة فی صناعة الخزف مرهفة إلی حدٍّ بعید، وهی بذاتها محاطة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مواقف وطقوس الإقصاء والتی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معادلها الروائی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وترتبط صناعة الخزف بین الکثیر من الهنود الحمر فی قارّة أمیرکا بالمرأة، التی تکون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أثناء فترة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هیأة کالآنیة، </w:t>
      </w:r>
    </w:p>
    <w:p>
      <w:pPr>
        <w:pStyle w:val="BookText"/>
        <w:rPr/>
      </w:pPr>
      <w:r>
        <w:rPr>
          <w:rFonts w:ascii="IRNazanin" w:hAnsi="IRNazanin" w:eastAsia="IRNazanin"/>
          <w:color w:val="111111"/>
          <w:sz w:val="28"/>
          <w:sz w:val="28"/>
          <w:szCs w:val="28"/>
          <w:rtl w:val="true"/>
          <w:lang w:bidi="fa-IR"/>
        </w:rPr>
        <w:t>ودورها یکون کالحاویة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ویرتبط طائر السُّبَد بالغیرة؛ ففمه الکبیر یوحی بمشاعر الجشع، وطباعه اللیلیّة وصوته الحزین الموحش، وحقیقة أنّه لا یبنی عشّاً ولا یعیش مع قرین، کلُّ ذلک یبیّن انطوائیّته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أفکار کلّها توحی بنزعة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استُغِلّت نزعة الغیرة فی طائر السُّبَد فی کثیرٍ من الأساطیر فی کلِّ أنحاء القارّتین الأمیرکیتین</w:t>
      </w:r>
      <w:r>
        <w:rPr>
          <w:rStyle w:val="FootnoteAnchor"/>
          <w:rtl w:val="true"/>
        </w:rPr>
        <w:footnoteReference w:id="274"/>
      </w:r>
      <w:r>
        <w:rPr>
          <w:rFonts w:ascii="IRNazanin" w:hAnsi="IRNazanin" w:eastAsia="IRNazanin"/>
          <w:color w:val="111111"/>
          <w:sz w:val="28"/>
          <w:sz w:val="28"/>
          <w:szCs w:val="28"/>
          <w:rtl w:val="true"/>
          <w:lang w:bidi="fa-IR"/>
        </w:rPr>
        <w:t xml:space="preserve">ولهذا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علاقة بین المرأة وصناعة الخزف، بین المرأة والغیرة، وبین السُّبد والغیرة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ماهو الارتباط بین السّبد وصناعة الخزف؛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یأتی السُّبد فی الأساطیر عند الحدیث عن أُصول صناعة الخزف؟ وللجواب علی هذا السؤال، یستخدم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الآن، تمّ تحدید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والسّبد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ووظیفتین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الخزافة والغیرة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وطبقاً للصیغة القانونیّة تکون العلاقة بین هذه الأطراف والوظائف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Fj (G): Fa(W) : : Fj(W): Fg-1(P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طائر السّبد،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المرأة،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الغیرة،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الخزافة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غیرة السُّبد بالنسبة لوظیفة خزافة المرأة هی کوظیفة غیرة المرأة بالنسبة لوظیفة السّبد المعکوس للخزّاف</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العلاقات الثلاث الأُولی فی المعادلة قد تمّ تعیینها بالفعل، فهناک ترابط بین </w:t>
      </w:r>
    </w:p>
    <w:p>
      <w:pPr>
        <w:pStyle w:val="BookText"/>
        <w:rPr/>
      </w:pPr>
      <w:r>
        <w:rPr>
          <w:rFonts w:ascii="IRNazanin" w:hAnsi="IRNazanin" w:eastAsia="IRNazanin"/>
          <w:color w:val="111111"/>
          <w:sz w:val="28"/>
          <w:sz w:val="28"/>
          <w:szCs w:val="28"/>
          <w:rtl w:val="true"/>
          <w:lang w:bidi="fa-IR"/>
        </w:rPr>
        <w:t>السُّبد والغیرة، وبین المرأة والخزافة، وبین المرأة والغیرة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الأساطیر عادةً تتّبع أُسلوب التحوّل کما فی المعادلة، فإنّه یجب أن تکون هناک العلاقة الرابعة، کما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الرغم من أنّها لا توجد فی أساطیر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جیفارو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Jivaro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فی الأساطیر الأُخری لسکان أمیرکا الجنوبیّة، فهناک 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علی عکس طائر السُّبد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الفرّان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Ovenbird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الذی یعیش فی تآلفٍ مع قرینٍ آخر، ویقوم بأفعاله الیومیّة فی النهار، وله صوت بهیج، ویبنی أعشاشاً جمیلة من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الطائر صفات هی علی العکس تماماً من صفات طائر السُّبد، والواقع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هناک أساطیر کثیرة منتشرة بین الشعوب المجاورة لشعب الجیفارو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Jivaro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تحتوی علی طائر الفرّان،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النقیض لأساطیر طائر السُّبَد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هذا النوع من التحوّل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الانعطاف المزدوج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Double Twist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المتمثّل بالعنصر الرابع فی المعادلة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عندما تتجاوز الأُسطورة أحد الحدود، مثلاً أحد حدود اللغة أو الحدّ الثقافی، أو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یتبنّاه فی أحد تحلیلاته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عمارة الساعة الرملیّة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التحوّل من مادّة بناءٍ إلی أُخری، هو مسألة غالباً ما طرحها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بالإضافة إلی ذلک، فقد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أمثلته 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الأساطیر المتحوّلة بهذه الطریقة 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من مجموعة تحوّلات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أحیاناً یطبّق المعادلة علی العلاقة بین الأُسطورة والطقوس، وحتّی علی فنّ العمارة کما بینّا سابقاً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ذلک، فالحقیقة هی أنّه بالرغم من الاستعمال المتکرّر للصیغة القانونیّة فی مؤلَّفات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اللاحقة، فإنّ کثیراً من خواصّها بقیت خافیة فی ضبابٍ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الأنثروبولوجیا الفرنسی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لوسیه سکوبلا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Lucien Scubla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 حدّد بعضاً من أهمّ تلک العقبات ذات الصلة بالموضوع، ومنها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 تعریف مجال تطبیق المعادلة بصورةٍ وافیة، وتنطبق هذه المشکلة علی نوع المواضیع المستخدمة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الأساطیر، الطقوس، العلاقة بین الأُسطورة والطقس، فنّ العمارة،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علی شمولیّة تطبیقها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عام کقانون الجاذبیّة لنیوتن، أو عامل منطقی یربط أساطیر من ثقافاتٍ متجاورة ببعضها؟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المعادلة بصورةٍ 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p>
    <w:p>
      <w:pPr>
        <w:pStyle w:val="BookText"/>
        <w:rPr/>
      </w:pPr>
      <w:r>
        <w:rPr>
          <w:rFonts w:ascii="IRNazanin" w:hAnsi="IRNazanin" w:eastAsia="IRNazanin"/>
          <w:color w:val="111111"/>
          <w:sz w:val="28"/>
          <w:sz w:val="28"/>
          <w:szCs w:val="28"/>
          <w:rtl w:val="true"/>
          <w:lang w:bidi="fa-IR"/>
        </w:rPr>
        <w:t xml:space="preserve">وأمّا تطبیقها العام فلم یتمّ التطرّق له أبداً، وفی کلِّ مرّةٍ یقوم بتطبیق هذه الصیغة یتمّ استخدام جزء صغیر من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ولم یَرِدْ أبداً بیان السبب فی اختیار هذا الجزء من بین کلِّ المعلومات الموجودة، وفضلاً عن ذلک، فإنّ عدّة صیغ مختلفة للمعادلة تأتی دون أن تُعطی الأسباب فی تفضیل إحداها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لأی من تطبیقات المعادلة أن یکون مُقنِعاً من حیث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یؤسّس علاقة غیر قابلة للجدل بین الصیغة القانونیّة والموادّ التجریبیّة التی یُفترَض أن تکون مرتبطة بها</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 الحقیقة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الصیغة بقیت 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أعماله حول الأُسطورة، وأنّها تواترت فی الثمانینیّات بعد غیابٍ عن النشر لحوالی عقدین من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أنّها کانت تُلهِمه باستمرار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تصبح ذات قیمة عند إلقاء نظرةٍ أدقّ علیها، ورؤیةٍ ما إذا کان یمکنها أن تضیف إدراکاً أعمق إلی تفکیره، وفیما إذا کان یمکنها أن تقدّم لی عوناً ما فی تحلیلی لأحداث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علاوةً علی ذلک، فقد حدثت عدّة محاولات ناجحة لتأویل وتطبیق هذه الصیغة بطریقة أکثر عموماً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نشر محاضراته عام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الخزّاف الغیور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الذی تلاه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أخذت معظم تلک التأویلات نقطة انطلاقتها فی الدراسة من سنة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بواسطة عالِمَی الأنثروبولوجیا ألی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کونغاس ماراندا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Elli Köngäs Maranda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وبییر ماراندا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Pierre Maranda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حیث قاما بتطبیقها لیس علی الأساطیر ولکن علی أنواعٍ من الحکایات والأحجیات الفولکلوریّة الأقل تعقیداً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بدأ هذان الشخصان، من خلال المقارنة مع القیاس التخطیطی المشترَک الذی یوجد فی صیغتین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القیاس المستمر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 B: : B: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حیث علاقة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إلی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المنقطع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B: : C: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حیث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ببیان أنّ الصیغة القانونیّة یمکنها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تقنّن الانعطافات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التغیّرات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الأساطیر</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 إضافةً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صیغة لیفی شتراوس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Fx(a):Fy (b) : : Fx (b) : fa-1 (y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ینبغی أن تُفهَم علی أنّها التشبیه لعملیّة وساطة، حیث إنّ بعض الأدوار الدینامیکیّة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تُجَسَّد بصورةٍ أکثر دقةً ممّا فی النموذج البسیط للقیاس</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التأویل الذی 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 کونغاس ماراندا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 Köngäs Maranda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بییر ماراندا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Maranda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تبدأ الصیغة ببیان تناقضٍ بین الأطراف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المقیّدة بالوظیفة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المقیّدة بالوظیفة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الجانب الأیسر من المعادلة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الجانب الأیمن، فإنّ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یستولی علی الوظیفة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فإنّ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مخصّص بالتناوب لکلتی الوظیفتین؛ وبهذا یمکنه أن یکون وسیطاً بین المتناقضات</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وبتحدیدٍ أکثر، فإنّ العنصر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غالباً ما یخصَّص بالوظیفة السالبة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وبهذا یصبح الشخصیّة السیّئة، أو الوغد فی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الجانب الآخر، فإنّ العنصر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مخصّص بالوظیفة الإیجابیّة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وبهذا یصبح البطل باتّخاذ الوظیفة السلبیّة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وتوجیهها ضد الوغد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ستصبح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الوسیط فی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الممکن التحوّل بین الوظیفتین، وتوجیه الوظیفة السلبیّة ضدّ الشخصیّة السیّئة، هذه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کمالاً وتبدأ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العنصر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ویقیناً سترسّخ القیمة الإیجابیّة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للمحصّلة النهائیّة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لنقُل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قلب الخسارة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نقیضها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تبیّن التأثیر الحقیقی للقوّة السلبیّة لیس فقط خسارة عدیمة القیمة أو تعویضاً للخسارة، بل هو کسب، ولذلک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Fa(y-) (Fx(B</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القول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انتصار الخیر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علی الشرّ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قوّةً أعظم بکثیرٍ ممّا کانت لها قبل الصراع بین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بهذا تبیّن الصیغة عملیّةً تکون فیها العناصر الثلاثة الأُولی مؤدّیةً إلی النتیجة المُبیَّنة فی العنصر الرابع، والنتیجة أعظم من البدایة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وفیما یلی رسم توضیحی للعملیّة فی المخطط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والذی یبیّن الطریق من العنصر الأوّل للصیغة القانونیّة حتّی العنصر الأخیر، من خلال وساطة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الذی یؤدی بالقیمة السلبیّة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إلی الفناء، ویقود القیمة الإیجابیّة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إلی التقدّم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المخطط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النموذخ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طرحته ألی کونغاس ماراندا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 Köngäs Maranda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وبییر ماراندا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Maranda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تأویلهما للصیغة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التأویل للصیغة القانونیّة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أنّه یتطلّب التوضیح، إلّا أنّ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 کونغاس ماراندا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 Köngäs Maranda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بییر ماراندا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Maranda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هو الأکثر إقناعاً فی مبدئه من حیث إنّه مؤسَّس علی عبارات نظریّة، والتی هی إمّا صریحة وإمّا ضمنیّة فی کتابات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طُرِحت بذلک لتکتسب درجةً من الانسجام خالیةً من الریبة، ویبیّن هذا التأویل الصلة القریبة بین النصّ الأساس لسنة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والنموذج البصری للتحوّلات الأُسطوریّة التی یذکرها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دراسته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أسدیوال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Story Of Asdiwal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2209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14"/>
                        <a:stretch/>
                      </pic:blipFill>
                      <pic:spPr>
                        <a:xfrm>
                          <a:off x="0" y="0"/>
                          <a:ext cx="5334120" cy="2209680"/>
                        </a:xfrm>
                        <a:prstGeom prst="rect">
                          <a:avLst/>
                        </a:prstGeom>
                        <a:ln w="0">
                          <a:noFill/>
                        </a:ln>
                      </pic:spPr>
                    </pic:pic>
                  </a:graphicData>
                </a:graphic>
              </wp:inline>
            </w:drawing>
          </mc:Choice>
          <mc:Fallback>
            <w:pict>
              <v:shape id="shape_0" stroked="f" o:allowincell="f" style="position:absolute;margin-left:0pt;margin-top:-174.05pt;width:419.95pt;height:173.95pt;mso-wrap-style:none;v-text-anchor:middle;mso-position-horizontal:left;mso-position-vertical:top" type="_x0000_t75">
                <v:imagedata r:id="rId215" o:detectmouseclick="t"/>
                <v:stroke color="#3465a4" joinstyle="round" endcap="flat"/>
                <w10:wrap type="none"/>
              </v:shape>
            </w:pict>
          </mc:Fallback>
        </mc:AlternateConten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الوقت نفسه، هناک فرق واضح بین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للصیغة </w:t>
      </w:r>
    </w:p>
    <w:p>
      <w:pPr>
        <w:pStyle w:val="BookText"/>
        <w:rPr/>
      </w:pPr>
      <w:r>
        <w:rPr>
          <w:rFonts w:ascii="IRNazanin" w:hAnsi="IRNazanin" w:eastAsia="IRNazanin"/>
          <w:color w:val="111111"/>
          <w:sz w:val="28"/>
          <w:sz w:val="28"/>
          <w:szCs w:val="28"/>
          <w:rtl w:val="true"/>
          <w:lang w:bidi="fa-IR"/>
        </w:rPr>
        <w:t xml:space="preserve">القانونیّة وتأویلها الذی 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 کونغاس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بییر ماراندا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Maranda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إذ یعتقد الأوّل أنّها تصف دورةً من التحوّلات بین عددٍ من الأساطیر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یصدق أیضاً علی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النموذج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أسدیوال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الآخران یطبّقانها علی التحوّلات التی تحدث ضمن الأُسطورة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أیّة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واضحاً فی هذه المسألة، علاوةً علی ذلک، یبدو أنّها نفس آلیّة التمییز المستخدَمة من جهة لخلق وتأیید الاختلاف الضروری ضمن الأُسطورة الواحدة أو الثقافة الواحدة، ومن جهةٍ أُخری لیؤکّد التباین الکافی بین الثقافات أو المجتمعات من خلال أساطیرها الخاصّة بها، حسب سکوبلا، فإنّ هذا سیوضّح السبب الذی یجعل الصیغة قابلة للتطبیق علی الحالتین کلتیهما</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ویعتقد سولومون مارکوس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Solomon Marcus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أیضاً أنّ الصیغة قابلة للتطبیق ضمن الأُسطورة الواحدة، وبین الأساطیر المختلفة علی حدٍّ سواء، وهو یری أنّ الصیغة ینبغی أن تُقرأ علی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أساسیّة</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حیث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الأُسطورة مختزَلة إلی شکلها المجرّد إلی أبعد حدٍّ، حیث تعتمد عناصرها الواحد علی الآخر، ویجب أن تأتی فی التسلسل الصحیح حتّی تکون ذات معنی</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أوقاتاً یختلف فیها تسلسل الأُسطورة عن ذلک المفترَض فی الصیغة القانونیّة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ویحدث هذا فی الغالب عندما تدخل نسخ مختلفة لأُسطورةٍ ما بصورةٍ مؤثّرة فی التحلیل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إلی حدٍّ بعید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الأُستاذ الوحید فی هذا المشروع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وفی مقابل تحذیر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تأویل الصیغة القانونیّة بشأن جمیع النسخ المختلفة للأُسطورة، فإنّ أکثر تطبیقات الصیغة القانونیّة المقترَحة مرتبطة إلی حدٍّ بعید بنسخ مستقلّة بذاتها، کما أنَّ الانتقال من بُعدین إلی ثلاثة أبعاد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الاکتشاف البنیوی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لأفکار الأُسطورة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النسخ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یبدو صعباً</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الحقیقة،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قد أقرّ فی تعلیقٍ له علی مقالة مارکوس بأنّ استخدامه للصیغة القانونیّة یتضمّن خاصیّة التغیّرات اللغویّة مع مرور الزمن، والنسخة الأخیرة فی مجموعة التحوّلات والتی یمثّلها العنصر الرابع فی الصیغة تتّصل بحادثةٍ حدثت فی وقتها، متجاوزاً حدود اللغة أو الثقافة،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یدرک أحدنا تغیّرات اللغة عبر أحد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کما هو مکتوب فی الفترة الزمنیّة الداخلیّة لروایةٍ معیّنة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 Temps Du Récit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أو من نصوص عدّة روایات مترابطة فی فترة زمنیّة خارجیّة </w:t>
      </w:r>
      <w:r>
        <w:rPr>
          <w:rFonts w:eastAsia="Times New Roman" w:cs="Times New Roman" w:ascii="Times New Roman" w:hAnsi="Times New Roman"/>
          <w:color w:val="111111"/>
          <w:sz w:val="28"/>
          <w:szCs w:val="28"/>
          <w:lang w:val="en-US" w:bidi="en-US"/>
        </w:rPr>
        <w:t>Le Temps Historique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تکن لدیه نوایا تخصّ الریاضیّات فی صیغته، فقد تولّی بعض علماء الریاضیّات تأویلها مع الوصول إلی نتائج إیجابیّة جدّاً، وأکّد جمیعهم عدم تناسقها والممیّزات الأساسیّة فی تأویل ألی کونغاس وبییر </w:t>
      </w:r>
    </w:p>
    <w:p>
      <w:pPr>
        <w:pStyle w:val="BookText"/>
        <w:rPr/>
      </w:pPr>
      <w:r>
        <w:rPr>
          <w:rFonts w:ascii="IRNazanin" w:hAnsi="IRNazanin" w:eastAsia="IRNazanin"/>
          <w:color w:val="111111"/>
          <w:sz w:val="28"/>
          <w:sz w:val="28"/>
          <w:szCs w:val="28"/>
          <w:rtl w:val="true"/>
          <w:lang w:bidi="fa-IR"/>
        </w:rPr>
        <w:t xml:space="preserve">ماراندا </w:t>
      </w:r>
      <w:r>
        <w:rPr>
          <w:rFonts w:eastAsia="Times New Roman" w:cs="Times New Roman" w:ascii="Times New Roman" w:hAnsi="Times New Roman"/>
          <w:color w:val="111111"/>
          <w:sz w:val="28"/>
          <w:szCs w:val="28"/>
          <w:lang w:val="en-US" w:bidi="en-US"/>
        </w:rPr>
        <w:t>P. Maranda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یقول مورافا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فی الدرجة الأُولی وراء عدم إعطائها قیمة من قِبَل الریاضیّین سابقاً هو أنّ علماء الأنثروبولوجیا وعلماء الریاضیّات کانت لدیهم صعوبات فی فهم بعضهما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مورافا، حول الصیغة القانونیّة للیفی شتراوس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 The Canonical Formula Of C. Lévi-Strauss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مقالة إلکترونیّة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Arxiv.Org</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11 </w:t>
      </w:r>
      <w:r>
        <w:rPr>
          <w:rFonts w:eastAsia="Times New Roman" w:cs="Times New Roman" w:ascii="Times New Roman" w:hAnsi="Times New Roman"/>
          <w:color w:val="111111"/>
          <w:sz w:val="28"/>
          <w:szCs w:val="28"/>
          <w:lang w:val="en-US" w:bidi="en-US"/>
        </w:rPr>
        <w:t>June 2003</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اقتُبِست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توجد علی الموقع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 //Arxiv.Org/PS_Cach/Math/Pdf/O3O6/0306174.Pdf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وأنا ممتنّ للوسیه سکوبلا علی هذا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سوف لن أدخل فی مناقشة التحلیلات الریاضیّة للصیغة القانونیّة؛ فهذا لیس من تخصّصی، ولکن سأتحوّل عوضاً عن ذلک إلی تأویل لوسیه سکوبلا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Lucien Scubla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باعتباره أحد علماء الأنثروبولوجیا، حیث یبدأ من قراءة ألی کونغاس وبییر ماراندا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Maranda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للصیغة القانونیّة، ویتوسّع فیها کثیراً فی ضوء نظریّة تغیّر البنیة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Morphogenetic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التی أوجدها رینیه توم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René Thom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وطوّرها جان بیتیتو</w:t>
      </w:r>
      <w:r>
        <w:rPr>
          <w:rFonts w:eastAsia="Times New Roman" w:cs="Times New Roman" w:ascii="Times New Roman" w:hAnsi="Times New Roman"/>
          <w:color w:val="111111"/>
          <w:sz w:val="28"/>
          <w:szCs w:val="28"/>
          <w:lang w:val="en-US" w:bidi="en-US"/>
        </w:rPr>
        <w:t>Jean Petitot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حسب سکوبلا إذاً الصیغة تصف الطریقة التی تتطوّر بها الأساطیر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سنری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یتمّ ذلک فی علاقتها مع الطقوس</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الصیغة لا تبیّن الوساطة الإیجابیّة فقط، بل الوساطة السلبیّة أیضاً، أی التفریق بین الوحدة الأصلیّة المتّصلة بالإضافة إلی ضمّ وحدتین متباینتین، وعملیّة التفریق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نموذجیّة لجمیع الأساطیر المتعلّقة بنشأة الکون، التی تصف الطریق منذ وحدة الکون المتباین قبل تفرّقه حتی وقتنا الحاضر، وبعد تحلیل اثنین من أساطیر البورورو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Bororo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 یستنتج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یبدو أنّ الأُسطورتین معاً، تشیران إلی ثلاثة میادین کلُّ واحدٍ منها کان فی الأصل متّصلاً، ولکن عدم الاتّصال یجب أن یُقدَّم من أجل أن تکون لکلِّ واحدٍ منها فکرة ما، فی کلِّ واحدةٍ من الحالات یتمّ القطع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الجذری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Radical Elimination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لمقطعٍ معیّن من الوحدة المتّصلة</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الحذف الجذری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یتحدّث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المقطع قد تمّ توضیحه شکلیّاً حسب سکوبلا بالتحوّل التالی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A-A-1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یحدث هذا فی الأساطیر عادةً عندما یتمّ إعدام مخلوق شرّیر بقسوة</w:t>
      </w:r>
      <w:r>
        <w:rPr>
          <w:rStyle w:val="FootnoteAnchor"/>
          <w:rtl w:val="true"/>
        </w:rPr>
        <w:footnoteReference w:id="297"/>
      </w:r>
      <w:r>
        <w:rPr>
          <w:rFonts w:ascii="IRNazanin" w:hAnsi="IRNazanin" w:eastAsia="IRNazanin"/>
          <w:color w:val="111111"/>
          <w:sz w:val="28"/>
          <w:sz w:val="28"/>
          <w:szCs w:val="28"/>
          <w:rtl w:val="true"/>
          <w:lang w:bidi="fa-IR"/>
        </w:rPr>
        <w:t xml:space="preserve">، علاوةً علی ذلک، الفقرة من </w:t>
      </w:r>
      <w:r>
        <w:rPr>
          <w:rFonts w:eastAsia="Times New Roman" w:cs="Times New Roman" w:ascii="Times New Roman" w:hAnsi="Times New Roman"/>
          <w:color w:val="111111"/>
          <w:sz w:val="28"/>
          <w:szCs w:val="28"/>
          <w:lang w:val="en-US" w:bidi="en-US"/>
        </w:rPr>
        <w:t>Fy(B)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إلی </w:t>
      </w:r>
      <w:r>
        <w:rPr>
          <w:rFonts w:eastAsia="Times New Roman" w:cs="Times New Roman" w:ascii="Times New Roman" w:hAnsi="Times New Roman"/>
          <w:color w:val="111111"/>
          <w:sz w:val="28"/>
          <w:szCs w:val="28"/>
          <w:lang w:val="en-US" w:bidi="en-US"/>
        </w:rPr>
        <w:t>Fx(X)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سکوبلا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تُبیَّن کثیراً فی مصطلحات الوساطة، کما فی عدم التباین أو العدوی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وصف هذه العملیّة کانتقالة من تضادٍ بین خاصّیتین متمیّزتین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یحملهما عاملان مختلفان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إلی تلوُّثٍ عابر 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ویمکن رسم هذا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Fx(A)/Fy(B) ®Fx(A)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Fx(B)</w:t>
      </w:r>
    </w:p>
    <w:p>
      <w:pPr>
        <w:pStyle w:val="BookText"/>
        <w:rPr/>
      </w:pPr>
      <w:r>
        <w:rPr>
          <w:rFonts w:ascii="IRNazanin" w:hAnsi="IRNazanin" w:eastAsia="IRNazanin"/>
          <w:color w:val="111111"/>
          <w:sz w:val="28"/>
          <w:sz w:val="28"/>
          <w:szCs w:val="28"/>
          <w:rtl w:val="true"/>
          <w:lang w:bidi="fa-IR"/>
        </w:rPr>
        <w:t>أو کما یلی ببساطة، لو ذُکِرت الوظائف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X/Y ® 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تُلغی وتُعکَس بحذف طرف غیر مرغوب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العملیّة </w:t>
      </w:r>
      <w:r>
        <w:rPr>
          <w:rFonts w:eastAsia="Times New Roman" w:cs="Times New Roman" w:ascii="Times New Roman" w:hAnsi="Times New Roman"/>
          <w:color w:val="111111"/>
          <w:sz w:val="28"/>
          <w:szCs w:val="28"/>
          <w:lang w:val="en-US" w:bidi="en-US"/>
        </w:rPr>
        <w:t>A®A-1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یقترح سکوبلا نسخة مبسّطة للصیغة القانونیّة التی یجب أن تُقرأ بحالتین، کمعادلة استاتیکیّة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B: : M: X</w:t>
      </w:r>
    </w:p>
    <w:p>
      <w:pPr>
        <w:pStyle w:val="BookText"/>
        <w:rPr/>
      </w:pPr>
      <w:r>
        <w:rPr>
          <w:rFonts w:ascii="Amiri" w:hAnsi="Amiri" w:eastAsia="Amiri" w:cs="Amiri"/>
          <w:color w:val="111111"/>
          <w:sz w:val="28"/>
          <w:sz w:val="28"/>
          <w:szCs w:val="28"/>
          <w:rtl w:val="true"/>
          <w:lang w:bidi="ar-SA"/>
        </w:rPr>
        <w:t>وکعملیّة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 M® 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العناصر فی أقصی الیسار، </w:t>
      </w:r>
      <w:r>
        <w:rPr>
          <w:rFonts w:eastAsia="Times New Roman" w:cs="Times New Roman" w:ascii="Times New Roman" w:hAnsi="Times New Roman"/>
          <w:color w:val="111111"/>
          <w:sz w:val="28"/>
          <w:szCs w:val="28"/>
          <w:lang w:val="en-US" w:bidi="en-US"/>
        </w:rPr>
        <w:t>A/B</w:t>
      </w:r>
      <w:r>
        <w:rPr>
          <w:rFonts w:ascii="IRNazanin" w:hAnsi="IRNazanin" w:eastAsia="IRNazanin"/>
          <w:color w:val="111111"/>
          <w:sz w:val="28"/>
          <w:sz w:val="28"/>
          <w:szCs w:val="28"/>
          <w:rtl w:val="true"/>
          <w:lang w:bidi="fa-IR"/>
        </w:rPr>
        <w:t xml:space="preserve">، تشیر إلی التضادّ الثنائی بین العنصرین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 کما هی محدّدة بالوظیفتین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xml:space="preserve">، یشیر إلی الوساطة أو عدم التشکّل، حیث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 استولی علی الوظیفة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للحظةٍ ما، والعنصر الرابع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بالنسبة للنتیجة، یحتوی علی تشکّل بینما تمّ حذف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وترقیة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النسخة الاستاتیکیّة للصیغة یمکن أن تُقرَأ کنوعٍ من القیاس، حیث تکون کما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حیث إنّ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مناقِضة 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 لذا تکون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مناقِضة 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والتی 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النزعتین المتعارضتین تجاه التشکُّل وعدم التشکُّل دائماً عند العمل فی الفکر الإنسانی والمجتمعات الإنسانیّة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إحدی النقاط المهمّة فی تأویل سکوبلا هی أنّ العنصر الرابع فی الصیغة لا یمثِّل النهایة الکلیّة لعملیّة التشکّل، بل نتیجة دورة واحدة من التحوّل، والتی بدورها تولِّد دورةً جدیدة من التحوُّلات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یمکن أن یوضع فی مخططٍ کالتالی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800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22"/>
                        <a:stretch/>
                      </pic:blipFill>
                      <pic:spPr>
                        <a:xfrm>
                          <a:off x="0" y="0"/>
                          <a:ext cx="5334120" cy="800280"/>
                        </a:xfrm>
                        <a:prstGeom prst="rect">
                          <a:avLst/>
                        </a:prstGeom>
                        <a:ln w="0">
                          <a:noFill/>
                        </a:ln>
                      </pic:spPr>
                    </pic:pic>
                  </a:graphicData>
                </a:graphic>
              </wp:inline>
            </w:drawing>
          </mc:Choice>
          <mc:Fallback>
            <w:pict>
              <v:shape id="shape_0" stroked="f" o:allowincell="f" style="position:absolute;margin-left:0pt;margin-top:-63.05pt;width:419.95pt;height:62.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التباینات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عدم التشکّل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النهایة المتشکّلة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تصبح نقطة البدایة لدورة جدیدة من التبدُّلٍ الأساسی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یواصل سکوبلا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افترضنا أنّ کلَّ حکایةٍ أُسطوریّة تمیل إلی وصف جزءٍ ثابت من الناحیة البنیویّة من هذه العملیّة الدوریّة، عندئذٍ یمکننا أن نفهم أنّ المجموعة الکاملة لهذه الحکایات ربّما تبدو علی أنّها قد رُکِّبت من نسخٍ مختلفةٍ لنفس الأُسطورة الواحدة، وأنّ تلک النسخ المختلفة ربّما بدورها قد تمّ ترتیبها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استعمالٍ غیر تقلیدی فی القاموس الریاضی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سلسلةٍ تکوّن نوعاً من مجموعة التحوّلات الأساسیّة، والنسختان اللتان وضعتا فی الطرفین المتباعدین باعتبارهما متماثلتین، مع أنّ علاقة إحداهما متعاکسة مع الأخری</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تُعرَض الصیغة القانونیّة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Loi Génétique Du Myth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 Le Modèle D’un Processus Orphodynamique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قد أُوّلت هذه العبارة لتعنی أنّ الصیغة تصف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العملیّة التی تُصاغ بها الأساطیر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البنیة العمیقة لهذه القصص</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یذهب سکوبلا أبعد من ذلک، ویربطها بنظریّة التشکُّل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Morphogenetic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للطقوس فی علاقتها مع الأساطیر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القرابین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الطقوس التی یتمّ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 الجذری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للشیء غیر المرغوب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ویقدِّم مثالاً علی ذلک بمناقشة الصلة بین الأُسطورة </w:t>
      </w:r>
    </w:p>
    <w:p>
      <w:pPr>
        <w:pStyle w:val="BookText"/>
        <w:rPr/>
      </w:pPr>
      <w:r>
        <w:rPr>
          <w:rFonts w:ascii="IRNazanin" w:hAnsi="IRNazanin" w:eastAsia="IRNazanin"/>
          <w:color w:val="111111"/>
          <w:sz w:val="28"/>
          <w:sz w:val="28"/>
          <w:szCs w:val="28"/>
          <w:rtl w:val="true"/>
          <w:lang w:bidi="fa-IR"/>
        </w:rPr>
        <w:t>والطقوس فی الیونان القدیم، حیث الأُسطورة الهسیودیّة</w:t>
      </w:r>
      <w:r>
        <w:rPr>
          <w:rStyle w:val="FootnoteAnchor"/>
          <w:rtl w:val="true"/>
        </w:rPr>
        <w:footnoteReference w:id="304"/>
      </w:r>
      <w:r>
        <w:rPr>
          <w:rFonts w:ascii="IRNazanin" w:hAnsi="IRNazanin" w:eastAsia="IRNazanin"/>
          <w:color w:val="111111"/>
          <w:sz w:val="28"/>
          <w:sz w:val="28"/>
          <w:szCs w:val="28"/>
          <w:rtl w:val="true"/>
          <w:lang w:bidi="fa-IR"/>
        </w:rPr>
        <w:t xml:space="preserve">حول السلالات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یمکن أن تُؤَوَّل بأنّها ترتبط بطقوس کبش الفداء </w:t>
      </w:r>
      <w:r>
        <w:rPr>
          <w:rFonts w:eastAsia="Times New Roman" w:cs="Times New Roman" w:ascii="Times New Roman" w:hAnsi="Times New Roman"/>
          <w:color w:val="111111"/>
          <w:sz w:val="28"/>
          <w:szCs w:val="28"/>
          <w:lang w:val="en-US" w:bidi="en-US"/>
        </w:rPr>
        <w:t>Pharmacos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r>
        <w:rPr>
          <w:rFonts w:ascii="IRNazanin" w:hAnsi="IRNazanin" w:eastAsia="IRNazanin"/>
          <w:color w:val="111111"/>
          <w:sz w:val="28"/>
          <w:sz w:val="28"/>
          <w:szCs w:val="28"/>
          <w:rtl w:val="true"/>
          <w:lang w:bidi="fa-IR"/>
        </w:rPr>
        <w:t xml:space="preserve">، خلال هذه الطقوس ینقلب المجتمع عن بکرة أبیه رأساً علی عقب، وتُنتهَک کلُّ القواعد الاجتماعیّة، وفوق ذلک، یفرّغ الملک جمیع الصفات السیّئة الموجودة فی شخصیّته فی رجلٍ یصبح صورته السلبیّة المعکوسة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المرآة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کبش الفداء؛ وبهذا یصبح الأخیر النقیض للملک الطیّب، والذی یُفترَض أن یکون الحاکم فی العصر الذهبی فی أُسطورة السلالات لهسیود، أی النقیض الحقیقی للملک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الصیغة القانونیّة المتمثّل 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A-1</w:t>
      </w:r>
      <w:r>
        <w:rPr>
          <w:rFonts w:ascii="IRNazanin" w:hAnsi="IRNazanin" w:eastAsia="IRNazanin"/>
          <w:color w:val="111111"/>
          <w:sz w:val="28"/>
          <w:sz w:val="28"/>
          <w:szCs w:val="28"/>
          <w:rtl w:val="true"/>
          <w:lang w:bidi="fa-IR"/>
        </w:rPr>
        <w:t xml:space="preserve">، أو کما فی تأویل سکوبلا، </w:t>
      </w:r>
      <w:r>
        <w:rPr>
          <w:rFonts w:eastAsia="Times New Roman" w:cs="Times New Roman" w:ascii="Times New Roman" w:hAnsi="Times New Roman"/>
          <w:color w:val="111111"/>
          <w:sz w:val="28"/>
          <w:szCs w:val="28"/>
          <w:lang w:val="en-US" w:bidi="en-US"/>
        </w:rPr>
        <w:t>King-1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عند انتهاء الطقوس، یُنفی کبش الفداء أو یُقتَل، وبهذا یتمّ تطهیر المجتمع وتمییز المزیج الخطر للفضیلة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Dikè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والرذیلة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Hubris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الذی یکون سائداً حتی ذلک الحین، ویُستتَبُّ النظام ثانیةً، ویُعاد تنصیب الملک الشرعی مرّةً أُخری</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السیاق، ینبغی أن یُقرأ نموذج سکوبلا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الرذیلة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Hubris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والفضیلة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Dikè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تناقض إحداهما الأُخری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کلّما یتطوّر المجتمع تختلط الرذیلة والفضیلة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لتُنتِج موقفاً خطیراً، حیث لا یمکن الفصل بین </w:t>
      </w:r>
    </w:p>
    <w:p>
      <w:pPr>
        <w:pStyle w:val="BookText"/>
        <w:rPr/>
      </w:pPr>
      <w:r>
        <w:rPr>
          <w:rFonts w:ascii="IRNazanin" w:hAnsi="IRNazanin" w:eastAsia="IRNazanin"/>
          <w:color w:val="111111"/>
          <w:sz w:val="28"/>
          <w:sz w:val="28"/>
          <w:szCs w:val="28"/>
          <w:rtl w:val="true"/>
          <w:lang w:bidi="fa-IR"/>
        </w:rPr>
        <w:t xml:space="preserve">الخیر والشرّ، وهنا یتطلّب التمییز بینهما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وبینما تمّ التلمیح فقط لذلک فی أُسطورة السلالات لهسیود، ففی طقوس 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Pharmacos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یتحمّل کبش الفداء لوحده جمیع الصفات السیّئة للمجتمع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ثمّ یُقتل أو یُنفی، وبهذا یُعاد تنظیم المجتمع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معکوس فی الصیغة من العنصر الرابع إلی العنصر الأوّل</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8001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27"/>
                        <a:stretch/>
                      </pic:blipFill>
                      <pic:spPr>
                        <a:xfrm>
                          <a:off x="0" y="0"/>
                          <a:ext cx="5334120" cy="800280"/>
                        </a:xfrm>
                        <a:prstGeom prst="rect">
                          <a:avLst/>
                        </a:prstGeom>
                        <a:ln w="0">
                          <a:noFill/>
                        </a:ln>
                      </pic:spPr>
                    </pic:pic>
                  </a:graphicData>
                </a:graphic>
              </wp:inline>
            </w:drawing>
          </mc:Choice>
          <mc:Fallback>
            <w:pict>
              <v:shape id="shape_0" stroked="f" o:allowincell="f" style="position:absolute;margin-left:0pt;margin-top:-63.05pt;width:419.95pt;height:62.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إذاً؛ حسب سکوبلا، تُظهِر الصیغة القانونیّة کیف أنّ الأُسطورة والطقوس مرتبطة إحداهما بالأُخری، وبالمقارنة مع مارکوس، الذی یری أنّ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أساسیّة قادرة أن تستولی علی مجموعة کاملة من القصص المستقلّة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علی مستویً آخر من التجرّد والعمومیّة، غیر النُسخ المختلفة المستقلّة للأسطورة</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سکوبلا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مسألة أُسطورة السلالات لهسیود، علی الأقلّ،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L’application Do La Formule Canonique…Est Donc Bien Plus Qu’une Anscription Sténographique De Son Contenu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Elle Le Rattache Au Ritual Royal Et Met Au Jour Le Mécanisme Victimaire Qui Leur Est Sous-Jacent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bookmarkStart w:id="147" w:name="pg5097_58352"/>
    </w:p>
    <w:p>
      <w:pPr>
        <w:pStyle w:val="BookText"/>
        <w:rPr/>
      </w:pPr>
      <w:bookmarkEnd w:id="147"/>
      <w:r>
        <w:rPr>
          <w:rFonts w:ascii="IRNazanin" w:hAnsi="IRNazanin" w:eastAsia="IRNazanin"/>
          <w:color w:val="111111"/>
          <w:sz w:val="28"/>
          <w:sz w:val="28"/>
          <w:szCs w:val="28"/>
          <w:rtl w:val="true"/>
          <w:lang w:bidi="fa-IR"/>
        </w:rPr>
        <w:t xml:space="preserve">یتحقّق هذا الارتباط بین الأُسطورة والطقوس، والذی وجده سکوبلا ضمنیّاً فی کثیر من کتابات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المتأخّرة، علی الرغم من تأکیداته الشدیدة فی الکثیر من أعماله المبکّرة علی وجوب الفصل بین الأُسطورة والطقوس،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أهمّ الجوانب الممتعة فی تأویل سکوبلا للصیغة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الکتاب، سأتعامل بصورة أساسیّة مع الجانب الأُسطوری فی أحداث کربلاء، وسأتطرّق بصورة عابرة فقط إلی ارتباطها مع شعائر عاشوراء، أو کما تسمّی شعائر محرّم، وتطبیق نموذج سکوبلا علی هذا المرکّب من الأُسطورة والطقوس</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259896_774463916"/>
      <w:bookmarkStart w:id="149" w:name="_Toc52"/>
      <w:bookmarkEnd w:id="148"/>
      <w:r>
        <w:rPr>
          <w:rtl w:val="true"/>
        </w:rPr>
        <w:t>آراء منهجیّة أُخری</w:t>
      </w:r>
      <w:bookmarkEnd w:id="149"/>
    </w:p>
    <w:p>
      <w:pPr>
        <w:pStyle w:val="BookText"/>
        <w:rPr/>
      </w:pPr>
      <w:r>
        <w:rPr>
          <w:rFonts w:ascii="IRNazanin" w:hAnsi="IRNazanin" w:eastAsia="IRNazanin"/>
          <w:color w:val="111111"/>
          <w:sz w:val="28"/>
          <w:sz w:val="28"/>
          <w:szCs w:val="28"/>
          <w:rtl w:val="true"/>
          <w:lang w:bidi="fa-IR"/>
        </w:rPr>
        <w:t xml:space="preserve">قبل الدخول فی المنهج المتّبَع فی هذه الدراسة، هناک مسألتان فی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نتوسّع فی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 فیما سبق أنّ 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الأُسطورة بیان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للبنیة الذی یمکن أن یُکتشَف فقط عندما یُعاد ترتیبه فی صیغةٍ صرفیّة، فی مقالةٍ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الدراسة البنیویّة للأُسطورة، إذ یوضّح منهجه کالتالی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لِنَقُل، علی سبیل المثال، أننا کنّا فی مقابل سلسلة من هذا النوع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والواجب هو وضع کلِّ الواحدات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أعداد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وکذلک الاثنینات، والثلاثات، وهکذا؛ والنتیجة سیتکوّن هذا الجدول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الفرضیّة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 الواحدات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میزةً مشترکة واحدة</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وکلَّ الاثنینات میزةً أُخری، وهکذا عند وضعها معاً، وتحلیل کلِّ واحدٍ من الأعمدة من خلال علاقته مع الأعمدة الأُخری، یمکن فهم معنی الأُسطورة بصورةٍ أفضل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بیّنت سابقاً، لم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الأساطیر کقصص مستقلّة، بل إنّها تشکّل مجموعاتٍ من التحوّلات،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أسطورةً ما مکوّنة من جمیع نسخها المختلفة، فینبغی علی التحلیل البنیوی أن یأخذها جمیعاً بالحسبان</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وألّا یُطبَّق أُسلوب إعادة ترتیب النظام النحوی فی نظامٍ صرفی علی کلِّ نسخةٍ منفردة من الأُسطورة فقط، ولکن علی جمیع النسخ المختلفة التی تتطلّب مقارنتها الواحدة مع الأُخری من أجل الوصول إلی المعنی</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توجد هناک نسخة موثوقة أو حقیقیّة للأُسطورة التی یمکن أن یبدأ بها الشخص تحلیله، فمن الناحیة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لکلِّ نسخةٍ أن تشکّل نقطة مناسبة للشروع؛ لأنّه فی النهایة سیکون علی الشخص مواجهة جمیع الأساطیر فی مجموعة التحوّلات بأیِّ حالٍ، ویستخدم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الأُسطورة المفتاحیّة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الأُسطورة المرجعیّة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لیشیر إلی الأُسطورة الأُولی التی یتمّ تحلیلها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 التی ینبغی التأکید علیها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التحلیل البنیوی لا یحدث فی الفراغ أبداً، فبناء الأُسطورة یحکی شیئاً عن الثقافة التی تحیا فیها الأُسطورة، وهو بالتالی تعبیر عن کیفیّة رؤیة أهل تلک الثقافة لعالَمهم؛ لهذا السبب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التحلیل البنیوی دائماً الأخذ بعین الاعتبار الوصف الأثَنی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Ethnography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r>
        <w:rPr>
          <w:rFonts w:ascii="IRNazanin" w:hAnsi="IRNazanin" w:eastAsia="IRNazanin"/>
          <w:color w:val="111111"/>
          <w:sz w:val="28"/>
          <w:sz w:val="28"/>
          <w:szCs w:val="28"/>
          <w:rtl w:val="true"/>
          <w:lang w:bidi="fa-IR"/>
        </w:rPr>
        <w:t xml:space="preserve">وتاریخ ذلک الشعب، فهو عند تحلیله أساطیر شعبٍ ما، یشیر باستمرار إلی معتقدات ذلک الشعب وعاداته واقتصاده وبنیته الاجتماعیّة، وحتّی عادات وأشکال الحیوانات والنباتات التی یحتکّ بها ذلک الشعب؛ فمن أجل معرفة السبب وراء استخدام هذا الحیوان أو النبات فی الأُسطورة بدلاً من ذاک، وما هی خصائص ظاهرةٍ کونیّة معیّنة تجعل ذلک الشعب ینظر لها من خلال ارتباطها بعادةٍ معیّنة عنده، أو بالنسبة لحیوانٍ بعینه، علی الشخص أن یعرف جیّداً </w:t>
      </w:r>
    </w:p>
    <w:p>
      <w:pPr>
        <w:pStyle w:val="BookText"/>
        <w:rPr/>
      </w:pPr>
      <w:r>
        <w:rPr>
          <w:rFonts w:ascii="IRNazanin" w:hAnsi="IRNazanin" w:eastAsia="IRNazanin"/>
          <w:color w:val="111111"/>
          <w:sz w:val="28"/>
          <w:sz w:val="28"/>
          <w:szCs w:val="28"/>
          <w:rtl w:val="true"/>
          <w:lang w:bidi="fa-IR"/>
        </w:rPr>
        <w:t xml:space="preserve">الوصف الأثنی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الأعراق</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لذلک الشعب والتاریخ الطبیعی لبیئته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الدراسة سأخرق إحدی القواعد الأساسیّة فی بنیویّة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الأُسطورة کوحدة کاملة لنُسَخها المختلفة وتحلیلها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وأقوم فی هذه الدراسة بدلاً عن ذلک بتحلیل نسخة واحدة فقط من أحداث کربلاء، فهناک فقرة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تُؤخذ کتبریر لهذا المنهج، یقول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سلسلةٍ نحویّة، باعتبارها مجرّدة فی نفسها، یجب أن یُنظَر إلیها علی أنّها بدون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التغلّب علی هذه المشکلة، یمکننا فقط أن نلجأ إلی إجرائین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الإجراء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یکمن فی تقسیم السلسلة النحویّة إلی أجزاء متطابقة وفی إثبات أنّها تشکّل نُسَخاً مختلفة لفکرةٍ واحدةٍ بعینها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الدراسة البنیویّة للأسطورة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أسدیوال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الإجراء الآخر، والذی هو تتمّة للأوّل، فیکمن فی مطابقة السلسلة النحویّة بأکملها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أُخری، أُسطورة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أساطیر أُخری أو أجزاء من تلک الأساطیر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ویتبع هذا إذاً أنّه فی الحالین کلیهما نقوم باستبدال سلسلة نحویّة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بأُخری صرفیّة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الفرق یکمن فی أن الحالة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تُشتَقّ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المجموعة الصرفیّة برمّتها من السلسلة، وأمّا فی الحالة الثانیة تکون السلسلة هی التی تُدمَج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فیما إذا کان الکلُّ مرکّباً من أجزاء السلسلة، أو أنّ السلسلة نفسها داخلة کجزء، فإنّ القاعدة ستبقی هی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السلسلتان النحویّتان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المرکّبتان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الجزءان من نفس السلسلة، اللذان لا یحتویان معنیً محدّداً إن تمّت ملاحظتهما بمعزلٍ عن الآخر، یکتسبان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من حقیقة أنّهما قطبان متناقضان، وحیث إنّ المعنی یصبح واضحاً فی اللحظة المناسبة عندما یتشکّل الاثنان،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موجوداً من قبل، خافیاً ولکنّه موجود، کبعض البقایا غیر الفاعلة فی کلِّ أُسطورةٍ أو جزء من أُسطورة عند اعتبارها منفصلة عن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ویکمن المعنی کلیّاً فی العلاقة الدینامیکیّة التی تخلق بصورة متزامنة عدّة أساطیر أو أجزاء من نفس الأُسطورة، وکنتیجة لذلک تکتسب هذه الأساطیر أو أجزاء من الأساطیر وجوداً منطقیّاً، وتحقّق إنجازاً معاً کأزواج متناقضة لمجموعةٍ واحدة بعینها من التحوّلات</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الفقرة، یتحدّث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إجراءین فی تحلیل الأساطیر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تحلیل سلاسل متعاقبة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الأحداث أو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لأُسطورة واحدة بعینها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تحلیل سلسلة من الأساطیر المرتبطة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الفقرة، علی الرغم من أنّ هذین الإجراءین یکمّلان ویدعمان أحدهما الآخر، لایستبعد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الإجراء الأوّل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الحقیقة، کما یُظهِر سیاق النصّ المُقتبَس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تحلیلات أُخری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الإجراء الأوّل هو شرط ضروری للإجراء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مقارنة عدّة أساطیر مع بعضها البعض، ینبغی أوّلاً تحلیل واحدة منها حسب حسناتها الخاصّة بها، وکخطوة أُولی فی التحلیل،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فی الفرنسیّة </w:t>
      </w:r>
      <w:r>
        <w:rPr>
          <w:rFonts w:eastAsia="Times New Roman" w:cs="Times New Roman" w:ascii="Times New Roman" w:hAnsi="Times New Roman"/>
          <w:color w:val="111111"/>
          <w:sz w:val="28"/>
          <w:szCs w:val="28"/>
          <w:lang w:val="en-US" w:bidi="en-US"/>
        </w:rPr>
        <w:t>Extrait 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المجموع الصرفی الذی تُدمَج فیه الأساطیر من الأُسطورة الأُولی، إذ یجب أن توضع الأُسطورة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بأیّة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وحدة صرفیّة 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الأساطیر فی هذه المرحلة لم تُهیّأ بعد، ویجب أن یُبحث عنها خارج المجال الأُسطوری، وهذا یکون فی التوصیف الأثنی</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والتحلیل المستمر لعدّة أساطیر مرتبطة ببعضها سیجعل شبکة العلاقات متینة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یملأ الثغرات هنا وهناک</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أمّا التحلیل الذی قمت به فی هذه الدراسة، فیمکن أن یُعتبَر دراسةً رائدة مهمة وضروریّة لمقارنة مستقبلیّة بین النسخ المختلفة لأحداث کربلاء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أحداث کربلاء فی نسخة الطبری قد أخذت صفحات طویلة جدّاً من الکتاب، ففی طبعة لَیْدِن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Leiden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لتاریخ الطبری تمتدّ الروایة لحوالی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صفحة، وفی ترجمة هاوارد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الإنجلیزیّة أخذت نفس الطول تقریباً</w:t>
      </w:r>
      <w:r>
        <w:rPr>
          <w:rStyle w:val="FootnoteAnchor"/>
          <w:rtl w:val="true"/>
        </w:rPr>
        <w:footnoteReference w:id="321"/>
      </w:r>
      <w:r>
        <w:rPr>
          <w:rFonts w:ascii="IRNazanin" w:hAnsi="IRNazanin" w:eastAsia="IRNazanin"/>
          <w:color w:val="111111"/>
          <w:sz w:val="28"/>
          <w:sz w:val="28"/>
          <w:szCs w:val="28"/>
          <w:rtl w:val="true"/>
          <w:lang w:bidi="fa-IR"/>
        </w:rPr>
        <w:t>ولهذا فإنّ طول القصّة یجعل من الصعوبة إعطاء تحلیل بنیوی شامل للمتن بکامله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وبالقیاس مع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الأُسطورة المفتاحیّة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الأُسطورة المرجعیّة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أعددت دراسة معمّقة حول جزء واحد من المتن، والذی جعلته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یشتمل علی ثمان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فی الترجمة</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من أجل مطابقة الرموز والمتضادّات والتحوّلات التی تکوّن البنیة، ومع أخذ هذه الخواصّ البنیویّة فی الحسبان، فقد أعددت دراسة خاطفة جدّاً عن القصّة بکاملها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اعتباطیّاً تماماً، مع أنّ أجزاء کثیرة أُخری من القصّة یمکن أن تکون قد اختیرت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أنّی قد بیّنت هنا أسبابی الرئیسیّة فی اختیار هذه الفقرة دون سواها، وینبغی ملاحظة أنّ بعض تلک الأسباب کان فی البدایة مبنیّاً علی أساس بدیهتی الذاتیّة أکثر ممّا هو علی أساس المعاییر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الفقرة المنتخبة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مرجعی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تحتلّ موقعاً مرکزیّاً فی القصّة ککلّ، فقد جاءت فی وسط الروایة، وهی تقدِّم لحظةً جدیدة فی حبکة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البدنیّة بین الحسین وأهل الکوفة الغَدَرة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أنّنی أعتقد أنّ الخُطَب الأربع التی ألقاها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جاء فی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أهمّیة مرکزیّة بالنسبة للرسالة الموجودة فی القصّة، ففی هذه </w:t>
      </w:r>
    </w:p>
    <w:p>
      <w:pPr>
        <w:pStyle w:val="BookText"/>
        <w:rPr/>
      </w:pPr>
      <w:r>
        <w:rPr>
          <w:rFonts w:ascii="IRNazanin" w:hAnsi="IRNazanin" w:eastAsia="IRNazanin"/>
          <w:color w:val="111111"/>
          <w:sz w:val="28"/>
          <w:sz w:val="28"/>
          <w:szCs w:val="28"/>
          <w:rtl w:val="true"/>
          <w:lang w:bidi="fa-IR"/>
        </w:rPr>
        <w:t xml:space="preserve">المواعظ وسیاقها کانت قد اتّضحت مواقف الحسین والأشخاص الذین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وأعدائه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وحجّتی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أنّنی شککت فیما إذا کانت أفعال الحسین المثیرة للدهشة نوعاً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سقایته لأعدائه وإمامتهم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أهمّیة بنیویّة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فإنّ هذا النصّ هو واحد من أطول الأخبار</w:t>
      </w:r>
      <w:r>
        <w:rPr>
          <w:rStyle w:val="FootnoteAnchor"/>
          <w:rtl w:val="true"/>
        </w:rPr>
        <w:footnoteReference w:id="323"/>
      </w:r>
      <w:r>
        <w:rPr>
          <w:rFonts w:ascii="Amiri" w:hAnsi="Amiri" w:eastAsia="Amiri" w:cs="Amiri"/>
          <w:color w:val="111111"/>
          <w:sz w:val="28"/>
          <w:sz w:val="28"/>
          <w:szCs w:val="28"/>
          <w:rtl w:val="true"/>
          <w:lang w:bidi="ar-SA"/>
        </w:rPr>
        <w:t>فی القصّة کلّها، مع أنّ فیه نقطتین مقحمتین؛ ولهذا سیجعله ذلک جزءاً محدّداً، ومستقلاً بذاته نوعاً ما فی القصّة ککلّ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یکن، فإنّ التحلیل سیُظهِر التلمیحات التی ثبتت صحّتها، وبالإضافة لذلک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یحتلّ موقعاً مهمّاً فی البنیة الروائیّة للقصّة مجموعها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کدراسة رائدة، فإنّ هذا التحلیل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کثیر من الوجوه، وبالرغم من أنّ استخدام الأشکال البیانیّة والمعادلات شبه الریاضیّة یمکن أن یعطیه نَفَساً من الواقعیّة، التی تشبه شیئاً من العلوم الطبیعیّة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الشیء الذی غالباً ما یُتّهَم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الأمر لیس کذلک، والتحلیل البنیوی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عملیّة اقتراح فرضیّات ومحاولة تطبیقها، وکأیِّ محاولةٍ ضمن حقل الإنسانیّات فهی تعتمد کثیراً علی وجهة النظر المنتخبة وسیاق المحلّل، وسأعود إلی هذه المسألة عمّا قریب</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150" w:name="pg5097_58360"/>
    </w:p>
    <w:p>
      <w:pPr>
        <w:pStyle w:val="Heading3"/>
        <w:numPr>
          <w:ilvl w:val="2"/>
          <w:numId w:val="1"/>
        </w:numPr>
        <w:rPr/>
      </w:pPr>
      <w:bookmarkStart w:id="151" w:name="__RefHeading___Toc1259898_774463916"/>
      <w:bookmarkStart w:id="152" w:name="_Toc53"/>
      <w:bookmarkEnd w:id="150"/>
      <w:bookmarkEnd w:id="151"/>
      <w:r>
        <w:rPr>
          <w:rtl w:val="true"/>
        </w:rPr>
        <w:t>الرموز</w:t>
      </w:r>
      <w:bookmarkEnd w:id="152"/>
    </w:p>
    <w:p>
      <w:pPr>
        <w:pStyle w:val="BookText"/>
        <w:rPr/>
      </w:pPr>
      <w:r>
        <w:rPr>
          <w:rFonts w:ascii="IRNazanin" w:hAnsi="IRNazanin" w:eastAsia="IRNazanin"/>
          <w:color w:val="111111"/>
          <w:sz w:val="28"/>
          <w:sz w:val="28"/>
          <w:szCs w:val="28"/>
          <w:rtl w:val="true"/>
          <w:lang w:bidi="fa-IR"/>
        </w:rPr>
        <w:t xml:space="preserve">مفهوم الرموز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ناقشته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جدلیّة، یکون البتّ فیها صعباً فی کثیر من الوجوه، ولکنّها لا تزال ذات أهمّیة فی کتابات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استخدمتُها کثیراً فی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مجموعة الرموز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فئة أو صنف من المصطلحات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یعتقد لیفی شتراوس</w:t>
      </w:r>
      <w:r>
        <w:rPr>
          <w:rStyle w:val="FootnoteAnchor"/>
          <w:rtl w:val="true"/>
        </w:rPr>
        <w:footnoteReference w:id="325"/>
      </w:r>
      <w:r>
        <w:rPr>
          <w:rFonts w:ascii="IRNazanin" w:hAnsi="IRNazanin" w:eastAsia="IRNazanin"/>
          <w:color w:val="111111"/>
          <w:sz w:val="28"/>
          <w:sz w:val="28"/>
          <w:szCs w:val="28"/>
          <w:rtl w:val="true"/>
          <w:lang w:bidi="fa-IR"/>
        </w:rPr>
        <w:t>، فهو مهمّ کأداة لتصنیف العالَم الفکری للفرد، ولهذا یکون مهمّاً للمحلّل البنیوی الذی یرید أن یرسم ملامح النظرة العالمیّة لشعبٍ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الجانب الآخر، یستخدم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 فی وجوه مختلفة حیث یبدو أحیاناً أنّ أحدها یناقض الآخر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وبالنسبة للوسیه سکوبلا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Lucien Scubla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فإنّ مفهوم 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مجموعة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ملتبس وغیر مترابط</w:t>
      </w:r>
      <w:r>
        <w:rPr>
          <w:rStyle w:val="FootnoteAnchor"/>
          <w:rtl w:val="true"/>
        </w:rPr>
        <w:footnoteReference w:id="326"/>
      </w:r>
      <w:r>
        <w:rPr>
          <w:rFonts w:ascii="IRNazanin" w:hAnsi="IRNazanin" w:eastAsia="IRNazanin"/>
          <w:color w:val="111111"/>
          <w:sz w:val="28"/>
          <w:sz w:val="28"/>
          <w:szCs w:val="28"/>
          <w:rtl w:val="true"/>
          <w:lang w:bidi="fa-IR"/>
        </w:rPr>
        <w:t xml:space="preserve">، فهل الرموز هی خاصیّات ملازمة للأُسطورة، أو أنّها تصنیفات تحلیلیّة یستخدمها الباحث الذی یحقّق فیها؟ یستخدم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فی الجانبین کلیهما، فی واحدٍ من نصوصه المتأخّرة،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الفکرة الأسطوریّة تعمل خلال وسائل التضادّ والرموز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التضادّات الثنائیّة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تقدّم أنفسها أبداً فی هیأةٍ مجرّدة، وإن جاز التعبیر فی حالةٍ نقیّة، بل بالأحری تکتسب خاصیّةً متماسکة ضمن رموزٍ تُستعمل لصیاغة الرسائل، التی هی نفسها یمکن أن تُترجَم إلی مصطلحاتٍ لرموزٍ أُخری، ویمکن بدورها أن تتحوّل إلی رسائل تتعلّق بنظامها الخاص بها، والمُستلَمة عِبْر قنوات الرموز المختلفة، هذه </w:t>
      </w:r>
    </w:p>
    <w:p>
      <w:pPr>
        <w:pStyle w:val="BookText"/>
        <w:rPr/>
      </w:pPr>
      <w:r>
        <w:rPr>
          <w:rFonts w:ascii="IRNazanin" w:hAnsi="IRNazanin" w:eastAsia="IRNazanin"/>
          <w:color w:val="111111"/>
          <w:sz w:val="28"/>
          <w:sz w:val="28"/>
          <w:szCs w:val="28"/>
          <w:rtl w:val="true"/>
          <w:lang w:bidi="fa-IR"/>
        </w:rPr>
        <w:t>الرموز نفسها متباینة، حیث یمکن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مکانیّة، زمانیّة، کونیّة، جنسیّة، اجتماعیّة، اقتصادیّة، بلاغیّة،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الوجهة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عددها غیر محدود، حیث إنّ الرموز هی أدوات تُصاغ لإشباع متطلّبات التحلیل، فیما بعد فقط یمکن أن تتحقّق الدرجة التی تتطابق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الواقع، ولکن علینا أن نعترف أنّه فی المراحل الأُولی للبحث، یکون اختیار وتعریف المحاور التی أُقیمت علیها التناقضات، واختیار وتعریف الرموز التی تکون قابلة للتطبیق علیها مدیناً إلی حدٍّ بعید لذاتیّة المحلّل، وهکذا یکون لها طابع تأثُّری</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الفقرة علی درجة من الأهمّیة؛ لأنّها أوّلاً تبیّن أنّ التحلیل البنیوی بالنسبة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هو محاولة ذاتیّة، کما ذکرتُ أعلاه، ولکنّها تبیّن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الرموز تُستخدَم فی الأساطیر کفئات وأصناف من المصطلحات التی ترتبط بعالَمٍ خاص من الحیاة</w:t>
      </w:r>
      <w:r>
        <w:rPr>
          <w:rStyle w:val="FootnoteAnchor"/>
          <w:rtl w:val="true"/>
        </w:rPr>
        <w:footnoteReference w:id="328"/>
      </w:r>
      <w:r>
        <w:rPr>
          <w:rFonts w:ascii="IRNazanin" w:hAnsi="IRNazanin" w:eastAsia="IRNazanin"/>
          <w:color w:val="111111"/>
          <w:sz w:val="28"/>
          <w:sz w:val="28"/>
          <w:szCs w:val="28"/>
          <w:rtl w:val="true"/>
          <w:lang w:bidi="fa-IR"/>
        </w:rPr>
        <w:t xml:space="preserve">، وأنّها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 تُصاغ لإشباع حاجات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فإنّ تحلیل الأساطیر یمضی قُدماً خلال نوعٍ من المجال التأویلی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هرمنیوطیقا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المحلّل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القراءات الأُولی للأُسطورة، فی ضوء المعرفة الأثنیّة التی یملکها عن ثقافة البیئة التی تُستخدم فیها الأُسطورة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یفترض رموزاً معیّنة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دراسة عدد أکبر من الأساطیر، والتعمّق أکثر فی الوصف الأثنی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یتمّ تعزیز وتنقیح الفرضیّات المبکّرة حول الرموز، وبالشروع من هذه التنقیحات یتمّ إعداد دراسات جدیدة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باتّباع هذا الإجراء، قمت بتعریف الرموز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الرمز المکانی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یشیر إلی الأوضاع الطبیعیّة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الفیزیائیّة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النسبیّة للناس والأشیاء فی المحلّة المتقاربة، یتحدّث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عن الرمز الجغرافی، ولکنّی وجدت هذا التعبیر غیر مقنعٍ فی هذه الحال، حیث إنّ معظم المتضادّات المکانیّة فی النصّ تحدث فی مسافات قصیرة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مساحات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الرمز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یشیر إلی خصائص الزمن کساعات النهار المختلفة فی بیان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الرمز الإجتماعی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یشیر إلی العلاقات الموجودة، أو تلک التی یُسعی إلیها، کإظهار العداوة أو المودّة أو المقامات الاجتماعیّة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الرمز النَسَبی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 بالأنساب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یشیر إلی براهین موجودة فی 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أصحاب الشأن، ففی ثقافة العرب قبل الإسلام کان علم الأنساب علی درجة عالیة من الأهمّیة، وکثیراً ما کان یُلتجَأ إلی مناقب الأسلاف لتعزیز ادّعاء الأفضلیّة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الأفضلیّة السیاسیّة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 علی شخصٍ آخر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الخطوات القویّة المبکّرة للإسلام کانت محاولة تقییم الناس لیس علی أساس أنسابهم، بل علی أساس التقوی، فقد فشل هذا المجهود بعض الشیء، ومع أنّ التقوی أصبحت هی المعیار الأساسی، إلّا أنّ الأنساب بقیت ذات أهمّیة بالغة</w:t>
      </w:r>
      <w:r>
        <w:rPr>
          <w:rStyle w:val="FootnoteAnchor"/>
          <w:rtl w:val="true"/>
        </w:rPr>
        <w:footnoteReference w:id="33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أن یُری هذا علی أنّه مسألة خاصّة فی الرمز الاجتماعی، ولکنّه ذو أهمّیة کبیرة فی النصّ، حیث اخترته لأتعامل معه فی التحلیل علی أنّه رمز متمیّز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الرمز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یشیر إلی توزیع الموجودات المادّیّة کالماء والقوّة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یشیر بطبیعة الحال إلی الرسالة التی یوصلها لباس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الرمز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یشیر إلی الطریقة التی تُستخدَم فیها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وجدت فی الرمزین الأخیرین کثیراً من الإشکال یصعب البتّ فیه بسهولة، وهما بحاجة إلی کثیرٍ من الدراسة أکثر من الرموز السابقة، فهما یشیران إلی تفاعُلٍ معقّد بین الدِّین والسیاسة، فقد وجدنا أنّ أغلب الدراسات القدیمة والتقلیدیّة فی الإسلام تتعلّق بمسائل کالشرعیّة السیاسیّة، وطبیعة الحکم، ودور الحاکم، والتی کان لها أُسس فکریّة، وتَستخدم لغةً مفعمةً بالإشارات إلی الدِّین، ومناقشة مسألة الحسین وحقّه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 سلطة الخلیفة یزید ووالیه ابن زیاد لم تکن استثناءً بالتأکید، ففی القصّة التی تمّ تحلیلها هنا، وکذلک معظم التاریخ الإسلامی المدوّن تأتی لغة الدِّین ولغة السیاسة فی بعض الأوقات متداخلة إلی حدٍّ بعید، بحیث یکون من الصعب الفصل بینهما، وکما قلت سابقاً، یشکّل الدِّین والسیاسة من الناحیة الفکریّة مجالین مختلفین فی الحیاة، بالنسبة للطبری علی الأقلّ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أیّة حالٍ، عند تصنیف هذین الرمزین تردّدْتُ فی استخدام مصطلحی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الجوانب التی یُستخدم فیها هذان المصطلحان الیوم فی الثقافة الغربیّة علی العموم ضیّقة جدّاً، وأمّا فی الدراسة الأکادیمیّة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واسعة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المجتمع العلمانی الحدیث یشیر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إلی محیطٍ خاصّ له علاقة محدودة، أو لیس له علاقة أصلاً بالسیاسة، والتی هی مسألة عامّة فالاثنان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ینبغی أن یکونا منفصلین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وفی المجال الأکادیمی لتاریخ الأدیان من جانبٍ آخر یمکن أن یُطبَّق مفهوم الدِّین علی کلِّ شیءٍ تقریباً، کلّما دخل فی الأمر الاعتقاد بما یعبّر عنه مؤرّخو الأدیان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القدرة المتعالیة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أغلب الأحیان تدخل الأبعاد السیاسیة للدِّین فی هذه التعاریف، وتصبح السیاسة منغمسة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غرار هذا، وضمن حقل العلوم السیاسیّة، غالباً ما یصبح مفهوم السیاسة واسعاً إلی الحدٍّ الذی یکون تطبیقه بعید المنال؛ لأجل هذا الغرض علی الأقلّ</w:t>
      </w:r>
      <w:r>
        <w:rPr>
          <w:rStyle w:val="FootnoteAnchor"/>
          <w:rtl w:val="true"/>
        </w:rPr>
        <w:footnoteReference w:id="331"/>
      </w:r>
      <w:r>
        <w:rPr>
          <w:rFonts w:ascii="IRNazanin" w:hAnsi="IRNazanin" w:eastAsia="IRNazanin"/>
          <w:color w:val="111111"/>
          <w:sz w:val="28"/>
          <w:sz w:val="28"/>
          <w:szCs w:val="28"/>
          <w:rtl w:val="true"/>
          <w:lang w:bidi="fa-IR"/>
        </w:rPr>
        <w:t xml:space="preserve">، ولیس الأمر أنّنی أرفض هذه التعاریف الواسعة بذاتها، ولکنّها فی السیاق الحالی غیر قابلة للتطبیق؛ ومن هنا، فالمفهومان بالعربیّة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واسعان جدّاً بالنسبة لی، وتداخلهما الواسع یجعل من الصعب التمییز بینهما فی التحلیل؛ لهذا السبب قررت أن أستخدم مصطلحی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عنهما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ترجمتها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الله والیوم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ببساطة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 یتضمّن هذا الرمز تعابیر حول التقوی وکذلک حول </w:t>
      </w:r>
    </w:p>
    <w:p>
      <w:pPr>
        <w:pStyle w:val="BookText"/>
        <w:rPr/>
      </w:pPr>
      <w:r>
        <w:rPr>
          <w:rFonts w:ascii="IRNazanin" w:hAnsi="IRNazanin" w:eastAsia="IRNazanin"/>
          <w:color w:val="111111"/>
          <w:sz w:val="28"/>
          <w:sz w:val="28"/>
          <w:szCs w:val="28"/>
          <w:rtl w:val="true"/>
          <w:lang w:bidi="fa-IR"/>
        </w:rPr>
        <w:t xml:space="preserve">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ویتضمّن کذلک التجلّیات المادّیّة للإیمان، کالشعائر العبادیّة، والأعمال الصالحة عموماً، التی یمکن القول عنها إنّها مشرّعة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رمز السلطة، الذی یشیر إلی أقوالٍ حول الحکومة الدنیویّة، وتعابیر حول الولاء السیاسی للشخص الذی یتبنّی الدعاوی السیاسیّة، وهذه ترتبط کثیراً بالمفهوم العربی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مصطلح جاء فی النصّ الوارد فی هذه الدراسة، ویعنی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إعلان الولاء لشخصٍ آخر علی أنّه السلطة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حسب ما سیُظهِر التحلیل، هناک تداخلٌ کبیر بین هذین الرمزین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والسلطة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وأحد الأمثلة علی ذلک هو أنّ الحسین عندما اتّهم الحکّام فی ذلک الوقت بسوء الحکم؛ لأنّهم لم یتّبعوا شرع الله الذی جاء فی القرآن والسنّة، ففی هکذا حال، سأتحدّث عن الرمزین متضافرین معاً</w:t>
      </w:r>
      <w:r>
        <w:rPr>
          <w:rFonts w:eastAsia="IRNazanin" w:cs="IRNazanin"/>
          <w:color w:val="111111"/>
          <w:sz w:val="28"/>
          <w:szCs w:val="28"/>
          <w:rtl w:val="true"/>
          <w:lang w:bidi="fa-IR"/>
        </w:rPr>
        <w:t xml:space="preserve">. </w:t>
      </w:r>
      <w:bookmarkStart w:id="153" w:name="pg5097_58366"/>
    </w:p>
    <w:p>
      <w:pPr>
        <w:pStyle w:val="Heading2"/>
        <w:numPr>
          <w:ilvl w:val="1"/>
          <w:numId w:val="1"/>
        </w:numPr>
        <w:rPr/>
      </w:pPr>
      <w:bookmarkStart w:id="154" w:name="__RefHeading___Toc1259900_774463916"/>
      <w:bookmarkStart w:id="155" w:name="_Toc54"/>
      <w:bookmarkEnd w:id="153"/>
      <w:bookmarkEnd w:id="154"/>
      <w:r>
        <w:rPr>
          <w:rtl w:val="true"/>
        </w:rPr>
        <w:t>الفصل الثالث</w:t>
      </w:r>
      <w:r>
        <w:rPr>
          <w:rtl w:val="true"/>
        </w:rPr>
        <w:t xml:space="preserve">: </w:t>
      </w:r>
      <w:r>
        <w:rPr>
          <w:rtl w:val="true"/>
        </w:rPr>
        <w:t>البِنیة فی روایة الطبری حول أحداث کربلاء</w:t>
      </w:r>
      <w:bookmarkEnd w:id="155"/>
    </w:p>
    <w:p>
      <w:pPr>
        <w:pStyle w:val="Heading3"/>
        <w:numPr>
          <w:ilvl w:val="2"/>
          <w:numId w:val="1"/>
        </w:numPr>
        <w:rPr/>
      </w:pPr>
      <w:bookmarkStart w:id="156" w:name="__RefHeading___Toc1259902_774463916"/>
      <w:bookmarkStart w:id="157" w:name="_Toc55"/>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29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4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47" o:detectmouseclick="t"/>
                <v:stroke color="#3465a4" joinstyle="round" endcap="flat"/>
                <w10:wrap type="none"/>
              </v:shape>
            </w:pict>
          </mc:Fallback>
        </mc:AlternateConten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5097_58368"/>
      <w:bookmarkStart w:id="159" w:name="pg5097_58368"/>
      <w:bookmarkEnd w:id="159"/>
    </w:p>
    <w:p>
      <w:pPr>
        <w:pStyle w:val="Heading3"/>
        <w:numPr>
          <w:ilvl w:val="2"/>
          <w:numId w:val="1"/>
        </w:numPr>
        <w:rPr/>
      </w:pPr>
      <w:bookmarkStart w:id="160" w:name="pg5097_58368"/>
      <w:bookmarkStart w:id="161" w:name="__RefHeading___Toc1259904_774463916"/>
      <w:bookmarkStart w:id="162" w:name="_Toc56"/>
      <w:bookmarkEnd w:id="160"/>
      <w:bookmarkEnd w:id="161"/>
      <w:r>
        <w:rPr>
          <w:rtl w:val="true"/>
        </w:rPr>
        <w:t>إطلالة علی مصادر الطبری</w:t>
      </w:r>
      <w:bookmarkEnd w:id="162"/>
    </w:p>
    <w:p>
      <w:pPr>
        <w:pStyle w:val="BookText"/>
        <w:rPr/>
      </w:pPr>
      <w:r>
        <w:rPr>
          <w:rFonts w:ascii="IRNazanin" w:hAnsi="IRNazanin" w:eastAsia="IRNazanin"/>
          <w:color w:val="111111"/>
          <w:sz w:val="28"/>
          <w:sz w:val="28"/>
          <w:szCs w:val="28"/>
          <w:rtl w:val="true"/>
          <w:lang w:bidi="fa-IR"/>
        </w:rPr>
        <w:t xml:space="preserve">بالتأکید لم یکن الطبری الرجل الأوّل الذی روی أحداث کربلاء، فإنّ نسخته هی تجمیع لعددٍ من الکتابات التی سبقته فی الموضوع، وبسبب استعماله المستفیض للإسناد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الممکن أن نتقصّی مصادره إلی حدٍّ ما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الفصل، سأقدّم خلاصة قصیرة حول المصادر التی اعتمدها بمقدار ما هی معروفة لدینا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قصّة مقتل الحسین فی کربلاء تخصّ نوعاً من الأدب العربی، غالباً ما یُشار إلیه بأدب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صیغة الجمع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تعنی فی هذا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القاسی غیر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الاغتیال</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تطوّر هذا الأدب بصورة رئیسیّة فی الدوائر الشیعیّة، ولعب دوراً مهمّاً فی صیاغة الهویّة الشیعیّة کجماعة مظلومة ومضطهَدة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هنالک أیضاً أعمال کُتبت حول مقاتل أناس من غیر الشیعة، کالخلیفة الثالث عثمان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سِباستیان غونثر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Sebastian Günther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أربع مراحل فی تطوّر أدب المَقاتل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مرحلة ما قبل الکتابة فی قصص الموت العنیف لأشخاص </w:t>
      </w:r>
    </w:p>
    <w:p>
      <w:pPr>
        <w:pStyle w:val="BookText"/>
        <w:rPr/>
      </w:pPr>
      <w:r>
        <w:rPr>
          <w:rFonts w:ascii="IRNazanin" w:hAnsi="IRNazanin" w:eastAsia="IRNazanin"/>
          <w:color w:val="111111"/>
          <w:sz w:val="28"/>
          <w:sz w:val="28"/>
          <w:szCs w:val="28"/>
          <w:rtl w:val="true"/>
          <w:lang w:bidi="fa-IR"/>
        </w:rPr>
        <w:t xml:space="preserve">مشاهیر تناقلتها الألسن شفهیّاً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 عند نهایة القرن الأوّل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المیلادی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وبدایة القرن الثانی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المیلادی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بدأ بعض الأشخاص المهتمّین بالتاریخ بتجمیع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المرحلة الثانیة والتی تمتد من النصف الأوّل من القرن الثانی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بدایة القرن الثالث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دُوِّنَت موادّ حول مَقاتل خاصّة علی سبیل المثال، مقتل علیّ والحسین، إمّا علی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 للتذکُّر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یستفید منها العلماء فی حلقات الدرس، وإمّا علی شکل ملاحظات یدوّنها الطلاب من تلک الدروس، مع أنّ قسماً منها قد حقّق بعض الانتشار وورد فی الفهارس القدیمة، إلّا أنّها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إطار الأعمال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یستخدم غونثر المصطلح الإغریقی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Hypomnêmata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وصف هذا النوع من الأعمال</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الفترة، تمّ إصدار أوّل کتب المَقاتل بمعنی التألیف والنشر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المرحلة الثالثة، فتُواصل مسیرها من منتصف القرن الثانی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بدایة القرن الرابع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المرحلة دخلت موادّ المَقاتل فی أعمال کبیرة کتاریخ الطبری، ومجموعات خاصّة بهذا الموضوع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الفرج الإصفهانی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المرحلة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تبدأ من منتصف القرن الرابع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المیلادی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نشر أدب المَقاتل فی اللغة العربیّة، ولکنّه انتعش فی أدب اللغات الأُخری، کالترکیّة والفارسیّة بأشکالٍ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یبدو واضحاً أنّ الطبری کان لدیه الکثیر من المواد لیختار من بینها عندما کتب عن مقتل الحسین، فالکتب المعروفة عندنا منذ القرون الأُولی للإسلام لیست أقلّ من تسعة عشر مؤلَّفاً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مقتل الحسین</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 أشهر هذه الکتب والذی رجع إلیه بصورة أساسیّة جمیع المؤرّخین، ومنهم الطبری فی نهایات القرن الثالث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المیلادی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وبدایات القرن الرابع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کتاب لوط بن یحیی الأزدی المعروف بأبی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الولادة 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سنة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المحتمل أن یکون أبو مخنف قد عاش فی الکوفة معظم حیاته، وکان من الکُتّاب الغزیری الإنتاج فی أدب المَقاتل، وکتب حول مَقاتل العلویین وغیرهم</w:t>
      </w:r>
      <w:r>
        <w:rPr>
          <w:rStyle w:val="FootnoteAnchor"/>
          <w:rtl w:val="true"/>
        </w:rPr>
        <w:footnoteReference w:id="339"/>
      </w:r>
      <w:r>
        <w:rPr>
          <w:rFonts w:ascii="IRNazanin" w:hAnsi="IRNazanin" w:eastAsia="IRNazanin"/>
          <w:color w:val="111111"/>
          <w:sz w:val="28"/>
          <w:sz w:val="28"/>
          <w:szCs w:val="28"/>
          <w:rtl w:val="true"/>
          <w:lang w:bidi="fa-IR"/>
        </w:rPr>
        <w:t>، ویبدو أنّه حصل علی معظم معلوماته حول أحداث کربلاء عن طریق تجمیع الأخبار السماعیّة، ولکن من المحتمل أنّه استفاد من المواد المدوّنة أیضاً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بالذکر أنّ کتاب أبی مخنف الأصلی مفقودٌ لدینا، وعلی أیّة حالٍ، تمّ اقتباس هذا الکتاب بصورة واسعة جدّاً من قِبَل هشام بن محمّد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الولادة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ألّف کتاباً یحمل نفس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الکتاب یستخدم الکلبی معلومات کثیرة من کتاب أبی مخنف، ویبدو أنّه یقتبس فقرات طویلة منه بأمانة، کما أنّه یستفید من مواد کثیرة من مؤلَّفات أُخری أیضاً، وکلُّ هذا یعنی أنّ ابن الکلبی کان قد عالج ونقّح مواده، ومع أنّ الفقرات التی اقتبسها من أبی مخنف قد استنسخها بدقّة، لکن یبدو أنّه قد نقلها من هنا إلی هنا لتناسب نسخته الخاصّة به من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اعتمد الطبری کتاب ابن الکلبی کمصدر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أکثر من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روایته کان من هذا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یکون قد أخذ الکثیر من مواد أبی مخنف من هذا الباب</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مصدر آخر اعتمده الطبری فی روایته عن أحداث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المحدّث الشیعی عمّار بن معاویة الدهنی</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بدوره أخذ معلوماته من الإمام الخامس للشیعة أبو جعفر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حفید الحسین المتوفّی سنة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المخطّط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هذه المادّة القصّة کاملةً ولکن بإیجاز، ولم یُشَر إلیها فی أیِّ مکانٍ علی أنّها کتاب، وأنا أظنّ أنّها من نوع ال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Hypomnêma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الذی وصفها غونثر</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ویمکن أن یُقال الشیء نفسه عن مصدر الطبری الثالث، وهی روایة قصیرة عن القصّة الکاملة بواسطة المحدّث الکوفی الحسین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مصادر أُخری تضیف بعض التفاصیل، ولکنّها لا تعطی القصّة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لتشاهد مجمل مصادر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نقطتان یجب مناقشتهما قبل المضی قدماً إلی القصّة نفسها وتحلیلها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سلاسل النقل المفصّلة قد تمّ بیانها فی کثیرٍ من الحالات، إلّا أنّه لیس من الواضح مطلقاً أنّها صحیحة، فغالباً ما یکون الإسناد ملفّقاً، وخصوصاً فی النصوص الشرعیّة، وکذلک فی النصوص التاریخیّة؛ من أجل إعطاء خبرٍ ما معنیً آخر فی أذهان القرّاء غیر ذلک الذی یدلّ علیه حقّاً، ولهذا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یشکّک فی صحة الروایة المنسوبة لعمّار الدُهنی</w:t>
      </w:r>
      <w:r>
        <w:rPr>
          <w:rStyle w:val="FootnoteAnchor"/>
          <w:rtl w:val="true"/>
        </w:rPr>
        <w:footnoteReference w:id="344"/>
      </w:r>
      <w:r>
        <w:rPr>
          <w:rFonts w:ascii="IRNazanin" w:hAnsi="IRNazanin" w:eastAsia="IRNazanin"/>
          <w:color w:val="111111"/>
          <w:sz w:val="28"/>
          <w:sz w:val="28"/>
          <w:szCs w:val="28"/>
          <w:rtl w:val="true"/>
          <w:lang w:bidi="fa-IR"/>
        </w:rPr>
        <w:t xml:space="preserve">، بما أنّ سند الدُهنی هو الإمام الخامس الباقر، فربّما تکون الروایة قداعتُبِرت علی هذا الأساس بأنّها الروایة الشیعیّة الرسمیّة والأکثر وثاقةً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Howard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مع ذلک یشکّک هاوارد بأنّها لا ترجع إلی الإمام الباقر، ولم تأتِ من الدُهنی الشیعی المذهب، وحسب تأویله، فإنّ النسخة المنسوبة للدُهنی تقلّل من شأن الحسین، ولا یمکنها إعطاء تفاصیل مهمّة عن المعرکة، کما هو متوقَّع من الروایة الرسمیّة ومن مصدر قریب جدّاً من الحسین کحفیده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 یکن، فالنقطة التی أودّ طرحها هنا هی أنّه من الممکن، ومن الضروری </w:t>
      </w:r>
    </w:p>
    <w:p>
      <w:pPr>
        <w:pStyle w:val="BookText"/>
        <w:rPr/>
      </w:pPr>
      <w:r>
        <w:rPr>
          <w:rFonts w:ascii="IRNazanin" w:hAnsi="IRNazanin" w:eastAsia="IRNazanin"/>
          <w:color w:val="111111"/>
          <w:sz w:val="28"/>
          <w:sz w:val="28"/>
          <w:szCs w:val="28"/>
          <w:rtl w:val="true"/>
          <w:lang w:bidi="fa-IR"/>
        </w:rPr>
        <w:t>حقّاً، أن ننتبه کثیراً بخصوص سلاسل النقل الواردة فی الروایات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النقطة الثانیة التی أُرید أن أناقشها، فهی تنقیح المادّة التی کانت متوفّرة لدی الکتّاب عند تدوین نُسَخهم المختلفة لروایة أحداث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الحوادث المختلفة فی تاریخ الإسلام،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تطرّقت لهذا بالفعل عند مناقشتی لابن الکلبی فیما سبق، ویصدق هذا علی الطبری أیضاً، ومن النُسَخ المختلفة للمؤلّفین الذین اعتمدوا روایة ابن الکلبی یبدو واضحاً أنّهم استخدموا هذه الروایة بصورة انتقائیّة، وأعادوا ترتیبها من جدید، ولیس المجال هنا لدراسة کیف کان الطبری قد استخدم مادّته، ولکنّنی سأُعطی مثالاً واحداً فقط له صلة بالتحلیل التالی، فی آخر روایته حول أحداث کربلاء، یورد الطبری قصیدةً لعبید الله بن الحرّ الجعفی، وهو من أشراف العرب وشعرائهم 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الحرّ هذا مذکور أیضاً فی خبرٍ قبل المعرکة، حیث یحکی الخبر کیف التقی به الحسین وطلب منه أن یلتحق به فی مواجهة أهل الکوفة، غیر أنّ ابن الحرّ رفض ذلک، وقرّر أن یبقی علی الحیاد</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فی آخر خبرٍ من قصّة الطبری، یُروی أنّ ابن الحرّ زار کربلاء وقبور القتلی، وأنشد قصیدةً یعرض فیها ندمه علی عدم نصرة الحسین، ابن فاطمة وسبط الرسول، وعدم الدفاع عنه ضدّ جیش والی الکوفة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نسخةٍ أُخری من روایة ابن الکلبی التی وُجدت فی أربع مخطوطات مترجمة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فردیناند ووستنفِلْد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Ferdinand Wüstenfeld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تکن </w:t>
      </w:r>
      <w:bookmarkStart w:id="163" w:name="pg5097_58374"/>
    </w:p>
    <w:p>
      <w:pPr>
        <w:pStyle w:val="BookText"/>
        <w:rPr/>
      </w:pPr>
      <w:bookmarkEnd w:id="163"/>
      <w:r>
        <w:rPr>
          <w:rFonts w:ascii="IRNazanin" w:hAnsi="IRNazanin" w:eastAsia="IRNazanin"/>
          <w:color w:val="111111"/>
          <w:sz w:val="28"/>
          <w:sz w:val="28"/>
          <w:szCs w:val="28"/>
          <w:rtl w:val="true"/>
          <w:lang w:bidi="fa-IR"/>
        </w:rPr>
        <w:t>القصیدة فی آخر القصّة، ولکن کانت هناک قصیدة مختلفة وبنفس المعنی، لها صلة باللقاء الأوّل بین الحسین وابن الحرّ</w:t>
      </w:r>
      <w:r>
        <w:rPr>
          <w:rStyle w:val="FootnoteAnchor"/>
          <w:rtl w:val="true"/>
        </w:rPr>
        <w:footnoteReference w:id="346"/>
      </w:r>
      <w:r>
        <w:rPr>
          <w:rFonts w:ascii="IRNazanin" w:hAnsi="IRNazanin" w:eastAsia="IRNazanin"/>
          <w:color w:val="111111"/>
          <w:sz w:val="28"/>
          <w:sz w:val="28"/>
          <w:szCs w:val="28"/>
          <w:rtl w:val="true"/>
          <w:lang w:bidi="fa-IR"/>
        </w:rPr>
        <w:t xml:space="preserve">، مع أنّه من الصعب إثبات ذلک، إلّا أنّنی أُسلّم جدلاً أنّ الطبری نفسه کان قد نقل القصیدة إلی مکانها التی هی فیه فی نسخته، وبإضافة الخبر إلی نهایة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خارج السیاق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الطبری قد أعطاه أهمّیة أکبر بکثیر ممّا سیکون له لو ترکه فی مکانه فی وسط القصّة، وهذا أُسلوب فنّی بارع یستخدمه فی غیر مکانٍ لینقل بمهارة بعض آرائه حول مسألة معیّنة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بالإضافة إلی ذلک، فهو یستخدم أیضاً أسالیب فنیّة أُخری فی نقل أفکاره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الملحق</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بعض الأمثلة لهذه الأسالیب</w:t>
      </w:r>
      <w:r>
        <w:rPr>
          <w:rFonts w:eastAsia="IRNazanin" w:cs="IRNazanin"/>
          <w:color w:val="111111"/>
          <w:sz w:val="28"/>
          <w:szCs w:val="28"/>
          <w:rtl w:val="true"/>
          <w:lang w:bidi="fa-IR"/>
        </w:rPr>
        <w:t>.</w:t>
      </w:r>
    </w:p>
    <w:p>
      <w:pPr>
        <w:pStyle w:val="Heading3"/>
        <w:numPr>
          <w:ilvl w:val="2"/>
          <w:numId w:val="1"/>
        </w:numPr>
        <w:rPr/>
      </w:pPr>
      <w:bookmarkStart w:id="164" w:name="__RefHeading___Toc1259906_774463916"/>
      <w:bookmarkStart w:id="165" w:name="_Toc57"/>
      <w:bookmarkEnd w:id="164"/>
      <w:r>
        <w:rPr>
          <w:rtl w:val="true"/>
        </w:rPr>
        <w:t xml:space="preserve">تحلیل النصّ المعتمد </w:t>
      </w:r>
      <w:r>
        <w:rPr>
          <w:rtl w:val="true"/>
        </w:rPr>
        <w:t>(</w:t>
      </w:r>
      <w:r>
        <w:rPr>
          <w:rtl w:val="true"/>
        </w:rPr>
        <w:t>المرجعی</w:t>
      </w:r>
      <w:r>
        <w:rPr>
          <w:rtl w:val="true"/>
        </w:rPr>
        <w:t>)</w:t>
      </w:r>
      <w:bookmarkEnd w:id="165"/>
    </w:p>
    <w:p>
      <w:pPr>
        <w:pStyle w:val="Heading4"/>
        <w:numPr>
          <w:ilvl w:val="3"/>
          <w:numId w:val="1"/>
        </w:numPr>
        <w:rPr/>
      </w:pPr>
      <w:bookmarkStart w:id="166" w:name="__RefHeading___Toc1259908_774463916"/>
      <w:bookmarkStart w:id="167" w:name="_Toc58"/>
      <w:bookmarkEnd w:id="166"/>
      <w:r>
        <w:rPr>
          <w:rtl w:val="true"/>
        </w:rPr>
        <w:t>اشارة</w:t>
      </w:r>
      <w:bookmarkEnd w:id="16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یلی یأتی تحلیلٌ للنصّ الذی کان مرجعنا فی الموضوع، ومن أجل التحلیل وتیسیر الرجوع إلی المصدر، قمت بتقسیم النصّ إلی فصول وفروع، حیث ابتدأتُ تحلیل کلِّ فصلٍ بإیراد خلاصة عن النصِّ المذکور فیه، ولمشاهدة النصّ الکامل یُرجی مراجعة الملحق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 إلی النصِّ الوارد فی التحلیل برقم الفصل، متبوعاً برقم القسم المتفرّع عنه فی الملحق؛ حیث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القسم الرابع من الفصل الأوّل فی الملحق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رسم تخطیطی لمصادر نسخة الطبری حول أحداث کربلاء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29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57"/>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258" o:detectmouseclick="t"/>
                <v:stroke color="#3465a4" joinstyle="round" endcap="flat"/>
                <w10:wrap type="none"/>
              </v:shape>
            </w:pict>
          </mc:Fallback>
        </mc:AlternateContent>
      </w:r>
      <w:bookmarkStart w:id="168" w:name="pg5097_58376"/>
    </w:p>
    <w:p>
      <w:pPr>
        <w:pStyle w:val="Heading4"/>
        <w:numPr>
          <w:ilvl w:val="3"/>
          <w:numId w:val="1"/>
        </w:numPr>
        <w:rPr/>
      </w:pPr>
      <w:bookmarkStart w:id="169" w:name="__RefHeading___Toc1259910_774463916"/>
      <w:bookmarkStart w:id="170" w:name="_Toc59"/>
      <w:bookmarkEnd w:id="168"/>
      <w:bookmarkEnd w:id="169"/>
      <w:r>
        <w:rPr>
          <w:rtl w:val="true"/>
        </w:rPr>
        <w:t>القسم الأوّل</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توقّفهم لیلاً وهم فی طریقهم من مکّة إلی الکوفة، أمر الحسین أصحابه لیستقوا الماء، ثمّ أتمّوا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الظهیرة رأوا ما ظنّوا أولاً أنّه واحة نخیل، ولکن تبیّن لهم أنّه جیشٌ یحثُّ الخطی نحوهم، ومن أجل أن لا یحیط بهم الأعداء، أمر الحسین أصحابه أن یلجؤوا إلی ذی حسم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الجیش الذی کان قوامه ألف رجل یقوده الحرّ بن یزید التمیمی، وکانوا علی أُهبة القتال، عند ذلک أمر الحسین أصحابه بسقایة العدو وخیوله، وکان علیّ بن الطعّان المحاربی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جیش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متأخراً، فسقاه الحسین بنفسه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الحسین حتی نزل شراف، فلمّا کان فی السَّحَر أمر فتیانه فاستقوا من الماء، فأکثروا ثمّ ساروا منها، فرسموا صدر یومهم حتّی انتصف النهار، ثمّ إنّ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ما کبرت؟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الأسدیان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المکان ما رأینا به نخلة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تریانه رأی؟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رأی هوادی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أری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لنا ملجأ نلجأ إلیه نجعله فی ظهورنا ونستقبل القوم من وجهٍ واحد؟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هذا ذو حسم إلی جنبک تمیل إلیه عن یسارک، فإن سبقت القوم إلیه فهو کما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إلیه ذات الیسار،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وملنا معه فما کان بأسرع من أن طلعت علینا هوادی الخیل، فتبینّاها وعدلنا، فلما رأونا وقد عدلنا عن الطریق عدلوا إلینا کأنّ أسنّتهم الیعاسیب، وکأنّ رایاتهم أجنحة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فاستبقنا إلی ذی حسم فسبقناهم إلیه، فنزل الحسین فأمر بأبنیته فضُربت، وجاء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ألف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الحُرّ بن یزید التمیمی الیربوعی حتی وقف هو وخیله مقابل الحسین فی حَرِّ الظهیرة، والحسین وأصحابه معتمّون متقلِّدو أسیافهم، فقال الحسین لفتیانه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القوم وارووهم من الماء، ورشّفوا الخیل ترشیفاً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فتیانه فرشفوا الخیل ترشیفاً، فقام فتیة وسقوا القوم من الماء حتی أرووهم، وأقبلوا یملؤون القصاع والأتوار والطساس من الماء، ثمّ یدنونها من الفرس، فإذا عبّ فیه ثلاثاً أو أربعاً أو خمساً عزلت عنه، وسقوا آخر حتی سقوا الخیل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لقیط، عن علیّ بن الطعان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الحُرّ بن یزید، فجئت فی آخر مَن جاء من أصحابه، فلما رأی الحسین ما بی وبفرسی من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 الراویة، والراویة عندی السقاء،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أنِخ الجمل فأنَخته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کلّما شربت سال الماء من السقاء،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اخنث السقاء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لا أدری کیف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الحسین فخنثه، فشربت وسقیت فرسی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أوضح المتضادّات فی الفصل الأوّل هو التضادّ المکانی، حیث کان الحسین وأصحابه من الناحیة البدنیة فی مقابل الحرّ وجیشه، کان ذلک منذ اللحظة التی عرف أحدهما الآخر من بعد، ویتّضح جلیّاً من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القومُ وهم ألفُ فارسٍ مع الحُرّ بن یزید التمیمی الیربوعی حتّی وقفَ هو وخیلُه مقابلَ الحسینِ فی حَرّ الظهیرة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وعلیه فإنّ الرمز المکانی یفرض صورة الخصومة بین الفریقین، ولکنّ الخصومة البدنیّة قد هُزِمت نوعاً ما عندما قدّم الحسین الماء لعدوّه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الرمز المکانی یؤکد التضادّ الاجتماعی وهو الخصومة بین الفریقین، فی هذا الفصل یوصَفُ الحرّ ورجاله بأنّهم أهل ظلمٍ وجور، بینما کان الحسین وأصحابه یدافعون عن أنفسهم ضدّ ذلک الجور، یحاول الحسین اللجوء إلی ذی حسم؛ حیث یمکنه حمایة نفسه بسهولة هناک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یذکر النصّ أنّ الحسین کان قد نصب خیامه قبل وصول العدو، ومن الملفت للنظر ذِکرُ هذا؛ حیث الأخبار فیه تبدو مستفیضة، ومن خلال الأسطر السابقة، یُظهِر المشهد الذی یمکن تصوّره، أنّ الحسین وأصحابه کانوا للتوّ قد وصلوا وادی ذی حسم، قبل أن یعترض سبیلهم فرسان الکوفة، ومن المستبعد أن یکون الوقت قد أمهلهم لنصب الخیام؛ إذاً هل کان ذلک من الأهمّیة بحالٍ کی </w:t>
      </w:r>
    </w:p>
    <w:p>
      <w:pPr>
        <w:pStyle w:val="BookText"/>
        <w:rPr/>
      </w:pPr>
      <w:r>
        <w:rPr>
          <w:rFonts w:ascii="Amiri" w:hAnsi="Amiri" w:eastAsia="Amiri" w:cs="Amiri"/>
          <w:color w:val="111111"/>
          <w:sz w:val="28"/>
          <w:sz w:val="28"/>
          <w:szCs w:val="28"/>
          <w:rtl w:val="true"/>
          <w:lang w:bidi="ar-SA"/>
        </w:rPr>
        <w:t>یُذکرَ هنا؟</w:t>
      </w:r>
    </w:p>
    <w:p>
      <w:pPr>
        <w:pStyle w:val="BookText"/>
        <w:rPr/>
      </w:pPr>
      <w:r>
        <w:rPr>
          <w:rFonts w:ascii="IRNazanin" w:hAnsi="IRNazanin" w:eastAsia="IRNazanin"/>
          <w:color w:val="111111"/>
          <w:sz w:val="28"/>
          <w:sz w:val="28"/>
          <w:szCs w:val="28"/>
          <w:rtl w:val="true"/>
          <w:lang w:bidi="fa-IR"/>
        </w:rPr>
        <w:t>أحد الوجوه التی یمکن تأویل الخبر بها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عندما نصب الحسین خیامه صار بهذا زعیم مخیّم فی الصحراء؛ لذا یمکن اعتباره صاحب دار ضیافة یستقبل ضیوفه فی هذا المخیّم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تعزیز هذا التأویل بتقدیم الحسین الماء لجیش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النصّ کان الحسین من جهةٍ متهیّئاً للدفاع، ومن جهةٍ أُخری کان یرغب بمداراة جیش الکوفة، وقد قام فعلاً بضیافتهم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تضادّ الخصومة قد ضعفَ بعد حرکة الحسین البدنیّة والاجتماعیّة باجتیاز حدود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الفصل، جاء التأکید علی الخصومة بین الفریقین ضمن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ارتدی الحسین ورجاله لباس الحرب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الرمز الزمانی کان هناک تضادّ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بین الفجر والظهر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هو وقت جلب الماء، وأمّا الظهر فهو وقت الحَرّ والعطش، یظهر الحسین عند الفجر، ویظهر الحُرّ عند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الرمز الاقتصادی، کان التضّاد بین امتلاک الماء وعدم امتلاکه؛ فی الصباح وقبل مواصلة المسیر یأمر الحسین أصحابه بجلب الماء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ملاحظته بدقّة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ضروریّاً فی تطوّر القصّة، إنْ لم یکن ذا أهمّیةٍ فیما بعد، وأهمّیته تبرز عندما یلتقی الحسین وأصحابه بالعدو یکون معهم الماء، وعندما یصل الحُرّ ورجاله یکونون عطاشی هم ورواحلهم، وهذا یعنی أنّهم یفتقدون الماء فیأمر الحسین أصحابه بسقایتهم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وتتجسّد هذه الفکرة عندما </w:t>
      </w:r>
    </w:p>
    <w:p>
      <w:pPr>
        <w:pStyle w:val="BookText"/>
        <w:rPr/>
      </w:pPr>
      <w:r>
        <w:rPr>
          <w:rFonts w:ascii="IRNazanin" w:hAnsi="IRNazanin" w:eastAsia="IRNazanin"/>
          <w:color w:val="111111"/>
          <w:sz w:val="28"/>
          <w:sz w:val="28"/>
          <w:szCs w:val="28"/>
          <w:rtl w:val="true"/>
          <w:lang w:bidi="fa-IR"/>
        </w:rPr>
        <w:t>یقوم الحسین بنفسه بسقایة علیّ بن الطعّان المُحاربی</w:t>
      </w:r>
      <w:r>
        <w:rPr>
          <w:rStyle w:val="FootnoteAnchor"/>
          <w:rtl w:val="true"/>
        </w:rPr>
        <w:footnoteReference w:id="350"/>
      </w:r>
      <w:r>
        <w:rPr>
          <w:rFonts w:ascii="IRNazanin" w:hAnsi="IRNazanin" w:eastAsia="IRNazanin"/>
          <w:color w:val="111111"/>
          <w:sz w:val="28"/>
          <w:sz w:val="28"/>
          <w:szCs w:val="28"/>
          <w:rtl w:val="true"/>
          <w:lang w:bidi="fa-IR"/>
        </w:rPr>
        <w:t xml:space="preserve">، الذی یصل متأخّراً بعد القوم وقد أخذ العطش منه مأخذه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إلی ذلک، فإنّ أوّل رجل من أصحاب الحسین الذی اکتشف کتیبة العدوّ توهّم أنّ ما رآه کان مجموعة من النخیل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توحی أشجار النخیل بوجود واحة فی الصحراء ممّا یعطی احتمال العثور علی الماء فیها، عندما ثبت أنّهم فرسان العدو الذین وصلوا إلی ذی حسم، تحوّل تخیّل العدو إلی صورة من الحَرّ والعطش، هذه الصلة بین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الظهیرة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وکتیبة العدوّ تظهر فی الرمز اللغوی بوضع اسم الحُرّ بجانب کلمة الحَرّ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الکتابة المجرّدة من الحرکات الإعرابیّة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هی أمر عادی فی الکتابة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تبدو هاتان الکلمتان کأنّهما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وبالتأکید لم یکن صدفةً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الظهیرة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فهو خارج عن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فقد اقترن الحُرّ ورجاله بالحَرّ والعطش، والحسین بالماء وإرواء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یزال هناک تضادّ آخر فی الرمز الاقتصادی فی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امتلاک وعدم امتلاک القوّة العسکریّة، وهنا یکون التوزیع معکوساً، فالحُرّ ورجاله یمتلکون قوّةً عسکریّة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رجل مدجّج بالسلاح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جماعة الحسین أقلّ من ذلک بکثیر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نلاحظ فی القصّة حول علیّ بن الطعّان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تضادّ أیضاً بین جهل هذا الرجل بالکلمات التی استخدمها الحسین وکیفیّة استعمال القربة من </w:t>
      </w:r>
    </w:p>
    <w:p>
      <w:pPr>
        <w:pStyle w:val="BookText"/>
        <w:rPr/>
      </w:pPr>
      <w:r>
        <w:rPr>
          <w:rFonts w:ascii="IRNazanin" w:hAnsi="IRNazanin" w:eastAsia="IRNazanin"/>
          <w:color w:val="111111"/>
          <w:sz w:val="28"/>
          <w:sz w:val="28"/>
          <w:szCs w:val="28"/>
          <w:rtl w:val="true"/>
          <w:lang w:bidi="fa-IR"/>
        </w:rPr>
        <w:t>جهةٍ، وبین علم الحسین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أُخری یتقاسم الحسین ما یملک، وفی هذه الحال یتقاسم المعرفة حول کیفیّة الحصول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الحُرّ وابن الطعّان هنا فی کنایةٍ عن کتیبة الکوفیین،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الحُرّ قائد الکتیبة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 هو آخِر من یصل من الجند، الحُرّ هو القائد وابن الطعّان هو المقاتل؛ وبهذا فإنّ الصفات التی یوصف بها هذان الرجلان یمکن أن تنطبق علی کتیبة العدوّ بأکملها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الماء وفقدان العلم، سوی امتلاک القوّة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تمّ ذکر بعض المتضادّات المهمّة فی هذا الفصل من بناء الروایة، حیث افترض أنّ توزیع الماء ینسجم مع توزیع المعرفة، وتقدیم الحسین للماء کتقدیمه لها، وسأُناقش هذا بشیءٍ من التفصیل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الرموز</w:t>
      </w:r>
    </w:p>
    <w:p>
      <w:pPr>
        <w:pStyle w:val="BookText"/>
        <w:rPr/>
      </w:pPr>
      <w:r>
        <w:rPr>
          <w:rFonts w:ascii="Amiri" w:hAnsi="Amiri" w:eastAsia="Amiri" w:cs="Amiri"/>
          <w:color w:val="111111"/>
          <w:sz w:val="28"/>
          <w:sz w:val="28"/>
          <w:szCs w:val="28"/>
          <w:rtl w:val="true"/>
          <w:lang w:bidi="ar-SA"/>
        </w:rPr>
        <w:t>المتضادّات</w:t>
      </w:r>
    </w:p>
    <w:p>
      <w:pPr>
        <w:pStyle w:val="BookText"/>
        <w:rPr/>
      </w:pPr>
      <w:r>
        <w:rPr>
          <w:rFonts w:ascii="IRNazanin" w:hAnsi="IRNazanin" w:eastAsia="IRNazanin"/>
          <w:color w:val="111111"/>
          <w:sz w:val="28"/>
          <w:sz w:val="28"/>
          <w:szCs w:val="28"/>
          <w:rtl w:val="true"/>
          <w:lang w:bidi="fa-IR"/>
        </w:rPr>
        <w:t>الرمز المکانی</w:t>
      </w:r>
    </w:p>
    <w:p>
      <w:pPr>
        <w:pStyle w:val="BookText"/>
        <w:rPr/>
      </w:pPr>
      <w:r>
        <w:rPr>
          <w:rFonts w:ascii="IRNazanin" w:hAnsi="IRNazanin" w:eastAsia="IRNazanin"/>
          <w:color w:val="111111"/>
          <w:sz w:val="28"/>
          <w:sz w:val="28"/>
          <w:szCs w:val="28"/>
          <w:rtl w:val="true"/>
          <w:lang w:bidi="fa-IR"/>
        </w:rPr>
        <w:t>الحسین وجماعته</w:t>
      </w:r>
    </w:p>
    <w:p>
      <w:pPr>
        <w:pStyle w:val="BookText"/>
        <w:rPr/>
      </w:pPr>
      <w:r>
        <w:rPr>
          <w:rFonts w:ascii="Amiri" w:hAnsi="Amiri" w:eastAsia="Amiri" w:cs="Amiri"/>
          <w:color w:val="111111"/>
          <w:sz w:val="28"/>
          <w:sz w:val="28"/>
          <w:szCs w:val="28"/>
          <w:rtl w:val="true"/>
          <w:lang w:bidi="ar-SA"/>
        </w:rPr>
        <w:t>الحُرّ وجماعته</w:t>
      </w:r>
    </w:p>
    <w:p>
      <w:pPr>
        <w:pStyle w:val="BookText"/>
        <w:rPr/>
      </w:pPr>
      <w:r>
        <w:rPr>
          <w:rFonts w:ascii="IRNazanin" w:hAnsi="IRNazanin" w:eastAsia="IRNazanin"/>
          <w:color w:val="111111"/>
          <w:sz w:val="28"/>
          <w:sz w:val="28"/>
          <w:szCs w:val="28"/>
          <w:rtl w:val="true"/>
          <w:lang w:bidi="fa-IR"/>
        </w:rPr>
        <w:t>الرمز الاجتماعی</w:t>
      </w:r>
    </w:p>
    <w:p>
      <w:pPr>
        <w:pStyle w:val="BookText"/>
        <w:rPr/>
      </w:pPr>
      <w:r>
        <w:rPr>
          <w:rFonts w:ascii="IRNazanin" w:hAnsi="IRNazanin" w:eastAsia="IRNazanin"/>
          <w:color w:val="111111"/>
          <w:sz w:val="28"/>
          <w:sz w:val="28"/>
          <w:szCs w:val="28"/>
          <w:rtl w:val="true"/>
          <w:lang w:bidi="fa-IR"/>
        </w:rPr>
        <w:t>دفاع</w:t>
      </w:r>
    </w:p>
    <w:p>
      <w:pPr>
        <w:pStyle w:val="BookText"/>
        <w:rPr/>
      </w:pPr>
      <w:r>
        <w:rPr>
          <w:rFonts w:ascii="IRNazanin" w:hAnsi="IRNazanin" w:eastAsia="IRNazanin"/>
          <w:color w:val="111111"/>
          <w:sz w:val="28"/>
          <w:sz w:val="28"/>
          <w:szCs w:val="28"/>
          <w:rtl w:val="true"/>
          <w:lang w:bidi="fa-IR"/>
        </w:rPr>
        <w:t>جور</w:t>
      </w:r>
    </w:p>
    <w:p>
      <w:pPr>
        <w:pStyle w:val="BookText"/>
        <w:rPr/>
      </w:pPr>
      <w:r>
        <w:rPr>
          <w:rFonts w:ascii="IRNazanin" w:hAnsi="IRNazanin" w:eastAsia="IRNazanin"/>
          <w:color w:val="111111"/>
          <w:sz w:val="28"/>
          <w:sz w:val="28"/>
          <w:szCs w:val="28"/>
          <w:rtl w:val="true"/>
          <w:lang w:bidi="fa-IR"/>
        </w:rPr>
        <w:t>الرمز الزمانی</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ascii="IRNazanin" w:hAnsi="IRNazanin" w:eastAsia="IRNazanin"/>
          <w:color w:val="111111"/>
          <w:sz w:val="28"/>
          <w:sz w:val="28"/>
          <w:szCs w:val="28"/>
          <w:rtl w:val="true"/>
          <w:lang w:bidi="fa-IR"/>
        </w:rPr>
        <w:t>الظهیرة</w:t>
      </w:r>
    </w:p>
    <w:p>
      <w:pPr>
        <w:pStyle w:val="BookText"/>
        <w:rPr/>
      </w:pPr>
      <w:r>
        <w:rPr>
          <w:rFonts w:ascii="IRNazanin" w:hAnsi="IRNazanin" w:eastAsia="IRNazanin"/>
          <w:color w:val="111111"/>
          <w:sz w:val="28"/>
          <w:sz w:val="28"/>
          <w:szCs w:val="28"/>
          <w:rtl w:val="true"/>
          <w:lang w:bidi="fa-IR"/>
        </w:rPr>
        <w:t>الرمز الاقتصادی</w:t>
      </w:r>
    </w:p>
    <w:p>
      <w:pPr>
        <w:pStyle w:val="BookText"/>
        <w:rPr/>
      </w:pPr>
      <w:r>
        <w:rPr>
          <w:rFonts w:ascii="IRNazanin" w:hAnsi="IRNazanin" w:eastAsia="IRNazanin"/>
          <w:color w:val="111111"/>
          <w:sz w:val="28"/>
          <w:sz w:val="28"/>
          <w:szCs w:val="28"/>
          <w:rtl w:val="true"/>
          <w:lang w:bidi="fa-IR"/>
        </w:rPr>
        <w:t>ماء</w:t>
      </w:r>
    </w:p>
    <w:p>
      <w:pPr>
        <w:pStyle w:val="BookText"/>
        <w:rPr/>
      </w:pPr>
      <w:r>
        <w:rPr>
          <w:rFonts w:ascii="IRNazanin" w:hAnsi="IRNazanin" w:eastAsia="IRNazanin"/>
          <w:color w:val="111111"/>
          <w:sz w:val="28"/>
          <w:sz w:val="28"/>
          <w:szCs w:val="28"/>
          <w:rtl w:val="true"/>
          <w:lang w:bidi="fa-IR"/>
        </w:rPr>
        <w:t>بلا ماء</w:t>
      </w:r>
    </w:p>
    <w:p>
      <w:pPr>
        <w:pStyle w:val="BookText"/>
        <w:rPr/>
      </w:pPr>
      <w:r>
        <w:rPr>
          <w:rFonts w:ascii="Amiri" w:hAnsi="Amiri" w:eastAsia="Amiri" w:cs="Amiri"/>
          <w:color w:val="111111"/>
          <w:sz w:val="28"/>
          <w:sz w:val="28"/>
          <w:szCs w:val="28"/>
          <w:rtl w:val="true"/>
          <w:lang w:bidi="ar-SA"/>
        </w:rPr>
        <w:t>فقدان القوّة العسکریّة</w:t>
      </w:r>
    </w:p>
    <w:p>
      <w:pPr>
        <w:pStyle w:val="BookText"/>
        <w:rPr/>
      </w:pPr>
      <w:r>
        <w:rPr>
          <w:rFonts w:ascii="IRNazanin" w:hAnsi="IRNazanin" w:eastAsia="IRNazanin"/>
          <w:color w:val="111111"/>
          <w:sz w:val="28"/>
          <w:sz w:val="28"/>
          <w:szCs w:val="28"/>
          <w:rtl w:val="true"/>
          <w:lang w:bidi="fa-IR"/>
        </w:rPr>
        <w:t>امتلاک القوّة العسکریّة</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جهل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متضادّات مهمّة فی الفصل الأوّل </w:t>
      </w:r>
      <w:bookmarkStart w:id="171" w:name="pg5097_58381"/>
    </w:p>
    <w:p>
      <w:pPr>
        <w:pStyle w:val="Heading4"/>
        <w:numPr>
          <w:ilvl w:val="3"/>
          <w:numId w:val="1"/>
        </w:numPr>
        <w:rPr/>
      </w:pPr>
      <w:bookmarkStart w:id="172" w:name="__RefHeading___Toc1259912_774463916"/>
      <w:bookmarkStart w:id="173" w:name="_Toc60"/>
      <w:bookmarkEnd w:id="171"/>
      <w:bookmarkEnd w:id="172"/>
      <w:r>
        <w:rPr>
          <w:rtl w:val="true"/>
        </w:rPr>
        <w:t>القسم الثانی</w:t>
      </w:r>
      <w:bookmarkEnd w:id="173"/>
    </w:p>
    <w:p>
      <w:pPr>
        <w:pStyle w:val="BookText"/>
        <w:rPr/>
      </w:pPr>
      <w:r>
        <w:rPr>
          <w:rFonts w:ascii="IRNazanin" w:hAnsi="IRNazanin" w:eastAsia="IRNazanin"/>
          <w:color w:val="111111"/>
          <w:sz w:val="28"/>
          <w:sz w:val="28"/>
          <w:szCs w:val="28"/>
          <w:rtl w:val="true"/>
          <w:lang w:bidi="fa-IR"/>
        </w:rPr>
        <w:t xml:space="preserve">السبب وراء مهمّة الحُرّ هو أنّ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قوّة عسکریّة کبیرة فی القادسیّة للبحث عن الحسین، وکان قد أرسل قبلها الحُرّ لمقابلة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هو مجرّد ملاحظة قصیرة تعترض مجری الروایة من أجل بیان سبب قدوم الحُرّ، ویبیّن النصُّ فی هذا الفصل أنّ الخصومة بین الحُرّ والحسین لیست فقط بین هذین الرجلین ومَن معهما، ولکن وراء الحُرّ هناک والی الکوفة، وعلی رأسهما معاً الخلیفة یزید بن معاویة، فقد أمر یزیدُ والیَ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یفعل کلَّ ما یراه لازماً لصدّ الحسین، فالعدوّ الحقیقی للحسین لیس الحُرّ بقدر ما علیه أسیاده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وبنو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وستتّضح أهمّیة هذا کلّما تقدّمت القصّة شیئاً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الفصل، یبیّن النصّ کذلک التوزیع غیر المتعادل للقوّة، فیقف خلف الحُرّ لیس الألف فارس الذین کانوا معه فقط، بل جیش الإمبراطوریّة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بکامله، مقابل تلک الجماعة القلیلة مع الحسین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الوقت نفسه، یبیّن هذا الفصل الأهمّیة السیاسیّة الکبری التی یعلّقها الخلیفة علی الحسین وقدومه إلی الکوفة؛ وبهذا یکون التضادّ الاجتماعی الموجود فی الفصل الأوّل قد انعکس، ففی هذا الفصل یُنظَر إلی حرکة الحسین نحو الکوفة من المنظار الأُموی، حیث یکون الحسین هو الباغی، بینما الأُمویّون الذین یمثّلهم والی الکوفة هنا هم المدافعون عن أنفسهم</w:t>
      </w:r>
      <w:r>
        <w:rPr>
          <w:rFonts w:eastAsia="IRNazanin" w:cs="IRNazanin"/>
          <w:color w:val="111111"/>
          <w:sz w:val="28"/>
          <w:szCs w:val="28"/>
          <w:rtl w:val="true"/>
          <w:lang w:bidi="fa-IR"/>
        </w:rPr>
        <w:t xml:space="preserve">. </w:t>
      </w:r>
      <w:bookmarkStart w:id="174" w:name="pg5097_58382"/>
    </w:p>
    <w:p>
      <w:pPr>
        <w:pStyle w:val="Heading4"/>
        <w:numPr>
          <w:ilvl w:val="3"/>
          <w:numId w:val="1"/>
        </w:numPr>
        <w:rPr/>
      </w:pPr>
      <w:bookmarkStart w:id="175" w:name="__RefHeading___Toc1259914_774463916"/>
      <w:bookmarkStart w:id="176" w:name="_Toc61"/>
      <w:bookmarkEnd w:id="174"/>
      <w:bookmarkEnd w:id="175"/>
      <w:r>
        <w:rPr>
          <w:rtl w:val="true"/>
        </w:rPr>
        <w:t>القسم الثالث</w:t>
      </w:r>
      <w:bookmarkEnd w:id="176"/>
    </w:p>
    <w:p>
      <w:pPr>
        <w:pStyle w:val="BookText"/>
        <w:rPr/>
      </w:pPr>
      <w:r>
        <w:rPr>
          <w:rFonts w:ascii="IRNazanin" w:hAnsi="IRNazanin" w:eastAsia="IRNazanin"/>
          <w:color w:val="111111"/>
          <w:sz w:val="28"/>
          <w:sz w:val="28"/>
          <w:szCs w:val="28"/>
          <w:rtl w:val="true"/>
          <w:lang w:bidi="fa-IR"/>
        </w:rPr>
        <w:t>عندما دنا وقت صلاة الظهر، خرج الحسین من خیمته مؤتزاً منتعلاً وعلیه عباءة، خطب فی الناس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قدِم لأنّ أهل الکوفة قد کتبوا له وناشدوه أن یکون قائداً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وإنّه عازم علی أن یُنجز هذا أو یرجع إذا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 أهل الکوفة الصمت حیال ذلک، ولکنّهم رضوا أن یأتمّوا به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عاد الفریقان إلی مواضعهما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الفصل الثالث، یأتی مجری الروایة من الفصل الأوّل مرّةً أُخری، هناک حادثتان محوریّتان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الفریقین معاً فی الصلاة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التی ألقاها الحسین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اجتماع الفریقین معاً فی الصلاة ذات أهمّیة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أبعد من معناها الظاهر فی رمز التقوی بإقامة أحد الفروض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الفریقین اجتمعا معاً ثمّ افترقا مرّةً أُخری فی الرمز المکانی، فی هذا الفصل یتّضح لنا بروز الرمز المکانی، ففی البدایة والنهایة یبدو التضادّ المکانی واضحاً؛ فی البدایة کان خبر التعارض بین الحُرّ والحسین الذی أخذ مجراه فی القصّة من الفصل الأوّل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النهایة أنّهما رجعا إلی مواضعهما السابقة بعد أداء الصلاة معاً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تضمّنته الصلاة وما حدث مباشرةً قبلها وبعدها، ویرتبط هذا المشهد برمز السلطة وبرمز التقوی، عندما صلّی الفریقان معاً، فهذا یعنی أنّهم یعتبرون أحدهم الآخر أُخوة فی الدِّین، وبهذا فهم أُمّة واحدة، ما کان یدلُّ علی کون الفرد واحداً من الأُمّة فی عصر الإسلام الأوّل هو مشارکته فی صلاة الجماعة، حیث کانت الصلاة واحدةً من أهمّ الوسائل التی تُظهر ولاء الفرد السیاسی لجهةٍ ما، إمّا بصلاته وإمّا عدم صلاته خلف أمیرٍ ما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الحال ومهما کان الأمر، فإنّ فعل أهل الکوفة بیّن بوضوح أنّهم لم یکونوا یرضون بالحسین أمیراً سیاسیّاً علیهم، فصلاتهم خلفه تعنی أنّهم کانوا </w:t>
      </w:r>
    </w:p>
    <w:p>
      <w:pPr>
        <w:pStyle w:val="BookText"/>
        <w:rPr/>
      </w:pPr>
      <w:r>
        <w:rPr>
          <w:rFonts w:ascii="IRNazanin" w:hAnsi="IRNazanin" w:eastAsia="IRNazanin"/>
          <w:color w:val="111111"/>
          <w:sz w:val="28"/>
          <w:sz w:val="28"/>
          <w:szCs w:val="28"/>
          <w:rtl w:val="true"/>
          <w:lang w:bidi="fa-IR"/>
        </w:rPr>
        <w:t xml:space="preserve">یقرّون بأفضلیّته من الناحیة الروحیّة، ولکنّ فعلهم قبل وبعد الصلاة یبیّن أنّهم لم یکونوا یعترفون بإمرته السیاسیّة علیهم، رضاهم بالحسین إماماً فی الصلاة کان مظهراً للوحدة الدِّینیّة ولیس الوحدة السیاسیّة؛ وهنا فإنّ فعل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عادةً یُظهر رمز التقوی ورمز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مظهراً للتقوی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بطبیعة الحالٍ لا تزال الصلاة فعلاً سیاسیّاً من حیث إنّ الجماعةَ تبیّن من خلالها هویّتها الجماعیّة، ولکنّها لیست فعلاً تجسّدت من خلاله إمرة الحسین السیاسیّة، فقد بدا ذلک واضحاً من خلال موقف أهل الکوفة تجاه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متضادّان آخران فی الرمز المکانی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بقاء الحسین فی مکّة وقدومه نحو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اقتراحه أن یواصل المسیر نحو الکوفة أو الرجوع إلی الحجاز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المتضادّات عادة ترتبط بالتعارض بین دعوة أهل الکوفة ورفضهم له، وهی أفعال لها احتمالات سیاسیّة ودینیّة معاً، ففی خطبته ذکّرهم الحسین بدعوتهم الملحّة له بالقدوم کقائد دینی وسیاسی معاً؛ ورفضهم له الآن یَظهرُ من خلال صمتهم بعد خطبته فیهم فی دعوة أهل الکوفة للحسین، ورفضهم له بعد ذلک تَظهرُ رموز التقوی والسلطة واضحةً هنا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خاطب الحسین أهل الکوفة فقد خیَّرهم بین تعهّدهم بنصرته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دعوتهم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عدم فعل ذلک، فإن قبلوه فسوف یُقدِم علیهم، وإن رفضوه سیعود من حیث أتی، فلو حصل الأمر فسیکون من نتائج قدوم الحسین إلی الکوفة هو أنّ أهلها سیکون لهم إمامة جماعة وهدی من خلاله، وحیث إنّ فکرة الإمام لها معنًی خاص عند الشیعة، فإنّها فی هذا السیاق تُستخدم دائماً فی المعنی العام للقائد </w:t>
      </w:r>
    </w:p>
    <w:p>
      <w:pPr>
        <w:pStyle w:val="BookText"/>
        <w:rPr/>
      </w:pPr>
      <w:r>
        <w:rPr>
          <w:rFonts w:ascii="IRNazanin" w:hAnsi="IRNazanin" w:eastAsia="IRNazanin"/>
          <w:color w:val="111111"/>
          <w:sz w:val="28"/>
          <w:sz w:val="28"/>
          <w:szCs w:val="28"/>
          <w:rtl w:val="true"/>
          <w:lang w:bidi="fa-IR"/>
        </w:rPr>
        <w:t>السیاسی والفقیه الأعلم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الأهمّیة بمکان ملاحظة أنّ المفهوم هنا یرتبط إلی حدٍّ بعید بالجماعة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والهدی، وهی المفاهیم التی تفید ضمناً أن یکون الفرد واحداً من الأُمّة الإسلامیّة الدینیّة والسیاسیّة التی قد اختیرت من قِبَلِ الله، وهذا بدوره یدلّ ضمناً علی النجاة والحیاة الأبدیّة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قدّمه الحسین فی هذه الخطبة هو الحیاة الروحیّة من خلال الهدِّایة السیاسیّة والدِّینیّة نحو الوحدة فی المجتمع المسلم، فقد قدّم لهم شیئاً لم یکونوا یملکونه، والذی کانوا قد بیّنوا فیما سبق أنّهم بحاجةٍ مُلِحّةٍ إلیه، لقد أوّلْتُ عرض الإمامة هذا علی أنّه تشابه ضمن الرمز الاقتصادی مع بذله الماء فی الفصل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الإمامة والماء کلاهما یدلاّن علی خصائص مختلفة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مادّیة وروحیّة؛ وبالتالی فإنّ کثیراً من المتضادّات الواردة فی الفصل الثالث جاءت ترجمتها ضمن الرمز المکانی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الحرکات المکانیّة یمکن رسمها کما فی 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نقطة أُخری تستحقّ الاهتمام، وهی اللباس الذی کان یرتدیه الحسین عندما خرج من خیمته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 وعباءة، ونعلان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ما أستطیع أن أتصوّره أنا فإنّ هذا اللباس کان بصورة خاصّة یُرتدی فی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الحجّ إلی مکّة، وککفن </w:t>
      </w:r>
    </w:p>
    <w:p>
      <w:pPr>
        <w:pStyle w:val="BookText"/>
        <w:rPr/>
      </w:pPr>
      <w:r>
        <w:rPr>
          <w:rFonts w:ascii="Amiri" w:hAnsi="Amiri" w:eastAsia="Amiri" w:cs="Amiri"/>
          <w:color w:val="111111"/>
          <w:sz w:val="28"/>
          <w:sz w:val="28"/>
          <w:szCs w:val="28"/>
          <w:rtl w:val="true"/>
          <w:lang w:bidi="ar-SA"/>
        </w:rPr>
        <w:t>یُکفّن به المیت عند دفنه</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الحالة الأُولی، یبیّن هذا أنّ الشخص الذی یرتدی هذا اللباس یکون فی حالة إحرام، وفی هذه الحالة یکون القتل محرّماً علیه، ویکون المُحرِم نفسه ذا قدسیّة، ولا یجوز انتهاک حرمته</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حالة المیت یکون للّباس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التغسیل والتطییب بالحنوط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نقله إلی حالة الطهارة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هذا هو إعداد المیت للقاء ربّه عند الحساب، وأن یکون جاهزاً لدخول الجنّة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 ما فهمت، فإنّ هذا النوع من اللباس لم یکن مرتبطاً بالصلاة العادیّة، مع أنّ المؤمن أثناء الصلاة یدخل مؤقّتاً فی حالة الإحرام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التعلیق علی لباس الحسین یشیر إلی اتّجاهین حسب تأویلی أنا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جهةٍ یبیّنُ أنّ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تحقیق السلام، ولا یجوز انتهاک 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فی حالة إحرام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الخصوص، یبدو ذلک فی تعارضٍ تامّ مع ذکر لباس الحرب الذی کان یرتدیه هو وأصحابه فی 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التحرّکات المکانیّة فی الفصل الثالث</w:t>
      </w:r>
    </w:p>
    <w:p>
      <w:pPr>
        <w:pStyle w:val="BookText"/>
        <w:rPr/>
      </w:pPr>
      <w:r>
        <w:rPr>
          <w:rtl w:val="true"/>
        </w:rPr>
        <mc:AlternateContent>
          <mc:Choice Requires="wps">
            <w:drawing>
              <wp:inline distT="0" distB="0" distL="0" distR="0">
                <wp:extent cx="5334000" cy="5016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71"/>
                        <a:stretch/>
                      </pic:blipFill>
                      <pic:spPr>
                        <a:xfrm>
                          <a:off x="0" y="0"/>
                          <a:ext cx="5334120" cy="5016600"/>
                        </a:xfrm>
                        <a:prstGeom prst="rect">
                          <a:avLst/>
                        </a:prstGeom>
                        <a:ln w="0">
                          <a:noFill/>
                        </a:ln>
                      </pic:spPr>
                    </pic:pic>
                  </a:graphicData>
                </a:graphic>
              </wp:inline>
            </w:drawing>
          </mc:Choice>
          <mc:Fallback>
            <w:pict>
              <v:shape id="shape_0" stroked="f" o:allowincell="f" style="position:absolute;margin-left:0pt;margin-top:-395.05pt;width:419.95pt;height:394.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وتؤیّد هذا التأویل بقوّة مواضع عدیدة فی النصّ 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محاورة الحسین مع الحُرّ فی الفصل الخامس والفصل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علی امتداد القصّة التی یظهر فیها ضمناً أنّ الحسین کان یرید السلام، أو عند ذکر حُرمته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الجهة الأُخری، یبیّن لباسه أنّه کان مستعدّاً للموت، نعم کان یحدث أن یتوقّع المقاتلون المسلمون القتل فی المیدان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یمضون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یرتدون </w:t>
      </w:r>
    </w:p>
    <w:p>
      <w:pPr>
        <w:pStyle w:val="BookText"/>
        <w:rPr/>
      </w:pPr>
      <w:r>
        <w:rPr>
          <w:rFonts w:ascii="IRNazanin" w:hAnsi="IRNazanin" w:eastAsia="IRNazanin"/>
          <w:color w:val="111111"/>
          <w:sz w:val="28"/>
          <w:sz w:val="28"/>
          <w:szCs w:val="28"/>
          <w:rtl w:val="true"/>
          <w:lang w:bidi="fa-IR"/>
        </w:rPr>
        <w:t>أکفانهم فی المعرکة</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الخصوص یشیر لباس الحسین إلی ما سیأتی فی النصّ المعتمد، بینما فی الفصل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یتحدّث الحسین عن الشهادة کشیءٍ یتوق إلیه عند جوابه علی تحذیر الحُرّ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یتوافق أیضاً مع مشهدٍ سیأتی لاحقاً فی القصّة، حیث فی اللیلة التی سبقت المعرکة یُعِدّ الحسین وأصحابه أنفسهم للموت بالغُسل بماءٍ فیه حنوط، وهو المعتاد عند تحضیر المیت للدفن</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w:t>
      </w:r>
    </w:p>
    <w:p>
      <w:pPr>
        <w:pStyle w:val="BookText"/>
        <w:rPr/>
      </w:pPr>
      <w:r>
        <w:rPr>
          <w:rtl w:val="true"/>
        </w:rPr>
        <mc:AlternateContent>
          <mc:Choice Requires="wps">
            <w:drawing>
              <wp:inline distT="0" distB="0" distL="0" distR="0">
                <wp:extent cx="5334000" cy="2908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74"/>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ترسیم دلالة لباس الحسین کما یلی فی 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76"/>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277" o:detectmouseclick="t"/>
                <v:stroke color="#3465a4" joinstyle="round" endcap="flat"/>
                <w10:wrap type="none"/>
              </v:shape>
            </w:pict>
          </mc:Fallback>
        </mc:AlternateContent>
      </w:r>
      <w:bookmarkStart w:id="177" w:name="pg5097_58389"/>
    </w:p>
    <w:p>
      <w:pPr>
        <w:pStyle w:val="Heading4"/>
        <w:numPr>
          <w:ilvl w:val="3"/>
          <w:numId w:val="1"/>
        </w:numPr>
        <w:rPr/>
      </w:pPr>
      <w:bookmarkStart w:id="178" w:name="__RefHeading___Toc1259916_774463916"/>
      <w:bookmarkStart w:id="179" w:name="_Toc62"/>
      <w:bookmarkEnd w:id="177"/>
      <w:bookmarkEnd w:id="178"/>
      <w:r>
        <w:rPr>
          <w:rtl w:val="true"/>
        </w:rPr>
        <w:t>القسم الرابع</w:t>
      </w:r>
      <w:bookmarkEnd w:id="179"/>
    </w:p>
    <w:p>
      <w:pPr>
        <w:pStyle w:val="BookText"/>
        <w:rPr/>
      </w:pPr>
      <w:r>
        <w:rPr>
          <w:rFonts w:ascii="IRNazanin" w:hAnsi="IRNazanin" w:eastAsia="IRNazanin"/>
          <w:color w:val="111111"/>
          <w:sz w:val="28"/>
          <w:sz w:val="28"/>
          <w:szCs w:val="28"/>
          <w:rtl w:val="true"/>
          <w:lang w:bidi="fa-IR"/>
        </w:rPr>
        <w:t>عندما حضر وقت صلاة الظهر، أمرَ الحسینُ أصحابَه بالتهیّؤ للرحیل، ثمّ أمّ الفریقین فی الصلاة، وخطب فیهم خطبةً ثانیة، هذه المرّة تحدّث عن أحقیّة أهل البیت فی الحکم ممّا لیس لبنی أُمیّة، مرّةً أُخری بیّن الحسین أنّه مستعدّ لترک أهل الکوفة وشأنهم إنْ هم انصرفوا عمّا کانوا قد أکّدوه فی کتبهم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الخطبة وعندما استفسر الحُرّ عن تلک الرسائل، عرض الحسین خرجین ملیئین بالرسائل التی کانت قد وردت إلیه من أهل الکوفة،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مأمور بجلب الحسین إلی الوالی ابن زیاد فی الکوفة، ولکنّ الحسین أبی أن یذهب معه</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ندری ما هذه الکتبُ والرسلُ التی 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بإخراج کتُبِهم، فأُخرِجَت فی خرجین مملوءین، فنثرَهما بینَ أیدیهم،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من هؤلاء الذین کتبوا إلیک، وقد أُمِرنا إذا نحنُ لقِیناک ألا نفارقَک حتّی نقدمک الکوفةَ علی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أدنی إلیک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الفصلِ الرابِع، قام الحسینُ بحرکةٍ جدیدة لاختراق حدود الخصومة؛ أوّلاً بإمامتهِ للحرِّ وأصحابِه فی الصلاة، وثانیاً بالتحدّثِ والنُصحِ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البنیة الإخباریّة فی کلامِ الحسینِ هنا فی غایة الوضوح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المخطّط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یمکن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الکلامَ یشتملُ علی جملتین شَرطیّتین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فی بدایة الکلام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فی المخطّط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والأُخری فی نهایته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المخطّط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وکلتاهما تبدآنِ بأداة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وتتحدّثُ هذه العبارات عمّا سیحدث فیما لو رضیَ أهلُ الکوفة بالحسین أو صدّوه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1C</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تتّقوا اللهّ وتعرِفوا الحقَّ لأهله یکنْ أرضی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ونحنُ أهلُ البیتِ أولی بولایةِ هذا الأمرِ علیکم من</w:t>
      </w:r>
    </w:p>
    <w:p>
      <w:pPr>
        <w:pStyle w:val="BookText"/>
        <w:rPr/>
      </w:pPr>
      <w:r>
        <w:rPr>
          <w:rFonts w:ascii="IRNazanin" w:hAnsi="IRNazanin" w:eastAsia="IRNazanin"/>
          <w:color w:val="111111"/>
          <w:sz w:val="28"/>
          <w:sz w:val="28"/>
          <w:szCs w:val="28"/>
          <w:rtl w:val="true"/>
          <w:lang w:bidi="fa-IR"/>
        </w:rPr>
        <w:t>هؤلاء المدّعینَ ما لیس لهم، والسائرین فیکم بالجور والعدوان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فإن أنتم کرِهتمونا وجهلتم حقّنا، وکان رأیُکم غیرَ</w:t>
      </w:r>
    </w:p>
    <w:p>
      <w:pPr>
        <w:pStyle w:val="BookText"/>
        <w:rPr/>
      </w:pPr>
      <w:r>
        <w:rPr>
          <w:rFonts w:ascii="Amiri" w:hAnsi="Amiri" w:eastAsia="Amiri" w:cs="Amiri"/>
          <w:color w:val="111111"/>
          <w:sz w:val="28"/>
          <w:sz w:val="28"/>
          <w:szCs w:val="28"/>
          <w:rtl w:val="true"/>
          <w:lang w:bidi="ar-SA"/>
        </w:rPr>
        <w:t>ما أتتنی به کتبُکم، وقدِمَت علیّ بهِ رسلُکم، انصرفت 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الحسین الثانیة</w:t>
      </w:r>
    </w:p>
    <w:p>
      <w:pPr>
        <w:pStyle w:val="BookText"/>
        <w:rPr/>
      </w:pPr>
      <w:r>
        <w:rPr>
          <w:rFonts w:eastAsia="Times New Roman" w:cs="Times New Roman" w:ascii="Times New Roman" w:hAnsi="Times New Roman"/>
          <w:color w:val="111111"/>
          <w:sz w:val="28"/>
          <w:szCs w:val="28"/>
          <w:lang w:val="en-US" w:bidi="en-US"/>
        </w:rPr>
        <w:t>C1</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جُملتان شَرطیّتان،</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جملة إخباریّة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توجَدُ بین الجملتین الشَرطیّتین جملةٌ إخباریّة بیَّنَ فیها الحسینُ فضائلَ أهلِ بیتِه ورذائلَ أُولئک القوم، والذی ینبغی هنا أن یُفهَمَ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المدّعین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تلک الحکومة القائمة وهم بنو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البنیة المتوازیة فی الخطبة واضحه جدّاً؛ حیثُ إنَّ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العربیّة یأتی کمحورٍ یُرتکَزُ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یتحدّث النصّ الذی یأتی قبل هذه الجملة عن اتّخاذ الحسین قائداً، بینما الذی یلیها ینوِّهُ باتّخاذ أُولئکَ المدّعین 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الرئیسیّة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هنا تبیِّنُ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الحسین الذی هو واحدٌ من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هنا یجبُ أن یُحمَل علی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هؤلاء المدّعین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أُمیّة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البیتِ هم أصحابُ الحقّ فی الخلافة، بینما أُولئک القوم هم من المدّعین الذین یجلبون الجورَ والطغیان؛ وعلیه فهناک تَعارُضان فی هذه العبارةِ الرئیسیّة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فی رمز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المدّعین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أُمیّة</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 فی رمز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غیر شرعیّة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تُظهِرُ العبارةُ بشکلٍ جلیّ مقایسةً واضحة کما 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شرعیّة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غیر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وبنظرة أکثر عمقاً إلی الجملتین الشَرطیتین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تظهر بوضوح البنیة الموجودة فی الجدول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القسم الأعلی من الجدول الجملة الشرطیّة الأُولی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والقسم الأسفل یُظهر الجملة الشرطیّة الثانیة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وترتیبها بهذا الشکل یبیّن بوضوح أنّ التعارضات والتحوّلات بین الرموز المختلفة تتعاضد لإعطاء الرسالة التی یرغب الحسین فی إیصالها، وعندما یُقرأ الجدول أفقیّاً تکون العبارات الموجودة فی کلِّ واحدةٍ من الجُمل منسجمةً مع بعضها البعض، حیث تکون فی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 الله </w:t>
      </w:r>
      <w:r>
        <w:rPr>
          <w:rFonts w:eastAsia="IRNazanin" w:cs="IRNazanin"/>
          <w:color w:val="111111"/>
          <w:sz w:val="28"/>
          <w:szCs w:val="28"/>
          <w:lang w:bidi="fa-IR"/>
        </w:rPr>
        <w:t>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الحقّ لأهله </w:t>
      </w:r>
      <w:r>
        <w:rPr>
          <w:rFonts w:eastAsia="IRNazanin" w:cs="IRNazanin"/>
          <w:color w:val="111111"/>
          <w:sz w:val="28"/>
          <w:szCs w:val="28"/>
          <w:lang w:bidi="fa-IR"/>
        </w:rPr>
        <w:t>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الله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بغض أهل البیت </w:t>
      </w:r>
      <w:r>
        <w:rPr>
          <w:rFonts w:eastAsia="IRNazanin" w:cs="IRNazanin"/>
          <w:color w:val="111111"/>
          <w:sz w:val="28"/>
          <w:szCs w:val="28"/>
          <w:lang w:bidi="fa-IR"/>
        </w:rPr>
        <w:t>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حقوقهم أو تقلّب الآراء </w:t>
      </w:r>
      <w:r>
        <w:rPr>
          <w:rFonts w:eastAsia="IRNazanin" w:cs="IRNazanin"/>
          <w:color w:val="111111"/>
          <w:sz w:val="28"/>
          <w:szCs w:val="28"/>
          <w:lang w:bidi="fa-IR"/>
        </w:rPr>
        <w:t>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الترتیب الصرفی للجُمل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العمود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العمود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العمود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العمود</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C1</w:t>
      </w:r>
    </w:p>
    <w:p>
      <w:pPr>
        <w:pStyle w:val="BookText"/>
        <w:rPr/>
      </w:pP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تتّقوا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وتعرِفوا الحقَّ لأهله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یکنْ أرضی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C2</w:t>
      </w:r>
    </w:p>
    <w:p>
      <w:pPr>
        <w:pStyle w:val="BookText"/>
        <w:rPr/>
      </w:pP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کرهتمونا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وجهلتم حقّنا وکان</w:t>
      </w:r>
    </w:p>
    <w:p>
      <w:pPr>
        <w:pStyle w:val="BookText"/>
        <w:rPr/>
      </w:pPr>
      <w:r>
        <w:rPr>
          <w:rFonts w:ascii="Amiri" w:hAnsi="Amiri" w:eastAsia="Amiri" w:cs="Amiri"/>
          <w:color w:val="111111"/>
          <w:sz w:val="28"/>
          <w:sz w:val="28"/>
          <w:szCs w:val="28"/>
          <w:rtl w:val="true"/>
          <w:lang w:bidi="ar-SA"/>
        </w:rPr>
        <w:t>رأیُکم غیرَ ما أتتنی به کتبُکم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انصرفت عنکم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جملتان شَرطیّتان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هذا یعنی أنّ ما تمّ بیانه فی رمز التقوی فی العبارة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بیانه فی رمز السلطة فی العبارة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تعرفوا الحقّ لأهله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ومرّة أُخری فی رمز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 لله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تحوّل رمز التقوی إلی رمز السلطة، ومن ثمّ إرجاعه إلی رمز التقوی مّرةً أخری فی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هناک تحوّل مشابه فی العبارتین الأولیتین من الجملة اللتین هما فی رمز السلطة، والعبارة الثالثة التی هی فی رمز المکان، عند القراءة عمودیّاً یبیّن 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التحوّل المجازی بین رمز التقوی ورمز السلطة یأتی فی العمود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وآخر بین رمز السلطة ورمز المکان فی العمود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الوقت </w:t>
      </w:r>
    </w:p>
    <w:p>
      <w:pPr>
        <w:pStyle w:val="BookText"/>
        <w:rPr/>
      </w:pPr>
      <w:r>
        <w:rPr>
          <w:rFonts w:ascii="IRNazanin" w:hAnsi="IRNazanin" w:eastAsia="IRNazanin"/>
          <w:color w:val="111111"/>
          <w:sz w:val="28"/>
          <w:sz w:val="28"/>
          <w:szCs w:val="28"/>
          <w:rtl w:val="true"/>
          <w:lang w:bidi="fa-IR"/>
        </w:rPr>
        <w:t xml:space="preserve">نفسه جاءت قِیَم العبارات سلبیّة؛ حیث جاء ما کان موجباً فی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سلبیّاً فی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بغض أهل البیت </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فی العمود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انصراف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العمود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العمود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تحوّل، حیث إنّ العبارتین کلتیهما فی رمز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هناک نفی لیجعل العبارتین متضادّتین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معرفة الحقّ لأهله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حقّ أهل البیت وانقلاب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خلاصةٍ لذلک، فإنّ أهل الکوفة قد أُعطیَ لهم الخیار مرّةً أُخری لقبول أو رفض الحسین کقائد سیاسی، وفی هذه المرّة لم تکن الحجّة التی قدّمها الحسین لأجل اختیاره هی فقط دعوة أهل الکوفة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کان الأبرز فی خطبته هذه هو الاحتجاج بالنسب والتقوی، الحسین من أهل البیت، ولهذا فیه أمر إلهیّ لتقلّد الحکم، فلو کان أهل الکوفة یتّقون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شرط لا بدّ من توفّره فی کلِّ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من الواجب علیهم الرضا بالحسین قائداً سیاسیّاً لهم، وکان هذا سیُرضی الله</w:t>
      </w:r>
      <w:r>
        <w:rPr>
          <w:rStyle w:val="FootnoteAnchor"/>
          <w:rtl w:val="true"/>
        </w:rPr>
        <w:footnoteReference w:id="367"/>
      </w:r>
      <w:r>
        <w:rPr>
          <w:rFonts w:ascii="IRNazanin" w:hAnsi="IRNazanin" w:eastAsia="IRNazanin"/>
          <w:color w:val="111111"/>
          <w:sz w:val="28"/>
          <w:sz w:val="28"/>
          <w:szCs w:val="28"/>
          <w:rtl w:val="true"/>
          <w:lang w:bidi="fa-IR"/>
        </w:rPr>
        <w:t>، فإن کان اختیارهم أن یرفضوه، کان سینصرف عنهم، وهذا یتضمّن علامةً لغضب الله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خطب الحسین، أخبره الحُرّ أنّه لا یعرف شیئاً عن کتب القوم التی تحدّث عنها، وعندها جاء الحسین بخرجین ملیئین بالرسائل، ولکنّ الحُر ّ أنکر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قد کتبوها</w:t>
      </w:r>
      <w:r>
        <w:rPr>
          <w:rFonts w:eastAsia="IRNazanin" w:cs="IRNazanin"/>
          <w:color w:val="111111"/>
          <w:sz w:val="28"/>
          <w:szCs w:val="28"/>
          <w:rtl w:val="true"/>
          <w:lang w:bidi="fa-IR"/>
        </w:rPr>
        <w:t xml:space="preserve">. </w:t>
      </w:r>
      <w:bookmarkStart w:id="180" w:name="pg5097_58394"/>
    </w:p>
    <w:p>
      <w:pPr>
        <w:pStyle w:val="BookText"/>
        <w:rPr/>
      </w:pPr>
      <w:bookmarkEnd w:id="180"/>
      <w:r>
        <w:rPr>
          <w:rFonts w:ascii="IRNazanin" w:hAnsi="IRNazanin" w:eastAsia="IRNazanin"/>
          <w:color w:val="111111"/>
          <w:sz w:val="28"/>
          <w:sz w:val="28"/>
          <w:szCs w:val="28"/>
          <w:rtl w:val="true"/>
          <w:lang w:bidi="fa-IR"/>
        </w:rPr>
        <w:t>حتی الآن لم یکن هناک فرق بین الجماعات المختلفة من أهل الکوفة، ولکن هنا أصبح واضحاً أنّ هناک فروقاً بینهم، فضلاً عن ذلک، فأنّ مسألة إشارة الحُرّ إلی أسیاده، وأنّه مأمور بأخذ الحسین إلی الکوفة کانت أوّل تلمیح إلی أنّه لم یکن راضیاً بما عُهِدَ إلیه، فلم یأتِ إلی هناک طوعاً أبداً ولکنّه کان مأموراً بذلک، ومن جهةٍ أُخری، قال الحسین للحُرّ بنحوٍ قاطع إنّه لا یرید الذهاب إلی الکوفة أسیراً</w:t>
      </w:r>
      <w:r>
        <w:rPr>
          <w:rFonts w:eastAsia="IRNazanin" w:cs="IRNazanin"/>
          <w:color w:val="111111"/>
          <w:sz w:val="28"/>
          <w:szCs w:val="28"/>
          <w:rtl w:val="true"/>
          <w:lang w:bidi="fa-IR"/>
        </w:rPr>
        <w:t>.</w:t>
      </w:r>
    </w:p>
    <w:p>
      <w:pPr>
        <w:pStyle w:val="Heading4"/>
        <w:numPr>
          <w:ilvl w:val="3"/>
          <w:numId w:val="1"/>
        </w:numPr>
        <w:rPr/>
      </w:pPr>
      <w:bookmarkStart w:id="181" w:name="__RefHeading___Toc1259918_774463916"/>
      <w:bookmarkStart w:id="182" w:name="_Toc63"/>
      <w:bookmarkEnd w:id="181"/>
      <w:r>
        <w:rPr>
          <w:rtl w:val="true"/>
        </w:rPr>
        <w:t>القسم الخامس</w:t>
      </w:r>
      <w:bookmarkEnd w:id="18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ذهب الحسین وأصحابه؛ لینصرفوا حال الحُرّ ورجاله بینهم وبین طریقهم، شتم</w:t>
      </w:r>
      <w:r>
        <w:rPr>
          <w:rStyle w:val="FootnoteAnchor"/>
          <w:rtl w:val="true"/>
        </w:rPr>
        <w:footnoteReference w:id="368"/>
      </w:r>
      <w:r>
        <w:rPr>
          <w:rFonts w:ascii="IRNazanin" w:hAnsi="IRNazanin" w:eastAsia="IRNazanin"/>
          <w:color w:val="111111"/>
          <w:sz w:val="28"/>
          <w:sz w:val="28"/>
          <w:szCs w:val="28"/>
          <w:rtl w:val="true"/>
          <w:lang w:bidi="fa-IR"/>
        </w:rPr>
        <w:t>الحسینُ الحُرَّ، ولکنّ الحُرّ أبی أن یردّ الشتم؛ إجلالاً للحسین وأُمّه، أراد الحُرّ أن یأخذ الحسین إلی ابن زیاد فی الکوفة، فبدأ النزاع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 توصّلوا إلی تسویة بأن یسلکَ الحسینُ طریقاً ثالثاً لا یأخذه إلی الکوفة ولا یردّه إلی المدینة، بینما یتبعه الحُرّ ورجاله، کان الحُرّ یرجو الله أن یغنیه عبء الأمر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ازدادَ التضادّ المکانی واتّسعَت فجوته بین الحسینِ والحرِّ عندما منعَ الحرُّ الحسینَ وأصحابَه من مواصلةِ السیر إلی حیث أرادوا، فی تلک اللحظة،لم یُذکَرْ إلی أین ینوی الحسین السیر، إلی الکوفة أم العودة إلی الحجاز، ولیس الأمر المهم هنا إلی أیّة جهةٍ کان ینوی السیر، ولکنّ الحقیقة هی أنّه قد مُنِعُ من مواصلة السیر، وأنّ تسویة الأمر بین الخصمین تدلُّ علی أنّه کان هناک خیارٌ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یُطبَّق رمز النسب فی النزاع بین الرجلین، فقد شتمَ</w:t>
      </w:r>
      <w:r>
        <w:rPr>
          <w:rStyle w:val="FootnoteAnchor"/>
          <w:rtl w:val="true"/>
        </w:rPr>
        <w:footnoteReference w:id="370"/>
      </w:r>
      <w:r>
        <w:rPr>
          <w:rFonts w:ascii="Amiri" w:hAnsi="Amiri" w:eastAsia="Amiri" w:cs="Amiri"/>
          <w:color w:val="111111"/>
          <w:sz w:val="28"/>
          <w:sz w:val="28"/>
          <w:szCs w:val="28"/>
          <w:rtl w:val="true"/>
          <w:lang w:bidi="ar-SA"/>
        </w:rPr>
        <w:t xml:space="preserve">الحسینُ الحُرَّ من خلال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ثکلتک أُمّک</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 ولکنّ الحُرّ أبی أن یردّ الشتم ویذکر أمَّ الحسین بسوء؛ حیث إنّه لم یکن بوسعه سوی ذکرأم الحسین بخیر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التی تُفهَمُ ضمناً هنا هی أنّ أُمّ الحسین کانت ابنة النبیّ؛ ولهذا یجب ألّا تُشتَم أبداً، فقد کانت فوق جمیع نساء العرب قاطبةً، ویبدو واضحاً أنّ الحُرّ کان یجّلّ أهلَ البیت کثیراً، فی هذا الموقف أری بیاناً آخر حول حُرمة الحسین بسبب نسبه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یعطی هذا الموقف دلیلاً آخر علی أنَّ الحُرّ کان یرغب فی تسویةٍ، ولیس قتالٍ مع الحسین، وکذلک فی تفسیر عبارته الأخیرة فی هذا الفصل، حیث کان یرجو الله أن یغنیه عبء هذا الأمر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83" w:name="pg5097_58396"/>
    </w:p>
    <w:p>
      <w:pPr>
        <w:pStyle w:val="BookText"/>
        <w:rPr/>
      </w:pPr>
      <w:bookmarkEnd w:id="183"/>
      <w:r>
        <w:rPr>
          <w:rFonts w:ascii="Amiri" w:hAnsi="Amiri" w:eastAsia="Amiri" w:cs="Amiri"/>
          <w:color w:val="111111"/>
          <w:sz w:val="28"/>
          <w:sz w:val="28"/>
          <w:szCs w:val="28"/>
          <w:rtl w:val="true"/>
          <w:lang w:bidi="ar-SA"/>
        </w:rPr>
        <w:t>یبیّن الحّر هنا بکلِّ وضوحٍ تردّده فی الأمر، وولاءه المتزلزل لبنی أُمیّة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الرمز الاجتماعی یظهر الحسین والحُرّ مرّةً أُخری أنّهما متعارضان مع أحدهما الآخر، فلا یزال الحُرّ یمتلک دوراً رسمیّاً، حیث یتصرّف حسب أوامر ابن زیاد، بینما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متمرّد یجب أن یُقبَض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یزداد النزاع حدّةً، ویوشک أن یجرّهم للقتال، یقترح الحُرّ تسویةً تتضمّن هدنةً مؤقّتة، بینما ینتظر هو أوامر جدیدة، ویُحسم أمر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تنسجم بنیة رمز المکان مع بنیة الرمز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الرمز المکانی والاجتماعی معاً، یُحدث الحُرّ تحوّلاً یتلاءم إلی حدٍّ بعید مع أولویّات النسب فی رأیه</w:t>
      </w:r>
      <w:r>
        <w:rPr>
          <w:rFonts w:eastAsia="IRNazanin" w:cs="IRNazanin"/>
          <w:color w:val="111111"/>
          <w:sz w:val="28"/>
          <w:szCs w:val="28"/>
          <w:rtl w:val="true"/>
          <w:lang w:bidi="fa-IR"/>
        </w:rPr>
        <w:t>.</w:t>
      </w:r>
    </w:p>
    <w:p>
      <w:pPr>
        <w:pStyle w:val="Heading4"/>
        <w:numPr>
          <w:ilvl w:val="3"/>
          <w:numId w:val="1"/>
        </w:numPr>
        <w:rPr/>
      </w:pPr>
      <w:bookmarkStart w:id="184" w:name="__RefHeading___Toc1259920_774463916"/>
      <w:bookmarkStart w:id="185" w:name="_Toc64"/>
      <w:bookmarkEnd w:id="184"/>
      <w:r>
        <w:rPr>
          <w:rtl w:val="true"/>
        </w:rPr>
        <w:t>القسم السادس</w:t>
      </w:r>
      <w:bookmarkEnd w:id="18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جاءت الخطبة الثالثة التی ألقاها الحسین فی البیضة، ومضمونها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علی کلِّ مؤمنٍ تقویم سلاطین الجور والإثم، وإنّ الحکومة القائمة فاسدة، وکونه سبط النبیّ فهو بهذا أحقّ من غیره بوضع الأُمور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وفی أهل الکوفة بعهودهم لأصابوا رشداً، وإن لم یفعلوا فلیس ذلک غریباً علیهم، فقد فعلوه فیما مضی مع أهله؛ وبهذا ما کانوا لینکثوا عهودهم فقط،بل آخرتهم کذلک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أکثر التضادّ وضوحاً فی الفصل السادس لیس بین الحُرّ والحسین، بل ذلک الذی کان بین بنی أُمیّة والحسین، عندما یصف الحسینُ الأُمویّین بأبلغ لغةٍ ممکنةٍ فی خطبته بما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هؤلاءِ قد لزموا طاعةَ الشیطانِ وترکوا طاعةَ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یذکر اثنتین فقط من التُهَم ضدّهم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المقابل، یصف الحسینُ نفسه من خلال نسبه مع النبیّ، ومن هنا یُدرَکُ ضمناً صلاحه واستقامته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هذا، یبدو لی أنّ الأُمویّین لم یکونوا هم الغرض الرئیسی من هذه الخطبة، فقد کان دورهم بالأحری إعطاء الصبغة الشرعیّة لثورة الحسین وقیادته لأهل الکوفة، من حیث إنّ السلطة کانت فاسدة، فکان من واجب الحسین إصلاحها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کان الحسینُ فی حاجةٍ لنصرة أهل الکوفة الذین کانوا قد بایعوه، ولو أنّهم التزموا بتلک البیعة کانوا سیحرزون النصح والوفاء من الحسین وأهل بیته، والمشکلة هی أنّهم لم یکونوا محلّ ثقة أبداً، والذی کان یجب أن یُتَوقّع منهم هو الخیانة، وهذا ما قاموا به من قبل تجاه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الحمق الاغترار بهم، وهکذا بامتناعهم عن نصرة الحسین کانوا قد ضیّعوا نصیبهم من ثواب الآخرة، الذی کانوا سینالونه لو أنّهم نصروا الحسین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استفاد الحسین کذلک من النبیّ فی إعطاء الشرعیّة لدعواه؛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الخطبة بحدیث نبوی، والذی یلمّح إلی حقِّ الحسین بإصلاح الحکومة القائمة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الحسین بمقامه أنّه حفید محمّد، وبهذا یکون وریث النبیّ الذی یستطیع الهدایة إلی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النبیّ نفسه کذلک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یستشهدُ بنصٍّ من القرآن، یخصّ فی الأصل محمّداً، ویطبّقه علی نفسه وأهلِ بیته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وَمَنْ أَوْفَی بِمَا عَاهَدَ عَلَیْهُ اللَّهَ فَسَیُؤْتِیهِ أَجْرًا عَظِیمًا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الاتجاه السائد فی التفسیر المتعارف بین المسلمین، تتحدّث هذه الآیة عن صلح الحدیبیة، حیث جدّد محمّدٌ البیعة فی حال العسرة مع أصحابِه بوضع أیدیهم فوق بعض</w:t>
      </w:r>
      <w:r>
        <w:rPr>
          <w:rStyle w:val="FootnoteAnchor"/>
          <w:rtl w:val="true"/>
        </w:rPr>
        <w:footnoteReference w:id="376"/>
      </w:r>
      <w:r>
        <w:rPr>
          <w:rFonts w:ascii="IRNazanin" w:hAnsi="IRNazanin" w:eastAsia="IRNazanin"/>
          <w:color w:val="111111"/>
          <w:sz w:val="28"/>
          <w:sz w:val="28"/>
          <w:szCs w:val="28"/>
          <w:rtl w:val="true"/>
          <w:lang w:bidi="fa-IR"/>
        </w:rPr>
        <w:t>، المسألة فی الآیة المذکورة هی أنّه عندما وضع محمّدٌ وأصحابُه أیدیهم فوق أیدی بعض، وضع الله یده فوق أیدیهم، وبهذا تمّت بیعة الولاء لله ولمحمّد معاً، وقد أخذ الطبری بهذا التأویل فی تفسیره لهذه الآیة</w:t>
      </w:r>
      <w:r>
        <w:rPr>
          <w:rStyle w:val="FootnoteAnchor"/>
          <w:rtl w:val="true"/>
        </w:rPr>
        <w:footnoteReference w:id="377"/>
      </w:r>
      <w:r>
        <w:rPr>
          <w:rFonts w:ascii="IRNazanin" w:hAnsi="IRNazanin" w:eastAsia="IRNazanin"/>
          <w:color w:val="111111"/>
          <w:sz w:val="28"/>
          <w:sz w:val="28"/>
          <w:szCs w:val="28"/>
          <w:rtl w:val="true"/>
          <w:lang w:bidi="fa-IR"/>
        </w:rPr>
        <w:t>وبهذا یکون الشخص الذی تمّت له البیعة هو محمّد، ومبایعة محمّد هی مبایعة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تحوّل بین رمز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الکلمات المقتبسة، والتی جعَلْتُها بین قوسین کبیرین، هی کلمات مقتبسة حرفیّاً من خطبة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الطبری ومعظم أُولئک الذین یقرأون هذا النصّ، فإنّ هذا المقطع القرآنی والموقف فی الحدیبیّة یجب أن یکون قد أتی إلی أذهانهم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الحسین العلاقة المجازیّة بینه وبین النبیّ أمراً واقعاً، وأخذ علی عاتقه هو وأهل بیته الدور الذی کان یقوم به النبیّ نفسه، ما یُفهَم ضمناً هنا هو أنّ مبایعة الحسین هی مبایعة الله، ویمکن وصف هذا من خلال هذه المعادلة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السلطة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الولاء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المجازیّة فی رمز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مَن یعطی هذه البیعة سیکسب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ومن ینکث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ینکث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 الطبری، تشیر هذه الکلمات الأخیرة إلی خسارة الجنّة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الفصل، إذن هناک عدّة تحوّلات بین رمز السلطة ورمز التقوی، علی سبیل المثال، فی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الوفاء ببیعة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 بیعة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 ببیعة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 بیعة الله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القسم الأیمن ضمن رمز السلطة، بینما القسم الأیسر ضمن رمز التقوی، ویمکن الاحتجاج أنّ العلاقة بین القسم الأیمن والقسم الأیسر هی أکثر من مجرّد قیاس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یجول فی بال القارئ الذی یتعاطف مع الحسین وأمره، هو أنّ العهد السیاسی مع الحسین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مع الله، بل هو عهد مع الله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یکن، فإنّ هذا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مثال آخر علی کیفیّة تحوُّل المجاز إلی کنایة، من خلال التحوّلات بین الرموز التی وُضِعت لتبدو أنّها متماثلة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رسم العملیّة البنیویّة فی هذا الفصل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الوفاء بالعهد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السلطة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الوفاء بالعهد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نقض العهد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السلطة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العهد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والعهد مع الله هنا إشارة إلی المیثاق الإلهی مع البشر الذی ذُکر کثیراً فی القرآن، وتناوله أهل التفسیر والکلام بالبحث والدرس کثیراً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فإنّ الوفاء بالعهد مع الله أو نقضه یعنی الإسلام أو الکفر، ومع أنّ الحسین لم یتّهم أحداً صراحةً بالخروج عن الإسلام، إلّا أنّه کان قریباً جدّاً من هذا المعنی فی خطبته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 الأساسی فی هذا الفصل إذن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الانتخاب بین الخیارات المطروحة أمام أهل الکوفة کان أمراً فی غایة الأهمّیة، فالقرار السیاسی الذی سیتّخذونه سیکون إمّا مع أهل بیت النبیّ وإما ضدّهم؛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یمکن هکذا </w:t>
      </w:r>
      <w:bookmarkStart w:id="186" w:name="pg5097_58401"/>
    </w:p>
    <w:p>
      <w:pPr>
        <w:pStyle w:val="BookText"/>
        <w:rPr/>
      </w:pPr>
      <w:bookmarkEnd w:id="186"/>
      <w:r>
        <w:rPr>
          <w:rFonts w:ascii="IRNazanin" w:hAnsi="IRNazanin" w:eastAsia="IRNazanin"/>
          <w:color w:val="111111"/>
          <w:sz w:val="28"/>
          <w:sz w:val="28"/>
          <w:szCs w:val="28"/>
          <w:rtl w:val="true"/>
          <w:lang w:bidi="fa-IR"/>
        </w:rPr>
        <w:t xml:space="preserve">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هذا القرار کذلک مع الله أو ضدّه، وبتبعه ستکون هناک عواقب أُخرویّة لکلِّ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هذا الاحتجاج فی 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خیارات أهل الکوفة طبقاً للفصل السادس</w:t>
      </w:r>
    </w:p>
    <w:p>
      <w:pPr>
        <w:pStyle w:val="Heading4"/>
        <w:numPr>
          <w:ilvl w:val="3"/>
          <w:numId w:val="1"/>
        </w:numPr>
        <w:rPr/>
      </w:pPr>
      <w:bookmarkStart w:id="187" w:name="__RefHeading___Toc1259922_774463916"/>
      <w:bookmarkStart w:id="188" w:name="_Toc65"/>
      <w:bookmarkEnd w:id="187"/>
      <w:r>
        <w:rPr>
          <w:rtl w:val="true"/>
        </w:rPr>
        <w:t>القسم السابع</w:t>
      </w:r>
      <w:bookmarkEnd w:id="188"/>
    </w:p>
    <w:p>
      <w:pPr>
        <w:pStyle w:val="BookText"/>
        <w:rPr/>
      </w:pPr>
      <w:r>
        <w:rPr>
          <w:rFonts w:ascii="IRNazanin" w:hAnsi="IRNazanin" w:eastAsia="IRNazanin"/>
          <w:color w:val="111111"/>
          <w:sz w:val="28"/>
          <w:sz w:val="28"/>
          <w:szCs w:val="28"/>
          <w:rtl w:val="true"/>
          <w:lang w:bidi="fa-IR"/>
        </w:rPr>
        <w:t xml:space="preserve">تُروی خطبة رابعة قد خطبها الحسین فی ذی حُسُم أیضاً، وفیها یلتاع الحسین من تغیّر وسوئها، والمؤمنین یرغبون فی لقاء الله، والشهادةُ خیرٌ من الحیاة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 أحد أصحابه متکلّماً بلسان بقیّة الرجال، مؤکّداً ولاءهم للحسین والموت من أجله</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href="#ref-/storage/sources/28/library/books/51/348851/images/img24.png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زهیرُ بنُ القینِ البجلی،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أتتکلّمونَ أم أتکلّم؟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فأثنی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هداکَ الله 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مقالتَک، والله، لو کانت الدنیا لنا باقیةً وکنّا فیها مُخلّدین إلّا أنَّ فراقَها فی نصرِک ومواساتِک لآثرنا الخروجَ معکَ علی الإقامةِ فیها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footnote1-page240" id="/storage/sources/28/library/books/51/348851/images/img24.png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زهیرُ بنُ القینِ البجلی،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أتتکلّمونَ أم أتکلّم؟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فأثنی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هداکَ الله 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مقالتَک، والله، لو کانت الدنیا لنا باقیةً وکنّا فیها مُخلّدین إلّا أنَّ فراقَها فی نصرِک ومواساتِک لآثرنا الخروجَ معکَ علی الإقامةِ فیها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footnote1-page240"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زهیرُ بنُ القینِ البجلی،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أتتکلّمونَ أم أتکلّم؟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فأثنی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هداکَ الله 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مقالتَک، والله، لو کانت الدنیا لنا باقیةً وکنّا فیها مُخلّدین إلّا أنَّ فراقَها فی نصرِک ومواساتِک لآثرنا الخروجَ معکَ علی الإقامةِ فیها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footnote1-page240" style="color:#3b82f6;" id="ref-/storage/sources/28/library/books/51/348851/images/img24.png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زهیرُ بنُ القینِ البجلی،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أتتکلّمونَ أم أتکلّم؟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فأثنی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هداکَ الله 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مقالتَک، والله، لو کانت الدنیا لنا باقیةً وکنّا فیها مُخلّدین إلّا أنَّ فراقَها فی نصرِک ومواساتِک لآثرنا الخروجَ معکَ علی الإقامةِ فیها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footnote1-page240"&gt; 1</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قام حسینٌ بذی حُسُم، فحمدَ الله وأثنی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من الأمرِ ما قد ترون، وإنَّ الدنیا قد تغیّرتْ وتنکّرتْ وأدبرَ معروفُها، واستمرّت جذاء، فلم یبقَ منها إلّا صبابة کصبابةِ الإناء، وخسیس عیشٍ کالمرعی الوبیل، ألا ترونَ أنَّ الحقَّ لا یُعملُ بهِ، وأنَّ الباطلَ لا یُتناهی عنه، لیرغب المؤمنُ فی لقاءِ الله محقّاً، فإنّی لا أری الموتَ إلّا شهادةً، ولا الحیاةَ مع الظالمینَ إلّا برماً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img24</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الخِطَب السابقة کان کلام الحسین موجّهاً لأهل الکوفة، غیر أنّه فی هذه الخطبة کان کلامُه لأصحابه، بالرغم من أنّ هذا لم یُذکر 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تختلف هذه الخطبة تماماً عن سابقاتها، حیث إنّه فی الخطب السابقة کان هناک خیاران، ولکنّ الخیارات الآن مطروحة أمام الحسین وأصحابه ولیس أهل الکوفة، وخیاراته المفضّلة واضحة، ومطلب الحسین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للحیاة قیمة فی هذه الدنیا الفاسدة، أم علی المرء أن یتمنّی لقاء الله؟ فرضیّاً هناک خیار للعیش فی هذه الدنیا، ولکن لیس هناک من شکٍّ أنّ الخیار الوحید الذی یرضی به الحسین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الموتُ غیرَ مرغوب فیه؛ بل فی الحقیقة هو الشهادة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ثمارها فی الآخرة، وهذا ما تضمّنته هذه الخطبة</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مشهد اللقاء بین المؤمن وربّه یندمج رمز المکان مع رمز التقوی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أیّد أصحابُ الحسین هذه الکلمات، حیث أدرکوا أنّه قالها بهدایة من الله، فهم أیضاً قد اختاروا ما اختاره الحسین، وفضّلوا نصرته والموت دونه علی الخلود فی تلک الدنیا، ففی حدیثهم عن نصرته، وقف أصحاب الحسین فی تضادّ مع أهل الکوفة الذین لفّهم الصمت بعد الخطبة الأُولی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والذین لم یقرّوا أنّهم کانوا قد کتبوا الکتب بعد الخطبة الثانیة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والذین وُصفوا بأنّهم مخادعون وأهل غدر فی الخطبة الثالثة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89" w:name="pg5097_58403"/>
    </w:p>
    <w:p>
      <w:pPr>
        <w:pStyle w:val="Heading4"/>
        <w:numPr>
          <w:ilvl w:val="3"/>
          <w:numId w:val="1"/>
        </w:numPr>
        <w:rPr/>
      </w:pPr>
      <w:bookmarkStart w:id="190" w:name="__RefHeading___Toc1259924_774463916"/>
      <w:bookmarkStart w:id="191" w:name="_Toc66"/>
      <w:bookmarkEnd w:id="189"/>
      <w:bookmarkEnd w:id="190"/>
      <w:r>
        <w:rPr>
          <w:rtl w:val="true"/>
        </w:rPr>
        <w:t>القسم الثامن</w:t>
      </w:r>
      <w:bookmarkEnd w:id="191"/>
    </w:p>
    <w:p>
      <w:pPr>
        <w:pStyle w:val="BookText"/>
        <w:rPr/>
      </w:pPr>
      <w:r>
        <w:rPr>
          <w:rFonts w:ascii="IRNazanin" w:hAnsi="IRNazanin" w:eastAsia="IRNazanin"/>
          <w:color w:val="111111"/>
          <w:sz w:val="28"/>
          <w:sz w:val="28"/>
          <w:szCs w:val="28"/>
          <w:rtl w:val="true"/>
          <w:lang w:bidi="fa-IR"/>
        </w:rPr>
        <w:t>تستمرّ الرحلة، ویحاولُ الحُرّ إقناع الحسین إنْ هو واصل المسیر فإنّه سیُقتل، ویردّ الحسین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قُتل فذلک سیکون وبالاً علی الحُرّ، ویذکرُ له قصّة أخی الأوس الذی کان فی طریقه لنصرة النبیّ، وعندما حذّروه أنّه ربّما سیُقتلُ، أنشدهم شعراً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لیس عاراً علی المرء المسلم الذی یقتل دفاعاً عن الحقّ وینأی بنفسه عمّن لعنهم الله</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إذا ما نوی حقّاً وجاهدَ مسلما</w:t>
      </w:r>
    </w:p>
    <w:p>
      <w:pPr>
        <w:pStyle w:val="BookText"/>
        <w:rPr/>
      </w:pPr>
      <w:r>
        <w:rPr>
          <w:rFonts w:ascii="Amiri" w:hAnsi="Amiri" w:eastAsia="Amiri" w:cs="Amiri"/>
          <w:color w:val="111111"/>
          <w:sz w:val="28"/>
          <w:sz w:val="28"/>
          <w:szCs w:val="28"/>
          <w:rtl w:val="true"/>
          <w:lang w:bidi="ar-SA"/>
        </w:rPr>
        <w:t>وآسی الرجالَ الصالحینَ بنفسِهِ</w:t>
      </w:r>
    </w:p>
    <w:p>
      <w:pPr>
        <w:pStyle w:val="BookText"/>
        <w:rPr/>
      </w:pPr>
      <w:r>
        <w:rPr>
          <w:rFonts w:ascii="Amiri" w:hAnsi="Amiri" w:eastAsia="Amiri" w:cs="Amiri"/>
          <w:color w:val="111111"/>
          <w:sz w:val="28"/>
          <w:sz w:val="28"/>
          <w:szCs w:val="28"/>
          <w:rtl w:val="true"/>
          <w:lang w:bidi="ar-SA"/>
        </w:rPr>
        <w:t>وفارقَ مثبوراً یغشّ ویرغما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القسم الثامن، تعود الروایة إلی حیث انتهت فی القسم السادس، سار الفریقان مرّةً أُخری بجانب بعضهما الآخر، ومن الواضح أنّ الحُرّ کان خائفاً علی الحسین، فقد حاول أن یحذّره من القتل إن اختار القتال، وکان هذا التحذیر علامةً أُخری علی أنّ الحُرّ کان حریصاً علی الحسین وکان یرید له الخیر، وقابل الحسینُ تحذیرَ الحُرّ باحتجاجین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قتله سیکون بلاءً علی الحُرّ ورجاله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یُفهم ضمناً فی رمز النسب أنّ الحسین له حُرمة باعتباره سبط النبیّ</w:t>
      </w:r>
      <w:r>
        <w:rPr>
          <w:rFonts w:eastAsia="Amiri" w:cs="Amiri" w:ascii="Amiri" w:hAnsi="Amiri"/>
          <w:color w:val="111111"/>
          <w:sz w:val="28"/>
          <w:szCs w:val="28"/>
          <w:rtl w:val="true"/>
          <w:lang w:bidi="ar-SA"/>
        </w:rPr>
        <w:t xml:space="preserve">. </w:t>
      </w:r>
      <w:bookmarkStart w:id="192" w:name="pg5097_58404"/>
    </w:p>
    <w:p>
      <w:pPr>
        <w:pStyle w:val="BookText"/>
        <w:rPr/>
      </w:pPr>
      <w:bookmarkEnd w:id="192"/>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لا یُخوَّف بالموت، وکما تقول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هناک عارٌ فی موت المسلم الذی یجاهد فی سبیل المعروف بنیّةٍ صالحة، وینصر أهل الحقّ بروحه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یؤکّد هذا القسم الفکرة التی جاءت فی القسم السابع،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الموت بالنسبة للمسلم الصالح لیس شیئاً یُخاف منه، ففی هذین القسمین، یُنظَر إلی الموت علی أنّه شهادة، أی موت الجسد المؤدی إلی الحیاة الروحیّة، هذا التحوّل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أیّة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بالوضع الدِّینی لذلک الشخص، وهو یحصل للمؤمن أو المسلم الحقیقی</w:t>
      </w:r>
      <w:r>
        <w:rPr>
          <w:rFonts w:eastAsia="IRNazanin" w:cs="IRNazanin"/>
          <w:color w:val="111111"/>
          <w:sz w:val="28"/>
          <w:szCs w:val="28"/>
          <w:rtl w:val="true"/>
          <w:lang w:bidi="fa-IR"/>
        </w:rPr>
        <w:t>.</w:t>
      </w:r>
    </w:p>
    <w:p>
      <w:pPr>
        <w:pStyle w:val="Heading4"/>
        <w:numPr>
          <w:ilvl w:val="3"/>
          <w:numId w:val="1"/>
        </w:numPr>
        <w:rPr/>
      </w:pPr>
      <w:bookmarkStart w:id="193" w:name="__RefHeading___Toc1259926_774463916"/>
      <w:bookmarkStart w:id="194" w:name="_Toc67"/>
      <w:bookmarkEnd w:id="193"/>
      <w:r>
        <w:rPr>
          <w:rtl w:val="true"/>
        </w:rPr>
        <w:t>القسم التاسع</w:t>
      </w:r>
      <w:bookmarkEnd w:id="194"/>
    </w:p>
    <w:p>
      <w:pPr>
        <w:pStyle w:val="BookText"/>
        <w:rPr/>
      </w:pPr>
      <w:r>
        <w:rPr>
          <w:rFonts w:ascii="Amiri" w:hAnsi="Amiri" w:eastAsia="Amiri" w:cs="Amiri"/>
          <w:color w:val="111111"/>
          <w:sz w:val="28"/>
          <w:sz w:val="28"/>
          <w:szCs w:val="28"/>
          <w:rtl w:val="true"/>
          <w:lang w:bidi="ar-SA"/>
        </w:rPr>
        <w:t>واصلوا السیرَ، ولکن کلٌّ فی ناحیةٍ حتّی وصلوا عُذیب الهجانات</w:t>
      </w:r>
      <w:r>
        <w:rPr>
          <w:rStyle w:val="FootnoteAnchor"/>
          <w:rtl w:val="true"/>
        </w:rPr>
        <w:footnoteReference w:id="382"/>
      </w:r>
      <w:r>
        <w:rPr>
          <w:rFonts w:ascii="IRNazanin" w:hAnsi="IRNazanin" w:eastAsia="IRNazanin"/>
          <w:color w:val="111111"/>
          <w:sz w:val="28"/>
          <w:sz w:val="28"/>
          <w:szCs w:val="28"/>
          <w:rtl w:val="true"/>
          <w:lang w:bidi="fa-IR"/>
        </w:rPr>
        <w:t>، عند ذلک جاء أربعةُ رجالٍ من الکوفة؛ لیلتحقوا بالحسین، وکان معهم دلیلهم الطرمّاح بن عَدی الذی أنشد قصیدةً فی مدح الحسین، وحاول الحُرّ منع هؤلاء الرجال الأربعة من الالتحاق بالحسین، ولکن عندما أظهر الحسین نیّته بالقتال من أجل هؤلاء الرجال وحقّهم فی الالتحاق به، کفّ الحُرّ عن ذلک</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یا ناقتی لا تذعری من زجری</w:t>
      </w:r>
    </w:p>
    <w:p>
      <w:pPr>
        <w:pStyle w:val="BookText"/>
        <w:rPr/>
      </w:pPr>
      <w:r>
        <w:rPr>
          <w:rFonts w:ascii="IRNazanin" w:hAnsi="IRNazanin" w:eastAsia="IRNazanin"/>
          <w:color w:val="111111"/>
          <w:sz w:val="28"/>
          <w:sz w:val="28"/>
          <w:szCs w:val="28"/>
          <w:rtl w:val="true"/>
          <w:lang w:bidi="fa-IR"/>
        </w:rPr>
        <w:t>بخیر رکبان وخیر سفر</w:t>
      </w:r>
    </w:p>
    <w:p>
      <w:pPr>
        <w:pStyle w:val="BookText"/>
        <w:rPr/>
      </w:pPr>
      <w:r>
        <w:rPr>
          <w:rFonts w:ascii="IRNazanin" w:hAnsi="IRNazanin" w:eastAsia="IRNazanin"/>
          <w:color w:val="111111"/>
          <w:sz w:val="28"/>
          <w:sz w:val="28"/>
          <w:szCs w:val="28"/>
          <w:rtl w:val="true"/>
          <w:lang w:bidi="fa-IR"/>
        </w:rPr>
        <w:t>الماجد الحرّ رحیب الصدر</w:t>
      </w:r>
    </w:p>
    <w:p>
      <w:pPr>
        <w:pStyle w:val="BookText"/>
        <w:rPr/>
      </w:pPr>
      <w:r>
        <w:rPr>
          <w:rFonts w:ascii="Amiri" w:hAnsi="Amiri" w:eastAsia="Amiri" w:cs="Amiri"/>
          <w:color w:val="111111"/>
          <w:sz w:val="28"/>
          <w:sz w:val="28"/>
          <w:szCs w:val="28"/>
          <w:rtl w:val="true"/>
          <w:lang w:bidi="ar-SA"/>
        </w:rPr>
        <w:t>وشمّری قبل طلوعِ الفجر</w:t>
      </w:r>
    </w:p>
    <w:p>
      <w:pPr>
        <w:pStyle w:val="BookText"/>
        <w:rPr/>
      </w:pPr>
      <w:r>
        <w:rPr>
          <w:rFonts w:ascii="IRNazanin" w:hAnsi="IRNazanin" w:eastAsia="IRNazanin"/>
          <w:color w:val="111111"/>
          <w:sz w:val="28"/>
          <w:sz w:val="28"/>
          <w:szCs w:val="28"/>
          <w:rtl w:val="true"/>
          <w:lang w:bidi="fa-IR"/>
        </w:rPr>
        <w:t>حتی تحلی بکریم النجر</w:t>
      </w:r>
    </w:p>
    <w:p>
      <w:pPr>
        <w:pStyle w:val="BookText"/>
        <w:rPr/>
      </w:pPr>
      <w:r>
        <w:rPr>
          <w:rFonts w:ascii="IRNazanin" w:hAnsi="IRNazanin" w:eastAsia="IRNazanin"/>
          <w:color w:val="111111"/>
          <w:sz w:val="28"/>
          <w:sz w:val="28"/>
          <w:szCs w:val="28"/>
          <w:rtl w:val="true"/>
          <w:lang w:bidi="fa-IR"/>
        </w:rPr>
        <w:t>أتی به الله لخیر أمر</w:t>
      </w:r>
    </w:p>
    <w:p>
      <w:pPr>
        <w:pStyle w:val="BookText"/>
        <w:rPr/>
      </w:pPr>
      <w:r>
        <w:rPr>
          <w:rFonts w:ascii="IRNazanin" w:hAnsi="IRNazanin" w:eastAsia="IRNazanin"/>
          <w:color w:val="111111"/>
          <w:sz w:val="28"/>
          <w:sz w:val="28"/>
          <w:szCs w:val="28"/>
          <w:rtl w:val="true"/>
          <w:lang w:bidi="fa-IR"/>
        </w:rPr>
        <w:t>ثمت أبقاه بقاء الدهر</w:t>
      </w:r>
    </w:p>
    <w:p>
      <w:pPr>
        <w:pStyle w:val="BookText"/>
        <w:rPr/>
      </w:pPr>
      <w:r>
        <w:rPr>
          <w:rFonts w:ascii="Amiri" w:hAnsi="Amiri" w:eastAsia="Amiri" w:cs="Amiri"/>
          <w:color w:val="111111"/>
          <w:sz w:val="28"/>
          <w:sz w:val="28"/>
          <w:szCs w:val="28"/>
          <w:rtl w:val="true"/>
          <w:lang w:bidi="ar-SA"/>
        </w:rPr>
        <w:t>فلمّا انتهوا إلی الحسینِ أنشدوهُ هذهِ الأبیاتَ،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إنّی لأرجو أن یکونَ خیراً ما أرادَ الله بنا قُتلنا أم ظفرنا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إلیهم الحُرّ بنُ یزید،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الذینَ من أهلِ الکوفةِ لیسوا ممَّن أقبلَ معکَ، وأنا حابسُهم أو 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لأمنعنّهم ممّا أمنعُ منهُ نفسی، إنّما هؤلاءِ أنصاری وأعوانی، وقد کنتَ أعطیتنی ألّا تعرضَ لی بشیءٍ حتّی یأتیکَ کتابٌ من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لکن لم یأتوا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أصحابی وهُم بمنزلةِ مَنْ جاءَ معی، فإن تممت علی ما کانَ بینی وبینک وإلّا ناجزتُک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 عنهم الحُرّ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یظهر فی قسم التاسع، الرمز المکانی والرمز الاجتماعی بوضوح، استمرّ التضادّ المکانی بین الحسین والحُرّ؛ فمن ترکیب الجملة الأُولی الغامض نوعاً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ذلکَ منهُ الحُرّ تنحّی عنهُ، وکانَ یسیرُ بأصحابه فی ناحیةٍ وحسینٌ فی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یُفهم بأنّهم کانوا یسیرون بفریقین منفصلین عن بعضهما، وتأکّد هذا التضادّ بمحاولة الحُرّ منع الرجال الأربعة القادمین من الکوفة من الالتحاق بالحسین، ولکن ما زال الحُرّ غیر مستعدّ لقتال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الرجال الأربعة القادمون من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للالتحاق بالحسین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تضادٍّ شدید مع أهل الکوفة الذین کانوا قد دعوه ولکنّهم خذلوه الآن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تهدید الحسین للحُرّ وأنّه سیدافع عن هؤلاء الرجال ولو کلّفه ذلک حیاته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یوافق کلامه فی القسم السادس؛ حیث تعهّد بالوفاء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لأُولئک الذین نصروه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95" w:name="pg5097_58406"/>
    </w:p>
    <w:p>
      <w:pPr>
        <w:pStyle w:val="BookText"/>
        <w:rPr/>
      </w:pPr>
      <w:bookmarkEnd w:id="195"/>
      <w:r>
        <w:rPr>
          <w:rFonts w:ascii="IRNazanin" w:hAnsi="IRNazanin" w:eastAsia="IRNazanin"/>
          <w:color w:val="111111"/>
          <w:sz w:val="28"/>
          <w:sz w:val="28"/>
          <w:szCs w:val="28"/>
          <w:rtl w:val="true"/>
          <w:lang w:bidi="fa-IR"/>
        </w:rPr>
        <w:t xml:space="preserve">ویوجد فی قصیدة الطرمّاح رمز النسب ورمز التقوی، حیث جاء فی القصیدة أنّ الحسین من نسبٍ شریف، وفیه کلُّ الفضائل التی یقتضیها هذا الأمر، وأنّه أیضاً مبعوث بأمرٍ إلهیٍّ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96" w:name="__RefHeading___Toc1259928_774463916"/>
      <w:bookmarkStart w:id="197" w:name="_Toc68"/>
      <w:bookmarkEnd w:id="196"/>
      <w:r>
        <w:rPr>
          <w:rtl w:val="true"/>
        </w:rPr>
        <w:t>القسم العاشر</w:t>
      </w:r>
      <w:bookmarkEnd w:id="197"/>
    </w:p>
    <w:p>
      <w:pPr>
        <w:pStyle w:val="Heading5"/>
        <w:numPr>
          <w:ilvl w:val="4"/>
          <w:numId w:val="1"/>
        </w:numPr>
        <w:rPr/>
      </w:pPr>
      <w:bookmarkStart w:id="198" w:name="__RefHeading___Toc1259930_774463916"/>
      <w:bookmarkStart w:id="199" w:name="_Toc69"/>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سأل الحسین الرجال الأربعة حول أوضاع الکوفة، فأخبروه أنّ أشرافها تمّت رشوتهم والتحقوا بابن زیاد، وأمّا سائر الناس فعمّا قریب سیصنعون مثل ذلک، وأمّا رسولُ الحسینِ قیسُ بنُ مُسهِر الصیداوی فقتله ابن زیاد، فبکی الحسین عند سماعه هذا، وتلا آیةً من القرآن تتحدّث عن موت المؤمنین،ثمّ دعا الله وسأله أن یرزقهم جمیعاً الجنّة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مرّةً أُخری یأتی رمز السلطة ورمز التقوی فی هذا القسم الأکثر بروزاً بین الرموز الأُخری، فی رمز السلطة یظهر غدر أشراف الکوفة، وتقلّب عوامّها مقابل الولاء التام لرسول الحسین قیس بن مُسهِر، والتضادّ نفسه یبقی بین ولاء أُولئک الرجال الأربعة القادمین من الکوفة، وبین سائر أهلها الذین بقوا فیها، کما فی </w:t>
      </w:r>
    </w:p>
    <w:p>
      <w:pPr>
        <w:pStyle w:val="BookText"/>
        <w:rPr/>
      </w:pPr>
      <w:r>
        <w:rPr>
          <w:rFonts w:ascii="IRNazanin" w:hAnsi="IRNazanin" w:eastAsia="IRNazanin"/>
          <w:color w:val="111111"/>
          <w:sz w:val="28"/>
          <w:sz w:val="28"/>
          <w:szCs w:val="28"/>
          <w:rtl w:val="true"/>
          <w:lang w:bidi="fa-IR"/>
        </w:rPr>
        <w:t>کلمات الحسین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أخبرونی خبرَ الناس وراءکم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یتحوّل رمز المکان إلی رمز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أهل الکوفة وراءهم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المکان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الالتحاق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التحوّل بین رمز السلطة ورمز التقوی یظهر فی ذلک المشهد، عندما حاول ابن زیاد أن یجعل قیساً یلعن الحسین وأباه، لیسلم من القتل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فعل قیسٌ عکس ذلک، حیث صلّی علی الحسین وأبیه، ولعن ابن زیادٍ وأباه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الولاء للشخص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السلطة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علی ذلک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تحوّلٌ مشابه جاء فی القیاس المتضمّن فی الآیة التی تلاها الحسین ودعائه بعدها، فقد تلا الحسین جزءاً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الأحزاب، وسیاق هذه السورة یشیر إلی معرکة الخندق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هاجم الکفّار النبیَّ وأصحابه فی المدینة</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الآیة وبدایة الآیة التی تلیها کما یلی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لِیَجْزِیَ اللَّهُ الصَّادِقِینَ بِصِدْقِهِمْ وَیُعَذِّبَ الْمُنَافِقِینَ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الحسین بجزءٍ من هذه الآیة، وسیاق الآیة یمیّز المؤمنین الخلّص من المنافقین الذین أعلنوا إسلامهم أمام النبیّ وخذلوه عند الشدّة، وهذا تطبیق لجزءٍ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یشیر فی الأصل إلی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الحسین، وهو شبیه لما ورد فی القسم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00" w:name="pg5097_58408"/>
    </w:p>
    <w:p>
      <w:pPr>
        <w:pStyle w:val="BookText"/>
        <w:rPr/>
      </w:pPr>
      <w:bookmarkEnd w:id="200"/>
      <w:r>
        <w:rPr>
          <w:rFonts w:ascii="IRNazanin" w:hAnsi="IRNazanin" w:eastAsia="IRNazanin"/>
          <w:color w:val="111111"/>
          <w:sz w:val="28"/>
          <w:sz w:val="28"/>
          <w:szCs w:val="28"/>
          <w:rtl w:val="true"/>
          <w:lang w:bidi="fa-IR"/>
        </w:rPr>
        <w:t>الولاء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السلطة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الولاء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المجازیّة فی رمز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والولاء لله بدوره یقود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الشیء الأخیر الذی أودّ الإشارة إلیه هو بکاء الحسین علی رسوله الذی قُتل، وهکذا ینتهی هذا الخبر الطویل، الذی أسمیته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بذرف الحسین للماء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کما بدأ بجلب الماء وإعطائه للآخرین، وسأعود إلی رمزیّة الماء فی موضع آخر</w:t>
      </w:r>
      <w:r>
        <w:rPr>
          <w:rFonts w:eastAsia="IRNazanin" w:cs="IRNazanin"/>
          <w:color w:val="111111"/>
          <w:sz w:val="28"/>
          <w:szCs w:val="28"/>
          <w:rtl w:val="true"/>
          <w:lang w:bidi="fa-IR"/>
        </w:rPr>
        <w:t>.</w:t>
      </w:r>
    </w:p>
    <w:p>
      <w:pPr>
        <w:pStyle w:val="Heading5"/>
        <w:numPr>
          <w:ilvl w:val="4"/>
          <w:numId w:val="1"/>
        </w:numPr>
        <w:rPr/>
      </w:pPr>
      <w:bookmarkStart w:id="201" w:name="__RefHeading___Toc1259932_774463916"/>
      <w:bookmarkStart w:id="202" w:name="_Toc70"/>
      <w:bookmarkEnd w:id="201"/>
      <w:r>
        <w:rPr>
          <w:rtl w:val="true"/>
        </w:rPr>
        <w:t xml:space="preserve">خواص بنیویّة بارزة فی </w:t>
      </w:r>
      <w:r>
        <w:rPr>
          <w:rtl w:val="true"/>
        </w:rPr>
        <w:t>(</w:t>
      </w:r>
      <w:r>
        <w:rPr>
          <w:rtl w:val="true"/>
        </w:rPr>
        <w:t>النصّ المعتمد</w:t>
      </w:r>
      <w:r>
        <w:rPr>
          <w:rtl w:val="true"/>
        </w:rPr>
        <w:t>)</w:t>
      </w:r>
      <w:bookmarkEnd w:id="202"/>
    </w:p>
    <w:p>
      <w:pPr>
        <w:pStyle w:val="BookText"/>
        <w:rPr/>
      </w:pPr>
      <w:r>
        <w:rPr>
          <w:rFonts w:ascii="IRNazanin" w:hAnsi="IRNazanin" w:eastAsia="IRNazanin"/>
          <w:color w:val="111111"/>
          <w:sz w:val="28"/>
          <w:sz w:val="28"/>
          <w:szCs w:val="28"/>
          <w:rtl w:val="true"/>
          <w:lang w:bidi="fa-IR"/>
        </w:rPr>
        <w:t>فی البحث السابق</w:t>
      </w:r>
      <w:r>
        <w:rPr>
          <w:rStyle w:val="FootnoteAnchor"/>
          <w:rtl w:val="true"/>
        </w:rPr>
        <w:footnoteReference w:id="387"/>
      </w:r>
      <w:r>
        <w:rPr>
          <w:rFonts w:ascii="IRNazanin" w:hAnsi="IRNazanin" w:eastAsia="IRNazanin"/>
          <w:color w:val="111111"/>
          <w:sz w:val="28"/>
          <w:sz w:val="28"/>
          <w:szCs w:val="28"/>
          <w:rtl w:val="true"/>
          <w:lang w:bidi="fa-IR"/>
        </w:rPr>
        <w:t xml:space="preserve">أوردتُ المتضادّات والتحوّلات بین الرموز التی جاءت فی کلِّ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هذا البحث أودّ أن أنظر بشکل کلّی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زاویة أهمّ الرموز المستخدمة فیه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رموز بارزة تکرّرت کثیراً واستُخدمت أکثر من غیرها،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المکان، رمز السلطة، رمز التقوی، ورمز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غلبة رمز المکان فی النصِّ، إلّا أنّه من الواضح أنّ الرموز الثلاثة الأُخری ذات أهمّیة بالغة أیضاً، فإنّ دور رمز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الرموز الأُخری التی لم تُذکر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أساسیّة هو التشدید علی الرسالة التی یحاول النصّ إظهارها من خلال الرموز الثلاثة </w:t>
      </w:r>
    </w:p>
    <w:p>
      <w:pPr>
        <w:pStyle w:val="BookText"/>
        <w:rPr/>
      </w:pPr>
      <w:r>
        <w:rPr>
          <w:rFonts w:ascii="IRNazanin" w:hAnsi="IRNazanin" w:eastAsia="IRNazanin"/>
          <w:color w:val="111111"/>
          <w:sz w:val="28"/>
          <w:sz w:val="28"/>
          <w:szCs w:val="28"/>
          <w:rtl w:val="true"/>
          <w:lang w:bidi="fa-IR"/>
        </w:rPr>
        <w:t>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رمز المکان رمز مساعد، وهذا یعنی أنّ الأُمور المکانیّة لیست حاسمةً</w:t>
      </w:r>
    </w:p>
    <w:p>
      <w:pPr>
        <w:pStyle w:val="BookText"/>
        <w:rPr/>
      </w:pPr>
      <w:r>
        <w:rPr>
          <w:rFonts w:ascii="IRNazanin" w:hAnsi="IRNazanin" w:eastAsia="IRNazanin"/>
          <w:color w:val="111111"/>
          <w:sz w:val="28"/>
          <w:sz w:val="28"/>
          <w:szCs w:val="28"/>
          <w:rtl w:val="true"/>
          <w:lang w:bidi="fa-IR"/>
        </w:rPr>
        <w:t xml:space="preserve">فی المسائل المطروحة فی النصّ، ولکنّها توجّه الروایة لتواصل مسیرها، وتجلب الأنظار نحو الأحداث المهمّة، والعملیّات والقیم من خلال التحوّلات، وبنحو أساسی التحوّلات بین هذا الرمز ورمز السلطة والرمز الاجتماعی، فقد استُخدمت بهذه الصورة فی القسم الأوّل والثانی والثالث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تحلیل هذه الأقسام قیما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تلخیص الحرکات الواردة فی الأقسام السابقة علی حدٍّ سواء مع الخیارات التی عرضها الحسین لأهل الکوفة، من القسم الرابع إلی العاشر، وأصبح واضحاً أنّ أیّاً من خیارات الحسین لم یتحقّق، فقد أراد الحُرّ أن یأخذ الحسین إلی الکوفة أسیراً ولیس إماماً، وعندما امتنع الحسین بدأت المفاوضات علی حلٍّ وسطٍ بین الطرفین، لیأخذ الفریقان طریقاً ثالثاً لا یؤدّی بهما إلی الکوفة، ولا یعود بهما ثانیةً إلی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یبیّن النصّ بصراحة أنّ الفریقیین لم یسیرا علی أنّهما جماعة متحدة، وإنّما فریقان منفصلان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ومتخاصمان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 العاشر یُستَخدم رمز المکان لیؤکّد انشقاق الرجال الأربعة الذین التحقوا بالحسین عن أهل الکوفة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مکانین یتحوّل رمز المکان مباشرةً إلی رمز التقوی، فی القسم الرابع، البنیة فی کلام الحسین تربط حضوره برضا الله بصورة مباشرة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القسم السابع طلبُ الحسین للحقّ ورغبتُه فی ترک بَرَمِ الحیاة تحت حکم الظلمة یجعله یتوق للقاء الله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 یکن فإنّه من خلال رمز السلطة ورمز التقوی ورمز النسب یتمّ تبلیغ الرسالة، ویتّضحُ أنّ هذه الرموز هی الأکثر أهمّیة فی النصّ، وفی ثنایا النصّ کلّه یقوم الحسین بکلِّ ما فی وسعه لإقناع أهل الکوفة أنّ قرابته من محمّدٍ تستلزم سلطته السیاسیّة علیهم، وأنّ الولاء السیاسی للحسین هو أمرٌ أساسی للمؤمن مثل الولاء </w:t>
      </w:r>
    </w:p>
    <w:p>
      <w:pPr>
        <w:pStyle w:val="BookText"/>
        <w:rPr/>
      </w:pPr>
      <w:r>
        <w:rPr>
          <w:rFonts w:ascii="IRNazanin" w:hAnsi="IRNazanin" w:eastAsia="IRNazanin"/>
          <w:color w:val="111111"/>
          <w:sz w:val="28"/>
          <w:sz w:val="28"/>
          <w:szCs w:val="28"/>
          <w:rtl w:val="true"/>
          <w:lang w:bidi="fa-IR"/>
        </w:rPr>
        <w:t xml:space="preserve">لمحمّد، وجاء هذا بشکلٍ صریح جدّاً فی الخطبة الواردة فی القسم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حیث إنّ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الحقّ فی الحکم، وإنّ الإقرار بهذا من أفعال التقوی، وتأتی عبارة أُخری مشابهة لهذه فی القسم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ولکن بکلمات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القسم تأتی العلاقة بین الرموز مدعومة باستشهاد من القرآن، ومن خلال التضمین فی المعنی تتکوّن نفس العلاقة بین رمز النسب ورمز السلطة ورمز التقوی فی القسم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أیضاً یتمّ الاستشهاد بنَصٍّ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الحجّة التی یلقیها الحسین حسب النصّ هی نوع من القیاس یحوّل المجاز إلی کنایة، أی یجعل العلاقة الاعتباطیّة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 اعتباطیّة للشخص الغریب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والتقوی تبدو طبیعیّة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هی بطبیعة الحال للحسین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وتتکوّن هذه العلاقة من خلال قرابته من النبیّ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رأینا سابقاً، یعتبر المسلمون فی زمن الطبری أنّ الولاء السیاسی عند الجیل الأوّل من المسلمین تجاه شخص النبیّ هو واحد من أفعال التقوی الأساسیّة، فأُولئک الذین رفضوه کقائد سیاسی وروحی لم یکونوا مسلمین حقّاً، وأُولئک الذین رضوا بألسنتهم فقط وُصفوا بأنّهم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إشارتان قرآنیتان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الفتح فی القسم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الأحزاب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تلمّحان إلی هذه الفکرة، بأنّ 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الولاء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السلطة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الولاء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التقوی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معروفة وواضحة تماماً عند جمیع المسلمین، ولکن مشکلة الحسین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العلاقة لم یتمّ عزوها إلیه طبیعیّاً من قِبَل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ویری الحسین أنّ الولاء الذی یُمنح لمحمّدٍ ینبغی أن یُمنح له هو أیضاً؛ حیث إنّه الرجل الأقرب نَسَباً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وبالنتیجة یحاول بیان هذا القیاس الثلاثی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ولاء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سلطة الحسین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الحسین سبطاً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جَدّاً</w:t>
      </w:r>
    </w:p>
    <w:p>
      <w:pPr>
        <w:pStyle w:val="BookText"/>
        <w:rPr/>
      </w:pPr>
      <w:r>
        <w:rPr>
          <w:rFonts w:ascii="Amiri" w:hAnsi="Amiri" w:eastAsia="Amiri" w:cs="Amiri"/>
          <w:color w:val="111111"/>
          <w:sz w:val="28"/>
          <w:sz w:val="28"/>
          <w:szCs w:val="28"/>
          <w:rtl w:val="true"/>
          <w:lang w:bidi="ar-SA"/>
        </w:rPr>
        <w:t>رمز السلطة رمز النسب</w:t>
      </w:r>
    </w:p>
    <w:p>
      <w:pPr>
        <w:pStyle w:val="BookText"/>
        <w:rPr/>
      </w:pPr>
      <w:r>
        <w:rPr>
          <w:rFonts w:ascii="Amiri" w:hAnsi="Amiri" w:eastAsia="Amiri" w:cs="Amiri"/>
          <w:color w:val="111111"/>
          <w:sz w:val="28"/>
          <w:sz w:val="28"/>
          <w:szCs w:val="28"/>
          <w:rtl w:val="true"/>
          <w:lang w:bidi="ar-SA"/>
        </w:rPr>
        <w:t>نبوّة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 الله</w:t>
      </w:r>
    </w:p>
    <w:p>
      <w:pPr>
        <w:pStyle w:val="BookText"/>
        <w:rPr/>
      </w:pPr>
      <w:r>
        <w:rPr>
          <w:rFonts w:ascii="IRNazanin" w:hAnsi="IRNazanin" w:eastAsia="IRNazanin"/>
          <w:color w:val="111111"/>
          <w:sz w:val="28"/>
          <w:sz w:val="28"/>
          <w:szCs w:val="28"/>
          <w:rtl w:val="true"/>
          <w:lang w:bidi="fa-IR"/>
        </w:rPr>
        <w:t>رمز التقوی</w:t>
      </w:r>
    </w:p>
    <w:p>
      <w:pPr>
        <w:pStyle w:val="BookText"/>
        <w:rPr/>
      </w:pPr>
      <w:r>
        <w:rPr>
          <w:rFonts w:ascii="IRNazanin" w:hAnsi="IRNazanin" w:eastAsia="IRNazanin"/>
          <w:color w:val="111111"/>
          <w:sz w:val="28"/>
          <w:sz w:val="28"/>
          <w:szCs w:val="28"/>
          <w:rtl w:val="true"/>
          <w:lang w:bidi="fa-IR"/>
        </w:rPr>
        <w:t>وهذا یعنی أنّ ولاء أهل الکوفة لسلطة الحسین هی کعلاقة النسب بین الحسین ومحمّد، والتی هی کنبوّة محمّد بالنسبة لجبروت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 محمّداً قد تسلّم سلطته من خلال علاقته مع الله، فإنّ الحسین قد تسلّم سلطته علی أهل الکوفة من خلال علاقته مع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یکن فإنّه فی الخُطَب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یشیر الحسین کثیراً إلی سلطته علی أنّها سلطة أهل البیت جمیعاً، والذی هو علی رأسهم الآن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المعادلة یمکن تبسیطها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سلطة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ولاء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 الله</w:t>
      </w:r>
    </w:p>
    <w:p>
      <w:pPr>
        <w:pStyle w:val="BookText"/>
        <w:rPr/>
      </w:pPr>
      <w:r>
        <w:rPr>
          <w:rFonts w:ascii="IRNazanin" w:hAnsi="IRNazanin" w:eastAsia="IRNazanin"/>
          <w:color w:val="111111"/>
          <w:sz w:val="28"/>
          <w:sz w:val="28"/>
          <w:szCs w:val="28"/>
          <w:rtl w:val="true"/>
          <w:lang w:bidi="fa-IR"/>
        </w:rPr>
        <w:t>هنا تظهر أهمّیة التحوّل بین المجاز والکنایة بصورة واضحة، حیث یمکن کتابة القیاس نفسه بالطریقة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 الله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المثال الأوّل الکنایة هی العلاقة السیاسیّة بین أهل الکوفة وأهل البیت من جهة، وبین أهل البیت وبین الله من الجهة الأُخری،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یرتبط الولاء السیاسی لأهل الکوفة تجاه أهل البیت بتقوی أهل البیت فی الطاعة التامّة لله، والسلطة السیاسیّة لأهل البیت ترتبط مع الجبروت الإلهی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المعادلة الثانیة لهذا القیاس، ابتُدعت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جدیدة، وحدث تحوّل بین الکنایة والمجاز،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الکنائیّة ضمن رمز السلطة ورمزالتقوی علی التوالی فی نفس الوقت تُظهر التطابق بین السلطة الإلهیّة والسلطة السیاسیّة من جهة، وبین تسلیم الإنسان لله وولاء المحکوم للحاکم من جهةٍ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التحوّل بین المجاز والکنایة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338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02"/>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تأثیر هذا القیاس یتقوّی بوعود الله بالثواب لأُولئک الذین یقرّون بالعلاقة الواردة فیه، ووعیده بالعقاب لأُولئک الذین ینکرونها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الخطبة الثانیة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الحسین صراحةً برضا الله عن أهل الکوفة إنْ هم رضوا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بالحسین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أماکن أُخری یشیر إلی عقوبة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توسیع الوصیّة بالولاء لمحمّد لتشمل جمیع أهل البیت، وخصوصاً الحسین نفسه، فإنّ الثواب والعقاب الإلهیین الذَین وعد الله بهما فی القرآن یمکن أن ینطبقا علی معاصریه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القسم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وبالخصوص فی الآیة التی استشهد بها من القرآن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العلاقة بین رمز السلطة ورمز النسب ورمز التقوی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أنّ رمز التقوی له الأسبقیّة علی الرمزین الآخرین؛ </w:t>
      </w:r>
    </w:p>
    <w:p>
      <w:pPr>
        <w:pStyle w:val="BookText"/>
        <w:rPr/>
      </w:pPr>
      <w:r>
        <w:rPr>
          <w:rFonts w:ascii="IRNazanin" w:hAnsi="IRNazanin" w:eastAsia="IRNazanin"/>
          <w:color w:val="111111"/>
          <w:sz w:val="28"/>
          <w:sz w:val="28"/>
          <w:szCs w:val="28"/>
          <w:rtl w:val="true"/>
          <w:lang w:bidi="fa-IR"/>
        </w:rPr>
        <w:t xml:space="preserve">فوجهة النظر السیاسیّة لشخصٍ ما تحدّد علاقة ذلک الشخص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العلاقة الأکثر أهمّیة لأیِّ إنسانٍ کان، وفی هذا الخصوص هناک اثنان من المتضادّات</w:t>
      </w:r>
    </w:p>
    <w:p>
      <w:pPr>
        <w:pStyle w:val="BookText"/>
        <w:rPr/>
      </w:pPr>
      <w:r>
        <w:rPr>
          <w:rFonts w:ascii="IRNazanin" w:hAnsi="IRNazanin" w:eastAsia="IRNazanin"/>
          <w:color w:val="111111"/>
          <w:sz w:val="28"/>
          <w:sz w:val="28"/>
          <w:szCs w:val="28"/>
          <w:rtl w:val="true"/>
          <w:lang w:bidi="fa-IR"/>
        </w:rPr>
        <w:t>الواضحة فی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الله و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p>
    <w:p>
      <w:pPr>
        <w:pStyle w:val="BookText"/>
        <w:rPr/>
      </w:pPr>
      <w:r>
        <w:rPr>
          <w:rFonts w:ascii="IRNazanin" w:hAnsi="IRNazanin" w:eastAsia="IRNazanin"/>
          <w:color w:val="111111"/>
          <w:sz w:val="28"/>
          <w:sz w:val="28"/>
          <w:szCs w:val="28"/>
          <w:rtl w:val="true"/>
          <w:lang w:bidi="fa-IR"/>
        </w:rPr>
        <w:t xml:space="preserve">فی هذین المتضادّین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یُری بأنّه أقوی من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الأوّل یخصّ الحیاة الأبدیّة، بینما الآخر یتعلّق بالحیاة علی الأرض، وهی محدودة الأمد</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أس، تی 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Van 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 وسمیث، فهم الموت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Haddad And Smith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Understanding Of Death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البحث کلامی، وفکرة العقاب غیر الدائم فی الآخرة غیر موجودة فی هذا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وطالما یعیش الإنسان فی هذه الدنیا، فمن المحتمل أنّه یغیّر مجری حیاته، إمّا نحو الأفضل ویصبح مسلماً صالحاً، وإمّا ینحرف ویرتدّ عن الطریق القویم، ولکن بعد الموت لیس هناک من رجعة، فما عمله المرء فقد عمله، وسیلقی هناک عواقب حیاته الدنیویّة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المهمّ ملاحظة أنّ مفهوم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أیّة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یوجد فعلاً فی هذا النصّ، مع أنّ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الروایة فی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یتقرّب کثیراً من هذه المسألة، إلّا أنّه لم یتّهم أبداً بنی أُمیّة أو أهل الکوفة بالکفر فعلاً، بل بالعکس، فقد أدّی الصلاة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الفعل یبیّن أنّهم من دِینٍ واحد وأُمّةٍ واحدة، وبدلاً </w:t>
      </w:r>
    </w:p>
    <w:p>
      <w:pPr>
        <w:pStyle w:val="BookText"/>
        <w:rPr/>
      </w:pPr>
      <w:r>
        <w:rPr>
          <w:rFonts w:ascii="Amiri" w:hAnsi="Amiri" w:eastAsia="Amiri" w:cs="Amiri"/>
          <w:color w:val="111111"/>
          <w:sz w:val="28"/>
          <w:sz w:val="28"/>
          <w:szCs w:val="28"/>
          <w:rtl w:val="true"/>
          <w:lang w:bidi="ar-SA"/>
        </w:rPr>
        <w:t>من إنکار إیمانهم یُضَمِّنُ الحسینُ فی کلامه ما یُشعِرُ أنّهم منافقون، وهی صفة تُطلق علی أُولئک الذین یُظهرون الإسلام، ولکنّهم منحرفون عن الحقّ وأقرب إلی الکفر؛ وبهذا</w:t>
      </w:r>
    </w:p>
    <w:p>
      <w:pPr>
        <w:pStyle w:val="BookText"/>
        <w:rPr/>
      </w:pPr>
      <w:r>
        <w:rPr>
          <w:rFonts w:ascii="IRNazanin" w:hAnsi="IRNazanin" w:eastAsia="IRNazanin"/>
          <w:color w:val="111111"/>
          <w:sz w:val="28"/>
          <w:sz w:val="28"/>
          <w:szCs w:val="28"/>
          <w:rtl w:val="true"/>
          <w:lang w:bidi="fa-IR"/>
        </w:rPr>
        <w:t>فإنّ مفهوم النفاق یمکن أن یکون الوسیط بین الإسلام والکفر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تضادّ ثالث فی رمز التقوی یوجد فی النصّ،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w:t>
      </w:r>
    </w:p>
    <w:p>
      <w:pPr>
        <w:pStyle w:val="BookText"/>
        <w:rPr/>
      </w:pPr>
      <w:r>
        <w:rPr>
          <w:rFonts w:ascii="IRNazanin" w:hAnsi="IRNazanin" w:eastAsia="IRNazanin"/>
          <w:color w:val="111111"/>
          <w:sz w:val="28"/>
          <w:sz w:val="28"/>
          <w:szCs w:val="28"/>
          <w:rtl w:val="true"/>
          <w:lang w:bidi="fa-IR"/>
        </w:rPr>
        <w:t>هذا التضادّ یخصّ المسلمین کأفراد؛ وبذلک فهو أضعف من تضادّ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وهی تصنیفات یمکن تطبیقها علی البشر جمیعاً؛ والرشد هو الوضع الصحیح للمؤمن، بینما الانحراف یعادل النفاق، وبین قطبی هذا التضادّ من الممکن الدخول فی وضع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الهدی الذی یقود من الانحراف إلی الرشد، ومن ثمّ إلی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النهایة إلی ثواب الله، کما هو مذکور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أیضاً فَرْقٌ بین التضادّ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یتعلّق بالآخرة، والمتضادّات التالیة التی تخصّ الحیاة علی الأرض، وهکذا فإنّ هناک تضادّ رابع ضمن رمز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والذی یقابل التضادّ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المادّی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رسم هذه المتضادّات المذکورة أعلاه کما فی 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وُضعت المتضادّات الثلاثة الأُولی علی المحور العمودی، بینما الرابع علی المحور الأفقی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 الجهة، لیبیّن الجزء الرئیسی للبنیة الأساسیّة فی علم الکلام الإسلامی، والذی لم یکن فی النصِّ الذی قمنا بتحلیله هنا وحسب، بل یعمل کقطبٍ </w:t>
      </w:r>
    </w:p>
    <w:p>
      <w:pPr>
        <w:pStyle w:val="BookText"/>
        <w:rPr/>
      </w:pPr>
      <w:r>
        <w:rPr>
          <w:rFonts w:ascii="IRNazanin" w:hAnsi="IRNazanin" w:eastAsia="IRNazanin"/>
          <w:color w:val="111111"/>
          <w:sz w:val="28"/>
          <w:sz w:val="28"/>
          <w:szCs w:val="28"/>
          <w:rtl w:val="true"/>
          <w:lang w:bidi="fa-IR"/>
        </w:rPr>
        <w:t>أساسی فی رسالة القرآن، ومن ثَمّ فی معظم الفکر الکلامی والتاریخی للإسلام</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بینما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استنتاجی الشخصی، من خلال أوصاف أعداء الحسین من المسلمین حسب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 ذلک أنّ المصطلحات فی هذا النموذج یمکن أن تحل محلّ مصطلحاتٍ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المتضادّات الأساسیّة فی رمز التقوی</w:t>
      </w:r>
    </w:p>
    <w:p>
      <w:pPr>
        <w:pStyle w:val="BookText"/>
        <w:rPr/>
      </w:pPr>
      <w:r>
        <w:rPr>
          <w:rFonts w:ascii="Amiri" w:hAnsi="Amiri" w:eastAsia="Amiri" w:cs="Amiri"/>
          <w:color w:val="111111"/>
          <w:sz w:val="28"/>
          <w:sz w:val="28"/>
          <w:szCs w:val="28"/>
          <w:rtl w:val="true"/>
          <w:lang w:bidi="ar-SA"/>
        </w:rPr>
        <w:t>الآخرة</w:t>
      </w:r>
    </w:p>
    <w:p>
      <w:pPr>
        <w:pStyle w:val="BookText"/>
        <w:rPr/>
      </w:pPr>
      <w:r>
        <w:rPr>
          <w:rFonts w:ascii="IRNazanin" w:hAnsi="IRNazanin" w:eastAsia="IRNazanin"/>
          <w:color w:val="111111"/>
          <w:sz w:val="28"/>
          <w:sz w:val="28"/>
          <w:szCs w:val="28"/>
          <w:rtl w:val="true"/>
          <w:lang w:bidi="fa-IR"/>
        </w:rPr>
        <w:t>الموت</w:t>
      </w:r>
    </w:p>
    <w:p>
      <w:pPr>
        <w:pStyle w:val="BookText"/>
        <w:rPr/>
      </w:pPr>
      <w:r>
        <w:rPr>
          <w:rFonts w:ascii="Amiri" w:hAnsi="Amiri" w:eastAsia="Amiri" w:cs="Amiri"/>
          <w:color w:val="111111"/>
          <w:sz w:val="28"/>
          <w:sz w:val="28"/>
          <w:szCs w:val="28"/>
          <w:rtl w:val="true"/>
          <w:lang w:bidi="ar-SA"/>
        </w:rPr>
        <w:t>المادّی</w:t>
      </w:r>
    </w:p>
    <w:p>
      <w:pPr>
        <w:pStyle w:val="BookText"/>
        <w:rPr/>
      </w:pPr>
      <w:r>
        <w:rPr>
          <w:rFonts w:ascii="IRNazanin" w:hAnsi="IRNazanin" w:eastAsia="IRNazanin"/>
          <w:color w:val="111111"/>
          <w:sz w:val="28"/>
          <w:sz w:val="28"/>
          <w:szCs w:val="28"/>
          <w:rtl w:val="true"/>
          <w:lang w:bidi="fa-IR"/>
        </w:rPr>
        <w:t>الدنیا</w:t>
      </w:r>
    </w:p>
    <w:p>
      <w:pPr>
        <w:pStyle w:val="BookText"/>
        <w:rPr/>
      </w:pPr>
      <w:r>
        <w:rPr>
          <w:rFonts w:ascii="IRNazanin" w:hAnsi="IRNazanin" w:eastAsia="IRNazanin"/>
          <w:color w:val="111111"/>
          <w:sz w:val="28"/>
          <w:sz w:val="28"/>
          <w:szCs w:val="28"/>
          <w:rtl w:val="true"/>
          <w:lang w:bidi="fa-IR"/>
        </w:rPr>
        <w:t>الحیاة المادیّة</w:t>
      </w:r>
    </w:p>
    <w:p>
      <w:pPr>
        <w:pStyle w:val="BookText"/>
        <w:rPr/>
      </w:pPr>
      <w:r>
        <w:rPr>
          <w:rFonts w:ascii="Amiri" w:hAnsi="Amiri" w:eastAsia="Amiri" w:cs="Amiri"/>
          <w:color w:val="111111"/>
          <w:sz w:val="28"/>
          <w:sz w:val="28"/>
          <w:szCs w:val="28"/>
          <w:rtl w:val="true"/>
          <w:lang w:bidi="ar-SA"/>
        </w:rPr>
        <w:t xml:space="preserve">ثواب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w:t>
      </w:r>
    </w:p>
    <w:p>
      <w:pPr>
        <w:pStyle w:val="BookText"/>
        <w:rPr/>
      </w:pPr>
      <w:r>
        <w:rPr>
          <w:rFonts w:ascii="IRNazanin" w:hAnsi="IRNazanin" w:eastAsia="IRNazanin"/>
          <w:color w:val="111111"/>
          <w:sz w:val="28"/>
          <w:sz w:val="28"/>
          <w:szCs w:val="28"/>
          <w:rtl w:val="true"/>
          <w:lang w:bidi="fa-IR"/>
        </w:rPr>
        <w:t>الرشد</w:t>
      </w:r>
    </w:p>
    <w:p>
      <w:pPr>
        <w:pStyle w:val="BookText"/>
        <w:rPr/>
      </w:pPr>
      <w:r>
        <w:rPr>
          <w:rFonts w:ascii="IRNazanin" w:hAnsi="IRNazanin" w:eastAsia="IRNazanin"/>
          <w:color w:val="111111"/>
          <w:sz w:val="28"/>
          <w:sz w:val="28"/>
          <w:szCs w:val="28"/>
          <w:rtl w:val="true"/>
          <w:lang w:bidi="fa-IR"/>
        </w:rPr>
        <w:t>الهدی</w:t>
      </w:r>
    </w:p>
    <w:p>
      <w:pPr>
        <w:pStyle w:val="BookText"/>
        <w:rPr/>
      </w:pPr>
      <w:r>
        <w:rPr>
          <w:rFonts w:ascii="IRNazanin" w:hAnsi="IRNazanin" w:eastAsia="IRNazanin"/>
          <w:color w:val="111111"/>
          <w:sz w:val="28"/>
          <w:sz w:val="28"/>
          <w:szCs w:val="28"/>
          <w:rtl w:val="true"/>
          <w:lang w:bidi="fa-IR"/>
        </w:rPr>
        <w:t>الانحراف</w:t>
      </w:r>
    </w:p>
    <w:p>
      <w:pPr>
        <w:pStyle w:val="BookText"/>
        <w:rPr/>
      </w:pPr>
      <w:r>
        <w:rPr>
          <w:rFonts w:ascii="IRNazanin" w:hAnsi="IRNazanin" w:eastAsia="IRNazanin"/>
          <w:color w:val="111111"/>
          <w:sz w:val="28"/>
          <w:sz w:val="28"/>
          <w:szCs w:val="28"/>
          <w:rtl w:val="true"/>
          <w:lang w:bidi="fa-IR"/>
        </w:rPr>
        <w:t>النفاق</w:t>
      </w:r>
    </w:p>
    <w:p>
      <w:pPr>
        <w:pStyle w:val="BookText"/>
        <w:rPr/>
      </w:pPr>
      <w:r>
        <w:rPr>
          <w:rFonts w:ascii="IRNazanin" w:hAnsi="IRNazanin" w:eastAsia="IRNazanin"/>
          <w:color w:val="111111"/>
          <w:sz w:val="28"/>
          <w:sz w:val="28"/>
          <w:szCs w:val="28"/>
          <w:rtl w:val="true"/>
          <w:lang w:bidi="fa-IR"/>
        </w:rPr>
        <w:t>الکفر</w:t>
      </w:r>
    </w:p>
    <w:p>
      <w:pPr>
        <w:pStyle w:val="BookText"/>
        <w:rPr/>
      </w:pPr>
      <w:r>
        <w:rPr>
          <w:rFonts w:ascii="IRNazanin" w:hAnsi="IRNazanin" w:eastAsia="IRNazanin"/>
          <w:color w:val="111111"/>
          <w:sz w:val="28"/>
          <w:sz w:val="28"/>
          <w:szCs w:val="28"/>
          <w:rtl w:val="true"/>
          <w:lang w:bidi="fa-IR"/>
        </w:rPr>
        <w:t>عقاب الله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الحقل المظلّل یشیر إلی الحیاة بعد الموت </w:t>
      </w:r>
    </w:p>
    <w:p>
      <w:pPr>
        <w:pStyle w:val="BookText"/>
        <w:rPr/>
      </w:pPr>
      <w:r>
        <w:rPr>
          <w:rFonts w:ascii="IRNazanin" w:hAnsi="IRNazanin" w:eastAsia="IRNazanin"/>
          <w:color w:val="111111"/>
          <w:sz w:val="28"/>
          <w:sz w:val="28"/>
          <w:szCs w:val="28"/>
          <w:rtl w:val="true"/>
          <w:lang w:bidi="fa-IR"/>
        </w:rPr>
        <w:t xml:space="preserve">فی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هذه البنیة الأساسیّة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w:t>
      </w:r>
      <w:r>
        <w:rPr>
          <w:rStyle w:val="FootnoteAnchor"/>
          <w:rtl w:val="true"/>
        </w:rPr>
        <w:footnoteReference w:id="390"/>
      </w:r>
      <w:r>
        <w:rPr>
          <w:rFonts w:ascii="IRNazanin" w:hAnsi="IRNazanin" w:eastAsia="IRNazanin"/>
          <w:color w:val="111111"/>
          <w:sz w:val="28"/>
          <w:sz w:val="28"/>
          <w:szCs w:val="28"/>
          <w:rtl w:val="true"/>
          <w:lang w:bidi="fa-IR"/>
        </w:rPr>
        <w:t xml:space="preserve">، ولیس من المفاجأة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تصوغ هذه البنیة أحداث کربلاء کما جاءت فی تاریخ الطبری مکتسبةً المقام اللاهوتی ومنزلة مؤلّفها، والمسألة هی أنّه طبقاً للنصّ المعتمد، یملأ الحسین المصطلحات لمتضادّات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المصطلحات الواردة فی الحقول غیر المظلّلة فی یسار الجدول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ووساطاتها مع المضمون السیاسی الخاصّ؛ ولذا تأتی هذه المتضادّات فی رسائل الحسین متماثلة مع مفاهیم متعارضة ضمن رموز مختلفة، أهم تعارض سیاسی والذی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سأناقشه عمّا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یتطابق مع التعارض الثالث فی 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بالعهد مع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عهد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الوضع الوسط بین هذه الأقطاب المتعارضة هو الموقف الثالث تجاه الحسین، والذی ورد فی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التردّد والشکّ عند الحُرّ</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أیّة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یبیّن بوضوح رسالة الغدر، والتی کانت مهمّة جدّاً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ومناقشة موقف الحُرّ ستتطوّر شیئاً فشیئاً فی القسم التالی</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هناک علاقة مجازیّة بین المصطلحات المحوریّة فی المتضادّات، حیث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 بعهد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عهد الحسین ولکن لیس هناک علاقة مباشرة بین المصطلحات الوسیطة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الازدواجیّة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التأرجح فی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الأُولی تتعلّق بعملیة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الحسین فی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الثانیة تتحدّث عن موقف أفراد مسلمین تجاه هذا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التضادّ فی الرمز السیاسی مشتقّ من تضادٍّ أقوی فی رمز التقوی، کما کنت قد بیّنت ذلک فی تحلیل القسم السادس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الوفاء بعهد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عهد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مفهوم الوسط هو نفسه فی 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 عرض المضمون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السیاسی للبنیة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المتضادّات الأساسیّة فی رمز التقوی ورمز السلطة</w:t>
      </w:r>
    </w:p>
    <w:p>
      <w:pPr>
        <w:pStyle w:val="BookText"/>
        <w:rPr/>
      </w:pPr>
      <w:r>
        <w:rPr>
          <w:rFonts w:ascii="Amiri" w:hAnsi="Amiri" w:eastAsia="Amiri" w:cs="Amiri"/>
          <w:color w:val="111111"/>
          <w:sz w:val="28"/>
          <w:sz w:val="28"/>
          <w:szCs w:val="28"/>
          <w:rtl w:val="true"/>
          <w:lang w:bidi="ar-SA"/>
        </w:rPr>
        <w:t>الآخرة</w:t>
      </w:r>
    </w:p>
    <w:p>
      <w:pPr>
        <w:pStyle w:val="BookText"/>
        <w:rPr/>
      </w:pPr>
      <w:r>
        <w:rPr>
          <w:rFonts w:ascii="IRNazanin" w:hAnsi="IRNazanin" w:eastAsia="IRNazanin"/>
          <w:color w:val="111111"/>
          <w:sz w:val="28"/>
          <w:sz w:val="28"/>
          <w:szCs w:val="28"/>
          <w:rtl w:val="true"/>
          <w:lang w:bidi="fa-IR"/>
        </w:rPr>
        <w:t>الموت المادّی</w:t>
      </w:r>
    </w:p>
    <w:p>
      <w:pPr>
        <w:pStyle w:val="BookText"/>
        <w:rPr/>
      </w:pPr>
      <w:r>
        <w:rPr>
          <w:rFonts w:ascii="IRNazanin" w:hAnsi="IRNazanin" w:eastAsia="IRNazanin"/>
          <w:color w:val="111111"/>
          <w:sz w:val="28"/>
          <w:sz w:val="28"/>
          <w:szCs w:val="28"/>
          <w:rtl w:val="true"/>
          <w:lang w:bidi="fa-IR"/>
        </w:rPr>
        <w:t>الدنیا</w:t>
      </w:r>
    </w:p>
    <w:p>
      <w:pPr>
        <w:pStyle w:val="BookText"/>
        <w:rPr/>
      </w:pPr>
      <w:r>
        <w:rPr>
          <w:rFonts w:ascii="Amiri" w:hAnsi="Amiri" w:eastAsia="Amiri" w:cs="Amiri"/>
          <w:color w:val="111111"/>
          <w:sz w:val="28"/>
          <w:sz w:val="28"/>
          <w:szCs w:val="28"/>
          <w:rtl w:val="true"/>
          <w:lang w:bidi="ar-SA"/>
        </w:rPr>
        <w:t>الحیاة المادّیّة</w:t>
      </w:r>
    </w:p>
    <w:p>
      <w:pPr>
        <w:pStyle w:val="BookText"/>
        <w:rPr/>
      </w:pPr>
      <w:r>
        <w:rPr>
          <w:rFonts w:ascii="Amiri" w:hAnsi="Amiri" w:eastAsia="Amiri" w:cs="Amiri"/>
          <w:color w:val="111111"/>
          <w:sz w:val="28"/>
          <w:sz w:val="28"/>
          <w:szCs w:val="28"/>
          <w:rtl w:val="true"/>
          <w:lang w:bidi="ar-SA"/>
        </w:rPr>
        <w:t xml:space="preserve">ثواب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الوفاء بعهد الله</w:t>
      </w:r>
    </w:p>
    <w:p>
      <w:pPr>
        <w:pStyle w:val="BookText"/>
        <w:rPr/>
      </w:pPr>
      <w:r>
        <w:rPr>
          <w:rFonts w:ascii="IRNazanin" w:hAnsi="IRNazanin" w:eastAsia="IRNazanin"/>
          <w:color w:val="111111"/>
          <w:sz w:val="28"/>
          <w:sz w:val="28"/>
          <w:szCs w:val="28"/>
          <w:rtl w:val="true"/>
          <w:lang w:bidi="fa-IR"/>
        </w:rPr>
        <w:t>الوفاء بعهد الحسین الهدی</w:t>
      </w:r>
    </w:p>
    <w:p>
      <w:pPr>
        <w:pStyle w:val="BookText"/>
        <w:rPr/>
      </w:pPr>
      <w:r>
        <w:rPr>
          <w:rFonts w:ascii="IRNazanin" w:hAnsi="IRNazanin" w:eastAsia="IRNazanin"/>
          <w:color w:val="111111"/>
          <w:sz w:val="28"/>
          <w:sz w:val="28"/>
          <w:szCs w:val="28"/>
          <w:rtl w:val="true"/>
          <w:lang w:bidi="fa-IR"/>
        </w:rPr>
        <w:t>نقض عهد الحسین</w:t>
      </w:r>
    </w:p>
    <w:p>
      <w:pPr>
        <w:pStyle w:val="BookText"/>
        <w:rPr/>
      </w:pPr>
      <w:r>
        <w:rPr>
          <w:rFonts w:ascii="IRNazanin" w:hAnsi="IRNazanin" w:eastAsia="IRNazanin"/>
          <w:color w:val="111111"/>
          <w:sz w:val="28"/>
          <w:sz w:val="28"/>
          <w:szCs w:val="28"/>
          <w:rtl w:val="true"/>
          <w:lang w:bidi="fa-IR"/>
        </w:rPr>
        <w:t>النفاق</w:t>
      </w:r>
    </w:p>
    <w:p>
      <w:pPr>
        <w:pStyle w:val="BookText"/>
        <w:rPr/>
      </w:pPr>
      <w:r>
        <w:rPr>
          <w:rFonts w:ascii="IRNazanin" w:hAnsi="IRNazanin" w:eastAsia="IRNazanin"/>
          <w:color w:val="111111"/>
          <w:sz w:val="28"/>
          <w:sz w:val="28"/>
          <w:szCs w:val="28"/>
          <w:rtl w:val="true"/>
          <w:lang w:bidi="fa-IR"/>
        </w:rPr>
        <w:t>نقض عهد الله</w:t>
      </w:r>
    </w:p>
    <w:p>
      <w:pPr>
        <w:pStyle w:val="BookText"/>
        <w:rPr/>
      </w:pPr>
      <w:r>
        <w:rPr>
          <w:rFonts w:ascii="IRNazanin" w:hAnsi="IRNazanin" w:eastAsia="IRNazanin"/>
          <w:color w:val="111111"/>
          <w:sz w:val="28"/>
          <w:sz w:val="28"/>
          <w:szCs w:val="28"/>
          <w:rtl w:val="true"/>
          <w:lang w:bidi="fa-IR"/>
        </w:rPr>
        <w:t>عقاب الله</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الحقل المظلّل یشیر إلی الحیاة بعد الموت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أکون قد ناقشت کلمات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وفیما یلی، سأقوم </w:t>
      </w:r>
    </w:p>
    <w:p>
      <w:pPr>
        <w:pStyle w:val="BookText"/>
        <w:rPr/>
      </w:pPr>
      <w:r>
        <w:rPr>
          <w:rFonts w:ascii="IRNazanin" w:hAnsi="IRNazanin" w:eastAsia="IRNazanin"/>
          <w:color w:val="111111"/>
          <w:sz w:val="28"/>
          <w:sz w:val="28"/>
          <w:szCs w:val="28"/>
          <w:rtl w:val="true"/>
          <w:lang w:bidi="fa-IR"/>
        </w:rPr>
        <w:t xml:space="preserve">بتحلیل ثلاثة من الأعمال التی قام بها حسب ما جاء فی النصِّ نفسه، تلک الأعمال التی تکمّل الکلمات، وتدعم الرسالة التی یرید إیصالها إلی أهل الکوفة، وبطبیعة الحال من المستحیل فصل الأعمال کلیّاً عن الکلمات، ولذلک سیکون علیّ أن أعود إلی أقواله أیضاً، ولکنّ الترکیز فی الصفحات التالیة سیکون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فعله أکثر ممّا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فعله الأوّل الذی سنقوم بتحلیله هو جوده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وفعله الثانی هو ارتداؤه اللباس الخاص عند مخاطبته 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وفعله الثالث هو إمامته للفریقین الخصمین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الثالث کذلک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القسم الأوّل، 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قدّم الماء لجنود العدو العطاشی، وأرشد الجاهل علیّ بن الطعّان کیف یشرب الماء من القربة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فی العربیّة وفی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الأوسع نطاقاً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دلالة علی الحیاة المادیّة والثواب الإلهی فی الآخرة، بینما انعدام الماء والحَرّ والعطش هی نقیض ذلک، وهناک أوصاف کثیرة للجنّة والنار فی القرآن والحدیث هی أمثلة علی ذلک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ولوکانت هذه الحادثة قد دُوِّنت علی انفراد، لربّما لم یکن لها معنی أکثر من أن تُظهِر أنّ الحسین أدرک الحاجة الجسدیّة لأُولئک الرجال العطاشی فی جیش الحُرّ فحسب، إنّما ذلک الفعل نفسه لم یکن الحسین قد أظهر من خلاله مشاعره النبیلة فقط، بل أظهر کذلک أنّه لم یکن یرید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جمیع القصّة یکون للماء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رمزاً للحیاة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تلک الأهمّیة، بحیث صار من الصعب التصدیق أنّ له دلالة مختلفة فی هذا القسم؛ لأنّه یحتل تلک المکانة البارزة</w:t>
      </w:r>
      <w:r>
        <w:rPr>
          <w:rStyle w:val="FootnoteAnchor"/>
          <w:rtl w:val="true"/>
        </w:rPr>
        <w:footnoteReference w:id="393"/>
      </w:r>
      <w:r>
        <w:rPr>
          <w:rFonts w:ascii="IRNazanin" w:hAnsi="IRNazanin" w:eastAsia="IRNazanin"/>
          <w:color w:val="111111"/>
          <w:sz w:val="28"/>
          <w:sz w:val="28"/>
          <w:szCs w:val="28"/>
          <w:rtl w:val="true"/>
          <w:lang w:bidi="fa-IR"/>
        </w:rPr>
        <w:t xml:space="preserve">، ولهذا السبب أری أنّ مشهد الحسین وهو یسقی الماء للرجال العطاشی والدوابّ هو شیء رمزی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الرمز الاقتصادی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یرمز إلی قدرته الکامنة کسبیل للهدایة والحیاة الأبدیّة من الله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التأویل تدعمه بشدّة حقیقة أنّ سقایة الماء المذکورة هنا تتلاءم بنیویّاً مع عدد من الشواهد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أوّله إلی آخره، عندما یقدّم الحسین أفضالاً مختلفة کثیرة، والتی تفضی إلی الحیاة الأبدیّة، ففی القسم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یقدّم الحسینُ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یعنی الإمامة، وبضمنها الوحدة والهدایة لأهل الکوفة فیما لو کانوا موالین له، وفی الحال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ولائهم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بالرشد وولاء أهل بیته ونفسه کنموذج ینبغی اتّباعه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یقدّم الحسین الماء یقدّم معه الإرشاد والهدایة حول کیفیّة الاستفادة منه، وهذا یقود إلی الحیاة المادیّة، وبصورة مشابهة عندما یقدّم نفسه </w:t>
      </w:r>
    </w:p>
    <w:p>
      <w:pPr>
        <w:pStyle w:val="BookText"/>
        <w:rPr/>
      </w:pPr>
      <w:r>
        <w:rPr>
          <w:rFonts w:ascii="IRNazanin" w:hAnsi="IRNazanin" w:eastAsia="IRNazanin"/>
          <w:color w:val="111111"/>
          <w:sz w:val="28"/>
          <w:sz w:val="28"/>
          <w:szCs w:val="28"/>
          <w:rtl w:val="true"/>
          <w:lang w:bidi="fa-IR"/>
        </w:rPr>
        <w:t>کإمامٍ ومثالٍ یُحتذی، فهذا یعنی أیضاً الهدایة، الوحدة، الرشد</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وهذا یعنی الحیاة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الرمز الاقتصادی یکون التضادّ المقابل لتقدیم الحسین للماء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الماء عند أهل الکوفة، کما ورد فی القسم الأوّل، المتلازم مع الحَرّ والعطش،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الجسدی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رمز المکان، یتطابق هذا مع غیاب الحسین، وفی رمز السلطة ورمز التقوی یتطابق مع انعدام الإمامة، وبالاستنتاج إلی الفرقة والانحراف عن الحقّ، والذی یؤدّی فی النهایة إلی غضب الله وعقابه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مشهد الحسین وهو یسقی الماء لأهل الکوفة العطاشی أنّ الحسین فی موضع اقتدارٍ کبیر، وأهمّیة ذلک الواضحة جدّاً هی أنّه یبیّن رغبة الحسین فی حفظ الحیاة المادیّة لإخوانه فی الدِّین، ولکنّه أیضاً کنایة عن الهدایة إلی الحیاة الأبدیّة الحقیقیّة والتی کان الحسین قادراً علی تقدیمها لهم، وهنا یأتی القیاس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الفعل الآخر المثیر للجدل الذی ینبغی تحلیله، هو ارتداء الحسین للإزار والرداء والنعلین أثناء خطبته الأُولی، والصلاة التی تلتها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التحلیل الذی جاء فی القسم الثالث فیما سبق، لقد افترضتُ أنّ هذا اللباس یحمل رسالة مزدوجة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المادّیّة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الأبدیّة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المقام البنیوی لإعطاء الحسین الماء لأهل الکوفة</w:t>
      </w:r>
    </w:p>
    <w:p>
      <w:pPr>
        <w:pStyle w:val="BookText"/>
        <w:rPr/>
      </w:pPr>
      <w:r>
        <w:rPr>
          <w:rFonts w:ascii="Amiri" w:hAnsi="Amiri" w:eastAsia="Amiri" w:cs="Amiri"/>
          <w:color w:val="111111"/>
          <w:sz w:val="28"/>
          <w:sz w:val="28"/>
          <w:szCs w:val="28"/>
          <w:rtl w:val="true"/>
          <w:lang w:bidi="ar-SA"/>
        </w:rPr>
        <w:t>الآخرة</w:t>
      </w:r>
    </w:p>
    <w:p>
      <w:pPr>
        <w:pStyle w:val="BookText"/>
        <w:rPr/>
      </w:pPr>
      <w:r>
        <w:rPr>
          <w:rFonts w:ascii="IRNazanin" w:hAnsi="IRNazanin" w:eastAsia="IRNazanin"/>
          <w:color w:val="111111"/>
          <w:sz w:val="28"/>
          <w:sz w:val="28"/>
          <w:szCs w:val="28"/>
          <w:rtl w:val="true"/>
          <w:lang w:bidi="fa-IR"/>
        </w:rPr>
        <w:t>الموت</w:t>
      </w:r>
    </w:p>
    <w:p>
      <w:pPr>
        <w:pStyle w:val="BookText"/>
        <w:rPr/>
      </w:pPr>
      <w:r>
        <w:rPr>
          <w:rFonts w:ascii="Amiri" w:hAnsi="Amiri" w:eastAsia="Amiri" w:cs="Amiri"/>
          <w:color w:val="111111"/>
          <w:sz w:val="28"/>
          <w:sz w:val="28"/>
          <w:szCs w:val="28"/>
          <w:rtl w:val="true"/>
          <w:lang w:bidi="ar-SA"/>
        </w:rPr>
        <w:t>المادّی</w:t>
      </w:r>
    </w:p>
    <w:p>
      <w:pPr>
        <w:pStyle w:val="BookText"/>
        <w:rPr/>
      </w:pPr>
      <w:r>
        <w:rPr>
          <w:rFonts w:ascii="IRNazanin" w:hAnsi="IRNazanin" w:eastAsia="IRNazanin"/>
          <w:color w:val="111111"/>
          <w:sz w:val="28"/>
          <w:sz w:val="28"/>
          <w:szCs w:val="28"/>
          <w:rtl w:val="true"/>
          <w:lang w:bidi="fa-IR"/>
        </w:rPr>
        <w:t>فقدان الماء</w:t>
      </w:r>
    </w:p>
    <w:p>
      <w:pPr>
        <w:pStyle w:val="BookText"/>
        <w:rPr/>
      </w:pPr>
      <w:r>
        <w:rPr>
          <w:rFonts w:ascii="IRNazanin" w:hAnsi="IRNazanin" w:eastAsia="IRNazanin"/>
          <w:color w:val="111111"/>
          <w:sz w:val="28"/>
          <w:sz w:val="28"/>
          <w:szCs w:val="28"/>
          <w:rtl w:val="true"/>
          <w:lang w:bidi="fa-IR"/>
        </w:rPr>
        <w:t>الدنیا</w:t>
      </w:r>
    </w:p>
    <w:p>
      <w:pPr>
        <w:pStyle w:val="BookText"/>
        <w:rPr/>
      </w:pPr>
      <w:r>
        <w:rPr>
          <w:rFonts w:ascii="IRNazanin" w:hAnsi="IRNazanin" w:eastAsia="IRNazanin"/>
          <w:color w:val="111111"/>
          <w:sz w:val="28"/>
          <w:sz w:val="28"/>
          <w:szCs w:val="28"/>
          <w:rtl w:val="true"/>
          <w:lang w:bidi="fa-IR"/>
        </w:rPr>
        <w:t>الحیاة</w:t>
      </w:r>
    </w:p>
    <w:p>
      <w:pPr>
        <w:pStyle w:val="BookText"/>
        <w:rPr/>
      </w:pPr>
      <w:r>
        <w:rPr>
          <w:rFonts w:ascii="Amiri" w:hAnsi="Amiri" w:eastAsia="Amiri" w:cs="Amiri"/>
          <w:color w:val="111111"/>
          <w:sz w:val="28"/>
          <w:sz w:val="28"/>
          <w:szCs w:val="28"/>
          <w:rtl w:val="true"/>
          <w:lang w:bidi="ar-SA"/>
        </w:rPr>
        <w:t>المادّیّة</w:t>
      </w:r>
    </w:p>
    <w:p>
      <w:pPr>
        <w:pStyle w:val="BookText"/>
        <w:rPr/>
      </w:pPr>
      <w:r>
        <w:rPr>
          <w:rFonts w:ascii="IRNazanin" w:hAnsi="IRNazanin" w:eastAsia="IRNazanin"/>
          <w:color w:val="111111"/>
          <w:sz w:val="28"/>
          <w:sz w:val="28"/>
          <w:szCs w:val="28"/>
          <w:rtl w:val="true"/>
          <w:lang w:bidi="fa-IR"/>
        </w:rPr>
        <w:t>امتلاک الماء</w:t>
      </w:r>
    </w:p>
    <w:p>
      <w:pPr>
        <w:pStyle w:val="BookText"/>
        <w:rPr/>
      </w:pPr>
      <w:r>
        <w:rPr>
          <w:rFonts w:ascii="IRNazanin" w:hAnsi="IRNazanin" w:eastAsia="IRNazanin"/>
          <w:color w:val="111111"/>
          <w:sz w:val="28"/>
          <w:sz w:val="28"/>
          <w:szCs w:val="28"/>
          <w:rtl w:val="true"/>
          <w:lang w:bidi="fa-IR"/>
        </w:rPr>
        <w:t>الوفاء بعهد الله</w:t>
      </w:r>
    </w:p>
    <w:p>
      <w:pPr>
        <w:pStyle w:val="BookText"/>
        <w:rPr/>
      </w:pPr>
      <w:r>
        <w:rPr>
          <w:rFonts w:ascii="IRNazanin" w:hAnsi="IRNazanin" w:eastAsia="IRNazanin"/>
          <w:color w:val="111111"/>
          <w:sz w:val="28"/>
          <w:sz w:val="28"/>
          <w:szCs w:val="28"/>
          <w:rtl w:val="true"/>
          <w:lang w:bidi="fa-IR"/>
        </w:rPr>
        <w:t>امتلاک الماء</w:t>
      </w:r>
    </w:p>
    <w:p>
      <w:pPr>
        <w:pStyle w:val="BookText"/>
        <w:rPr/>
      </w:pPr>
      <w:r>
        <w:rPr>
          <w:rFonts w:ascii="IRNazanin" w:hAnsi="IRNazanin" w:eastAsia="IRNazanin"/>
          <w:color w:val="111111"/>
          <w:sz w:val="28"/>
          <w:sz w:val="28"/>
          <w:szCs w:val="28"/>
          <w:rtl w:val="true"/>
          <w:lang w:bidi="fa-IR"/>
        </w:rPr>
        <w:t>الحسین یعطی الماء</w:t>
      </w:r>
    </w:p>
    <w:p>
      <w:pPr>
        <w:pStyle w:val="BookText"/>
        <w:rPr/>
      </w:pPr>
      <w:r>
        <w:rPr>
          <w:rFonts w:ascii="IRNazanin" w:hAnsi="IRNazanin" w:eastAsia="IRNazanin"/>
          <w:color w:val="111111"/>
          <w:sz w:val="28"/>
          <w:sz w:val="28"/>
          <w:szCs w:val="28"/>
          <w:rtl w:val="true"/>
          <w:lang w:bidi="fa-IR"/>
        </w:rPr>
        <w:t>فقدان الماء، العطش</w:t>
      </w:r>
    </w:p>
    <w:p>
      <w:pPr>
        <w:pStyle w:val="BookText"/>
        <w:rPr/>
      </w:pPr>
      <w:r>
        <w:rPr>
          <w:rFonts w:ascii="IRNazanin" w:hAnsi="IRNazanin" w:eastAsia="IRNazanin"/>
          <w:color w:val="111111"/>
          <w:sz w:val="28"/>
          <w:sz w:val="28"/>
          <w:szCs w:val="28"/>
          <w:rtl w:val="true"/>
          <w:lang w:bidi="fa-IR"/>
        </w:rPr>
        <w:t>النفاق</w:t>
      </w:r>
    </w:p>
    <w:p>
      <w:pPr>
        <w:pStyle w:val="BookText"/>
        <w:rPr/>
      </w:pPr>
      <w:r>
        <w:rPr>
          <w:rFonts w:ascii="IRNazanin" w:hAnsi="IRNazanin" w:eastAsia="IRNazanin"/>
          <w:color w:val="111111"/>
          <w:sz w:val="28"/>
          <w:sz w:val="28"/>
          <w:szCs w:val="28"/>
          <w:rtl w:val="true"/>
          <w:lang w:bidi="fa-IR"/>
        </w:rPr>
        <w:t>نقض عهد الله</w:t>
      </w:r>
    </w:p>
    <w:p>
      <w:pPr>
        <w:pStyle w:val="BookText"/>
        <w:rPr/>
      </w:pPr>
      <w:r>
        <w:rPr>
          <w:rFonts w:ascii="IRNazanin" w:hAnsi="IRNazanin" w:eastAsia="IRNazanin"/>
          <w:color w:val="111111"/>
          <w:sz w:val="28"/>
          <w:sz w:val="28"/>
          <w:szCs w:val="28"/>
          <w:rtl w:val="true"/>
          <w:lang w:bidi="fa-IR"/>
        </w:rPr>
        <w:t>عقاب الله</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الحقل المظلّل یشیر إلی الحیاة بعد الموت</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فی إحرام، والذی یمکن الاستنتاج منه أنّه لا عنف ولا انتهاک للحرمات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یستبق الموت ومواراته الثری کشهید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والفکرة الأساسیّة فی هذین المفهومین هی أنّ الشخص الذی یرتدی هذا اللباس إنّما یفعل ذلک کعلامة علی الطهارة الروحیّة، تلک الطهارة التی تجعله </w:t>
      </w:r>
    </w:p>
    <w:p>
      <w:pPr>
        <w:pStyle w:val="BookText"/>
        <w:rPr/>
      </w:pPr>
      <w:r>
        <w:rPr>
          <w:rFonts w:ascii="Amiri" w:hAnsi="Amiri" w:eastAsia="Amiri" w:cs="Amiri"/>
          <w:color w:val="111111"/>
          <w:sz w:val="28"/>
          <w:sz w:val="28"/>
          <w:szCs w:val="28"/>
          <w:rtl w:val="true"/>
          <w:lang w:bidi="ar-SA"/>
        </w:rPr>
        <w:t>مستعدّاً للقاء الله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والشیء الذی یجلب الانتباه فی هذا النصِّ هو أنّ الحسین کان مرتدیاً هذا اللباس فی غیر محلّه المتعارف علیه فی الحج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تعارفاً نوعاً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المعرکة، وارتداؤه هذا اللباس یبیّن اعتقاده أنّ هناک استمراراً بین الحیاة والموت؛ إنْ کان حیّاً أو میتاً فهو قریب من الله،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ّالتضادّ علی المحور الأفقی فی المخطّطات المدرجة لیس حقیقیّاً بالنسبة إلیه، فقربه من الله یجعله منیعاً لا تُنتَهک حرمته حیّاً، ویفتح الطریق له إلی الجنّة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أوردتُ أعلاه، فقد تبیّن فی عدّة أماکن أنّ علاقة الحسین مع الله هی فعلٌ ناتجٌ من علاقته النسَبیّة مع النبیّ، وسیأتی بیان أهمّیة لباس الحسین فی المخطّط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أهمّیة لباس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الثالث</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385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14"/>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بالإضافة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الحسین یعطی الحجج فی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التحوّل بین رمز التقوی ورمز النسب یسبّب التحوّل إلی رمز السلطة؛ فبسبب قدسیّة الحسین یجب أن یُعطی السلطة السیاسیّة، وهنا یکون الولاء له من أفعال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إنْ کان أهل الکوفة قد ترکوا الوفاء بعهدهم وانتهی الأمر إلی مقتل الحسین، فلم یکن هذا شیئاً یَخاف منه الحسین، فإنّه سیموت شهیداً ویذهب للقاء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الفکر اللاهوتی الإسلامی، تکون العلاقات بین مفاهیم الحیاة، الموت، الدنیا، والآخرة متشابکة بإحکام، یبدأ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وسمیث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حول هذه المسألة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القرآن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تجانبهما المعنوی علی وجه التخصیص بالسلبی والإیجابی</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الحیاة فی هذه الدنیا قد خلقها الله للجنس البشری؛ لیحیا ویتمتّع فیها، ولهذا فهی مقدّسة وطیّبة وممتعة؛ وعلی هذا فمن واجب الإنسان أن یُظهر شکره لله وینفّذ إرادته، وبالخصوص فإنّ سلب أرواح الناس غیر جائز إلّا فی حالاتٍ خاصّة</w:t>
      </w:r>
      <w:r>
        <w:rPr>
          <w:rStyle w:val="FootnoteAnchor"/>
          <w:rtl w:val="true"/>
        </w:rPr>
        <w:footnoteReference w:id="397"/>
      </w:r>
      <w:r>
        <w:rPr>
          <w:rFonts w:ascii="IRNazanin" w:hAnsi="IRNazanin" w:eastAsia="IRNazanin"/>
          <w:color w:val="111111"/>
          <w:sz w:val="28"/>
          <w:sz w:val="28"/>
          <w:szCs w:val="28"/>
          <w:rtl w:val="true"/>
          <w:lang w:bidi="fa-IR"/>
        </w:rPr>
        <w:t xml:space="preserve">، فی هذا المعنی تکون الحیاة الدنیا إیجابیّة، ولکن عند مقارنتها بالآخرة تصبح الدنیا مفهوماً معنویّاً، حیث بمقارنتها مع الآخرة تکون سلبیّةً نسبیّاً، وعندما یعطی الإنسان جلّ اهتمامه لهذه الدنیا وینسی الآخرة سیفقد التبصّر فیما هو مهمّ حقّاً وسینال عقاب الله، وفی هذا الخصوص فإنّ الدنیا هی المیدان الذی یمتحن الله فیه </w:t>
      </w:r>
    </w:p>
    <w:p>
      <w:pPr>
        <w:pStyle w:val="BookText"/>
        <w:rPr/>
      </w:pPr>
      <w:r>
        <w:rPr>
          <w:rFonts w:ascii="IRNazanin" w:hAnsi="IRNazanin" w:eastAsia="IRNazanin"/>
          <w:color w:val="111111"/>
          <w:sz w:val="28"/>
          <w:sz w:val="28"/>
          <w:szCs w:val="28"/>
          <w:rtl w:val="true"/>
          <w:lang w:bidi="fa-IR"/>
        </w:rPr>
        <w:t>البشر ویهدیهم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وطالما یعیش الإنسان فی هذه الدنیا، فهناک احتمال التغیّر فی سیرة حیاته، ولکن بعد الموت لیس هناک من شیء یمکنه تحسین سجل المرء أمام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فالدنیا بذاتها لا یمکن 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وثواب الآخرة لأُولئک الذین لا یغفلون عن واجباتهم فی هذه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بصیرة المرء یجب أن تترکّز علی ما سیأتی</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أحد الأمثلة القرآنیّة، تُشبَّه الحیاة فی الدنیا بالمطر الذی ینعش الأرض، ولکن عندما یظنّ الناس أنّ الأرض وما تعطی تحت إرادتهم وفی أیدیهم، سیدمّر الله کلَّ ما ینبت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سورة یونس، الآیة </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فالحیاة فی هذه الدنیا سریعة الزوال، ومَن ینأی عن الصواب ویلهث وراء ملذّات الدنیا الزائلة، ستؤول حیاته إلی الموت الذی لا ینتظره فیه سوی العذاب الألیم فی نار جهنّم، وأمّا بالنسبة لمَن لا یعبأ بغیر الآخرة، فلن یخیفه الموت بشیءٍ؛ حیث إنّ عاقبته ستکون ثواب الله وهی الحیاة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توضّح عدة فقرات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الآراء حول الحیاة والموت فی الدنیا والآخرة، وأوضح ما یکون ربّما جاء فی القسم الثامن حیث یحاول الحُرّ تحذیر الحسین من أنّه سیُقتل إنْ واصل السیر لما أراد، ویجیب الحسین أنّه لیس هناک من عارٍ فی الموت من أجل الإسلام، ومن الواضح جدّاً أنّ الحُرّ کان رأیه خاطئاً والحسین علی صواب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ویذهب الحسین أبعد من ذلک فی خطبته فی القسم السابع، حیث یتحدّث عن الدنیا الفاسدة وعن رغبته فی لقاء الله؛ أی الموت المادّی، وفی هذا السیاق یأتی ذکر </w:t>
      </w:r>
    </w:p>
    <w:p>
      <w:pPr>
        <w:pStyle w:val="BookText"/>
        <w:rPr/>
      </w:pPr>
      <w:r>
        <w:rPr>
          <w:rFonts w:ascii="IRNazanin" w:hAnsi="IRNazanin" w:eastAsia="IRNazanin"/>
          <w:color w:val="111111"/>
          <w:sz w:val="28"/>
          <w:sz w:val="28"/>
          <w:szCs w:val="28"/>
          <w:rtl w:val="true"/>
          <w:lang w:bidi="fa-IR"/>
        </w:rPr>
        <w:t>مفهوم الشهادة علی أنّه موت المؤمن الحقیقی</w:t>
      </w:r>
      <w:r>
        <w:rPr>
          <w:rStyle w:val="FootnoteAnchor"/>
          <w:rtl w:val="true"/>
        </w:rPr>
        <w:footnoteReference w:id="400"/>
      </w:r>
      <w:r>
        <w:rPr>
          <w:rFonts w:ascii="IRNazanin" w:hAnsi="IRNazanin" w:eastAsia="IRNazanin"/>
          <w:color w:val="111111"/>
          <w:sz w:val="28"/>
          <w:sz w:val="28"/>
          <w:szCs w:val="28"/>
          <w:rtl w:val="true"/>
          <w:lang w:bidi="fa-IR"/>
        </w:rPr>
        <w:t xml:space="preserve">، إنّها ضدّ هذا السیاق؛ حیث یجب رؤیة فعل الحسین بإعطاء الماء لجیش الکوفة تماماً کما أنّ الماء المرسَل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المثال القرآنی السالف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یعزّز الحیاة المادیّة، فکذلک الماء الذی قدّمه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ومثلها مثل جمیع أنواع الحیاة علی الأرض، فإنّها حیاة لن تدوم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إنّ الماء الذی وزّعه الحسین علی القوم هو کنایةً عن الهدایة التی کان سیقدّمها لجمیع أُولئک المخلصین له، تلک الهدایة التی ستجلب الحیاة الأبدیّة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وبنفس الصورة، فإنّ اللباس الذی کان یرتدیه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جزءاً من أهمّیته من خلال أفکار الحیاة والموت التی ناقشناها فیما سبق؛ فالطاهر روحیّاً قریب من الله، سواءً کان من الناحیة المادّیّة حیّاً أم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سأتکلّم باختصار فقط عن آخر حدث مهم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عندما أَمَّ الحسین أهل الکوفة مع أصحابه فی الصلاة فی ذی حُسُم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لهذا الفعل بعدان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معاً، حیث اعترف الفریقان المتخاصمان بأحدهما الآخر بأنّهم مسلمون</w:t>
      </w:r>
      <w:r>
        <w:rPr>
          <w:rFonts w:eastAsia="IRNazanin" w:cs="IRNazanin"/>
          <w:color w:val="111111"/>
          <w:sz w:val="28"/>
          <w:szCs w:val="28"/>
          <w:rtl w:val="true"/>
          <w:lang w:bidi="fa-IR"/>
        </w:rPr>
        <w:t xml:space="preserve">. </w:t>
      </w:r>
      <w:bookmarkStart w:id="203" w:name="pg5097_58426"/>
    </w:p>
    <w:p>
      <w:pPr>
        <w:pStyle w:val="BookText"/>
        <w:rPr/>
      </w:pPr>
      <w:bookmarkEnd w:id="203"/>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 خلاله اعترف الجمیع بالحسین إماماً، ولو بالمعنی المحدود من حیث کونه الأسمی منزلةً من الناحیة الروحیّة، ولهذا یصلح أن یؤمّهم فی الصلاة، مع أنّ أهل الکوفة لم یرضوا به قائداً سیاسیّاً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وسأعود لهذا فی بحث آخر</w:t>
      </w:r>
      <w:r>
        <w:rPr>
          <w:rFonts w:eastAsia="IRNazanin" w:cs="IRNazanin"/>
          <w:color w:val="111111"/>
          <w:sz w:val="28"/>
          <w:szCs w:val="28"/>
          <w:rtl w:val="true"/>
          <w:lang w:bidi="fa-IR"/>
        </w:rPr>
        <w:t>.</w:t>
      </w:r>
    </w:p>
    <w:p>
      <w:pPr>
        <w:pStyle w:val="Heading5"/>
        <w:numPr>
          <w:ilvl w:val="4"/>
          <w:numId w:val="1"/>
        </w:numPr>
        <w:rPr/>
      </w:pPr>
      <w:bookmarkStart w:id="204" w:name="__RefHeading___Toc1259934_774463916"/>
      <w:bookmarkStart w:id="205" w:name="_Toc71"/>
      <w:bookmarkEnd w:id="204"/>
      <w:r>
        <w:rPr>
          <w:rtl w:val="true"/>
        </w:rPr>
        <w:t>الوسطّیة فی النصِّ المعتمد</w:t>
      </w:r>
      <w:bookmarkEnd w:id="205"/>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المرجعی أو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إقناع أهل الکوفة بقبوله قائداً سیاسیّاً وروحیّاً لهم، أیْ إماماً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الأقسام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وحجّته الأساسیّة هی أنّه کان أبرز رجلٍ من آل النبیّ، وأنّ الولاء للنبیّ محمّد تستوجب الولاء له نفسه، وهذا من أفعال التقوی التی تستوجب رضا الله وثوابه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کنت قد بیّنت من قبل أنّ النصّ یسجّل ثلاثة مواقفٍ مختلفة تجاه الحسین أبداها الناس من حوله، أوضحها کان رفض جیش الکوفة له کلیّاً، وکان هناک أیضاً رد فعلٍ معاکس وهو الولاء الراسخ الذی أظهره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والموقف الثالث هو موقف الحُرّ قائد الکتیبة العسکریّة لأهل الکوفة، والذی کان متردّداً تجاه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موقف أهل الکوفة یبدو واضحاً جدّاً فی رمز المکان، حیث ورد فی الروایة أنّهم سیطروا علی موضعٍ مقابل الحسین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وظهر کذلک من خلال صمتهم بعد خطبة الحسین الأُولی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وبالإضافة لذلک یخبرنا النصّ أنّ نظرة الحسین تجاه أهل الکوفة بدأت تصبح متشائمة کلّما تقدّمت القصّة للأمام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الأقسام الأُولی یخبرنا النصّ أنّ الحسین حاول أن یُظهر نیّته الطیّبة تجاههم مع حذره واحترازه، فسقاهم الماء، وارتدی لباساً یُظهر أنّ نیّاته کانت سلمیّة، وکانت خطبته الأُولی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جدّاً معهم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الخطبة الثانیة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أکثر صراحةً من الأُولی، وفیها تلمیحات إلی أنّ موقفهم السیاسی له أهمّیة من الناحیة الدِّینیّة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الخطبة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الحسین هجومیّاً تماماً ضدّ بنی أًمیّة، ووصف أهل الکوفة بأنّهم أهل غدر علی حافّة اللعن، وکانت الضربة الأخیرة ضدّ آمال الحسین بکسب ثقة 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جاء الرجال الأربعة من الکوفة، وأخبروه بغدر الناس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مقابل تقلّب أهل الکوفة کان هناک ثبات أصحاب الحسین الذین کانوا مستعدّین للتضحیة بأرواحهم دفاعاً عنه، وکان هذا واضحاً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القسمین السابع والعاشر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القسم السابع أکّد أصحاب الحسین أنّهم مستعدّون للموت من أجله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العاشر برز ولاء سفیر الحسین الثانی إلی الکوفة قیس بن مسهر، الذی قدّم حیاته من أجل ولائه، فی مقابل أهل الکوفة الذین اشتراهم الوالی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والموقف الثالث تجاه الحسین کان موقف الحُرّ الذی قد عیّنه رئیس شرطة الکوفة قائداً علی طلیعة الجیش، وتلقّی أوامر بجلب الحسین إلی الکوفة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مهما کان فإنّ الحُرّ کان کارهاً لفرض أوامره بالقوّة، واستخدام العنف ضدّ الحسین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قدّمتُ من قبل فقد کان من الواضح أنّ الحُرّ اتّخذ هذا الموقف بسبب إجلاله لأهل البیت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نستطیع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الوسطیّة بین تضادّین یمکن أن توجد عندما یکون هناک عنصر ثالث بین أقطاب التضادّ، ذلک العنصر الذی یشترک فی المیزات ذات الصلة بأقطاب التضادّ؛ والوسطیّة التی تسمح بالتحوّل بین المتضادّات تکون إیجابیّة،والتی تُبقی طرفی المتضادّات منفصلین بصورة تامّة تکون سلبیّة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أمثلة واضحة علی الوسطیّة،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الحسین للماء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هناک متضادّان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لیس عطشاناً ومعه الماء، بینما أهل الکوفة عطاشی ولیس معهم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قدّم الحسین الماء لأهل الکوفة، فقد قلّت مؤونته من الماء وازدادت مؤونة أهل الکوفة، وعندها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الکوفة صار عندهم ماء والحسین لیس معه ماء، وهکذا فإنّ إعطاءه الماء یشارک فی خصائص المتضادّین کلیهما، ویمکن القول بأنّه من أفعال الوساطة، فالغایة بألّا یبقَ أحدٌ عطشاناً قد تحقّقت هنا؛ وعلیه فالوساطة هنا إیجابیّة، وهی ضمن الرمز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افترضت فیما سبق، فإنّ الأهمّیة الحقیقیّة لهذه الوساطة توجد فی معناها المجازی والذی یظهر فی رمز التقوی، وفی هذا الرمز یکون إعطاء الحسین للماء صورةً لقدرته علی الهدایة من الموت الروحی إلی الحیاة الروحیّة؛ وفی الاصطلاحات البنیویّة، الوصل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الفئات أو الأصناف، تأتی هذه الوساطة صریحةً فی خطب الحسین من القسم الأوّل حتّی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یتوسّط الحسین بین المتضادّات علی المحور العمودی فی 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المتقدّمین، وعلی سبیل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الحسین وسیطاً؛ من حیث إنّه شارک فی خصائص المتضادّین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 بعملٍ رآه علماء الکلام المسلمون بأنّه مشْکِلٌ جدّاً؛ حیث إنّه حرّض علی الثورة،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أیضاً یمتلک علاقةً خاصّة مع الله بفضل کونه سبط النبیّ؛ وبهذا فهو یشارک فی الخیر والشرِّ، وهو أهلٌ لأن یتوسّط بین النقیضین، بالإضافة إلی ذلک یجعل الحسین الانتقال من الفئة السلبیّة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الانحراف، ونقض العهد مع الله، والموت </w:t>
      </w:r>
      <w:bookmarkStart w:id="206" w:name="pg5097_58429"/>
    </w:p>
    <w:p>
      <w:pPr>
        <w:pStyle w:val="BookText"/>
        <w:rPr/>
      </w:pPr>
      <w:bookmarkEnd w:id="206"/>
      <w:r>
        <w:rPr>
          <w:rFonts w:ascii="IRNazanin" w:hAnsi="IRNazanin" w:eastAsia="IRNazanin"/>
          <w:color w:val="111111"/>
          <w:sz w:val="28"/>
          <w:sz w:val="28"/>
          <w:szCs w:val="28"/>
          <w:rtl w:val="true"/>
          <w:lang w:bidi="fa-IR"/>
        </w:rPr>
        <w:t>الروحی،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الفئة الإیجابیّة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الرشد، الوفاء بالعهد، الحیاة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ممکناً من خلال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تظهر وساطته إیجابیّة بکلِّ وضوحٍ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نموذجی للوسیط حیث یکون التقسیم الثنائی بین الوساطة الإیجابیّة والسلبیّة غیر قابلٍ للتطبیق، فعند الملاحظة من منظارٍ واحد یکون دور الحسین فی الوساطة إیجابیّاً، أی یجعل الفئات معاً أو یسمح بالانتقال فیما بینها، ومن منظارٍ آخر یکون سلبیّاً حیث یُبقی أقطاب التضادّ منفصلة عن بعضها، ولا یأتی الاعتراض بأنّ جلب أقطاب التضادّ معاً بعید عن شخص الحسین، بل بالعکس، فقد علمنا أنّه أجبر الناس علی الاختیار بین الرضا به أو رفضه کإمامٍ دینی وسیاسی، وهنا یکون الاختیار بین الحیاة الأبدیّة أو الموت الأبدی، وقد بقی التصنیفان منفصلین عن بعضهما تماماً، إلّا فی الحسین نفسه</w:t>
      </w:r>
      <w:r>
        <w:rPr>
          <w:rFonts w:eastAsia="IRNazanin" w:cs="IRNazanin"/>
          <w:color w:val="111111"/>
          <w:sz w:val="28"/>
          <w:szCs w:val="28"/>
          <w:rtl w:val="true"/>
          <w:lang w:bidi="fa-IR"/>
        </w:rPr>
        <w:t>.</w:t>
      </w:r>
    </w:p>
    <w:p>
      <w:pPr>
        <w:pStyle w:val="Heading5"/>
        <w:numPr>
          <w:ilvl w:val="4"/>
          <w:numId w:val="1"/>
        </w:numPr>
        <w:rPr/>
      </w:pPr>
      <w:bookmarkStart w:id="207" w:name="__RefHeading___Toc1259936_774463916"/>
      <w:bookmarkStart w:id="208" w:name="_Toc72"/>
      <w:bookmarkEnd w:id="207"/>
      <w:r>
        <w:rPr>
          <w:rtl w:val="true"/>
        </w:rPr>
        <w:t xml:space="preserve">ما وراء </w:t>
      </w:r>
      <w:r>
        <w:rPr>
          <w:rtl w:val="true"/>
        </w:rPr>
        <w:t>(</w:t>
      </w:r>
      <w:r>
        <w:rPr>
          <w:rtl w:val="true"/>
        </w:rPr>
        <w:t>النصّ المعتمد</w:t>
      </w:r>
      <w:r>
        <w:rPr>
          <w:rtl w:val="true"/>
        </w:rPr>
        <w:t xml:space="preserve">) </w:t>
      </w:r>
      <w:r>
        <w:rPr>
          <w:rtl w:val="true"/>
        </w:rPr>
        <w:t>المواقف تجاه الحسین</w:t>
      </w:r>
      <w:bookmarkEnd w:id="208"/>
    </w:p>
    <w:p>
      <w:pPr>
        <w:pStyle w:val="Heading6"/>
        <w:numPr>
          <w:ilvl w:val="5"/>
          <w:numId w:val="1"/>
        </w:numPr>
        <w:rPr/>
      </w:pPr>
      <w:bookmarkStart w:id="209" w:name="__RefHeading___Toc1259938_774463916"/>
      <w:bookmarkStart w:id="210" w:name="_Toc73"/>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 xml:space="preserve">فی الأبحاث القادمة أرید أن أترک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 وألقی نظرة دقیقة علی بقیّة أحداث کربلاء فی ضوء النتائج والتحلیلات السابقة</w:t>
      </w:r>
      <w:r>
        <w:rPr>
          <w:rStyle w:val="FootnoteAnchor"/>
          <w:rtl w:val="true"/>
        </w:rPr>
        <w:footnoteReference w:id="403"/>
      </w:r>
      <w:r>
        <w:rPr>
          <w:rFonts w:ascii="IRNazanin" w:hAnsi="IRNazanin" w:eastAsia="IRNazanin"/>
          <w:color w:val="111111"/>
          <w:sz w:val="28"/>
          <w:sz w:val="28"/>
          <w:szCs w:val="28"/>
          <w:rtl w:val="true"/>
          <w:lang w:bidi="fa-IR"/>
        </w:rPr>
        <w:t>، وسأتعقب بُنی الرموز المهمّة للنص المعتمد فی بقیّة القصّة، وأستطیع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ستتکرّر علی نطاقٍ واسع، ومن أجل تسهیل البحث عن تلک البُنی، سأتحرّی النصَّ من خلال ثلاث رؤی مختلفة توجد فیه،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تجاه الحسین لدی الناس من حوله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الحسین المنقولة فی القصّة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أنّنی أدرک أنّ هناک رؤی أُخری یمکن اختیارها، ولکنّنی علی ثقة أنّ هذه الثلاث ستفی بالمیزات المهمّة للقصّة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وتتشابک هذه الرؤی ممّا سیؤدی إلی ظهور بعض المکرّرات، ولکنّنی سأحاول أن أجعلها قلیلة ومختصرة حدّ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البحث السابق رأینا أنّ المواقف تجاه الحسین لدی الناس من حوله ذات موضوع مهمّ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والشیء نفسه یجب أن یُقال حول القصّة علی نطاقٍ واسع، غیر أنّه بسبب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ظهرت المواقف ساکنة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الرفض، والولاء، والریبة، ولکن القصة عندما تُقرأ برمّتها یصبح من الواضح أنّ المشاعر تجاه الحسین تتغیّر مع مرور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یمکن ترتیب خصوم الحسین فی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دعوه إلی الکوفة وبعد ذلک غدروا به وترکوه بغیر عون، بل اصطفوا للقتال ضدّه؛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الشیعة المعلَنین، وموظفی الحکم الأُموی ومؤیّدیه</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 ومن أوضح الأمثلة علی تغیّر المواقف هو المجموعة الأُولی، أُولئک الذین دعوا الحسین لیأتی إلی الکوفة، ویقودهم فی ثورةٍ ضدّ والیها، ولکنّهم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ضغوط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نکصوا علی أعقابهم تماماً، بل إنّ بعض وجهاء القبائل الذین وقّعوا رسائل الدعوة بأنفسهم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التحقوا بأعداء الحسین فیما بعد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غَدْر هؤلاء الأشخاص کان من أبرز التحوّلات والمواقف المشینة بکلِّ ما للکلمة من معنی، فقد رأینا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نبّههم الحسین، ولکن فیما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تلمیحات کثیرة إلی عدم جدارة أهل الکوفة بالثقة، وعدم إمکان الاعتماد علیهم، وقد تمّ تحذیر الحسین من أن یضع حیاته فی أیدیهم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فی النصف الثانی من القصّة حیث یَتّهم الحسینُ وأصحابه أهلَ الکوفة مباشرةً بالغدر، ویحذّرونهم من العقاب الإلهی الذی سیستوجبه فعلهم</w:t>
      </w:r>
      <w:r>
        <w:rPr>
          <w:rStyle w:val="FootnoteAnchor"/>
          <w:rtl w:val="true"/>
        </w:rPr>
        <w:footnoteReference w:id="407"/>
      </w:r>
      <w:r>
        <w:rPr>
          <w:rFonts w:ascii="IRNazanin" w:hAnsi="IRNazanin" w:eastAsia="IRNazanin"/>
          <w:color w:val="111111"/>
          <w:sz w:val="28"/>
          <w:sz w:val="28"/>
          <w:szCs w:val="28"/>
          <w:rtl w:val="true"/>
          <w:lang w:bidi="fa-IR"/>
        </w:rPr>
        <w:t>، وعلی الرغم من ذلک لم یتُب أحدٌ من أهل الغدر ویلتحق بالحسین للقتال معه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الاتّهامات من غیر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ماعدا جواباً أو جوابین من أهل الکوفة قبل أن تبدأ المعرکة بقلیل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یقدّم أحادیث تعارضها لَدلیلٌ واضح علی أنّه یؤیّدها، وفی الحقیقة لم یکن هناک شیء إیجابی یُقال عن أهل الکوفة الذین غدروا بالحسین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أهل المجموعة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الحکم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فرق فی حیث وصف اثنان من الشخصیّات الأساسیّة فی هذه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الوالی عبیدالله بن زیاد، ومستشاره شمر بن ذی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قلیل من الإیجابیّة، إنْ لم نقل لا شیء؛ إذ </w:t>
      </w:r>
    </w:p>
    <w:p>
      <w:pPr>
        <w:pStyle w:val="BookText"/>
        <w:rPr/>
      </w:pPr>
      <w:r>
        <w:rPr>
          <w:rFonts w:ascii="IRNazanin" w:hAnsi="IRNazanin" w:eastAsia="IRNazanin"/>
          <w:color w:val="111111"/>
          <w:sz w:val="28"/>
          <w:sz w:val="28"/>
          <w:szCs w:val="28"/>
          <w:rtl w:val="true"/>
          <w:lang w:bidi="fa-IR"/>
        </w:rPr>
        <w:t>یوصف ابن زیاد بأنّه قائد عدیم الرحمة مستعدٌّ لفعل أیِّ شیءٍ من أجل فرض إرادته علی أهل الکوفة وعلی الحسین، أصله المبهَم غالباً ما یُشار إلیه فی مقابل ذلک النسب السامی للحسین</w:t>
      </w:r>
      <w:r>
        <w:rPr>
          <w:rStyle w:val="FootnoteAnchor"/>
          <w:rtl w:val="true"/>
        </w:rPr>
        <w:footnoteReference w:id="409"/>
      </w:r>
      <w:r>
        <w:rPr>
          <w:rFonts w:ascii="IRNazanin" w:hAnsi="IRNazanin" w:eastAsia="IRNazanin"/>
          <w:color w:val="111111"/>
          <w:sz w:val="28"/>
          <w:sz w:val="28"/>
          <w:szCs w:val="28"/>
          <w:rtl w:val="true"/>
          <w:lang w:bidi="fa-IR"/>
        </w:rPr>
        <w:t>، وبجانب ذلک تُنسب إلیه المسؤولیّة الأُولی فی قتل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الجانب الدینی فیُوصف علی الأقل أنّه کان یؤدّی فرائضه الدِّینیّة، وإنْ لم یکن تقیّاً، وفی الحقیقة الخطأ الوحید الذی یمکن أن یُنسب إلیه علی وجه الیقین هو عجزه عن إدراک حرمة آل النبیّ، وواحدة من شناعاته هی اتّهامه بنکته ثغر الحسین بقضیبه</w:t>
      </w:r>
      <w:r>
        <w:rPr>
          <w:rStyle w:val="FootnoteAnchor"/>
          <w:rtl w:val="true"/>
        </w:rPr>
        <w:footnoteReference w:id="410"/>
      </w:r>
      <w:r>
        <w:rPr>
          <w:rFonts w:ascii="IRNazanin" w:hAnsi="IRNazanin" w:eastAsia="IRNazanin"/>
          <w:color w:val="111111"/>
          <w:sz w:val="28"/>
          <w:sz w:val="28"/>
          <w:szCs w:val="28"/>
          <w:rtl w:val="true"/>
          <w:lang w:bidi="fa-IR"/>
        </w:rPr>
        <w:t>، وفی مناسبةٍ أُخری قال عن الحسین أمام الملأ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الکذّاب</w:t>
      </w:r>
    </w:p>
    <w:p>
      <w:pPr>
        <w:pStyle w:val="BookText"/>
        <w:rPr/>
      </w:pPr>
      <w:r>
        <w:rPr>
          <w:rFonts w:ascii="Amiri" w:hAnsi="Amiri" w:eastAsia="Amiri" w:cs="Amiri"/>
          <w:color w:val="111111"/>
          <w:sz w:val="28"/>
          <w:sz w:val="28"/>
          <w:szCs w:val="28"/>
          <w:rtl w:val="true"/>
          <w:lang w:bidi="ar-SA"/>
        </w:rPr>
        <w:t>ابن الکذّاب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قد سبّ الحسین وأباه علیّاً</w:t>
      </w:r>
      <w:r>
        <w:rPr>
          <w:rStyle w:val="FootnoteAnchor"/>
          <w:rtl w:val="true"/>
        </w:rPr>
        <w:footnoteReference w:id="411"/>
      </w:r>
      <w:r>
        <w:rPr>
          <w:rFonts w:ascii="IRNazanin" w:hAnsi="IRNazanin" w:eastAsia="IRNazanin"/>
          <w:color w:val="111111"/>
          <w:sz w:val="28"/>
          <w:sz w:val="28"/>
          <w:szCs w:val="28"/>
          <w:rtl w:val="true"/>
          <w:lang w:bidi="fa-IR"/>
        </w:rPr>
        <w:t>، وإنّ موقفه تجاه أهل البیت کان خطأً کبیراً جداً، وستکون لی فرصة للعودة إلیه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صورة شمر بن ذی الجوشن، فقد رُسمت من غیر أیِّ تلطیفٍ لصفاته، فإلی جانب قساوته وبغضه للحسین، فقد وُصف بأنّه کان فاسداً فی دینه</w:t>
      </w:r>
      <w:r>
        <w:rPr>
          <w:rStyle w:val="FootnoteAnchor"/>
          <w:rtl w:val="true"/>
        </w:rPr>
        <w:footnoteReference w:id="413"/>
      </w:r>
      <w:r>
        <w:rPr>
          <w:rFonts w:ascii="IRNazanin" w:hAnsi="IRNazanin" w:eastAsia="IRNazanin"/>
          <w:color w:val="111111"/>
          <w:sz w:val="28"/>
          <w:sz w:val="28"/>
          <w:szCs w:val="28"/>
          <w:rtl w:val="true"/>
          <w:lang w:bidi="fa-IR"/>
        </w:rPr>
        <w:t xml:space="preserve">، وهو الذی </w:t>
      </w:r>
    </w:p>
    <w:p>
      <w:pPr>
        <w:pStyle w:val="BookText"/>
        <w:rPr/>
      </w:pPr>
      <w:r>
        <w:rPr>
          <w:rFonts w:ascii="IRNazanin" w:hAnsi="IRNazanin" w:eastAsia="IRNazanin"/>
          <w:color w:val="111111"/>
          <w:sz w:val="28"/>
          <w:sz w:val="28"/>
          <w:szCs w:val="28"/>
          <w:rtl w:val="true"/>
          <w:lang w:bidi="fa-IR"/>
        </w:rPr>
        <w:t>أقنع ابن زیاد بمواصلة القتال ضدّ الحسین، مع أنّ هناک تسویة للصلح کانت فی متناول الید</w:t>
      </w:r>
      <w:r>
        <w:rPr>
          <w:rStyle w:val="FootnoteAnchor"/>
          <w:rtl w:val="true"/>
        </w:rPr>
        <w:footnoteReference w:id="414"/>
      </w:r>
      <w:r>
        <w:rPr>
          <w:rFonts w:ascii="IRNazanin" w:hAnsi="IRNazanin" w:eastAsia="IRNazanin"/>
          <w:color w:val="111111"/>
          <w:sz w:val="28"/>
          <w:sz w:val="28"/>
          <w:szCs w:val="28"/>
          <w:rtl w:val="true"/>
          <w:lang w:bidi="fa-IR"/>
        </w:rPr>
        <w:t>، وفی معرکة کربلاء أُعطی القیادة علی میسرة جیش الکوفة، ولکنّ وحشیته المفرطة ضدّ النساء والأطفال فی مخیّم الحسین جعلت حتّی من کان تحت إمرته یزدری به</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الحسین لم یُقتَل علی یدیه</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مشارکة سنان وخولیّ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مشارکة شمر وسنان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مشارکة خولیّ وسنان وشمر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من مَذْحِج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 شهری، محمد، الصحیح من مقتل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913</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تشهد علیه بعض القرائن هو أنّ الذی أجهز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شمر بن ذی الجوشن، ومن هذه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من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کأنّ کلباً أبقع ولغ فی دمه، فأوّله بأنّ رجلاً یقتل الحسین ابن بنته، وکان الشمر یوم قتل الحسین أبرصاً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الدمیری، محمد بن موسی، 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أنّه قاد الحملة الأخیرة ضدّه وحرّض الجنود علی 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الخلیفة یزید، فقد رُسِمت شخصیّته بطریقة متضاربة کثیراً، فی أخبارٍ کثیرة </w:t>
      </w:r>
    </w:p>
    <w:p>
      <w:pPr>
        <w:pStyle w:val="BookText"/>
        <w:rPr/>
      </w:pPr>
      <w:r>
        <w:rPr>
          <w:rFonts w:ascii="IRNazanin" w:hAnsi="IRNazanin" w:eastAsia="IRNazanin"/>
          <w:color w:val="111111"/>
          <w:sz w:val="28"/>
          <w:sz w:val="28"/>
          <w:szCs w:val="28"/>
          <w:rtl w:val="true"/>
          <w:lang w:bidi="fa-IR"/>
        </w:rPr>
        <w:t>یناقض أحدها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أنّه اتّخذ موقفاً صارماً من الحسین الذی رفض مبایعته، حیث إنّه عندما رأی والی الکوفة النعمان بن بشیر لیّناً مع أُولئک الذین کان لهم هویً علوی، عزله واستخلفه بابن زیاد العنید الذی أُطلِقت یداه لإسکات الکوفة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المعرکة، وعندما عادت الأضواء علی یزید مرّةً أُخری، جاءت أخبار کثیرة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اعتبر الحسین نفسه المسؤول عن مقتله</w:t>
      </w:r>
      <w:r>
        <w:rPr>
          <w:rStyle w:val="FootnoteAnchor"/>
          <w:rtl w:val="true"/>
        </w:rPr>
        <w:footnoteReference w:id="418"/>
      </w:r>
      <w:r>
        <w:rPr>
          <w:rFonts w:ascii="IRNazanin" w:hAnsi="IRNazanin" w:eastAsia="IRNazanin"/>
          <w:color w:val="111111"/>
          <w:sz w:val="28"/>
          <w:sz w:val="28"/>
          <w:szCs w:val="28"/>
          <w:rtl w:val="true"/>
          <w:lang w:bidi="fa-IR"/>
        </w:rPr>
        <w:t>، ففی أحد الأخبار حاجج یزیدٌ دفاعاً عن نفسه بما یلی</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بِمَ کان الحسین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علیٌّ خیرٌ من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وأُمّی فاطمة خیرٌ من أُمّه، وجدّی رسول الله خیرٌ من جدّه، وأنا خیرٌ منه وأنا أحقّ بهذا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جدّه خیرٌ من جدی، فلعمری، لا أحد یؤمن بالله والیوم الآخر یری لرسول الله عِدلاً أو نِدّاً فینا، ولکنّه أخطأ لقصور فهمه، فهو لم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مَالِکَ الْمُلْکِ تُؤْتِی الْمُلْکَ مَنْ تَشَاءُ وَتَنْزِعُ الْمُلْکَ مِمَّنْ تَشَاءُ وَتُعِزُّ مَنْ تَشَاءُ </w:t>
      </w:r>
    </w:p>
    <w:p>
      <w:pPr>
        <w:pStyle w:val="BookText"/>
        <w:rPr/>
      </w:pPr>
      <w:r>
        <w:rPr>
          <w:rFonts w:ascii="Amiri" w:hAnsi="Amiri" w:eastAsia="Amiri" w:cs="Amiri"/>
          <w:color w:val="111111"/>
          <w:sz w:val="28"/>
          <w:sz w:val="28"/>
          <w:szCs w:val="28"/>
          <w:rtl w:val="true"/>
          <w:lang w:bidi="ar-SA"/>
        </w:rPr>
        <w:t xml:space="preserve">وَتُذِلُّ مَنْ تَشَاءُ بِیَدِکَ الْخَیْرُ إِنَّکَ عَلَی کُلِّ شَیْءٍ قَدِیرٌ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فی احتجاج یزید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 لیس حجّة فی صالح أیِّ مقامٍ سیاسی، فإنّ الله یؤتی الملک لمَن یشاء، وینزع الملک ممَّن یشاء، فالتقوی تتضمّن إجلال النبیّ ولیس من الضرورة الإقرار بحقِّ آله فی الحکم السیاسی، والتقوی من وجهة النظر الأُمویّة تتضمّن أیضاً الرضا بالحاکم الذی أعطاه الله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بالنسبة لیزید والموالین له، لیس هناک ارتباط بین رمز النسب من جهة ورمز التقوی ورمز السلطة من جهةٍ أُخری؛ وبهذا یکون القیاس المطروح أعلاه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سلطة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ولاء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هو الأساس فی احتجاج الحسین، ولکن لا یؤمن به بنو أُمیّة ولا أنصارهم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الجهة الأُخری تقول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نعی قتل الحسین، فقد ورد فی أحد الأخبار أنّ رسول ابن زیاد جاء بخبر المعرکة مع رأس الحسین إلی یزید، ویمضی الخبر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فدمعت عینُ یزید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أرضی من طاعتِکم بدونِ قتلِ الحسین، لعنَ الله ابنَ سمیّة، أما والله لو أنّی صاحبُه لعفوتُ عنه، فرحِمَ الله الحسین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عبارات أُخری کهذه یمکن مشاهدتها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تاریخ الطبری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Tabari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العبارة وعبارات مشابهة أُخری تدعم الرأی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کان سیُترَک حُرّاً، أو یُترک حُرّاً علی الأقل لو کان قد سُمِح له بإعطاء البیعة مباشرةً للخلیفة ولیس للوالی، وهی التسویة التی کان الحسین قد اقترحها قبل المعرکة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عامَلَ یزید مَن بقی حیّاً من أهل الحسین معاملةً حسنة، علی الرغم من بعض المنازعات المؤکّدة</w:t>
      </w:r>
      <w:r>
        <w:rPr>
          <w:rStyle w:val="FootnoteAnchor"/>
          <w:rtl w:val="true"/>
        </w:rPr>
        <w:footnoteReference w:id="424"/>
      </w:r>
      <w:r>
        <w:rPr>
          <w:rFonts w:ascii="IRNazanin" w:hAnsi="IRNazanin" w:eastAsia="IRNazanin"/>
          <w:color w:val="111111"/>
          <w:sz w:val="28"/>
          <w:sz w:val="28"/>
          <w:szCs w:val="28"/>
          <w:rtl w:val="true"/>
          <w:lang w:bidi="fa-IR"/>
        </w:rPr>
        <w:t>، فقد أعاد لهم ما سُلِبَ منهم، وزوّدهم بما یحتاجونه قبل إعادتهم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فی عدة مواضع بأنّه ذلک الحاکم الذی اتّخذ خطوات مناسِبة ضدّ أحد رعایاه المتمرّدین الذی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 ویجلّه، غیر أنّه ظهر تناقض یزید تجاه مقتل الحسین فی بیت من الشعر أنشده عندما جاءه خبر مقتل الحسین، حیث ورد هذا الشعر بما لایقلّ عن أربعة أخبار مختلفة خلال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نفلِّق هاماً من رجالٍ أعزةٍ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علینا وهم کانوا أعقَّ وأظلما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هناک لمحة من الدهاء فی النصِّ، والتی تجعلنی أعتقد أنّ نظرة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محایدة؛ ففی مناسبتین، ذکرت الأخبار عن یزید أنّه أهان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بعصاه کما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الأخبار یُظهِر أنّ الطبری کان یعتبرها مهمّة، وأراد أن ینقل الرسالة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حرمة الحسین قد استخفّ بها یزید بالرغم من الأخبار التی تحدّثت عن إظهار حزنه، وبالإضافة إلی ذلک فقد جاء فی أحد الأخبار التی تتحدّث عن المعاملة الحسنة من یزید تجاه مَن بقی حیّاً من عائلة الحسین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رجلاً کافراً بالله خیراً من یزید بن معاویة</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تأتی هذه العبارة فی وسط روایة إیجابیّة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تجعلها مثیرة للانتباه؛ إذ کان من السهل علی الطبری أن یترک هذه الروایة أو یقتطع منها کلمات سکینة، ولکنّه اختار ألّا 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أُرید هنا افتراض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حقّاً کفر یزید، ولکنّ الصورة غیر الواقعیة عن کون یزید مسلماً ورعاً صادقاً قد کشفتها کلمات سکینة بشکل واضح</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فإنّ نظرتی عن هذه التعابیر فی وصف الطبری لیزید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أنّ یزید أبدی حزنه علی 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مسحة من النفاق تبدو من خلال ترتیب </w:t>
      </w:r>
    </w:p>
    <w:p>
      <w:pPr>
        <w:pStyle w:val="BookText"/>
        <w:rPr/>
      </w:pPr>
      <w:r>
        <w:rPr>
          <w:rFonts w:ascii="IRNazanin" w:hAnsi="IRNazanin" w:eastAsia="IRNazanin"/>
          <w:color w:val="111111"/>
          <w:sz w:val="28"/>
          <w:sz w:val="28"/>
          <w:szCs w:val="28"/>
          <w:rtl w:val="true"/>
          <w:lang w:bidi="fa-IR"/>
        </w:rPr>
        <w:t>الطبری لهذه الأخبار</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من السهل علی یزید أن یکون محسناً مع عائلة الحسین بعد ما أصبح المُطالِبُ بالخلافة فی حیز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لم یضع الطبری الوضع السیاسی لیزید محلّ استفهامٍ أبداً، فقد کان صامتاً بالنسبة لهذا الأمر بصورةٍ لافتة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أنا، فقد أوّلت کلام الطبری علی أنه یعتبر یزیداً حاکماً شرعیّاً، ولو لم یکن حاکماً صالحاً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لمجموعة عمّال بنی أُمیّة، فیجب الحساب لاثنین من القادة المُعَدّین للطوارئ، والذین أُرسِلا لاعتراض الحسین، وهم الحُرّ بن یزید وعمر بن سعد، وکلٌّ منهما کان متردّداً فی الخروج ضدّ الحسین، وقد ناقشنا کراهة الحُرّ لذلک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عمر فکان قد تسلّم للتوّ منصباً لیصبح والیاً علی الریّ، عندما أمره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بقیادة الجیش ضدّ الحسین، وعندما تردّد فی ذلک هدّده عبیدالله بعدم تسلیمه ذلک المنصب، وعندها قرّر عمر إطاعة الأمر والخروج ضدّ الحسین، ومهما یکن فقد فعل ابنُ سعدٍ ذلک خلافاً لما نصحه به مَن کان حوله، فقد قال له ابن أُخته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أنشدُک الله یا خال، أن تسیرَ إلی الحسینِ فتأثم بربّک وتقطع رحمک، فواللهِ، لئنْ تخرجَ مِن دنیاک ومالِکَ وسلطانِ الأرضِ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لکَ مِن أنْ تلقی الله بدمِ الحسین</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قبل المعرکة کان عمر بن سعد مستعدّاً لقبول التسویّة التی عرضها علیه الحسین، ولکنّ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حرّضه الشمر بن ذی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کلَّ تلک التسویات، وفی النهایة نفّذ عمر بن سعد أوامر الوالی، وأمَرَ جنوده بقتل الحسین، وقطع رأسه والتمثیل بجثّته، وکان ابنُ سعدٍ مغتمّاً لذلک کثیراً، فعندما أوشک أن یُجهَز عل الحسین، کانت زینب أُخت الحسین تراقبه، وقد روت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فکأنّی أنظرُ إلی دموعِ عمر وهی تسیلُ علی خدّیهِ ولحیتهِ، وصرفَ بوجههِ عنّی</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أواخر روایة الطبری أراد عمر بن سعد تبرئة نفسه من قتل الحسین، حیث حاول أن یُثبت أنّه إنّما فعل ما فعل تبعاً لأوامر ابن زیاد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العکس من ذلک أدرک الحُرّ عظمة الموقف من أجل دینه وأُخراه، فعندما أوشکت الحرب أن تبدأ اعتزل جیش الکوفة والتحق بالحسین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أنّه أخذ یتحرّک قلیلاً قلیلاً؛ لیصل إلی موضع یستطیع فیه العدْوَ بجواده نحو مخیّم الحسین، سأله رجلٌ لمّا ارتاب من تقلّب أحواله، فأجاب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والله، أُخیّرُ نفسی بینَ الجَنّةِ والنار، وواللهِ، لا أختارُ علی الجنّةِ شیئاً ولو قُطّعتُ وحُرّقت</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وصل الحُرّ إلی الحسین، قال له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الحُرُّ کما سمّتْک أمُّک، أنتَ الحُرُّ إن شاءَ اللهُ فی </w:t>
      </w:r>
    </w:p>
    <w:p>
      <w:pPr>
        <w:pStyle w:val="BookText"/>
        <w:rPr/>
      </w:pPr>
      <w:r>
        <w:rPr>
          <w:rFonts w:ascii="IRNazanin" w:hAnsi="IRNazanin" w:eastAsia="IRNazanin"/>
          <w:color w:val="111111"/>
          <w:sz w:val="28"/>
          <w:sz w:val="28"/>
          <w:szCs w:val="28"/>
          <w:rtl w:val="true"/>
          <w:lang w:bidi="fa-IR"/>
        </w:rPr>
        <w:t>الدنیا والآخرة</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هی الحادثة الثانیة فی القصّة قد استُخدمت فیها التوریة حول اسم الحُرّ،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المعتمد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اسمُ الحُرّ وکلمة الحَرّ جنباً إلی جنب، فهناک ارتبط اسم الحُرّ بالموت الذی یمثّله الحَرّ والعطش، وفی الحالة الثانیة، استُعمل المعنی الحرفی لاسم الحُرّ، وبهذا تمّ تصویر الحُرّ علی أنّه الانتقال من حَرّ الموت إلی حُرّیة الحیاة مع الله فی الآخرة</w:t>
      </w:r>
      <w:r>
        <w:rPr>
          <w:rStyle w:val="FootnoteAnchor"/>
          <w:rtl w:val="true"/>
        </w:rPr>
        <w:footnoteReference w:id="434"/>
      </w:r>
      <w:r>
        <w:rPr>
          <w:rFonts w:ascii="IRNazanin" w:hAnsi="IRNazanin" w:eastAsia="IRNazanin"/>
          <w:color w:val="111111"/>
          <w:sz w:val="28"/>
          <w:sz w:val="28"/>
          <w:szCs w:val="28"/>
          <w:rtl w:val="true"/>
          <w:lang w:bidi="fa-IR"/>
        </w:rPr>
        <w:t>، ویمکن بیان هذا الانتقال من خلال المخطّط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lang w:bidi="ar-SA"/>
        </w:rPr>
        <w:t>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lang w:bidi="ar-SA"/>
        </w:rPr>
        <w:t>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w:t>
      </w:r>
    </w:p>
    <w:p>
      <w:pPr>
        <w:pStyle w:val="BookText"/>
        <w:rPr/>
      </w:pP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lang w:bidi="ar-SA"/>
        </w:rPr>
        <w:t>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حُرّیّة </w:t>
      </w:r>
      <w:r>
        <w:rPr>
          <w:rFonts w:eastAsia="Amiri" w:cs="Amiri" w:ascii="Amiri" w:hAnsi="Amiri"/>
          <w:color w:val="111111"/>
          <w:sz w:val="28"/>
          <w:szCs w:val="28"/>
          <w:lang w:bidi="ar-SA"/>
        </w:rPr>
        <w:t>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العاقبة غیر سارّةٍ لخصوم الحسین الذین لم یتوبوا، ویختتم الطبری الفصل الرئیسی فی روایته بخبرین حول الصوت الغریب الذی یُسمَع فی المدینة منشداً أبیاتاً من الشعر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القاتلونَ جهلاً حسینا</w:t>
      </w:r>
    </w:p>
    <w:p>
      <w:pPr>
        <w:pStyle w:val="BookText"/>
        <w:rPr/>
      </w:pPr>
      <w:r>
        <w:rPr>
          <w:rFonts w:ascii="Amiri" w:hAnsi="Amiri" w:eastAsia="Amiri" w:cs="Amiri"/>
          <w:color w:val="111111"/>
          <w:sz w:val="28"/>
          <w:sz w:val="28"/>
          <w:szCs w:val="28"/>
          <w:rtl w:val="true"/>
          <w:lang w:bidi="ar-SA"/>
        </w:rPr>
        <w:t>کلُّ أهلِ السماءِ یدعو علیکم</w:t>
      </w:r>
    </w:p>
    <w:p>
      <w:pPr>
        <w:pStyle w:val="BookText"/>
        <w:rPr/>
      </w:pPr>
      <w:r>
        <w:rPr>
          <w:rFonts w:ascii="Amiri" w:hAnsi="Amiri" w:eastAsia="Amiri" w:cs="Amiri"/>
          <w:color w:val="111111"/>
          <w:sz w:val="28"/>
          <w:sz w:val="28"/>
          <w:szCs w:val="28"/>
          <w:rtl w:val="true"/>
          <w:lang w:bidi="ar-SA"/>
        </w:rPr>
        <w:t xml:space="preserve">قد لُعِنتم علی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w:t>
      </w:r>
    </w:p>
    <w:p>
      <w:pPr>
        <w:pStyle w:val="BookText"/>
        <w:rPr/>
      </w:pPr>
      <w:r>
        <w:rPr>
          <w:rFonts w:ascii="IRNazanin" w:hAnsi="IRNazanin" w:eastAsia="IRNazanin"/>
          <w:color w:val="111111"/>
          <w:sz w:val="28"/>
          <w:sz w:val="28"/>
          <w:szCs w:val="28"/>
          <w:rtl w:val="true"/>
          <w:lang w:bidi="fa-IR"/>
        </w:rPr>
        <w:t>أبشروا بالعذابِ والتنکیلِ</w:t>
      </w:r>
    </w:p>
    <w:p>
      <w:pPr>
        <w:pStyle w:val="BookText"/>
        <w:rPr/>
      </w:pPr>
      <w:r>
        <w:rPr>
          <w:rFonts w:ascii="Amiri" w:hAnsi="Amiri" w:eastAsia="Amiri" w:cs="Amiri"/>
          <w:color w:val="111111"/>
          <w:sz w:val="28"/>
          <w:sz w:val="28"/>
          <w:szCs w:val="28"/>
          <w:rtl w:val="true"/>
          <w:lang w:bidi="ar-SA"/>
        </w:rPr>
        <w:t>من نبیٍّ ومرسَلٍ وقبیلِ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وموسی وصاحبِ الإنجیلِ </w:t>
      </w:r>
    </w:p>
    <w:p>
      <w:pPr>
        <w:pStyle w:val="BookText"/>
        <w:rPr/>
      </w:pPr>
      <w:r>
        <w:rPr>
          <w:rFonts w:ascii="IRNazanin" w:hAnsi="IRNazanin" w:eastAsia="IRNazanin"/>
          <w:color w:val="111111"/>
          <w:sz w:val="28"/>
          <w:sz w:val="28"/>
          <w:szCs w:val="28"/>
          <w:rtl w:val="true"/>
          <w:lang w:bidi="fa-IR"/>
        </w:rPr>
        <w:t>وبإعادة ترتیب الروایة، ووضع هذه الأخبار فی نهایة أحد الفصول المهمّة، یکون الطبری قد أضفی علیها أهمّیةً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وتجدُر الإشارة إلی أنّه ما کانت هذه الأخبار ستکون ضروریّةً إنْ کان الغرض الوحید للقصّة هو الإخبار عن حادثةٍ تاریخیّةٍ ما، ولکنّ غرض الطبری کان معنویّاً، وهذا الخبر جنباً إلی جنب مع الخبر الأخیر فی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سأعود إلیه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مدعوماً بالبنیة ککلٍّ یظهر لنا کثیراً من آرائه الشخصیّة حول المسألة،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أُولئک الذین اشترکوا فی قتل الحسین قد ارتکبوا جریمةً ضدّ الله وسیلقون العقاب علیها، أمّا الآن فلیس هناک شیء خاصّ حول هذا، فالرأی الذی یری أنّ 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سبط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فاجعةً وإثماً فی حقّ الله، کان مُجمَعاً علیه بین مؤرّخی الإسلام الأوائل</w:t>
      </w:r>
      <w:r>
        <w:rPr>
          <w:rStyle w:val="FootnoteAnchor"/>
          <w:rtl w:val="true"/>
        </w:rPr>
        <w:footnoteReference w:id="435"/>
      </w:r>
      <w:r>
        <w:rPr>
          <w:rFonts w:ascii="IRNazanin" w:hAnsi="IRNazanin" w:eastAsia="IRNazanin"/>
          <w:color w:val="111111"/>
          <w:sz w:val="28"/>
          <w:sz w:val="28"/>
          <w:szCs w:val="28"/>
          <w:rtl w:val="true"/>
          <w:lang w:bidi="fa-IR"/>
        </w:rPr>
        <w:t>، وحیث إنّ الآراء تختلف، فقد فعلوا ذلک أساساً لبیان من هو الذی یستحقّ اللوم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الطبری شدید الحرص فی حکمه،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افترضتُ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أنّه بیّن میوله فی هذه المسألة من خلال کتابه الذی تصرّف فی ترتیبه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المقارنة مع خصوم الحسین، وخصوصاً أهل الکوفة مع تقلّب مواقفهم نحوه، هناک أنصاره الذین ثبتوا معه، فقد کان فی هذه المجموعة أهل بیته وأنصاره الذین تبعوه من مکّة، وبعض الذین التحقوا به فی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وأبرزهم زهیر بن القین الذی مرّ بتحوّلٍ حَواریٍّ فی لقائه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الذین ترکوا الکوفة </w:t>
      </w:r>
    </w:p>
    <w:p>
      <w:pPr>
        <w:pStyle w:val="BookText"/>
        <w:rPr/>
      </w:pPr>
      <w:r>
        <w:rPr>
          <w:rFonts w:ascii="IRNazanin" w:hAnsi="IRNazanin" w:eastAsia="IRNazanin"/>
          <w:color w:val="111111"/>
          <w:sz w:val="28"/>
          <w:sz w:val="28"/>
          <w:szCs w:val="28"/>
          <w:rtl w:val="true"/>
          <w:lang w:bidi="fa-IR"/>
        </w:rPr>
        <w:t>لیلتحقوا به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الذین ترکوا الکوفة کان أُولئک الرجال الأربعة الذین التحقوا به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أسماء قِلّة من الرجال الذین التحقوا بمسلم بن عقیل فی الکوفة، ومن ثَّ قاتلوا مع الحسین فی أرض المعرکة، وإنْ لم یُذکر شیء عن زمان التحاقهم به</w:t>
      </w:r>
      <w:r>
        <w:rPr>
          <w:rStyle w:val="FootnoteAnchor"/>
          <w:rtl w:val="true"/>
        </w:rPr>
        <w:footnoteReference w:id="437"/>
      </w:r>
      <w:r>
        <w:rPr>
          <w:rFonts w:ascii="IRNazanin" w:hAnsi="IRNazanin" w:eastAsia="IRNazanin"/>
          <w:color w:val="111111"/>
          <w:sz w:val="28"/>
          <w:sz w:val="28"/>
          <w:szCs w:val="28"/>
          <w:rtl w:val="true"/>
          <w:lang w:bidi="fa-IR"/>
        </w:rPr>
        <w:t xml:space="preserve">، ولا تختلف صورة أنصار الحسین کثیراً عن تلک التی جاءت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وُصفوا عموماً بالولاء للحسین ورسالته حتّی الموت، وبالشجاعة والتقوی، وبأنّهم موعودون بالجنّة بعد الموت</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هذا التقییم للخصائص الأساسیّة فی القصّة یمکن تمییز ثلاثة 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الأکثریّة من أتباع بنی أُمیّة وهو علی درجاتٍ مختلفة </w:t>
      </w:r>
      <w:bookmarkStart w:id="211" w:name="pg5097_58443"/>
    </w:p>
    <w:p>
      <w:pPr>
        <w:pStyle w:val="BookText"/>
        <w:rPr/>
      </w:pPr>
      <w:bookmarkEnd w:id="211"/>
      <w:r>
        <w:rPr>
          <w:rFonts w:ascii="IRNazanin" w:hAnsi="IRNazanin" w:eastAsia="IRNazanin"/>
          <w:color w:val="111111"/>
          <w:sz w:val="28"/>
          <w:sz w:val="28"/>
          <w:szCs w:val="28"/>
          <w:rtl w:val="true"/>
          <w:lang w:bidi="fa-IR"/>
        </w:rPr>
        <w:t xml:space="preserve">سلبیّاً إمّا تجاه الحسین وإمّا تجاه رسالته، وموقف أنصاره وهو غایة الولاء المطلق، وأخیراً مواقف أهل الکوفة، وزهیر بن القین والقائدَیْن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جیش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تغیّرت إلی هذه الجهة أو تلک أثناء القصّة، وقبل النظر فی الأفکار البنیویّة لهذه المواقف، علیَّ أن أُناقش اثنین من خصائص شخصیة الحسین ودوره فی القصّة</w:t>
      </w:r>
      <w:r>
        <w:rPr>
          <w:rFonts w:eastAsia="IRNazanin" w:cs="IRNazanin"/>
          <w:color w:val="111111"/>
          <w:sz w:val="28"/>
          <w:szCs w:val="28"/>
          <w:rtl w:val="true"/>
          <w:lang w:bidi="fa-IR"/>
        </w:rPr>
        <w:t>:</w:t>
      </w:r>
    </w:p>
    <w:p>
      <w:pPr>
        <w:pStyle w:val="Heading6"/>
        <w:numPr>
          <w:ilvl w:val="5"/>
          <w:numId w:val="1"/>
        </w:numPr>
        <w:rPr/>
      </w:pPr>
      <w:bookmarkStart w:id="212" w:name="__RefHeading___Toc1259940_774463916"/>
      <w:bookmarkStart w:id="213" w:name="_Toc74"/>
      <w:bookmarkEnd w:id="212"/>
      <w:r>
        <w:rPr>
          <w:rtl w:val="true"/>
        </w:rPr>
        <w:t>[</w:t>
      </w:r>
      <w:r>
        <w:rPr>
          <w:rtl w:val="true"/>
        </w:rPr>
        <w:t>الخصیصة الأُولی</w:t>
      </w:r>
      <w:r>
        <w:rPr>
          <w:rtl w:val="true"/>
        </w:rPr>
        <w:t xml:space="preserve">]: </w:t>
      </w:r>
      <w:r>
        <w:rPr>
          <w:rtl w:val="true"/>
        </w:rPr>
        <w:t xml:space="preserve">ما وراء </w:t>
      </w:r>
      <w:r>
        <w:rPr>
          <w:rtl w:val="true"/>
        </w:rPr>
        <w:t>(</w:t>
      </w:r>
      <w:r>
        <w:rPr>
          <w:rtl w:val="true"/>
        </w:rPr>
        <w:t>النصّ المعتمد</w:t>
      </w:r>
      <w:r>
        <w:rPr>
          <w:rtl w:val="true"/>
        </w:rPr>
        <w:t xml:space="preserve">): </w:t>
      </w:r>
      <w:r>
        <w:rPr>
          <w:rtl w:val="true"/>
        </w:rPr>
        <w:t>صورة الحسین ودوره</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الخصیصة الأُولی</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الحسین ودوره</w:t>
      </w:r>
    </w:p>
    <w:p>
      <w:pPr>
        <w:pStyle w:val="BookText"/>
        <w:rPr/>
      </w:pPr>
      <w:r>
        <w:rPr>
          <w:rFonts w:ascii="IRNazanin" w:hAnsi="IRNazanin" w:eastAsia="IRNazanin"/>
          <w:color w:val="111111"/>
          <w:sz w:val="28"/>
          <w:sz w:val="28"/>
          <w:szCs w:val="28"/>
          <w:rtl w:val="true"/>
          <w:lang w:bidi="fa-IR"/>
        </w:rPr>
        <w:t xml:space="preserve">فی البحث السابق تعاملت مع الأشخاص الذین کانوا حول الحسین، وممّا لا شکّ فیه أنّ الشخصیّة المرکزیّة فی القصّة هو الحسین نفسه، لقد قمت بتحلیل دور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فی بقیّة القصّة یأتی مقامه الخاصّ ودوره بتفصیلٍ أوسع بمرات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الجزء الذی یسبق النص المعتمد، اعتُبر الحسینُ شخصیّةً سیاسیّةً بارزة، فقد کان الخلیفة الجدید متلهّفاً لأخذ البیعة منه، ومن جهةٍ أُخری کان المنافس الحقیقی الوحید للحسین علی السلطة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الزبیر قد أدرک أنّه ما دام الحسین موجوداً فلن یستطیع هو الحصول علی السیادة السیاسیّة لنفسه أبداً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دعوی الحسین للسیادة السیاسیّة مبنیّة علی أساس سمو نسبه وفضائله الدینیّة، والعلاقة بین رمز السلطة ورمز التقوی ورمز النسب توجد فی أماکن عدیدة، ولکنّها تظهر بصورةٍ واضحةٍ أکثر من أیِّ مکانٍ آخر، من </w:t>
      </w:r>
    </w:p>
    <w:p>
      <w:pPr>
        <w:pStyle w:val="BookText"/>
        <w:rPr/>
      </w:pPr>
      <w:r>
        <w:rPr>
          <w:rFonts w:ascii="IRNazanin" w:hAnsi="IRNazanin" w:eastAsia="IRNazanin"/>
          <w:color w:val="111111"/>
          <w:sz w:val="28"/>
          <w:sz w:val="28"/>
          <w:szCs w:val="28"/>
          <w:rtl w:val="true"/>
          <w:lang w:bidi="fa-IR"/>
        </w:rPr>
        <w:t>خلال الرسائل المتبادلة بین الحسین وبین أهل الکوفة والبصرة قبل حرکته نحو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إحدی الرسائل التی بعثها إلیه أهل الکوفة یدعونه فیها للقدوم إلیهم مایلی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علینا إمامٌ فأَقبِلْ لعلَّ الله أنْ یجمعَنا بکَ علی الحقّ</w:t>
      </w:r>
      <w:r>
        <w:rPr>
          <w:rFonts w:eastAsia="IRNazanin" w:cs="IRNazanin"/>
          <w:color w:val="111111"/>
          <w:sz w:val="28"/>
          <w:szCs w:val="28"/>
          <w:rtl w:val="true"/>
          <w:lang w:bidi="fa-IR"/>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ردّه علیهم کتب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ومقالة جُلّکم إنّهُ لیسَ علینا إمامٌ فأقبِلْ لعلّ الله أن یجمعَنا بکَ علی الهدی والحقّ</w:t>
      </w:r>
      <w:r>
        <w:rPr>
          <w:rFonts w:eastAsia="Amiri" w:cs="Amiri" w:ascii="Amiri" w:hAnsi="Amiri"/>
          <w:color w:val="111111"/>
          <w:sz w:val="28"/>
          <w:szCs w:val="28"/>
          <w:rtl w:val="true"/>
          <w:lang w:bidi="ar-SA"/>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جاءت الإشارة إلی نفس الرسالة فی خطبة الحسین فی ذی حُسُم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واستعمال هذه الکلمات یُذَکّر بالأمثلة الکثیرة فی القرآن، حیث استُخدم هذان المفهومان منفصلین عن بعضهما أو معاً کما فی الآیات الثلاث التی تتحدّث عن إرسال الله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بِالْهُدَی وَدِینِ الْحَقِّ</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xml:space="preserve">فی القرآن، وفی تفسیر الطبری تشیر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إلی الوحی الإلهی، وغالباً ما تأتی مرادفةً للقرآن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یُشار إلی الهدی، الذی یذهب إلی ما وراء القرآن، غیر أنّه بالتأکید لیس ضدّه، کما جاء فی العبارات الأخیرة من رسالة أهل الکوفة، حیث یُنعَت الحسین بأنّه الإمام الذی یهدی، کما بیّنّا فی التحلیل الوارد فی القسم الثالث، فنادراً ما یکون فی هذا إشارةً إلی فکرة الشیعة حول الإمام المعصوم وهدایته المبنیة علی أساس العلم </w:t>
      </w:r>
    </w:p>
    <w:p>
      <w:pPr>
        <w:pStyle w:val="BookText"/>
        <w:rPr/>
      </w:pPr>
      <w:r>
        <w:rPr>
          <w:rFonts w:ascii="IRNazanin" w:hAnsi="IRNazanin" w:eastAsia="IRNazanin"/>
          <w:color w:val="111111"/>
          <w:sz w:val="28"/>
          <w:sz w:val="28"/>
          <w:szCs w:val="28"/>
          <w:rtl w:val="true"/>
          <w:lang w:bidi="fa-IR"/>
        </w:rPr>
        <w:t>اللدُنی، بل یجب أن تُفهم عموماً بأنّها الهدایة التی یمکن أن یعطیها الإمام بعنوانه الفقیه الأعلم، تلک الهدایة التی تؤدّی إلی الحقّ، وهذه الکلمة تأتی غالباً لتکون مرادفةً للإسلام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عباراته الأخیرة من رسالته إلی أهل الکوفة، یذکر الحسین واجبات الإمام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الإمام إلاّ العاملُ بالکتابِ، والآخذُ بالقسطِ، والدائنُ بالحقِّ، والحابسُ نفسَهُ علی ذاتِ الله</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وتشیر هذه العبارة ضمنیّاً إلی عجز السلطة القائمة عن تحقیق المتطلّبات الأساسیّة للحکومة الإسلامیّة، وکذا تشیر إلی قدرة الحسین علی أن یأخذ علی عاتقه قیادة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رسالةٍ أُخری کتبها الحسین إلی أشراف البصرة تأتی أتمّ حجّة علی حقّ الحسین فی الحکم خلال القصّة بأکملها؛ لذا رأیتُ أن أستشهد بالرسالة بأکملها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اصطفی محمّداً علی خلقه، وأکرمَهُ بنبوّته، واختارَهُ لرسالتِه، ثمّ قبضَهُ الله إلیه، وقد نصحَ لعبادِهِ وبلّغَ ما أُرسِلَ بهِ، وکنّا أهلَه وأولیاءَه وأوصیاءَه وورثتَه، وأحقَّ الناسِ بمقامِه فی الناسِ، فاستأثرَ علینا قومُنا بذلک، فرَضِینا وکرِهنا الفرقةَ، وأحببنا العافیةَ، ونحنُ نعلمُ أنّا أحقُّ بذلکَ الحقّ المستحقّ علینا ممَّن تولاّه، وقد </w:t>
      </w:r>
    </w:p>
    <w:p>
      <w:pPr>
        <w:pStyle w:val="BookText"/>
        <w:rPr/>
      </w:pPr>
      <w:r>
        <w:rPr>
          <w:rFonts w:ascii="Amiri" w:hAnsi="Amiri" w:eastAsia="Amiri" w:cs="Amiri"/>
          <w:color w:val="111111"/>
          <w:sz w:val="28"/>
          <w:sz w:val="28"/>
          <w:szCs w:val="28"/>
          <w:rtl w:val="true"/>
          <w:lang w:bidi="ar-SA"/>
        </w:rPr>
        <w:t>أحسنوا وأصلحوا وتحرّوا الحقّ، فّرَحِمَهم الله وغفرَ لنا ولهم، وقد بعثتُ رسولی إلیکم بهذا الکتابِ، وأنا أدعوکُم إلی کتابِ الله وسُنّةِ نبیّهِ، فإنّ السُنّةّ قد أُمیتت وإنّ البِدعةَ قد أُحییت، وإن تسمعوا قولی وتطیعوا أمری أهدِکُم سبیلَ الرشادِ، والسلامُ علیکم ورحمة الله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الرسالة یوجد نفس البنیة للهدایة الإلهیّة التی تمّ تعریفها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تأتی رموز النسب السلطة التقوی متشابکة جدّاً فی علاقاتها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وتمثّل هذه الرسالة محاولةً أُخری لجعل العلاقة المجازیّة بین الرموز علاقةً کنائیّة، وهذه العلاقة الخاصّة بین الرموز، والتی تبدو لکثیرٍ من الناس بعیدة الاحتمال تصبح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الجزء الذی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القصّة هناک صفات مشرّفة تُنسب إلی الحسین من قِبَل أصحابه وأعدائه ومن قِبَله هو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ستکفینا بعض الأمثلة القلیلة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أصحابه فإنّ الله قد طهّره وهداه؛ لأنّه من أهل بیت النبیّ</w:t>
      </w:r>
      <w:r>
        <w:rPr>
          <w:rStyle w:val="FootnoteAnchor"/>
          <w:rtl w:val="true"/>
        </w:rPr>
        <w:footnoteReference w:id="44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وإنّهم یرون ذلک واجباً تجاهه وتجاه الله، وإنّ الموت من أجله لنعمةٌ حقّاً</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هادیاً مهدیّا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الهادی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یُستخدم أیضاً لخلفاء بنی أُمیّة وبنی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کرون وهِنْدْز، خلیفة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Crone And Hinds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God’s Caliph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شارون، التطوّر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Sharon</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Development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ملاحظة</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وکان الأعداء یخافون قتله، حیث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انتهی إلیهِ رجلٌ مِن الناسِ انصرفَ عنهَ، وکرِهَ أنْ یتولّی قتلَهُ وعظیمَ إثمهِ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یتحدّث الحسین عن نفسه، یتقصّی نسبه وصولاً إلی النبیّ محمّد، ویستشهد بالحدیث النبوی عن أخیه وعنه بأنّهما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 شباب أهل الجنّة</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هناک بعض الدعاوی الصریحة من الحسین حول السلطة السیاسیّة، ویبدو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عندما انقلب أهل الکوفة علیه، وکان یعوزه الأنصار لتحقیق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الاحتجاج بالنسب؛ لإثبات حرمته أکثر من حقّه فی السلطة السیاسیّة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فی الحقیقة، إنّ فکرة حُرمة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نسبه مع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غایة الأهمّیة فی القصة، وبقدر ما أتاحت لی ملاحظاتی،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والتی تتضمّن معنی القدسیّة وعدم جواز الانتهاک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ثلاث مرّات خلال القصّة فی الإشارة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وإلی الحسین خصوصاً، ومن أمثلة ذلک هو کلام الحسین فی خطبته الأخیرة أمام أهل الکوفة قبل المعرکة بقلیل،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فانسبونی فانظروا مَن أنا، ثمّ ارجعوا إلی أنفسکم وعاتبوها، فانظروا هل یحلُّ لکم قتلی وانتهاکُ 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ابن بنت نبیِّکم، وابن وصیِّه، وابنِ عمِّه، وأوّل المؤمنین بالله، والمصدِّق لرسوله بما جاءَ به من عند ربِّه؟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حالات کثیرة أُخری لم تأتِ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المعنی موجود بوضوح</w:t>
      </w:r>
      <w:r>
        <w:rPr>
          <w:rStyle w:val="FootnoteAnchor"/>
          <w:rtl w:val="true"/>
        </w:rPr>
        <w:footnoteReference w:id="454"/>
      </w:r>
      <w:r>
        <w:rPr>
          <w:rFonts w:ascii="IRNazanin" w:hAnsi="IRNazanin" w:eastAsia="IRNazanin"/>
          <w:color w:val="111111"/>
          <w:sz w:val="28"/>
          <w:sz w:val="28"/>
          <w:szCs w:val="28"/>
          <w:rtl w:val="true"/>
          <w:lang w:bidi="fa-IR"/>
        </w:rPr>
        <w:t>، ویبدو أنّ اهتمام الحُرّ بالحسین کان فقط بسبب نسبه</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تحلیل القسم الخامس والثامن والتاسع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 انصرافه إلی الحسین عنّف أهل الکوفة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وحلأتموه ونساءَه وصبیتَه وأصحابَه عن ماءِ الفراتِ </w:t>
      </w:r>
    </w:p>
    <w:p>
      <w:pPr>
        <w:pStyle w:val="BookText"/>
        <w:rPr/>
      </w:pPr>
      <w:r>
        <w:rPr>
          <w:rFonts w:ascii="Amiri" w:hAnsi="Amiri" w:eastAsia="Amiri" w:cs="Amiri"/>
          <w:color w:val="111111"/>
          <w:sz w:val="28"/>
          <w:sz w:val="28"/>
          <w:szCs w:val="28"/>
          <w:rtl w:val="true"/>
          <w:lang w:bidi="ar-SA"/>
        </w:rPr>
        <w:t>الجاری، الذی یشربُه الیهودیُّ والمجوسیُّ والنصرانیُّ، وتمرغُ فیهِ خنازیرُ السوادِ وکلابُه، وها هم أولاءِ قد صرعَهم العطشُ، بئسما خَلفتم محمّداً فی ذریّتِهِ، لا سقاکُمُ الله یومَ الظمأ إنْ لم تتوبوا وتنزعوا عمّا أنتم علیهِ، من یومِکم هذا فی ساعتِکم هذهِ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مثال واحدٌ فقط من بین أمثلةٍ کثیرة فی النصّ تدلُّ ضمناً علی حرمة الحسین، ومن الملفت أنّ هناک عدداً من أنصار بنی أُمیّة أنفسهم کانوا یعتقدون بحرمة الحسین کما أورد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سبق قد ناقشت المواقف المتناقضة للخلیفة یزید بن معاویة، والقائد الأعلی لجیش الکوفة عمر بن سعد، وتلک المشاعر التی أظهرها والی المدینة الولید بن عتبة بن أبی سفیان عندما أخفق فی أخذ البیعة من الحسین للخلیفة الجدید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المثال الآخر، فهو ذلک المقطع من الروایة الذی یذکر أنّ الرجال فی جیش الکوفة کانوا یهابون قتل الحسین عند نهایة المعرکة فی کربلاء، ویذکر الطبری أنّه کان هناک تأخیر کثیر فی المعرکة، حیث ینقل الخبر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الحسینُ طویلاً من النهارِ، کلّما انتهی إلیهِ رجلٌ من الناسِ انصرفَ عنهُ وکرِهَ أن یتولّی قتلَه وعظیمَ إثمِهِ علیه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وهکذا فإنّ انتهاک حرمة الحسین یُعَدّ إثماً عظیماً فی حقّ الله، وتتشکّل فکرة حرمة الحسین من خلال التقاء رمز التقوی ورمز النسب، وذلک الالتقاء الذی یبدو أنّ معظم الناس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الأصحاب والأعداء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جمیع تلک الصفات النبیلة التی وُصف بها الحسین، فقد اعتبر هو وأصحابه أن نصرته وتقدیم العون له من الواجبات</w:t>
      </w:r>
      <w:r>
        <w:rPr>
          <w:rStyle w:val="FootnoteAnchor"/>
          <w:rtl w:val="true"/>
        </w:rPr>
        <w:footnoteReference w:id="459"/>
      </w:r>
      <w:r>
        <w:rPr>
          <w:rFonts w:ascii="IRNazanin" w:hAnsi="IRNazanin" w:eastAsia="IRNazanin"/>
          <w:color w:val="111111"/>
          <w:sz w:val="28"/>
          <w:sz w:val="28"/>
          <w:szCs w:val="28"/>
          <w:rtl w:val="true"/>
          <w:lang w:bidi="fa-IR"/>
        </w:rPr>
        <w:t xml:space="preserve">، وفی جمیع الأمثلة کان لهذه النصرة مسحة سیاسیّة؛ فنصرة الحسین تعنی إعانته علی تحقیق هدفه السیاسی، وکما بیّنتُ فیما سبق، فإنّ هناک مدوَّنات قلیلة فقط حول دعاوی سیاسیّة من الحسین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مع الجزء الذی یسبقه، ومن الجهة الأُخری فإنّ التلمیح إلی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أنّها لیست قلیلة فی القسم الأوّل من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یزداد فی النصف الثانی من أحداث کربلاء</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هاتان الدعوتان معاً؛ حیث إنّ واحدة من أقوی حجج الحسین حول السلطة السیاسیّة سلستها التی تنطلق من الله وتنتقل عبر النبیّ محمّد إلی سبطه الحسین؛ وبهذا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کنقطة التقاطع بین خطّین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یمثّل الدعاوی السیاسیّة، والآخر یمثّل دعاوی الحرمة، کما فی 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المخطّط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توزیع الدعاوی بالسلطة السیاسیّة للحسین، مع الإشارات إلی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للحسین منزلة خاصّة فی علاقته مع الله، یؤیّدها عدد من المعجزات ذکرها الطبری، فقد رأی الحسین التنبؤ بموته فی المنام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الأُولی یری رجلاً علی جوادٍ ینعی له نفسه، وفی الثانیة یقول له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قادمٌ إلینا</w:t>
      </w:r>
      <w:r>
        <w:rPr>
          <w:rFonts w:eastAsia="IRNazanin" w:cs="IRNazanin"/>
          <w:color w:val="111111"/>
          <w:sz w:val="28"/>
          <w:szCs w:val="28"/>
          <w:rtl w:val="true"/>
          <w:lang w:bidi="fa-IR"/>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هذا لیس غریباً جدّاً، إلّا أنّ الرؤیا التی یظهر فیها النبیّ یجب أن تُعتبر نعمةً خاصّة، تُمنح فقط لأُولئک الذین هم فی أعلی درجات التقوی</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الأمثلة الثلاثة التی یلعن فیها الحسین جیش العدو، فهی أکثر أهمّیةً ممّا سواها، ففی الحالة الأُولی یهزأ أحد الرجال بالحسین؛ لعدم استطاعته جلب الماء، </w:t>
      </w:r>
    </w:p>
    <w:p>
      <w:pPr>
        <w:pStyle w:val="BookText"/>
        <w:rPr/>
      </w:pPr>
      <w:r>
        <w:rPr>
          <w:rFonts w:ascii="IRNazanin" w:hAnsi="IRNazanin" w:eastAsia="IRNazanin"/>
          <w:color w:val="111111"/>
          <w:sz w:val="28"/>
          <w:sz w:val="28"/>
          <w:szCs w:val="28"/>
          <w:rtl w:val="true"/>
          <w:lang w:bidi="fa-IR"/>
        </w:rPr>
        <w:t>وفی الحالة الأخیرة یمنعه رجلٌ آخر عندما یحاول الوصول إلی النهر لجلب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الحالتین؛ یلعن الحسین الرجلین، وبالنتیجة یصیبهما الله بظمأٍ لا یُصبَر علیه إلی آخر ما بقی من حیاتهما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8001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46"/>
                        <a:stretch/>
                      </pic:blipFill>
                      <pic:spPr>
                        <a:xfrm>
                          <a:off x="0" y="0"/>
                          <a:ext cx="5334120" cy="800280"/>
                        </a:xfrm>
                        <a:prstGeom prst="rect">
                          <a:avLst/>
                        </a:prstGeom>
                        <a:ln w="0">
                          <a:noFill/>
                        </a:ln>
                      </pic:spPr>
                    </pic:pic>
                  </a:graphicData>
                </a:graphic>
              </wp:inline>
            </w:drawing>
          </mc:Choice>
          <mc:Fallback>
            <w:pict>
              <v:shape id="shape_0" stroked="f" o:allowincell="f" style="position:absolute;margin-left:0pt;margin-top:-63.05pt;width:419.95pt;height:62.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فی الحالة الثانیة یستهزأ أحدهم بالحسین بأنّه سیذهب إلی جهنّم، عندها یلعنه الحسین فسقط الرجل من علی فرسه، ویبقی معلّقاً من إحدی قدمیه فی الرکاب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إحدی نسخ هذه القصّة، یقول الطبری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ونفرَ الفرسُ، فأخذ یمرُّ بهِ فیضرب برأسِه کلَّ حجرٍ وکلَّ شجرةٍ حتی مات</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ومسألة نقل الطبری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الخبر الأخیر فی ثلاث روایات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دلالةٌ علی اعتقاده أنّ الحسین کان شخصیّةً استثنائیّةً إلی حدٍّ بعید، وسأعود إلی هذه المسألة فی بحثٍ لاحق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أشرت من قبل، فإنّ مسألة انقسام أُمّة المسلمین تبدو من کبری القضایا التی تناولها المؤرِّخون المسلمون الأوائل، ولعلّها المسألة التی أطلقت العنان لکتابة التاریخ الإسلامی، وهی أیضاً من القضایا الأساسیّة التی تعامل معها الطبری فی روایته لأحداث کربلاء، فإنّ المعضلة التی کان علی المؤرِّخین التعامل معها عند التأمّل فی أحداث کربلاء هی أنّ سبط النبیّ محمّد الذی یتصف بجمیع الصفات السامیة هو الذی من أجله انقسمت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إحدی وجهات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الشخص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الفرقة بثورته ضدّ الحکم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ذلک الحکم </w:t>
      </w:r>
      <w:bookmarkStart w:id="214" w:name="pg5097_58453"/>
    </w:p>
    <w:p>
      <w:pPr>
        <w:pStyle w:val="BookText"/>
        <w:rPr/>
      </w:pPr>
      <w:bookmarkEnd w:id="2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1259942_774463916"/>
      <w:bookmarkStart w:id="216" w:name="_Toc75"/>
      <w:bookmarkEnd w:id="215"/>
      <w:r>
        <w:rPr>
          <w:rtl w:val="true"/>
        </w:rPr>
        <w:t>[</w:t>
      </w:r>
      <w:r>
        <w:rPr>
          <w:rtl w:val="true"/>
        </w:rPr>
        <w:t>الخصیصة الثانیة</w:t>
      </w:r>
      <w:r>
        <w:rPr>
          <w:rtl w:val="true"/>
        </w:rPr>
        <w:t xml:space="preserve">]: </w:t>
      </w:r>
      <w:r>
        <w:rPr>
          <w:rtl w:val="true"/>
        </w:rPr>
        <w:t>ماوراء النص المعتمد الماء والدم</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الخصیصة الثانیة</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النص المعتمد الماء والدم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رأینا فیما سبق، فإنّ مفهوم الحیاة ومفهوم الموت بمعنییهما المادّی والروحی کانا بمنتهی الأهمّیة والحسم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کان الماء واحداً من الرموز المحوریّة للحیاة فی ذلک الجزء من القصّة، ولا یمکن لأحدٍ قد قرأ أحداث کربلاء فی نسخة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أیّة نسخةٍ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ینکرَ أنّ الماء کان واحداً من المواضیع المحوریّة طوال القصّة، وفی کلِّ مکانٍ تقریباً کانت له علاقة بالحیاة والموت، والحادثة الأُولی التی أصبح فیها الماء مهمّاً هو الخبر الذی یتحدّث عن ابن عمّ الحسین ورسوله إلی الکوفة مسلم بن عقیل، الذی تاه فی الصحراء فی طریقه إلی الکوفة، فقد مات دلیله من العطش ونجا هو بشقّ الأنفس</w:t>
      </w:r>
      <w:r>
        <w:rPr>
          <w:rStyle w:val="FootnoteAnchor"/>
          <w:rtl w:val="true"/>
        </w:rPr>
        <w:footnoteReference w:id="465"/>
      </w:r>
      <w:r>
        <w:rPr>
          <w:rFonts w:ascii="IRNazanin" w:hAnsi="IRNazanin" w:eastAsia="IRNazanin"/>
          <w:color w:val="111111"/>
          <w:sz w:val="28"/>
          <w:sz w:val="28"/>
          <w:szCs w:val="28"/>
          <w:rtl w:val="true"/>
          <w:lang w:bidi="fa-IR"/>
        </w:rPr>
        <w:t xml:space="preserve">، ومن خلال هذه الحادثة تظهر العلاقة بین </w:t>
      </w:r>
    </w:p>
    <w:p>
      <w:pPr>
        <w:pStyle w:val="BookText"/>
        <w:rPr/>
      </w:pPr>
      <w:r>
        <w:rPr>
          <w:rFonts w:ascii="IRNazanin" w:hAnsi="IRNazanin" w:eastAsia="IRNazanin"/>
          <w:color w:val="111111"/>
          <w:sz w:val="28"/>
          <w:sz w:val="28"/>
          <w:szCs w:val="28"/>
          <w:rtl w:val="true"/>
          <w:lang w:bidi="fa-IR"/>
        </w:rPr>
        <w:t>الماء والحیاة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یقول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 تسلّم رسالةً من عبیدالله بن زیاد، یأمره فیها بإیقاف الحسین فی مکانٍ مکشوف، حیث لا یمکنه الدفاع عن نفسه أو الوصول إلی الماء</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تلک بدایة الیأس للحسین وأصحابه حیث مُنع عنهم الماء، وبدأ الظمأ یأخذ منهم مأخذه حتّی نهایة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وأحداث کثیرة وردت فی بقیّة القصّة لها علاقة بالنزاع علی الماء ونتائجه، ففی حادثة مشهورة أرسل الحسین مجموعةً صغیرة بقیادة أخیه العبّاس؛ لاختراق خطوط العدوّ والوصول إلی الماء لملء القِرَب، ولکنّ العدو حاول منعهم</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أهل البیت وأنصارهم من الحصول علی الماء یُعدّ عملاً منکراً وفی منتهی الفظاعة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قبل صفحات أنّ الحسین لعن رجالاً کانوا قد سخروا منه لعدم حصوله علی الماء، أو أُولئک الذین منعوه من الوصول إلی الماء، وفیما یلی واحد من تلک الأحداث</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ونازلَه عبدُ الله بن أبی حُصین الأزدی وعداده فی بجیلة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ألا تنظر إلی الماء کأنّه کبدُ السماء؟ واللهِ لا تذوقُ منه قطرةً حتّی تموت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لَعِدتُه بعدَ ذلک فی مرضِه، فوالله الذی لا إلهَ إلّا هو، لقد رأیتُه یشربُ حتّی یبغر، ثمّ یقیء، ثمّ یعودُ فیشرب حتّی یبغر فما یروی، فما زالَ ذلک دأبه حتّی لفظَ غصّتَه، یعنی نفسَه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والغرض بکلِّ وضوحٍ من هذه الحادثة هو أنّ الله یتعاطف مع الحسین، ویعاقب أُولئک الذین منعوا الماء عنه، بالإضافة إلی ذلک وکما ذکرت، أنّ الحر عندما ترک أهل الکوفة والتحق بالحسین عنّفهم بشدّة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واحداً منهم قبل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منعهم الماء عن الحسین وأصحابه</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وزبدة کلام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فعلهم کان قبیحاً بغیضاً، فإنّ الکفّار والخنازیر والکلاب تشرب من ماء ذلک النهر ویُمنع عنه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الماء هذا واحدٌ من أفعال الحقد ویقابله ذرف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العاطفة، عند البکاء علی الحسین وأصحابه الأوفیاء ونهایتهم القاسیة، وکنت قد ذکرت أنّه عندما سمع الحسین بنهایة مبعوثه قیس بن مسهر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ترقرقتْ عینا حسینٍ ولم یملکْ دمعَه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 بکی أناسٌ کثیرون علی مصیر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نفسه عندما أُلقی القبض علیه بکی علی الحسین وأهل بیته</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ترک الحسین مکّة متّجهاً إلی الکوفة، سمع أخوه محمّد بن الحنفیّة بخبر الرحیل، وهو یتوضّأ فی 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حتّی سمعتُ وَکْفَ دموعِهِ فی الطست</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بعد وأثناء المعرکة بکی اثنان من أتباع الحسین الصغار؛ لأنّهما لم یستطیعا الدفاع عنه کما ینبغی</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قائد جیش بنی أُمیّة عمر بن سعد عندما دنا مقتل الحسین بکی، حتّی أنّ الراوی کان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 عمر، وهی تسیلُ علی خدّیهِ ولحیتِه</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مقتله أُذرِفت دموع کثیرة علیه، حتّی من الخلیفة یزید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ینطبعُ فی الذهن من تعاطف الله مع الحسین تُعزِّزه قصیدة عبیدالله بن الحُرّ الجعفی، والتی تستخلص القصّة بأکملها، إذ یلتاع ابن الحُرّ فی هذه القصیدة بشدّة؛ لأنّه لم ینصر الحسین بن فاطمة وسبط النبیّ، ویدافع عنه أمام جیش والی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یلی بیتان من القصیدة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سقی الله أرواحَ الذین تأزّروا وقفتُ</w:t>
      </w:r>
    </w:p>
    <w:p>
      <w:pPr>
        <w:pStyle w:val="BookText"/>
        <w:rPr/>
      </w:pPr>
      <w:r>
        <w:rPr>
          <w:rFonts w:ascii="Amiri" w:hAnsi="Amiri" w:eastAsia="Amiri" w:cs="Amiri"/>
          <w:color w:val="111111"/>
          <w:sz w:val="28"/>
          <w:sz w:val="28"/>
          <w:szCs w:val="28"/>
          <w:rtl w:val="true"/>
          <w:lang w:bidi="ar-SA"/>
        </w:rPr>
        <w:t>علی نصرهِ سقیاً من الغیثِ دائمة</w:t>
      </w:r>
    </w:p>
    <w:p>
      <w:pPr>
        <w:pStyle w:val="BookText"/>
        <w:rPr/>
      </w:pPr>
      <w:r>
        <w:rPr>
          <w:rFonts w:ascii="IRNazanin" w:hAnsi="IRNazanin" w:eastAsia="IRNazanin"/>
          <w:color w:val="111111"/>
          <w:sz w:val="28"/>
          <w:sz w:val="28"/>
          <w:szCs w:val="28"/>
          <w:rtl w:val="true"/>
          <w:lang w:bidi="fa-IR"/>
        </w:rPr>
        <w:t>علی أجداثِهم ومجالهم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فکادَ الحشا ینفضُّ والعینُ ساجمة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الموازاة بین المطر والدموع فی هذین البیتین واضحة، وتظهر کنایةً عامّة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المطر هو دموع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تشیر القصیدة إلی العلاقة بین الماء والدموع، وتجعلنی واثقاً أنّ هذا التضادّ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ذرف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جزءٌ من بنیة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منع الماء هو تعبیر عن الرغبة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حقّاً یفضی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ذرف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هیأة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تعبیر عن لوعة الموت وابتغاء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ذرف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p>
    <w:p>
      <w:pPr>
        <w:pStyle w:val="BookText"/>
        <w:rPr/>
      </w:pPr>
      <w:r>
        <w:rPr>
          <w:rFonts w:ascii="IRNazanin" w:hAnsi="IRNazanin" w:eastAsia="IRNazanin"/>
          <w:color w:val="111111"/>
          <w:sz w:val="28"/>
          <w:sz w:val="28"/>
          <w:szCs w:val="28"/>
          <w:rtl w:val="true"/>
          <w:lang w:bidi="fa-IR"/>
        </w:rPr>
        <w:t xml:space="preserve">والآن حیث إنّ منع الماء فی السیاق الحالی هو من أفعال الشرِّ، فإنّه لیس فقط یؤدّی إلی الموت المادّی للصالحین، بل یؤدّی إلی الموت الروحی لذلک الشخص الذی یمنع الماء، بالضبط کما أنّ ذرف الدموع یعبّر عن الرغبة فی الحیاة المادیّة لأُولئک الذین قُتلوا ظلماً، ویعطی الحیاة الأبدیّة للباکی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منع وذرف الماء</w:t>
      </w:r>
    </w:p>
    <w:p>
      <w:pPr>
        <w:pStyle w:val="BookText"/>
        <w:rPr/>
      </w:pPr>
      <w:r>
        <w:rPr>
          <w:rFonts w:ascii="Amiri" w:hAnsi="Amiri" w:eastAsia="Amiri" w:cs="Amiri"/>
          <w:color w:val="111111"/>
          <w:sz w:val="28"/>
          <w:sz w:val="28"/>
          <w:szCs w:val="28"/>
          <w:rtl w:val="true"/>
          <w:lang w:bidi="ar-SA"/>
        </w:rPr>
        <w:t>عاقبة المفعول به</w:t>
      </w:r>
    </w:p>
    <w:p>
      <w:pPr>
        <w:pStyle w:val="BookText"/>
        <w:rPr/>
      </w:pPr>
      <w:r>
        <w:rPr>
          <w:rFonts w:ascii="Amiri" w:hAnsi="Amiri" w:eastAsia="Amiri" w:cs="Amiri"/>
          <w:color w:val="111111"/>
          <w:sz w:val="28"/>
          <w:sz w:val="28"/>
          <w:szCs w:val="28"/>
          <w:rtl w:val="true"/>
          <w:lang w:bidi="ar-SA"/>
        </w:rPr>
        <w:t>عاقبة الفاعل</w:t>
      </w:r>
    </w:p>
    <w:p>
      <w:pPr>
        <w:pStyle w:val="BookText"/>
        <w:rPr/>
      </w:pPr>
      <w:r>
        <w:rPr>
          <w:rFonts w:ascii="IRNazanin" w:hAnsi="IRNazanin" w:eastAsia="IRNazanin"/>
          <w:color w:val="111111"/>
          <w:sz w:val="28"/>
          <w:sz w:val="28"/>
          <w:szCs w:val="28"/>
          <w:rtl w:val="true"/>
          <w:lang w:bidi="fa-IR"/>
        </w:rPr>
        <w:t>ذرف الماء</w:t>
      </w:r>
    </w:p>
    <w:p>
      <w:pPr>
        <w:pStyle w:val="BookText"/>
        <w:rPr/>
      </w:pPr>
      <w:r>
        <w:rPr>
          <w:rFonts w:ascii="IRNazanin" w:hAnsi="IRNazanin" w:eastAsia="IRNazanin"/>
          <w:color w:val="111111"/>
          <w:sz w:val="28"/>
          <w:sz w:val="28"/>
          <w:szCs w:val="28"/>
          <w:rtl w:val="true"/>
          <w:lang w:bidi="fa-IR"/>
        </w:rPr>
        <w:t xml:space="preserve">الحیاة المادیّة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الحیاة الروحیّة</w:t>
      </w:r>
    </w:p>
    <w:p>
      <w:pPr>
        <w:pStyle w:val="BookText"/>
        <w:rPr/>
      </w:pPr>
      <w:r>
        <w:rPr>
          <w:rFonts w:ascii="IRNazanin" w:hAnsi="IRNazanin" w:eastAsia="IRNazanin"/>
          <w:color w:val="111111"/>
          <w:sz w:val="28"/>
          <w:sz w:val="28"/>
          <w:szCs w:val="28"/>
          <w:rtl w:val="true"/>
          <w:lang w:bidi="fa-IR"/>
        </w:rPr>
        <w:t>منع الماء</w:t>
      </w:r>
    </w:p>
    <w:p>
      <w:pPr>
        <w:pStyle w:val="BookText"/>
        <w:rPr/>
      </w:pPr>
      <w:r>
        <w:rPr>
          <w:rFonts w:ascii="IRNazanin" w:hAnsi="IRNazanin" w:eastAsia="IRNazanin"/>
          <w:color w:val="111111"/>
          <w:sz w:val="28"/>
          <w:sz w:val="28"/>
          <w:szCs w:val="28"/>
          <w:rtl w:val="true"/>
          <w:lang w:bidi="fa-IR"/>
        </w:rPr>
        <w:t>الموت المادی</w:t>
      </w:r>
    </w:p>
    <w:p>
      <w:pPr>
        <w:pStyle w:val="BookText"/>
        <w:rPr/>
      </w:pPr>
      <w:r>
        <w:rPr>
          <w:rFonts w:ascii="IRNazanin" w:hAnsi="IRNazanin" w:eastAsia="IRNazanin"/>
          <w:color w:val="111111"/>
          <w:sz w:val="28"/>
          <w:sz w:val="28"/>
          <w:szCs w:val="28"/>
          <w:rtl w:val="true"/>
          <w:lang w:bidi="fa-IR"/>
        </w:rPr>
        <w:t>الموت الروحی</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الشخص الذی یمنع أو یذرف الماء،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الشخص الذی یُوجَّه إلیه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اثنتین من الفقرات الملفتة للانتباه ذُکِر الماء والدم جنباً إلی جنب بصورةٍ أظهرت أنّ هذین السائلین متشابکان معاً بشدّة فی القصّة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الحادثة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عندما قبض شرطة ابن زیاد علی مسلم بن عقیل، ففی القتال الذی سبق الأسر، جُرح مسلم بالسیف فی فمه، وجُرحت شفتاه وسقط </w:t>
      </w:r>
    </w:p>
    <w:p>
      <w:pPr>
        <w:pStyle w:val="BookText"/>
        <w:rPr/>
      </w:pPr>
      <w:r>
        <w:rPr>
          <w:rFonts w:ascii="IRNazanin" w:hAnsi="IRNazanin" w:eastAsia="IRNazanin"/>
          <w:color w:val="111111"/>
          <w:sz w:val="28"/>
          <w:sz w:val="28"/>
          <w:szCs w:val="28"/>
          <w:rtl w:val="true"/>
          <w:lang w:bidi="fa-IR"/>
        </w:rPr>
        <w:t>اثنان من أسنانه</w:t>
      </w:r>
      <w:r>
        <w:rPr>
          <w:rStyle w:val="FootnoteAnchor"/>
          <w:rtl w:val="true"/>
        </w:rPr>
        <w:footnoteReference w:id="477"/>
      </w:r>
      <w:r>
        <w:rPr>
          <w:rFonts w:ascii="IRNazanin" w:hAnsi="IRNazanin" w:eastAsia="IRNazanin"/>
          <w:color w:val="111111"/>
          <w:sz w:val="28"/>
          <w:sz w:val="28"/>
          <w:szCs w:val="28"/>
          <w:rtl w:val="true"/>
          <w:lang w:bidi="fa-IR"/>
        </w:rPr>
        <w:t>، وعندما أُحضِر فیما بعد إلی قصر الوالی طلب الماء فی أوّل الأمر امتنع الرجل عن إحضار الماء، إلّا أنّ رجلاً آخر أرسل أحد الصبیة لإحضار الماء لمسلم، وعندما أراد مسلم أن یشرب سال الدم من فمه إلی القدح وتنجّس الماء، وحدث هذا مرّتین، وفی المرّة الثالثة عندما مُلیء القدح بالماء وأراد مسلم أن یشرب سقطت ثنیّاته فیه، فقال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لو کانَ لی من الرزقِ المقسومِ شربتُه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الله لم یشأ لمسلم أن یشرب ذلک الماء</w:t>
      </w:r>
      <w:r>
        <w:rPr>
          <w:rStyle w:val="FootnoteAnchor"/>
          <w:rtl w:val="true"/>
        </w:rPr>
        <w:footnoteReference w:id="478"/>
      </w:r>
      <w:r>
        <w:rPr>
          <w:rFonts w:ascii="IRNazanin" w:hAnsi="IRNazanin" w:eastAsia="IRNazanin"/>
          <w:color w:val="111111"/>
          <w:sz w:val="28"/>
          <w:sz w:val="28"/>
          <w:szCs w:val="28"/>
          <w:rtl w:val="true"/>
          <w:lang w:bidi="fa-IR"/>
        </w:rPr>
        <w:t xml:space="preserve">، وکان الحکم بالموت قد قُضی علیه مسبقاً، وصارت مسؤولیّة تنفیذه فی ید الجلادین؛ وبهذا جاء سفک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امتناع الماء</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حدث آخر له نفس الدافع قرب نهایة المعرکة فی کربلاء، وجاء فی روایتین مختلفتین، الروایة الثانیة کما یلی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حسیناً حینَ غلبَ علی عسکرِه العطشُ، رکِبَ المسنّاةَ یریدُ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بنی أبان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بینَهُ وبینَ الماء، لا تتامّ إلیه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فرسَه وأتبعه الناسُ حتّی حالوا بینَهُ وبینَ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اظمِه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وینتزعُ الأبانی بسهمٍ، فأثبتَه فی حنکِ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الحسینُ السهمَ، ثمّ بسطَ کفّیهِ فامتلأتا دماً، ثمّ قال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أشکو إلیکَ ما یُفعلُ بابنِ بنتِ نبیّک</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الأُولی تختلف قلیلاً، ولکن محاولة الحسین للحصول علی الماء وإصابته بسهمٍ فی فمه هی نفسها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هاتین الروایتین تحوّل الماء الذی کان یلتمسه الحسین إلی دمٍ کما حدث فی قصّة مسلم بن عقیل التی ذکرناها سابقاً، وفی الحالتین مع الحسین ومسلم یحدث هذا التحوّل مباشرةً قبل مقتلهما، والتشابه بین هذین الحدثین یبیّن علاقةً بنیویّة بین الدم والماء تستحقّ البحث عن کثب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تحلیل موضوع الماء أعلاه، افترضت أنّ ذرف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یرمز إلی الحیاة، بینما منْع الماء یعنی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للدم فإنّه یرمز إلی شیءٍ آخر، حیث سفک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صورة للقتل، بینما الامتناع عن سفک الدم یعنی حفظ الحیاة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عدد من الفقرات فی القصّة تشیر إلی هذا المعنی، وربّما یکون المثال الأوّل علی سفک الدم البریء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واحد من أشهر الأحداث فی واقعة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قتل ولد الحسین الرضیع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وتمضی القصّة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سنین عدیدة من المعرکة،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الخامس للشیعة</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بنی أسد أنّ قبیلته مشترکة بدم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الحسینُ بصبیٍّ لهُ فهو فی حجرِهِ إذ رماهُ أحدُکم یا بنی أسد بسهمٍ فذبحهُ، فتلقّی الحسینُ دمَهُ فلمّا ملأَ کفّیهِ صبّهُ فی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تکُ حبستَ عنّا النصرَ من السماءِ؛ فاجعلْ ذلکَ لما هو خیرٌ، وانتقمْ لنا من هؤلاءِ الظالمین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جمیع مقاتل أصحاب الحسین التی وردت فی قصّة واقعة کربلاء هی أمثلة علی سفک دماءٍ بریئة، وسأتکلّم کثیراً عن هذا قریباً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عدّة مقاطع ثبت فیها أنّ الحسین وأصحابه أحجموا عن سفک الدم، ورأینا أنّ مسلم بن عقیل قد سنحت له الفرصة ذات مَرّة أن یقتل والی الکوفة ابن زیاد خلسةً، ولکنّه امتنع عن فعل ذلک، حدث هذا عندما مرض أحد الوجهاء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شریک بن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هانئ بن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یقیم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 عبیدالله بن زیاد لعیادة شریک، حیث کان یُجلُّه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هوی شریک کان مع أهل بیت النبیّ وسبیلهم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شریک ومسلم قد اتّفقا علی أن یختبئ مسلم ویثب علی الوالی ابن زیاد لیقتله، بعد أن یجلس عند فراش شریک، ولکن مسلم فی مخبئه عندما جاء 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تنتظرون بسلمی أن تحیّوها؟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اسقنیها وإنْ کانت فیها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ذلک مرّتین أو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فانصرفَ، فخرجَ مسلمٌ فقالَ له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من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أمّا إحداهُما فکراهةُ هانئ أن یُقتل فی دارِهِ، وأمّا الأُخری فحدیثٌ حدّثه الناسُ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قیدُ الفتکِ، ولا یفتکُ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قتلتَه لقتلتَ فاسقاً فاجراً کافراً غادراً، ولکنْ کرهتُ أنْ یُقتَلَ فی داری</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بالنسبة لمسلم فإنّ عفّة النفس خیرٌ بکثیر من الکسب القصیر الأمد بقتل شرّ أعدائه، فلو کان قد اختار الخیار الآخر، لکان من المحتمل أن ینقذ حیاة هانئ وحیاته هو، وفی آخر الأمر حیاة الحسین، ولکن ذلک کان سیکون عملاً آثماً بعیداً عن العدالة وطهارة النفس، التی تلیق بالمؤمن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واختیار مسلم الصحیح هذا قد أکّده الحسین فیما بعد بصورة غیر مباشرة، حیث فعل الفعل نفسه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الطبری حادثةً وقعت قبل بدء المعرکة بلحظات، فقد أمکنت الفرصة أحد أصحاب الحسین من قتل الآثم شمر بن ذی الجوشن فاستأذن الحسین لأجل ذلک، ولکنّ الحسین لم یأذن له، حیث کان یکره أن یکون البادئ بالقتال</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وکانت مواقف مسلم والحسین محاولةً لتجنّب سفک دماء المسلمین ولحفظ حیاتهم، وإنْ کانوا أشدّ الناس فسقاً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الذنب فی بدء القتال یقع علی جیش الکوفة، فعندما استنفدت کلُّ الطرق لحلّ النزاع، وأرغمَ الشمرُ عمرَ بن سعد علی بدء القتال، رمی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القائد علی 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 نحو مخیّم الحسین منادیاً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أنّی أوّلُ مَن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بدأت المعرکة رسمیّاً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بدأ أهل الکوفة القتال، کان قتال الحسین وأصحابه دفاعاً عن النفس ولا یتحمّلون أیَّ ذنبٍ فی ذلک، ومن الملفت أنّه فی کلِّ مرّةٍ جاء ذکر الدم فی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استثناءٍ واحد ممکن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به دم الحسین وأنصاره، مع أنّ کثیراً من الأعداء قد قُتلوا فی المعرکة، إلّا أنّ شیئاً لم یُذکر عن دمهم</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ویبیّن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وإنْ کان جماعة الحسین قد قَتَلوا من الطرف الآخر، إلّا أنّهم لم یُطلقوا العنان </w:t>
      </w:r>
      <w:bookmarkStart w:id="217" w:name="pg5097_58463"/>
    </w:p>
    <w:p>
      <w:pPr>
        <w:pStyle w:val="BookText"/>
        <w:rPr/>
      </w:pPr>
      <w:bookmarkEnd w:id="217"/>
      <w:r>
        <w:rPr>
          <w:rFonts w:ascii="IRNazanin" w:hAnsi="IRNazanin" w:eastAsia="IRNazanin"/>
          <w:color w:val="111111"/>
          <w:sz w:val="28"/>
          <w:sz w:val="28"/>
          <w:szCs w:val="28"/>
          <w:rtl w:val="true"/>
          <w:lang w:bidi="fa-IR"/>
        </w:rPr>
        <w:t>لأنفسهم فی سفک دمٍ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والمشهد الإجمالی إذن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وأصحابه عدول، وقد حفظوا کمالهم کمسلمین خُلَّص؛ بامتناعهم عن سفک الدم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الجهة الأُخری، فإنّ أتباع بنی أُمیّة وأهل الکوفة قد سفکوا الدم الحرام</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الحسین قد صان الدم، ولکنّ بنی أُمیّة وأهل الکوفة قد سفکوه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تکون العلاقة بین الدم والماء وظیفةً لکیفیّة توزیعهما، فإنّ الحیاة یسبّبها إفاضة الماء وصیانة الدم، بینما الموت علی العکس من ذلک، یسبّبه منع الماء وسفک الدم؛ وبهذا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الرمز الاقتصادی هنا یعمل علی مستویین، فالکیفیّة التی یتمّ فیها توزیع الماء والدم ترتبط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والموت</w:t>
      </w:r>
      <w:r>
        <w:rPr>
          <w:rFonts w:eastAsia="IRNazanin" w:cs="IRNazanin"/>
          <w:color w:val="111111"/>
          <w:sz w:val="28"/>
          <w:szCs w:val="28"/>
          <w:rtl w:val="true"/>
          <w:lang w:bidi="fa-IR"/>
        </w:rPr>
        <w:t>.</w:t>
      </w:r>
    </w:p>
    <w:p>
      <w:pPr>
        <w:pStyle w:val="Heading3"/>
        <w:numPr>
          <w:ilvl w:val="2"/>
          <w:numId w:val="1"/>
        </w:numPr>
        <w:rPr/>
      </w:pPr>
      <w:bookmarkStart w:id="218" w:name="__RefHeading___Toc1259944_774463916"/>
      <w:bookmarkStart w:id="219" w:name="_Toc76"/>
      <w:bookmarkEnd w:id="218"/>
      <w:r>
        <w:rPr>
          <w:rtl w:val="true"/>
        </w:rPr>
        <w:t>الحسین وسیطاً</w:t>
      </w:r>
      <w:bookmarkEnd w:id="21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افترضت فیما سبق أنّ تقدیم الحسین للماء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عملاً یتوسّط بین الحیاة والموت فی معناهما المادّی؛ وبهذا یکون کنایةً عن الوساطة بین الحیاة الروحیّة والموت الروحی، ولتوسیع هذا النقاش أکثر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یتوسط بین الموت الذی یسببه منع الماء والحیاة التی یسبّبها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ویشترک إعطاء الماء فی العنصرین المتضادّین للحیاة والموت، فقد عالج حقّاً عطش أهل الکوفة وقادهم من الموت إلی الحیاة، وبإعطاء الحسین بعضاً من الماء الذی کان معه یکون قد </w:t>
      </w:r>
    </w:p>
    <w:p>
      <w:pPr>
        <w:pStyle w:val="BookText"/>
        <w:rPr/>
      </w:pPr>
      <w:r>
        <w:rPr>
          <w:rFonts w:ascii="IRNazanin" w:hAnsi="IRNazanin" w:eastAsia="IRNazanin"/>
          <w:color w:val="111111"/>
          <w:sz w:val="28"/>
          <w:sz w:val="28"/>
          <w:szCs w:val="28"/>
          <w:rtl w:val="true"/>
          <w:lang w:bidi="fa-IR"/>
        </w:rPr>
        <w:t xml:space="preserve">فقدَ بعضاً من مؤونته العزیزة جدّاً، وبما أنّ الماء یندر فی الصحراء، فقد أوشک الحسین بنفسه علی الموت، ویظهر النموذج نفسه إنْ أُخذ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کنایة عن الهدایة، وبتقدیم الهدایة قدّم الحسین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الکوفة، ولکنّه فی الوقت نفسه تحدّی السلطات السیاسیّة التی سبّبت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یأتی الأمر إلی الدم یکون التضادّ متماثلاً ولکنّه معکوس؛ حیث إنّ صیانته تحفظ الحیاة وإراقته تسبب الموت، ولکن هل هناک عنصر وسیط یتوافق مع ما یخصّ إعطاء الماء؟ أنا أعتقد أنّه یوجد، ومن أجل الاحتجاج سأقوم بانعطافة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 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شدٌّ واضح بین الفعل البشری والقضاء الإلهی، بین المسؤولیّة الشخصیّة وتقدیر الله للأحداث</w:t>
      </w:r>
      <w:r>
        <w:rPr>
          <w:rStyle w:val="FootnoteAnchor"/>
          <w:rtl w:val="true"/>
        </w:rPr>
        <w:footnoteReference w:id="489"/>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رحلة الحسین نحو الهلاک</w:t>
      </w:r>
      <w:r>
        <w:rPr>
          <w:rStyle w:val="FootnoteAnchor"/>
          <w:rtl w:val="true"/>
        </w:rPr>
        <w:footnoteReference w:id="490"/>
      </w:r>
      <w:r>
        <w:rPr>
          <w:rFonts w:ascii="IRNazanin" w:hAnsi="IRNazanin" w:eastAsia="IRNazanin"/>
          <w:color w:val="111111"/>
          <w:sz w:val="28"/>
          <w:sz w:val="28"/>
          <w:szCs w:val="28"/>
          <w:rtl w:val="true"/>
          <w:lang w:bidi="fa-IR"/>
        </w:rPr>
        <w:t>کانت علی الأغلب محتومةً ولا یمکن اجتنابها، فلقد أُشیر علی الحسین فی بعض الأحیان بالعودة، ولکنّه رفض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قضی وقدّر ذلک الطریق له</w:t>
      </w:r>
      <w:r>
        <w:rPr>
          <w:rStyle w:val="FootnoteAnchor"/>
          <w:rtl w:val="true"/>
        </w:rPr>
        <w:footnoteReference w:id="491"/>
      </w:r>
      <w:r>
        <w:rPr>
          <w:rFonts w:ascii="Amiri" w:hAnsi="Amiri" w:eastAsia="Amiri" w:cs="Amiri"/>
          <w:color w:val="111111"/>
          <w:sz w:val="28"/>
          <w:sz w:val="28"/>
          <w:szCs w:val="28"/>
          <w:rtl w:val="true"/>
          <w:lang w:bidi="ar-SA"/>
        </w:rPr>
        <w:t>، وفی أحیانٍ أخری ذُکِرَ أنّ القرار بالخروج کان قراره هو</w:t>
      </w:r>
      <w:r>
        <w:rPr>
          <w:rStyle w:val="FootnoteAnchor"/>
          <w:rtl w:val="true"/>
        </w:rPr>
        <w:footnoteReference w:id="492"/>
      </w:r>
      <w:r>
        <w:rPr>
          <w:rFonts w:ascii="IRNazanin" w:hAnsi="IRNazanin" w:eastAsia="IRNazanin"/>
          <w:color w:val="111111"/>
          <w:sz w:val="28"/>
          <w:sz w:val="28"/>
          <w:szCs w:val="28"/>
          <w:rtl w:val="true"/>
          <w:lang w:bidi="fa-IR"/>
        </w:rPr>
        <w:t xml:space="preserve">، وعندما التقی بکتیبة أهل الکوفة بقیادة الحُرّ عرض علی </w:t>
      </w:r>
    </w:p>
    <w:p>
      <w:pPr>
        <w:pStyle w:val="BookText"/>
        <w:rPr/>
      </w:pPr>
      <w:r>
        <w:rPr>
          <w:rFonts w:ascii="IRNazanin" w:hAnsi="IRNazanin" w:eastAsia="IRNazanin"/>
          <w:color w:val="111111"/>
          <w:sz w:val="28"/>
          <w:sz w:val="28"/>
          <w:szCs w:val="28"/>
          <w:rtl w:val="true"/>
          <w:lang w:bidi="fa-IR"/>
        </w:rPr>
        <w:t>أهل الکوفة خیار العودة إلی الحجاز إنْ لم یکونوا یریدونه إماماً علیهم</w:t>
      </w:r>
      <w:r>
        <w:rPr>
          <w:rStyle w:val="FootnoteAnchor"/>
          <w:rtl w:val="true"/>
        </w:rPr>
        <w:footnoteReference w:id="4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 القسم الثالث والرابع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وبنفس الطریقة عندما کانت المعرکة علی وشک الوقوع، نقلت الأخبار أنّ الحسین حاول جاهداً أنْ یجد مخرجاً، ولکن عندما بدا أنّ ما سیقع لا بدّ منه، عزّی نفسه</w:t>
      </w:r>
      <w:r>
        <w:rPr>
          <w:rStyle w:val="FootnoteAnchor"/>
          <w:rtl w:val="true"/>
        </w:rPr>
        <w:footnoteReference w:id="494"/>
      </w:r>
      <w:r>
        <w:rPr>
          <w:rFonts w:ascii="IRNazanin" w:hAnsi="IRNazanin" w:eastAsia="IRNazanin"/>
          <w:color w:val="111111"/>
          <w:sz w:val="28"/>
          <w:sz w:val="28"/>
          <w:szCs w:val="28"/>
          <w:rtl w:val="true"/>
          <w:lang w:bidi="fa-IR"/>
        </w:rPr>
        <w:t>بأنّ ما سیحدث هو أمر الله، وأنّ الله سیمنحه هو والذین سیُقتَلون معه مکاناً فی الجنّة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وبالإشارة إلی هذا الشدّ،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 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القصّة بأنّها مأساة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روایتین مختلفتین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ولکنّهما تعملان معاً أحیاناً، وکذلک تعملان ضدّ بعضهما البعض لخلق ذلک التأثیر المأساوی</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 ویبدو أنّ ما یراه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مبنیّاً علی سوء فهمه لفکرة الطبری حول التسلیم لإرادة الله، فهو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لدینا هنا هو قصّة لاهوتیّة، وهی المأساة التی لا یمکن اجتنابها، والّتی هی نتیجة التسلیم لإرادة الله، وما تؤدّی إلیه الروایات فی التاریخ هو قصّة مسلمٍ تقیٍّ فی أقصی غایة التقوی، والذی بالرغم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الخالصة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محبّیه بعدم رکوب مغامرته، وبالرغم من علمه المسبق بالنهایة المفجعة القریبة الحدوث، إلّا أنّه عازم علی المضی فی طریق الهلاک الذی یوجّهه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وقدرته المطلقة</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ذلک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إنّ الطبری جعل القصّة أکثر تعقیداً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p>
    <w:p>
      <w:pPr>
        <w:pStyle w:val="BookText"/>
        <w:rPr/>
      </w:pPr>
      <w:r>
        <w:rPr>
          <w:rFonts w:ascii="IRNazanin" w:hAnsi="IRNazanin" w:eastAsia="IRNazanin"/>
          <w:color w:val="111111"/>
          <w:sz w:val="28"/>
          <w:sz w:val="28"/>
          <w:szCs w:val="28"/>
          <w:rtl w:val="true"/>
          <w:lang w:bidi="fa-IR"/>
        </w:rPr>
        <w:t>الحسین بأنّه قلیل العزم</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والذی یعنی به محاولات الحسین للتفاوض مع عمر بن سعد، وسعیه لتأجیل المعرکة حتّی الیوم التالی، وخطابه الأخیر لأهل الکوفة قبل المعرکة بقلیل، والذی ناشدهم فیه بعدم قتله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التسلیم لإرادة الله لا یعنی الجلوس مکتوف الأیدی بانتظار القضاء والقدر، لیأخذ مجراه دون تحریک ساکن، بل یعنی اتّباع سبیل الله حتّی النهایة مع </w:t>
      </w:r>
    </w:p>
    <w:p>
      <w:pPr>
        <w:pStyle w:val="BookText"/>
        <w:rPr/>
      </w:pPr>
      <w:r>
        <w:rPr>
          <w:rFonts w:ascii="IRNazanin" w:hAnsi="IRNazanin" w:eastAsia="IRNazanin"/>
          <w:color w:val="111111"/>
          <w:sz w:val="28"/>
          <w:sz w:val="28"/>
          <w:szCs w:val="28"/>
          <w:rtl w:val="true"/>
          <w:lang w:bidi="fa-IR"/>
        </w:rPr>
        <w:t>القیام بما یعتقده المرء أنّه الشیء الصحیح، ولکنّه یعنی القبول بالقضاء والقدر علی أنّه أفضل ما یمکن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قراءتی لأحداث کربلاء، فلیس هناک شاطئان کما یعتقد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وحسب ما جاء فی النصّ فإنّ عزم الحسین علی الذهاب إلی الکوفة کان تبعاً لإرادة الله، مهما کلّف الثمن ومهما کانت النتیجة، فهو لم یکن متردّداً فی هذا الأمر أبداً، ضمن هذا الطموح العام کان الذهاب إلی الکوفة وعرض قیادته علی أهلها مجرّد هدف جزئی فقط، فعندما أدرک أنّ هذه الخطّة قد فشلت بسبب خیانة أهل الکوفة، حاول کلَّ ما فی وسعة للإبقاء علی حیاته والحفاظ علی وحدة المسلمین</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أیضاً لم یکن ضدّ إرادة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کان مستعدّاً للعودة إلی الحجاز أو أی مکان آخر، أو حتّی إعطاء البیعة للخلیفة یزید</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المنوّرة حیث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رجلٌ فاسقٌ، شاربٌ للخمر، قاتل النفس المحرّمة، معلنٌ للفسق، ومثلی لا یبایع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 اللهوف فی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إلی کربلاء، عند ملاقاته الحرّ فی منطقة البیضة، حیث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هؤلاء قد لزموا طاعة الشیطان، وترکوا طاعة الرحمان، وأظهروا الفساد، وعطّلوا الحدود، واستأثروا بالفیء، وأحلّوا حرام الله وحرّموا حلاله، وأنا أحقّ من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محمد ابن جریر،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الذی أعطاه النصّ واضحٌ جدّاً، ومتوافق مع خطابات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ولکن</w:t>
      </w:r>
    </w:p>
    <w:p>
      <w:pPr>
        <w:pStyle w:val="BookText"/>
        <w:rPr/>
      </w:pPr>
      <w:r>
        <w:rPr>
          <w:rFonts w:ascii="IRNazanin" w:hAnsi="IRNazanin" w:eastAsia="IRNazanin"/>
          <w:color w:val="111111"/>
          <w:sz w:val="28"/>
          <w:sz w:val="28"/>
          <w:szCs w:val="28"/>
          <w:rtl w:val="true"/>
          <w:lang w:bidi="fa-IR"/>
        </w:rPr>
        <w:t>لیس لوالی الکوفة عبیدالله بن زیاد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أدرک أنّه لا طریق للخروج من هذا الأمر حیّاً، بقی یعمل ما یعتقد أنّه الشیء الصحیح الذی ینبغی عمله، فقد دافع عن نفسه بما أُوتی من قوّة، وتوکّل علی الله لأنّ ما سیحصل فی النهایة فهو لا یخرج عن حکمة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ویوجد فی القصّة قبل المعرکة واحدٌ من الأمثلة الواضحة علی الثقة التامّة للحسین وأهل بیته بالله، وذلک عندما ارتحلت الجماعة خفق الحسین برأسه مرّتین، وکلّما انتبه تلا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إِلَیْهِ رَاجِعُونَ </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سأله ابنه علیٌّ عن سبب ذلک، فأجاب الحسین أنّه رأی فی المنام رجلاً ینعی إلیه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لا أراکَ الله سوءاً، ألسنا علی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والذی إلیه مرجعُ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إذاً لا نبالی نموتُ محقّین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من ولدٍ خیرَ ما جزی ولداً عن والدهِ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أمثلةٌ کثیرة من هذا النوع فی الأجزاء الأُخری من القصّة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فإنّی أری أنّ صورة الحسین عند الطبری هو ذلک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أیّ شخصٍ، بل هو زعیم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المستعدّ للتضحیة بنفسه من أجل رسالةٍ </w:t>
      </w:r>
    </w:p>
    <w:p>
      <w:pPr>
        <w:pStyle w:val="BookText"/>
        <w:rPr/>
      </w:pPr>
      <w:r>
        <w:rPr>
          <w:rFonts w:ascii="IRNazanin" w:hAnsi="IRNazanin" w:eastAsia="IRNazanin"/>
          <w:color w:val="111111"/>
          <w:sz w:val="28"/>
          <w:sz w:val="28"/>
          <w:szCs w:val="28"/>
          <w:rtl w:val="true"/>
          <w:lang w:bidi="fa-IR"/>
        </w:rPr>
        <w:t>سامیة، وهی السبیل إلی الله</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یصبح الحسینُ قدوةً وأُسوةً</w:t>
      </w:r>
      <w:r>
        <w:rPr>
          <w:rStyle w:val="FootnoteAnchor"/>
          <w:rtl w:val="true"/>
        </w:rPr>
        <w:footnoteReference w:id="508"/>
      </w:r>
      <w:r>
        <w:rPr>
          <w:rFonts w:ascii="IRNazanin" w:hAnsi="IRNazanin" w:eastAsia="IRNazanin"/>
          <w:color w:val="111111"/>
          <w:sz w:val="28"/>
          <w:sz w:val="28"/>
          <w:szCs w:val="28"/>
          <w:rtl w:val="true"/>
          <w:lang w:bidi="fa-IR"/>
        </w:rPr>
        <w:t>لجمیع المسلمین الذین یرجون الآخرة ولا یرجون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حقّق الحسین الحیاة الحقیقیّة بموته، فبتقدیمه الدم إذاً یتقاسم الحیاة والموت، ویمکن أن یُعتبر کیاناً وسطاً بین المتضادَّیْن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سفک الدم وحفظ الدم</w:t>
      </w:r>
      <w:r>
        <w:rPr>
          <w:rStyle w:val="FootnoteAnchor"/>
          <w:rtl w:val="true"/>
        </w:rPr>
        <w:footnoteReference w:id="509"/>
      </w:r>
      <w:r>
        <w:rPr>
          <w:rFonts w:ascii="IRNazanin" w:hAnsi="IRNazanin" w:eastAsia="IRNazanin"/>
          <w:color w:val="111111"/>
          <w:sz w:val="28"/>
          <w:sz w:val="28"/>
          <w:szCs w:val="28"/>
          <w:rtl w:val="true"/>
          <w:lang w:bidi="fa-IR"/>
        </w:rPr>
        <w:t xml:space="preserve">، فالتساوق بین بنیة الماء وبنیة الدم واضح؛ ومع أنّ التضادّ معکوس، إلّا أنّ مفهوم الوساطة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الماء والدم فی القصّة</w:t>
      </w:r>
    </w:p>
    <w:p>
      <w:pPr>
        <w:pStyle w:val="BookText"/>
        <w:rPr/>
      </w:pPr>
      <w:r>
        <w:rPr>
          <w:rFonts w:ascii="IRNazanin" w:hAnsi="IRNazanin" w:eastAsia="IRNazanin"/>
          <w:color w:val="111111"/>
          <w:sz w:val="28"/>
          <w:sz w:val="28"/>
          <w:szCs w:val="28"/>
          <w:rtl w:val="true"/>
          <w:lang w:bidi="fa-IR"/>
        </w:rPr>
        <w:t>حیاة</w:t>
      </w:r>
    </w:p>
    <w:p>
      <w:pPr>
        <w:pStyle w:val="BookText"/>
        <w:rPr/>
      </w:pPr>
      <w:r>
        <w:rPr>
          <w:rFonts w:ascii="IRNazanin" w:hAnsi="IRNazanin" w:eastAsia="IRNazanin"/>
          <w:color w:val="111111"/>
          <w:sz w:val="28"/>
          <w:sz w:val="28"/>
          <w:szCs w:val="28"/>
          <w:rtl w:val="true"/>
          <w:lang w:bidi="fa-IR"/>
        </w:rPr>
        <w:t>موت</w:t>
      </w:r>
    </w:p>
    <w:p>
      <w:pPr>
        <w:pStyle w:val="BookText"/>
        <w:rPr/>
      </w:pPr>
      <w:r>
        <w:rPr>
          <w:rFonts w:ascii="IRNazanin" w:hAnsi="IRNazanin" w:eastAsia="IRNazanin"/>
          <w:color w:val="111111"/>
          <w:sz w:val="28"/>
          <w:sz w:val="28"/>
          <w:szCs w:val="28"/>
          <w:rtl w:val="true"/>
          <w:lang w:bidi="fa-IR"/>
        </w:rPr>
        <w:t>الماء</w:t>
      </w:r>
    </w:p>
    <w:p>
      <w:pPr>
        <w:pStyle w:val="BookText"/>
        <w:rPr/>
      </w:pPr>
      <w:r>
        <w:rPr>
          <w:rFonts w:ascii="IRNazanin" w:hAnsi="IRNazanin" w:eastAsia="IRNazanin"/>
          <w:color w:val="111111"/>
          <w:sz w:val="28"/>
          <w:sz w:val="28"/>
          <w:szCs w:val="28"/>
          <w:rtl w:val="true"/>
          <w:lang w:bidi="fa-IR"/>
        </w:rPr>
        <w:t>سکب</w:t>
      </w:r>
    </w:p>
    <w:p>
      <w:pPr>
        <w:pStyle w:val="BookText"/>
        <w:rPr/>
      </w:pPr>
      <w:r>
        <w:rPr>
          <w:rFonts w:ascii="IRNazanin" w:hAnsi="IRNazanin" w:eastAsia="IRNazanin"/>
          <w:color w:val="111111"/>
          <w:sz w:val="28"/>
          <w:sz w:val="28"/>
          <w:szCs w:val="28"/>
          <w:rtl w:val="true"/>
          <w:lang w:bidi="fa-IR"/>
        </w:rPr>
        <w:t>منع</w:t>
      </w:r>
    </w:p>
    <w:p>
      <w:pPr>
        <w:pStyle w:val="BookText"/>
        <w:rPr/>
      </w:pPr>
      <w:r>
        <w:rPr>
          <w:rFonts w:ascii="IRNazanin" w:hAnsi="IRNazanin" w:eastAsia="IRNazanin"/>
          <w:color w:val="111111"/>
          <w:sz w:val="28"/>
          <w:sz w:val="28"/>
          <w:szCs w:val="28"/>
          <w:rtl w:val="true"/>
          <w:lang w:bidi="fa-IR"/>
        </w:rPr>
        <w:t>معطی</w:t>
      </w:r>
    </w:p>
    <w:p>
      <w:pPr>
        <w:pStyle w:val="BookText"/>
        <w:rPr/>
      </w:pPr>
      <w:r>
        <w:rPr>
          <w:rFonts w:ascii="IRNazanin" w:hAnsi="IRNazanin" w:eastAsia="IRNazanin"/>
          <w:color w:val="111111"/>
          <w:sz w:val="28"/>
          <w:sz w:val="28"/>
          <w:szCs w:val="28"/>
          <w:rtl w:val="true"/>
          <w:lang w:bidi="fa-IR"/>
        </w:rPr>
        <w:t>الدم</w:t>
      </w:r>
    </w:p>
    <w:p>
      <w:pPr>
        <w:pStyle w:val="BookText"/>
        <w:rPr/>
      </w:pP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تتناسب هذه البنیة کثیراً مع البنیة الإسلامیّة الأساسیّة الواردة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والدم فی البنیة الأکبر فی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الآخرة</w:t>
      </w:r>
    </w:p>
    <w:p>
      <w:pPr>
        <w:pStyle w:val="BookText"/>
        <w:rPr/>
      </w:pPr>
      <w:r>
        <w:rPr>
          <w:rFonts w:ascii="IRNazanin" w:hAnsi="IRNazanin" w:eastAsia="IRNazanin"/>
          <w:color w:val="111111"/>
          <w:sz w:val="28"/>
          <w:sz w:val="28"/>
          <w:szCs w:val="28"/>
          <w:rtl w:val="true"/>
          <w:lang w:bidi="fa-IR"/>
        </w:rPr>
        <w:t>الموت</w:t>
      </w:r>
    </w:p>
    <w:p>
      <w:pPr>
        <w:pStyle w:val="BookText"/>
        <w:rPr/>
      </w:pPr>
      <w:r>
        <w:rPr>
          <w:rFonts w:ascii="Amiri" w:hAnsi="Amiri" w:eastAsia="Amiri" w:cs="Amiri"/>
          <w:color w:val="111111"/>
          <w:sz w:val="28"/>
          <w:sz w:val="28"/>
          <w:szCs w:val="28"/>
          <w:rtl w:val="true"/>
          <w:lang w:bidi="ar-SA"/>
        </w:rPr>
        <w:t>المادّی</w:t>
      </w:r>
    </w:p>
    <w:p>
      <w:pPr>
        <w:pStyle w:val="BookText"/>
        <w:rPr/>
      </w:pPr>
      <w:r>
        <w:rPr>
          <w:rFonts w:ascii="IRNazanin" w:hAnsi="IRNazanin" w:eastAsia="IRNazanin"/>
          <w:color w:val="111111"/>
          <w:sz w:val="28"/>
          <w:sz w:val="28"/>
          <w:szCs w:val="28"/>
          <w:rtl w:val="true"/>
          <w:lang w:bidi="fa-IR"/>
        </w:rPr>
        <w:t>الدنیا</w:t>
      </w:r>
    </w:p>
    <w:p>
      <w:pPr>
        <w:pStyle w:val="BookText"/>
        <w:rPr/>
      </w:pPr>
      <w:r>
        <w:rPr>
          <w:rFonts w:ascii="Amiri" w:hAnsi="Amiri" w:eastAsia="Amiri" w:cs="Amiri"/>
          <w:color w:val="111111"/>
          <w:sz w:val="28"/>
          <w:sz w:val="28"/>
          <w:szCs w:val="28"/>
          <w:rtl w:val="true"/>
          <w:lang w:bidi="ar-SA"/>
        </w:rPr>
        <w:t>الحیاة المادّیّة</w:t>
      </w:r>
    </w:p>
    <w:p>
      <w:pPr>
        <w:pStyle w:val="BookText"/>
        <w:rPr/>
      </w:pPr>
      <w:r>
        <w:rPr>
          <w:rFonts w:ascii="IRNazanin" w:hAnsi="IRNazanin" w:eastAsia="IRNazanin"/>
          <w:color w:val="111111"/>
          <w:sz w:val="28"/>
          <w:sz w:val="28"/>
          <w:szCs w:val="28"/>
          <w:rtl w:val="true"/>
          <w:lang w:bidi="fa-IR"/>
        </w:rPr>
        <w:t>امتلاک الماء</w:t>
      </w:r>
    </w:p>
    <w:p>
      <w:pPr>
        <w:pStyle w:val="BookText"/>
        <w:rPr/>
      </w:pPr>
      <w:r>
        <w:rPr>
          <w:rFonts w:ascii="Amiri" w:hAnsi="Amiri" w:eastAsia="Amiri" w:cs="Amiri"/>
          <w:color w:val="111111"/>
          <w:sz w:val="28"/>
          <w:sz w:val="28"/>
          <w:szCs w:val="28"/>
          <w:rtl w:val="true"/>
          <w:lang w:bidi="ar-SA"/>
        </w:rPr>
        <w:t xml:space="preserve">ثواب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w:t>
      </w:r>
    </w:p>
    <w:p>
      <w:pPr>
        <w:pStyle w:val="BookText"/>
        <w:rPr/>
      </w:pPr>
      <w:r>
        <w:rPr>
          <w:rFonts w:ascii="IRNazanin" w:hAnsi="IRNazanin" w:eastAsia="IRNazanin"/>
          <w:color w:val="111111"/>
          <w:sz w:val="28"/>
          <w:sz w:val="28"/>
          <w:szCs w:val="28"/>
          <w:rtl w:val="true"/>
          <w:lang w:bidi="fa-IR"/>
        </w:rPr>
        <w:t>صب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p>
    <w:p>
      <w:pPr>
        <w:pStyle w:val="BookText"/>
        <w:rPr/>
      </w:pPr>
      <w:r>
        <w:rPr>
          <w:rFonts w:ascii="IRNazanin" w:hAnsi="IRNazanin" w:eastAsia="IRNazanin"/>
          <w:color w:val="111111"/>
          <w:sz w:val="28"/>
          <w:sz w:val="28"/>
          <w:szCs w:val="28"/>
          <w:rtl w:val="true"/>
          <w:lang w:bidi="fa-IR"/>
        </w:rPr>
        <w:t>الدم</w:t>
      </w:r>
    </w:p>
    <w:p>
      <w:pPr>
        <w:pStyle w:val="BookText"/>
        <w:rPr/>
      </w:pPr>
      <w:r>
        <w:rPr>
          <w:rFonts w:ascii="IRNazanin" w:hAnsi="IRNazanin" w:eastAsia="IRNazanin"/>
          <w:color w:val="111111"/>
          <w:sz w:val="28"/>
          <w:sz w:val="28"/>
          <w:szCs w:val="28"/>
          <w:rtl w:val="true"/>
          <w:lang w:bidi="fa-IR"/>
        </w:rPr>
        <w:t>إعطاء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w:t>
      </w:r>
    </w:p>
    <w:p>
      <w:pPr>
        <w:pStyle w:val="BookText"/>
        <w:rPr/>
      </w:pPr>
      <w:r>
        <w:rPr>
          <w:rFonts w:ascii="IRNazanin" w:hAnsi="IRNazanin" w:eastAsia="IRNazanin"/>
          <w:color w:val="111111"/>
          <w:sz w:val="28"/>
          <w:sz w:val="28"/>
          <w:szCs w:val="28"/>
          <w:rtl w:val="true"/>
          <w:lang w:bidi="fa-IR"/>
        </w:rPr>
        <w:t>سفک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p>
    <w:p>
      <w:pPr>
        <w:pStyle w:val="BookText"/>
        <w:rPr/>
      </w:pPr>
      <w:r>
        <w:rPr>
          <w:rFonts w:ascii="IRNazanin" w:hAnsi="IRNazanin" w:eastAsia="IRNazanin"/>
          <w:color w:val="111111"/>
          <w:sz w:val="28"/>
          <w:sz w:val="28"/>
          <w:szCs w:val="28"/>
          <w:rtl w:val="true"/>
          <w:lang w:bidi="fa-IR"/>
        </w:rPr>
        <w:t>الماء</w:t>
      </w:r>
    </w:p>
    <w:p>
      <w:pPr>
        <w:pStyle w:val="BookText"/>
        <w:rPr/>
      </w:pPr>
      <w:r>
        <w:rPr>
          <w:rFonts w:ascii="IRNazanin" w:hAnsi="IRNazanin" w:eastAsia="IRNazanin"/>
          <w:color w:val="111111"/>
          <w:sz w:val="28"/>
          <w:sz w:val="28"/>
          <w:szCs w:val="28"/>
          <w:rtl w:val="true"/>
          <w:lang w:bidi="fa-IR"/>
        </w:rPr>
        <w:t>النفاق</w:t>
      </w:r>
    </w:p>
    <w:p>
      <w:pPr>
        <w:pStyle w:val="BookText"/>
        <w:rPr/>
      </w:pPr>
      <w:r>
        <w:rPr>
          <w:rFonts w:ascii="IRNazanin" w:hAnsi="IRNazanin" w:eastAsia="IRNazanin"/>
          <w:color w:val="111111"/>
          <w:sz w:val="28"/>
          <w:sz w:val="28"/>
          <w:szCs w:val="28"/>
          <w:rtl w:val="true"/>
          <w:lang w:bidi="fa-IR"/>
        </w:rPr>
        <w:t>الکفر</w:t>
      </w:r>
    </w:p>
    <w:p>
      <w:pPr>
        <w:pStyle w:val="BookText"/>
        <w:rPr/>
      </w:pPr>
      <w:r>
        <w:rPr>
          <w:rFonts w:ascii="IRNazanin" w:hAnsi="IRNazanin" w:eastAsia="IRNazanin"/>
          <w:color w:val="111111"/>
          <w:sz w:val="28"/>
          <w:sz w:val="28"/>
          <w:szCs w:val="28"/>
          <w:rtl w:val="true"/>
          <w:lang w:bidi="fa-IR"/>
        </w:rPr>
        <w:t>عقاب الله</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الحقل المظلّل یشیر إلی الحیاة بعد الموت</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أتّفقُ تماماً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حیث إنّ ما لدینا هنا هو قصّة لاهوتیّة،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ما بعد ذلک فیما کتبه الطبری لیس لاهوتیّاً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ولکنّنی أختلف معه من حیث إنّنی لست مستعدّاً مباشرةً أن أُسمّیها مأساة، فمن منظور أدبی وإنسانی محض، ربّما تکون قصّة مأساویّة، ولکن من المنظور اللاهوتی حسب ما یدّعیه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فهی لیست مأساویّةً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القصّة بالتأکید تفجع القلب، من حیث إنّ انقسام الأُمّة هو تدمیر للصورة الذاتیّة للإسلام فی عصره الأوّل، والتنکّر لسبط النبی یقرب من التنکّر للنبیّ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روایة الطبری تصبح أحداث کربلاء قصّةً لأزمة حقیقیّة فی الأُمّة الإسلامیّة فی عصرها الأوّل، ولکن مع هذا ما تزال قصّة الحسین تعطی الأمل؛ لأنّها تشیر إلی قضیّة فی غایة الأهمّیة، وهی الاستسلام التام لله والذی یؤدّی إلی الحیاة الحقیقیّة، وإنْ کانت الحیاة فی هذه الدنیا بؤساً وشقاءً والموت المادّی قریباً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جاء بیان هذا فی أماکن کثیرة، وبدلالةٍ خاصّة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القسم السابع، حیث قال الحسین 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نزلَ من الأمرِ ما قد ترون، وإنّ الدنیا قد تغیّرت وتنکّرت وأدبرَ معروفُها، واستمرَّت جدّاً فلم یبقَ منها إلّا صبابةٌ کصبابةِ الإناءِ، وخسیسُ عیشٍ کالمرعی الوبیل، ألا ترونَ أنّ الحقّ لا یُعملُ بهِ وأنّ الباطلَ لا یُتناهی عنه، لِیرغبَ المؤمنُ فی لقاءِ الله محقّاً، فإنّی لا أری الموتَ إلّا شهادةً ولا الحیاةَ مع الظالمینَ إلّا برماً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الموضع الوحید فی القصّة کلّها الذی جاءت فیه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لتخصّ الحسین، والفکرة هی أنّ اتّباع سبیل الله إلی الحدّ الذی یکلّف المرء حیاته، فیه مناشدة لوجدان کلِّ أحدٍ یرغب فی تنفیذ إرادة الله، ویحضّه علی فعل الشیء نفسه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أکثر الأمثلة صلةً بالموضوع من بین الأشخاص الذین فهموا رسالة الحسین هو الحُرّ، الذی أخذ التحدّی فی غایة الجدّ، وأعدّ نفسه لترک حیاته الدنیویّة؛ لینال </w:t>
      </w:r>
    </w:p>
    <w:p>
      <w:pPr>
        <w:pStyle w:val="BookText"/>
        <w:rPr/>
      </w:pPr>
      <w:r>
        <w:rPr>
          <w:rFonts w:ascii="IRNazanin" w:hAnsi="IRNazanin" w:eastAsia="IRNazanin"/>
          <w:color w:val="111111"/>
          <w:sz w:val="28"/>
          <w:sz w:val="28"/>
          <w:szCs w:val="28"/>
          <w:rtl w:val="true"/>
          <w:lang w:bidi="fa-IR"/>
        </w:rPr>
        <w:t>الحیاة الحقیقیّة الأبدیّة، فقد ذهب من الحَرّ إلی الحُرّیّة، وفیما بعد سار فی رکبه آخرون، کان أشهرهم التوّابون، سأتحدّث عن هذه الحرکة باختصارٍ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وجهة النظر هذه، فإنّ موقف الحسین یحقّق ذلک النوع من الوساطة الذی کان قد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 کونغاس ماراندا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 Köngäs Maranda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بییر ماراندا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Maranda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کتابهم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النموذج البصری</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التضاد الرئیسی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الحیاة والموت فی خواصّهما الروحیّة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تمثّلت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الأوّل یتعلّق بالحسین والثانی بأهل الکوفة والأُمویّین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قام الحسین بتمرّدٍ وسبّب انقساماً فی الأُمّة، والذی یمکن أن یُعتبر نقضاً لعهد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الموت الروحی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یموت موتاً مادّیاً، ویصبح مرتبطاً بالحیاة والموت کلیهما، ویقود هذا إلی التحوّل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حسب الاصطلاحات البنیویّة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الانقلاب </w:t>
      </w:r>
      <w:r>
        <w:rPr>
          <w:rFonts w:eastAsia="Times New Roman" w:cs="Times New Roman" w:ascii="Times New Roman" w:hAnsi="Times New Roman"/>
          <w:color w:val="111111"/>
          <w:sz w:val="28"/>
          <w:szCs w:val="28"/>
          <w:lang w:val="en-US" w:bidi="en-US"/>
        </w:rPr>
        <w:t>Inversion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لدی واحدٍ من أهل الکوفة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التحوّل من الموت إلی الحیاة لدی الحُرّ یبیّن أنّ الحیاة تتغلّب علی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وجوهر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تمّ تأویله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رسمه فی الصیغة القانونیّة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Fd(K): Fl(H): : Fd(H): Fk-1(L</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الوظائف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Death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والعناصر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أهل الکوفة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Kufans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الحسین؛ </w:t>
      </w:r>
      <w:r>
        <w:rPr>
          <w:rFonts w:eastAsia="Times New Roman" w:cs="Times New Roman" w:ascii="Times New Roman" w:hAnsi="Times New Roman"/>
          <w:color w:val="111111"/>
          <w:sz w:val="28"/>
          <w:szCs w:val="28"/>
          <w:lang w:val="en-US" w:bidi="en-US"/>
        </w:rPr>
        <w:t>K-1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الکوفی المتحوّل وهو الحُرّ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 کونغاس ماراندا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 Köngäs Maranda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بییر ماراندا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Maranda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أهل الکوفة باختصاصهم بوظیفة الموت فی تضادّ مع الحسین المخصّص بوظیفة الحیاة، فالحسین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یتّخذ الوظیفة السلبیّة للموت، وهی العملیّة التی تؤدّی إلی النصر بمنتهی الکمال، باعتبارها تنشأ من الانهیار الأخلاقی لأهل الکوفة وتحوُّلِ واحدٍ منهم، وهکذا وبدون شکٍّ تؤسّس الحیاة کمحصّلة 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یجب التذکیر بأنّنی فی هذا التحلیل قمتُ بالترکیز علی الحُرّ کممثّل عن جمیع أُولئک الذین أدرکوا جدّیّة الأمر ثمّ تحوّلوا؛ حیث إنّ قضیّته هی الأکثر وضوحاً فی هذا النصّ، ویمکن اختیار آخرین کزُهیر بن القین مثلاً، فالحاصل من العملیّة هو أنّ الحیاة الروحیّة لأُولئک الذین تحوّلوا إلی طریق الله أعظم من مقتل الحسین، ذلک الموت المادّی لیس إلّا، فالنصر المعنوی للحسین هو 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موجّهاً ضدّ إرادة الله، فهو لم یحارب الله أو الإسلام، وإنّما حارب تلک السلطات التی کانت تهدّد بتقویض الأخلاق وتدمیر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ففی القصّة بأکملها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وظیفة الحسین کوسیط إیجابیّة وسلبیّة معاً، فبرفضه الخضوع للسلطات الفاسدة الجائرة أبقی علی فئتی الحیاة والموت منفصلتین، وبترک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بمعناه المادّی، وربّما معناه الروحی أیضاً؛ من حیث إنّه سبّب انقساماً فی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ضمّ الفئتین فی نفسه معاً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وإضافةً لذلک قام الحسین مقام الأُسوة والقدوة لکلِّ المسلمین، تارکاً لهم المجال لیعْبُروا من الموت إلی الحیاة</w:t>
      </w:r>
      <w:r>
        <w:rPr>
          <w:rFonts w:eastAsia="IRNazanin" w:cs="IRNazanin"/>
          <w:color w:val="111111"/>
          <w:sz w:val="28"/>
          <w:szCs w:val="28"/>
          <w:rtl w:val="true"/>
          <w:lang w:bidi="fa-IR"/>
        </w:rPr>
        <w:t xml:space="preserve">. </w:t>
      </w:r>
      <w:bookmarkStart w:id="220" w:name="pg5097_58474"/>
    </w:p>
    <w:p>
      <w:pPr>
        <w:pStyle w:val="Heading3"/>
        <w:numPr>
          <w:ilvl w:val="2"/>
          <w:numId w:val="1"/>
        </w:numPr>
        <w:rPr/>
      </w:pPr>
      <w:bookmarkStart w:id="221" w:name="__RefHeading___Toc1259946_774463916"/>
      <w:bookmarkStart w:id="222" w:name="_Toc77"/>
      <w:bookmarkEnd w:id="220"/>
      <w:bookmarkEnd w:id="221"/>
      <w:r>
        <w:rPr>
          <w:rtl w:val="true"/>
        </w:rPr>
        <w:t>بعد کربلاء</w:t>
      </w:r>
      <w:bookmarkEnd w:id="222"/>
    </w:p>
    <w:p>
      <w:pPr>
        <w:pStyle w:val="BookText"/>
        <w:rPr/>
      </w:pPr>
      <w:r>
        <w:rPr>
          <w:rFonts w:ascii="IRNazanin" w:hAnsi="IRNazanin" w:eastAsia="IRNazanin"/>
          <w:color w:val="111111"/>
          <w:sz w:val="28"/>
          <w:sz w:val="28"/>
          <w:szCs w:val="28"/>
          <w:rtl w:val="true"/>
          <w:lang w:bidi="fa-IR"/>
        </w:rPr>
        <w:t xml:space="preserve">لقد ذکرت واحدة من نتائج واقعة کربلاء، وهی 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وقصّة هذه الحرکة رواها الطبری أیضاً نقلاً عن هشام بن الکلبی، الذی یبدو أنّه اقتبس معظم أثر 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سُلیمان بن صُرَد</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وباختصارٍ تخبرنا القصّة بما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أربع سنوات من مقتل الحسین، تلاوم أهل الکوفة من شیعته لعدم التحاقهم به فی کربلاء، وندموا ندماً شدیداً؛ لتخاذلهم عن نصرته، ورأوا أنّ ذنبهم کذنب الیهود بما عصوا الله عندما صنعوا لهم عجلاً من ذهب، ففی خطبةٍ ملتهبة، قال زعیمهم سلیمان بن صُرَد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فإنِّی والله، لخائِفٌ ألّا یکونَ آخرنا إلی هذا الدَّهر الَّذِی نکدت فیه المعیشة، وعظُمت فیه الرّزیَّة، وشَمِل فیه الجورُ أولی الفضلِ من هذهِ الشیعة، لما هو خیر؛ إنَّا کنَّا نمدّ أعناقنا إلی قدوم آل نبیِّنا، ونمنِّیهم النَّصرَ، ونحثّهم علی القُدوم، فلمَّا قدِموا ونَیْنا وعَجزنا، وادَّهنَّا وتَربَّصنا، وانْتَظرنا ما یکون حَتَّی قُتل فینا وَلَدُ نبیِّنا، وسُلالَتُه، وعُصارتُه، وبَضعةٌ من لَحْمه ودَمِه، إذ جعل یَسْتَصرِخُ فلا یُصرَخ، ویسألُ النَّصَف فلا یُعطاه، اتَّخذه الفاسقون غَرَضاً للنَّبل، ودرَّیة للرّماح حَتَّی أقصدوه، وعدَوْا علیه فسَلبوه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انْهَضوا فقد سخِط ربُّکم، ولا ترجعوا إلی الحلائِل والأبناء حَتَّی یَرضَی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أظنُّه راضیّاً دون أن تناجِزوا مَن قتله، أو تُبیروا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لا تهابوا الموت، فوالله، ما هابه امرؤ قطُّ إلّا ذلّ، کونوا کالأُلَی من بنی إسرائیل، إذ قال لهم نبیِّهم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إِنَّکُمْ ظَلَمْتُمْ أَنْفُسَکُمْ بِاتِّخَاذِکُمُ الْعِجْلَ فَتُوبُوا إِلَی بَارِئِکُمْ فَاقْتُلُوا أَنْفُسَکُمْ ذَلِکُمْ خَیْرٌ لَکُمْ عِنْدَ بَارِئِکُمْ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فعَل القومُ؟ جَثَوا علی الرُّکب والله، ومدّوا الأعناق، ورضُوا بالقَضاء حَتَّی حینَ علموا أنَّه لا ینجیهم من عظیم الذَّنب إلّا الصبر علی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بکم لو قد دُعیتم إلی مثْل ما دُعِی القوم إلیه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رفض التوّابون فکرة قتل أنفسهم جماعةً؛ حیث إنّ هذا محرّم فی القرآن، ولکنّهم اتّفقوا علی عملٍ یبلغ ذلک، وهو أنْ یأخذوا أسلحتهم ویخرجوا لقتال جیش بنی أُمیّة؛ أنْ یقتلوا قتَلَةَ الحسین أو یموتوا فی هذا السبیل، وعندما أعدّوا أنفسهم للخروج من الکوفة، ظهر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فقط من بین </w:t>
      </w:r>
      <w:r>
        <w:rPr>
          <w:rFonts w:eastAsia="IRNazanin" w:cs="IRNazanin"/>
          <w:color w:val="111111"/>
          <w:sz w:val="28"/>
          <w:szCs w:val="28"/>
          <w:rtl w:val="true"/>
          <w:lang w:bidi="fa-IR"/>
        </w:rPr>
        <w:t>(</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کانوا قد تعاهدوا علی هذا الأمر، وما زال هذا العدد یتناقص مع مضی الزحف، ونزلوا فی کربلاء، وأمضوا هناک یوماً ولیلةً فی الصلاة والبکاء والندم والتوبة قبل أن یستأنفوا زحفهم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عین الوردة شمال العراق، لقوا جیش الشام، وقُتلوا عن آخرهم سنة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قلّة قلیلة منهم سلموا من القتل، وقد مُلئوا خزیاً وعاراً من </w:t>
      </w:r>
    </w:p>
    <w:p>
      <w:pPr>
        <w:pStyle w:val="BookText"/>
        <w:rPr/>
      </w:pPr>
      <w:r>
        <w:rPr>
          <w:rFonts w:ascii="Amiri" w:hAnsi="Amiri" w:eastAsia="Amiri" w:cs="Amiri"/>
          <w:color w:val="111111"/>
          <w:sz w:val="28"/>
          <w:sz w:val="28"/>
          <w:szCs w:val="28"/>
          <w:rtl w:val="true"/>
          <w:lang w:bidi="ar-SA"/>
        </w:rPr>
        <w:t>أنّهم لم یُقتَلوا فی المعرکة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هاینز هالْم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Heinz Halm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التضحیة بالنفس التی قام بها التوّابون فی سنة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دخلت ضمن مراسیم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الشعائر التی سنحت لی الفرصة أنْ أشهدها فی باکستان، وقد تحدّثت عنها فی الفصل التمهیدی لهذه الدراسة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یقول هالْم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إنّ هذه الشعیرة لیست من شعائر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یُعتقَدُ فی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شعیرة للتوبة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ویمضی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الفعل من 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إسالة الشخص لدمه بجلد نفسه أو ضرب جبینه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بدیلٌ عمّا یتضمّنه ذلک العمل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المکفِّر عن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الوقت نفسه یضمن للفاعل حسن العاقبة، وهی العتق من ذلک الذنب التاریخی</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والتحلیل البنیوی لقصّة التوّابین وشعائر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تُسمّی فی شبه القارّة الهند وباکستانیّة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محرّم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ضوء ما یوجد فی التحلیل أعلاه بعیدٌ جداً عن مجال هذه الدراسة التی بین أیدینا، ولکنّنی سأعود باختصارٍ إلی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لوسییه سکوبلا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القانونیّة، وأری أنّ نموذجه ربّما یکون ذا صلة بدراسة تطوّر تلک الشعیرة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دعونا أوّلاً نذکّر بذلک النموذج</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سکوبلا أنّ الصیغة القانونیّة یمکن تبسیطها وکتابتها فی 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تبیّن الوساطة بأُسلوب ستاتیکی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غیر متغیّر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B: : M: X</w:t>
      </w:r>
    </w:p>
    <w:p>
      <w:pPr>
        <w:pStyle w:val="BookText"/>
        <w:rPr/>
      </w:pPr>
      <w:r>
        <w:rPr>
          <w:rFonts w:ascii="Amiri" w:hAnsi="Amiri" w:eastAsia="Amiri" w:cs="Amiri"/>
          <w:color w:val="111111"/>
          <w:sz w:val="28"/>
          <w:sz w:val="28"/>
          <w:szCs w:val="28"/>
          <w:rtl w:val="true"/>
          <w:lang w:bidi="ar-SA"/>
        </w:rPr>
        <w:t>والأُخری تبیّنها کعملیّة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A/B® M ®X</w:t>
      </w:r>
    </w:p>
    <w:p>
      <w:pPr>
        <w:pStyle w:val="BookText"/>
        <w:rPr/>
      </w:pPr>
      <w:r>
        <w:rPr>
          <w:rFonts w:ascii="IRNazanin" w:hAnsi="IRNazanin" w:eastAsia="IRNazanin"/>
          <w:color w:val="111111"/>
          <w:sz w:val="28"/>
          <w:sz w:val="28"/>
          <w:szCs w:val="28"/>
          <w:rtl w:val="true"/>
          <w:lang w:bidi="fa-IR"/>
        </w:rPr>
        <w:t xml:space="preserve">فی الحالتین کلتیهما،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یشیران إلی التضادّ بین المتضادّین،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فی أحداث کربلاء، هو موت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Fy</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حیاة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الشکل الأصلی للصیغة، حیث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یمثّل الوساطة أو عدم التمایز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وحیث الطرف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یتبنّی آنیّاً الوظیفة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التبنّی الآنی للموت الروحی والمعاناة الحقیقیّة لموت الحسین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العنصر الرابع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أخیراً یمثّل الحصیلة، وهی تحوّلٌ یُزال فیه الطرف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وترتقی الوظیفة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الکوفی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الحُرّ یُؤخذ إلی الحیاة الروحیّة وتلک الحیاة تکتسب النصر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ینبغی ملاحظة أنّه لیس قتل الحسین هو الذی یشکّل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الإزالة الجذریّة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 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أی العملیّة التی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أوّلها علی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مخلوق خبیث</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بیان هذه العملیّة فی تحوّل الحُرّ، حیث کان مقتل الحسین وساطیّاً؛ وسبّب التحوّل بین الفئات، والذی کانت نتیجته الأُولی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الإزالة الجذریّة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وکما یفترض سکوبلا فإنّ عملیّة الوساطة بأکملها یمکن أن تُعتبَر کحلقة تحوّل، حیث لا یکون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النتیجة النهائیّة فقط، بل کذلک نقطة البدایة لحلقة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ضوء هذا، نستطیع رؤیة حرکة التوّابین علی أنّها الحلقة التالیة، وکلُّ حدثٍ من شعائر محرّم علی أنّها حلقات متتابعة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قصّة التوّابین، مرّةً أُخری نجد التفرّع الثنائی بین الحیاة الروحیّة والموت الروحی، أو کما جاء فی رسالةٍ من سلیمان بن صُرَد إلی بعض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التفرّع الثنائی بین الدنیا والآخرة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وتبدو هذه الثنائیّة کشعور بالندم فی أعماق کلِّ واحدٍ من التوّابین، فقد کان ینبغی علیهم الترکیز علی الآخرة واختیار الحیاة، ولکنّهم بدلاً من ذلک ونتیجةً للجبن والغایات الدنیویّة</w:t>
      </w:r>
      <w:r>
        <w:rPr>
          <w:rStyle w:val="FootnoteAnchor"/>
          <w:rtl w:val="true"/>
        </w:rPr>
        <w:footnoteReference w:id="522"/>
      </w:r>
      <w:r>
        <w:rPr>
          <w:rFonts w:ascii="IRNazanin" w:hAnsi="IRNazanin" w:eastAsia="IRNazanin"/>
          <w:color w:val="111111"/>
          <w:sz w:val="28"/>
          <w:sz w:val="28"/>
          <w:szCs w:val="28"/>
          <w:rtl w:val="true"/>
          <w:lang w:bidi="fa-IR"/>
        </w:rPr>
        <w:t xml:space="preserve">اختاروا طریقاً یقودهم فی النهایة إلی الموت، وظهرت هذه اللوعة بوضوح فی الهجوم الانتحاری علی جیش الأُمویّین، ذلک الفعل الذی کان الهدف منه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هوی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انتهی بالموت المادّی الفعلی لمعظم المشارکین فیه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والموت المادّی کان بالضبط ما أراده التوّابون، حیث یعنی أنّ ترکیزهم الحقیقی </w:t>
      </w:r>
    </w:p>
    <w:p>
      <w:pPr>
        <w:pStyle w:val="BookText"/>
        <w:rPr/>
      </w:pPr>
      <w:r>
        <w:rPr>
          <w:rFonts w:ascii="IRNazanin" w:hAnsi="IRNazanin" w:eastAsia="IRNazanin"/>
          <w:color w:val="111111"/>
          <w:sz w:val="28"/>
          <w:sz w:val="28"/>
          <w:szCs w:val="28"/>
          <w:rtl w:val="true"/>
          <w:lang w:bidi="fa-IR"/>
        </w:rPr>
        <w:t xml:space="preserve">کان علی الآخرة، وأنّ الحیاة الروحیّة کانت الثواب الذی سینالونه، وکانت الوساطة فی هذه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الشعور بالندم والتوبة، حیث تمتزج الحیاة بالموت؛ والنتیجة 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نموذج سکوبلا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 الدنیوی للتوّابین، والفوز بالحیاة الحقیقیّة فی الآخرة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7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ویمکن اعتبار شعائر عاشوراء أو محرّم التی تُقام فی کلِّ عامٍ علی أنّها الشکل المصغَّر لعمل التوّابین، وهنا قد استُبدِل الصراع الانتحاری الفعلی ضدّ قوی الشرّ مکان الأعمال الشفهیّة والبدنیّة للتوبة، ولکنّها عادةً لا تؤدّی إلی الموت الجسدی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Halm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فإنّ الأخیر بالتأکید لم یکن مجهولاً بما فیه الکفایة، کما أثبتته الثورة الإیرانیّة والحرب العراقیّة الإیرانیّة التی لحقتها</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مرّةً أُخری أودّ أن أؤکّد أنّ تطبیق نموذج سکوبلا علی روایة التوّابین وشعائر عاشوراء هو مؤقّت فقط، ومن أجل إثبات ذلک تصبح الحاجة ماسّة إلی تحلیلات شاملة للنصّ والشعائر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5097_58480"/>
    </w:p>
    <w:p>
      <w:pPr>
        <w:pStyle w:val="Heading2"/>
        <w:numPr>
          <w:ilvl w:val="1"/>
          <w:numId w:val="1"/>
        </w:numPr>
        <w:rPr/>
      </w:pPr>
      <w:bookmarkStart w:id="224" w:name="__RefHeading___Toc1259948_774463916"/>
      <w:bookmarkStart w:id="225" w:name="_Toc78"/>
      <w:bookmarkEnd w:id="223"/>
      <w:bookmarkEnd w:id="224"/>
      <w:r>
        <w:rPr>
          <w:rtl w:val="true"/>
        </w:rPr>
        <w:t>الفصل الرابع</w:t>
      </w:r>
      <w:r>
        <w:rPr>
          <w:rtl w:val="true"/>
        </w:rPr>
        <w:t xml:space="preserve">: </w:t>
      </w:r>
      <w:r>
        <w:rPr>
          <w:rtl w:val="true"/>
        </w:rPr>
        <w:t>استنتاجات وتوقّعات مستقبلیّة</w:t>
      </w:r>
      <w:bookmarkEnd w:id="225"/>
    </w:p>
    <w:p>
      <w:pPr>
        <w:pStyle w:val="Heading3"/>
        <w:numPr>
          <w:ilvl w:val="2"/>
          <w:numId w:val="1"/>
        </w:numPr>
        <w:rPr/>
      </w:pPr>
      <w:bookmarkStart w:id="226" w:name="__RefHeading___Toc1259950_774463916"/>
      <w:bookmarkStart w:id="227" w:name="_Toc79"/>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صورة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7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8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82" o:detectmouseclick="t"/>
                <v:stroke color="#3465a4" joinstyle="round" endcap="flat"/>
                <w10:wrap type="none"/>
              </v:shape>
            </w:pict>
          </mc:Fallback>
        </mc:AlternateContent>
      </w:r>
      <w:bookmarkStart w:id="228" w:name="pg5097_58482"/>
    </w:p>
    <w:p>
      <w:pPr>
        <w:pStyle w:val="Heading3"/>
        <w:numPr>
          <w:ilvl w:val="2"/>
          <w:numId w:val="1"/>
        </w:numPr>
        <w:rPr/>
      </w:pPr>
      <w:bookmarkStart w:id="229" w:name="__RefHeading___Toc1259952_774463916"/>
      <w:bookmarkStart w:id="230" w:name="_Toc80"/>
      <w:bookmarkEnd w:id="228"/>
      <w:bookmarkEnd w:id="229"/>
      <w:r>
        <w:rPr>
          <w:rtl w:val="true"/>
        </w:rPr>
        <w:t>الطبری وأحداث کربلاء</w:t>
      </w:r>
      <w:bookmarkEnd w:id="230"/>
    </w:p>
    <w:p>
      <w:pPr>
        <w:pStyle w:val="BookText"/>
        <w:rPr/>
      </w:pPr>
      <w:r>
        <w:rPr>
          <w:rFonts w:ascii="IRNazanin" w:hAnsi="IRNazanin" w:eastAsia="IRNazanin"/>
          <w:color w:val="111111"/>
          <w:sz w:val="28"/>
          <w:sz w:val="28"/>
          <w:szCs w:val="28"/>
          <w:rtl w:val="true"/>
          <w:lang w:bidi="fa-IR"/>
        </w:rPr>
        <w:t xml:space="preserve">حسب روایة الطبری، فإنّ کُلاً من الفریقین المتخاصمین فی أحداث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قواعد الإسلام الصحیح تُثبت وترسّخ من خلال سلطته وحکمه هو، وبالنسبة للحسین فإنّ عدداً من الخطب المنسوبة إلیه قد تمّت مناقشتها خلال التحلیل المتقدّم، وجاء ذکر احتجاجه أنّه صاحب الحقّ فی السلطة السیاسیّة؛ بسبب قرابته من النبیّ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وبطریقة مشابهة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إدّعی بنو أُمیّة وأتباعهم أنّهم أصحاب الحقّ فی الحکم دون سواهم، والأکثر وضوحاً منها طلب یزید البیعة من أُولئک الرجال الذین اعتبرهم أنداده السیاسیّین، وقد ناقشنا حجّته أنّ هذا المنصب قد أعطاه الله له فیما سبق، بالإضافة لذلک فإنّ الفریقین کلیهما اتّهم أحدهما الآخر بشقّ عصا الأُمّة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خطورة انقسام أُمّة المسلمین جاءت علی لسانٍ أحد أصحاب الحسین الخُلّص، وهو زهیر بن القین الذی خاطب 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کانت الحرب علی وشک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الکوفة، نذارِ لکم من عذابِ اللهِ 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حقّاً علی المسلمِ نصیحةَ أخیهِ المسلم، ونحنُ حتّی الآن إخوةٌ وعلی دینٍ واحدٍ وملّةٍ واحدة ما لم یقع بیننا وبینکم السیفُ، وأنتم للنصیحةِ منّا أهلٌ، فإذا وقعَ السیفُ انقطعت العصمةُ، وکنّا أُمّةً وأنتم أُمّة، إنَّ الله قد ابتلانا وإیّاکم بذریّةِ نبیّهِ محمّدٍ؛ لینظرَ ما نحنُ وأنتم عاملون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سیأتی إکمال موضوع انقسام الأُمّة بعد صفحات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رأینا عندما بدأ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جیش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 أوّل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المعرکة قد بدأت ولیس هناک من عودة، ویظهر انقسام الأُمّة فی أخبار الصلاة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القسم الثالث والرابع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الحسین أصحابه وأهل الکوفة فی الصلاة جماعةً، ممّا أظهر أنّ الجمیع کانوا من دِینٍ واحد وأُمّة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سیاسیّاً من معسکرین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فقد رأَیْنا خلال المعرکة أنّه لیس فقط صلّی أصحاب الحسین منقسمین، بل إنّهم أُجبروا علی أداء صلاة الخوف، فقد أدّوا الصلاة بالتعاقب، حیث صلّی أوّلاً فریقٌ منهم وفریقٌ آخر یحمیهم ضدّ أهل الکوفة، ثمّ تبادل الفریقان الدور</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بیانٌ واضح علی أنّ أهل الکوفة لم یعودوا یعتبرونهم مسلمین، إن لم یکن من ناحیة الرأی فمن الناحیة العملیّة علی الأقل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وحدة المسلمین تُعتبر آیةً لتلک المنزلة الرفیعة لهذه الأُمّة المختارة التی التزمت مع الله بمیثاق یتضمّن طاعتهم لأحکامه مقابل کسب رضاه، ومن هنا فإنّ تفرّق الأُمّة یُعتبر انتهاکاً لهذا المیثاق الإلهی؛ لهذا کانت أحداث کربلاء مهمّةً جدّاً للمؤرّخین الأوائل؛ وذلک لأنّها أوّلاً کانت مظهراً من مظاهر الفتنة، والحرب </w:t>
      </w:r>
    </w:p>
    <w:p>
      <w:pPr>
        <w:pStyle w:val="BookText"/>
        <w:rPr/>
      </w:pPr>
      <w:r>
        <w:rPr>
          <w:rFonts w:ascii="IRNazanin" w:hAnsi="IRNazanin" w:eastAsia="IRNazanin"/>
          <w:color w:val="111111"/>
          <w:sz w:val="28"/>
          <w:sz w:val="28"/>
          <w:szCs w:val="28"/>
          <w:rtl w:val="true"/>
          <w:lang w:bidi="fa-IR"/>
        </w:rPr>
        <w:t>الأهلیّة وتفتّت الأُمّة، وثانیاً لأنّها تربط نقض المیثاق الإلهی إلی حدٍّ بعید مع خیانة المعاهدة السیاسیّة، أی العهد بین الحسین وأهل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فالأخیرة تُعتبر توضیحاً للأُولی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هذا التأویل یخصّ الحسین وأصحابه ولیس بنی أُمیّة وأعوانهم، والطبری نفسه لم یفصح صراحةً عن قصده، فعند ترتیب مادّة الطبری یبرز بوضوح أنّ التأویل حول الحسین وأصحابه هو الأکثر صحّةً، ومن الواضح أنّ روایة الطبری حول أحداث کربلاء تُروی من وجهة نظرهم ولیس من وجهة نظر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الصراع الداخلی حول السلطة فی الأُمّة الإسلامیّة فی العقود الأُولی موضوعاً مهمّاً للمؤرّخین المسلمین الأوائل، وله تأثیر علی الأُمّة الإسلامیّة حتّی یومنا هذا، وفی الاصطلاح العام کانت تلک النزاعات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تایوب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أُستاذ الدراسات الدینیّة من جنوب أفریقیا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کیفیّة استخدام هذا المفهوم طوال تاریخ الإسلام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کمصطلح أساسی فی النظام الإدراکی الرمزی للأدب الإسلامی، ترسم الفتنة طریقاً دینیّاً محافظاً إلی قضایا سیاسیّة أو اجتماعیّة</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إنّ القوی التی ترید عرقلة التغییر السیاسی أو الاجتماعی، تشیر إلی هذا المفهوم من أجل أن تهوّل الصراعات والنزاعات السیاسیّة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ویری تایوب أنّ الطبری بشکلٍ عادی لم تکن لدیه هذه النظرة السلبیّة حول الفتنة، بل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تستدعی أُموراً کالاختبار والابتلاء، أو حتّی التمحیص،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هذا فإنّ الأشکال المختلفة للفتنة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کمحلّ اختبار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فرصةً للمرء؛ لتمیّزه علی أنّه مؤمن ثابت الإیمان، وفی هذه الحال لا یمکن اجتناب الفتنة ولا ینبغی اجتنابها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القول المنسوب إلی زهیر بن القین الوارد أعلاه، لم یأتِ ذکر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زُهیراً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من خلال الحسین، والتی اعتبرها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مرادفةً للفتنة بقلیل أو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 قراءتی لأحداث کربلاء فی روایة الطبری، فإنّ الرسالة الأساسیّة للقصّة تقع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الدلالات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لرحلة الحسین نحو الکوفة، والمواقف التی اتخّذها مختلف الناس تجاهه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تحدّی الحسینُ السلطةَ الأُمویّة الفاسدة، أجبر الناس علی أن یختاروا بین أن یکونوا مسلمین حقّاً، أو یکونوا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یحیوا حیاة حقیقیّة برجاء الآخرة، أو حیاةً مشوّهة برجاء الدنیا ولذّاتها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فعلُ الحسین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أبقی الفئات المتضادّة منفصلةً عن بعضها، ولکنّه أیضاً هدی جمیع أُولئک الذین رضوا به إماماً إلی الصراط المستقیم، وبهذا سمح للانتقال بین الفئات، وهذه الطریقة نفسها التی غالباً ما أوّل بها المسلمون من أهل السُنّة هذه القصّة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231" w:name="pg5097_58486"/>
    </w:p>
    <w:p>
      <w:pPr>
        <w:pStyle w:val="BookText"/>
        <w:rPr/>
      </w:pPr>
      <w:bookmarkEnd w:id="231"/>
      <w:r>
        <w:rPr>
          <w:rFonts w:ascii="IRNazanin" w:hAnsi="IRNazanin" w:eastAsia="IRNazanin"/>
          <w:color w:val="111111"/>
          <w:sz w:val="28"/>
          <w:sz w:val="28"/>
          <w:szCs w:val="28"/>
          <w:rtl w:val="true"/>
          <w:lang w:bidi="fa-IR"/>
        </w:rPr>
        <w:t>أمّا الشیعة، فقد ذهبوا إلی أبعد من ذلک، حیث یعتقدون أنّ الطاعة المطلقة للحسین کإمام وهادٍ فقط هی التی تقود إلی النجاة</w:t>
      </w:r>
      <w:r>
        <w:rPr>
          <w:rFonts w:eastAsia="IRNazanin" w:cs="IRNazanin"/>
          <w:color w:val="111111"/>
          <w:sz w:val="28"/>
          <w:szCs w:val="28"/>
          <w:rtl w:val="true"/>
          <w:lang w:bidi="fa-IR"/>
        </w:rPr>
        <w:t>.</w:t>
      </w:r>
    </w:p>
    <w:p>
      <w:pPr>
        <w:pStyle w:val="Heading3"/>
        <w:numPr>
          <w:ilvl w:val="2"/>
          <w:numId w:val="1"/>
        </w:numPr>
        <w:rPr/>
      </w:pPr>
      <w:bookmarkStart w:id="232" w:name="__RefHeading___Toc1259954_774463916"/>
      <w:bookmarkStart w:id="233" w:name="_Toc81"/>
      <w:bookmarkEnd w:id="232"/>
      <w:r>
        <w:rPr>
          <w:rtl w:val="true"/>
        </w:rPr>
        <w:t>تطبیق البنیویّة علی دراسة التاریخ الإسلامی</w:t>
      </w:r>
      <w:bookmarkEnd w:id="233"/>
    </w:p>
    <w:p>
      <w:pPr>
        <w:pStyle w:val="BookText"/>
        <w:rPr/>
      </w:pPr>
      <w:r>
        <w:rPr>
          <w:rFonts w:ascii="IRNazanin" w:hAnsi="IRNazanin" w:eastAsia="IRNazanin"/>
          <w:color w:val="111111"/>
          <w:sz w:val="28"/>
          <w:sz w:val="28"/>
          <w:szCs w:val="28"/>
          <w:rtl w:val="true"/>
          <w:lang w:bidi="fa-IR"/>
        </w:rPr>
        <w:t xml:space="preserve">مع أنّنی أعتبر هذا العمل کدراسة رائدة تفتح الباب أمام مقارنات مع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للقصّة نفسها، کما بیّنت ذلک فی المقدّمة، فإنّ النتائج المتأتّیة من التحلیلات السابقة جعلتنی واثقاً أنّ دراسة النصوص التاریخیّة المدوّنة فی القرون الأُولی للإسلام یمکنها الاستفادة من الأدوات النظریّة والمنهجیّة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المتعلّقة بعلم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Claude Lévi-Strauss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 النتائج کانت نوعاً ما قابلة للتنبّؤ بها، کالبنیة الأساسیّة للتصنیفات الإسلامیّة؛ البنیة الواردة فی المخطّط المرسوم فی الجدول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کانت مفاجئة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الرغم من أنّ ترتیب الفئات المختلفة بهذه الطریقة هی من ابتکار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النتائج الأُخری مثل العلاقة بین الماء والدم، وکذلک دور الحسین کوسیط، کان من الصعب التوصّل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التحلیلات البنیویّة، وربّما کان الأمر الأکثر أهمّیة هو طبیعة الاحتجاجات الواردة فی النصّ التی عرضتها</w:t>
      </w:r>
    </w:p>
    <w:p>
      <w:pPr>
        <w:pStyle w:val="BookText"/>
        <w:rPr/>
      </w:pPr>
      <w:r>
        <w:rPr>
          <w:rFonts w:ascii="IRNazanin" w:hAnsi="IRNazanin" w:eastAsia="IRNazanin"/>
          <w:color w:val="111111"/>
          <w:sz w:val="28"/>
          <w:sz w:val="28"/>
          <w:szCs w:val="28"/>
          <w:rtl w:val="true"/>
          <w:lang w:bidi="fa-IR"/>
        </w:rPr>
        <w:t>التحلیلات البنیویّة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روایته حول أحداث کربلاء، قد </w:t>
      </w:r>
    </w:p>
    <w:p>
      <w:pPr>
        <w:pStyle w:val="BookText"/>
        <w:rPr/>
      </w:pPr>
      <w:r>
        <w:rPr>
          <w:rFonts w:ascii="IRNazanin" w:hAnsi="IRNazanin" w:eastAsia="IRNazanin"/>
          <w:color w:val="111111"/>
          <w:sz w:val="28"/>
          <w:sz w:val="28"/>
          <w:szCs w:val="28"/>
          <w:rtl w:val="true"/>
          <w:lang w:bidi="fa-IR"/>
        </w:rPr>
        <w:t>أُبلِغت من خلال إثبات أنّ نظاماً واحداً للتصنیف هو أفضل وأکثر صواباً من الآخر فی عین الله، فقد فعل ذلک من خلال التغییر الذی ربما یعتبره الکثیرون استنتاجات مستبعدة إلی حقائق واقعیّة واضحة، وهو التغییر الذی یتحقّق فی التحوّل من المجاز إلی الکنایة وعملیّات أُخری، ویمکن رسم هذه العملیّة بواسطة نسخة یمکن استخراجها علی العموم من نموذج لیفی شتراوس، والذی استخدمتُه کثیراً فی التحلیلات السابقة للنصِّ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الوساطة، المطبّق علی دراسة التاریخ الإسلامی بصورة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الآخرة</w:t>
      </w:r>
    </w:p>
    <w:p>
      <w:pPr>
        <w:pStyle w:val="BookText"/>
        <w:rPr/>
      </w:pPr>
      <w:r>
        <w:rPr>
          <w:rFonts w:ascii="IRNazanin" w:hAnsi="IRNazanin" w:eastAsia="IRNazanin"/>
          <w:color w:val="111111"/>
          <w:sz w:val="28"/>
          <w:sz w:val="28"/>
          <w:szCs w:val="28"/>
          <w:rtl w:val="true"/>
          <w:lang w:bidi="fa-IR"/>
        </w:rPr>
        <w:t>الموت المادی</w:t>
      </w:r>
    </w:p>
    <w:p>
      <w:pPr>
        <w:pStyle w:val="BookText"/>
        <w:rPr/>
      </w:pPr>
      <w:r>
        <w:rPr>
          <w:rFonts w:ascii="IRNazanin" w:hAnsi="IRNazanin" w:eastAsia="IRNazanin"/>
          <w:color w:val="111111"/>
          <w:sz w:val="28"/>
          <w:sz w:val="28"/>
          <w:szCs w:val="28"/>
          <w:rtl w:val="true"/>
          <w:lang w:bidi="fa-IR"/>
        </w:rPr>
        <w:t>الحیاة المادّیة</w:t>
      </w:r>
    </w:p>
    <w:p>
      <w:pPr>
        <w:pStyle w:val="BookText"/>
        <w:rPr/>
      </w:pPr>
      <w:r>
        <w:rPr>
          <w:rFonts w:ascii="IRNazanin" w:hAnsi="IRNazanin" w:eastAsia="IRNazanin"/>
          <w:color w:val="111111"/>
          <w:sz w:val="28"/>
          <w:sz w:val="28"/>
          <w:szCs w:val="28"/>
          <w:rtl w:val="true"/>
          <w:lang w:bidi="fa-IR"/>
        </w:rPr>
        <w:t>الدنیا</w:t>
      </w:r>
    </w:p>
    <w:p>
      <w:pPr>
        <w:pStyle w:val="BookText"/>
        <w:rPr/>
      </w:pPr>
      <w:r>
        <w:rPr>
          <w:rFonts w:ascii="Amiri" w:hAnsi="Amiri" w:eastAsia="Amiri" w:cs="Amiri"/>
          <w:color w:val="111111"/>
          <w:sz w:val="28"/>
          <w:sz w:val="28"/>
          <w:szCs w:val="28"/>
          <w:rtl w:val="true"/>
          <w:lang w:bidi="ar-SA"/>
        </w:rPr>
        <w:t xml:space="preserve">ثواب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w:t>
      </w:r>
    </w:p>
    <w:p>
      <w:pPr>
        <w:pStyle w:val="BookText"/>
        <w:rPr/>
      </w:pPr>
      <w:r>
        <w:rPr>
          <w:rFonts w:eastAsia="Times New Roman" w:cs="Times New Roman" w:ascii="Times New Roman" w:hAnsi="Times New Roman"/>
          <w:color w:val="111111"/>
          <w:sz w:val="28"/>
          <w:szCs w:val="28"/>
          <w:lang w:val="en-US" w:bidi="en-US"/>
        </w:rPr>
        <w:t>A</w:t>
      </w:r>
    </w:p>
    <w:p>
      <w:pPr>
        <w:pStyle w:val="BookText"/>
        <w:rPr/>
      </w:pPr>
      <w:r>
        <w:rPr>
          <w:rFonts w:eastAsia="Times New Roman" w:cs="Times New Roman" w:ascii="Times New Roman" w:hAnsi="Times New Roman"/>
          <w:color w:val="111111"/>
          <w:sz w:val="28"/>
          <w:szCs w:val="28"/>
          <w:lang w:val="en-US" w:bidi="en-US"/>
        </w:rPr>
        <w:t>M</w:t>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النفاق</w:t>
      </w:r>
    </w:p>
    <w:p>
      <w:pPr>
        <w:pStyle w:val="BookText"/>
        <w:rPr/>
      </w:pPr>
      <w:r>
        <w:rPr>
          <w:rFonts w:ascii="IRNazanin" w:hAnsi="IRNazanin" w:eastAsia="IRNazanin"/>
          <w:color w:val="111111"/>
          <w:sz w:val="28"/>
          <w:sz w:val="28"/>
          <w:szCs w:val="28"/>
          <w:rtl w:val="true"/>
          <w:lang w:bidi="fa-IR"/>
        </w:rPr>
        <w:t>الکفر</w:t>
      </w:r>
    </w:p>
    <w:p>
      <w:pPr>
        <w:pStyle w:val="BookText"/>
        <w:rPr/>
      </w:pPr>
      <w:r>
        <w:rPr>
          <w:rFonts w:ascii="IRNazanin" w:hAnsi="IRNazanin" w:eastAsia="IRNazanin"/>
          <w:color w:val="111111"/>
          <w:sz w:val="28"/>
          <w:sz w:val="28"/>
          <w:szCs w:val="28"/>
          <w:rtl w:val="true"/>
          <w:lang w:bidi="fa-IR"/>
        </w:rPr>
        <w:t>عقاب الله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الحقل المظلّل یمثّل الحیاة بعد 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النسخ المختلفة لهذا النموذج التی رأیناها فی الفصل السابق، کانت محتویات الحقلین فی أقصی الیسار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نسبیّاً؛ ومحتویات الحقل الثالث هی التی تتغیّر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الحقل الثالث قد بقیت بدون تغییر بطرفین متضادّین وطرف وسیط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الجدول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المتضادّان یمثّلهما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 والطرف الوسیط یمثّله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وتتغیّر هذه الأطراف حسب الرسالة التی یرید المؤلّف إبلاغها، فقد رأینا کیف تغیّرت بین رمز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رمز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والرمز الاقتصادی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القول عموماً، سیصبح هذا ملفتاً بصورة خاصّة عندما نتأمّل الأبعاد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الدِّینیّة –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لرسالة یتضمّنها نصٌّ ما من عصر الإسلام الأوّل، وهنا أودّ أن استخلص الاستنتاجات المستنبطة من هذا النموذج، وافترض أنّ ظاهرة إقحام أطراف سیاسیّة مختلفة فی البنیة الإسلامیّة الأساسیّة لا یشکّل شیئاً خاصّاً للنصِّ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إنّ التاریخ الإسلامی بأکمله یمکن رؤیته علی أنّه مبنیٌ علی نفس المحرّک الذی تکسوه محتویات سیاسیّة وکلامیّة مختلفة، ومن أجل الاحتجاج لذلک، والنجاح فی إیصال فکرةٍ دینیّة سیاسیّة معیّنة فی بیئة</w:t>
      </w:r>
    </w:p>
    <w:p>
      <w:pPr>
        <w:pStyle w:val="BookText"/>
        <w:rPr/>
      </w:pPr>
      <w:r>
        <w:rPr>
          <w:rFonts w:ascii="IRNazanin" w:hAnsi="IRNazanin" w:eastAsia="IRNazanin"/>
          <w:color w:val="111111"/>
          <w:sz w:val="28"/>
          <w:sz w:val="28"/>
          <w:szCs w:val="28"/>
          <w:rtl w:val="true"/>
          <w:lang w:bidi="fa-IR"/>
        </w:rPr>
        <w:t xml:space="preserve">الحضارة الإسلامیّة حدیثة النشوء، فإنّ الدفاع عن آیدیولوجیّة کهذه سیجعلها تتلاءم مع المحرّک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الحال حتّی فی أیّامنا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هذا المعنی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البنیة الأساسیّة هی نفسها التی تجعل أحد النصوص التاریخیّة إسلامیّاً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واحدة من الفوائد الکبیرة لمثل هذه الدراسة البنیویّة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تبیّن کیف أنّ أُسطورةً ما، تبرهنُ علی أنّ العوالم المختلفة الموضّحة من خلال الرموز لیست منفصلة فی الواقع، تنتمی جمیعاً إلی بعضها الآخر، محاولةً إیجاد کنایة من </w:t>
      </w:r>
      <w:bookmarkStart w:id="234" w:name="pg5097_58489"/>
    </w:p>
    <w:p>
      <w:pPr>
        <w:pStyle w:val="BookText"/>
        <w:rPr/>
      </w:pPr>
      <w:bookmarkEnd w:id="234"/>
      <w:r>
        <w:rPr>
          <w:rFonts w:ascii="IRNazanin" w:hAnsi="IRNazanin" w:eastAsia="IRNazanin"/>
          <w:color w:val="111111"/>
          <w:sz w:val="28"/>
          <w:sz w:val="28"/>
          <w:szCs w:val="28"/>
          <w:rtl w:val="true"/>
          <w:lang w:bidi="fa-IR"/>
        </w:rPr>
        <w:t xml:space="preserve">المَجاز، تظهر الحقیقة لتصنع کلّلً، وإنْ کانَ هذا الکلّ متحوّلاً، ولکنّه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یتحوّل فی الطریقة التی یُظهرها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الأُسطورة، سواء کان شخصاً واحداً أو مجموعة أشخاص، وهذا یعنی أنّ الأُسطورة ینبغی علیها أن تُظهِر عدم تعلّق عناصر معینة بالعالم المثالی للأُسطورة، أو یجب أنْ تُظْهَر تناقضها معه، أو تهدّد النظام الذی تدافع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عملیة البناء من کلِّ ما یتوفّر من عناصر فی متناول الید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Bricolage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أعطی کتّاب مختلفون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کانوا مجموعةً أو شخصاً بمفرده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 الحدث معنیً مختلفاً</w:t>
      </w:r>
      <w:r>
        <w:rPr>
          <w:rFonts w:eastAsia="IRNazanin" w:cs="IRNazanin"/>
          <w:color w:val="111111"/>
          <w:sz w:val="28"/>
          <w:szCs w:val="28"/>
          <w:rtl w:val="true"/>
          <w:lang w:bidi="fa-IR"/>
        </w:rPr>
        <w:t>.</w:t>
      </w:r>
    </w:p>
    <w:p>
      <w:pPr>
        <w:pStyle w:val="Heading3"/>
        <w:numPr>
          <w:ilvl w:val="2"/>
          <w:numId w:val="1"/>
        </w:numPr>
        <w:rPr/>
      </w:pPr>
      <w:bookmarkStart w:id="235" w:name="__RefHeading___Toc1259956_774463916"/>
      <w:bookmarkStart w:id="236" w:name="_Toc82"/>
      <w:bookmarkEnd w:id="235"/>
      <w:r>
        <w:rPr>
          <w:rtl w:val="true"/>
        </w:rPr>
        <w:t>ماذا بعد؟</w:t>
      </w:r>
      <w:bookmarkEnd w:id="236"/>
    </w:p>
    <w:p>
      <w:pPr>
        <w:pStyle w:val="BookText"/>
        <w:rPr/>
      </w:pPr>
      <w:r>
        <w:rPr>
          <w:rFonts w:ascii="IRNazanin" w:hAnsi="IRNazanin" w:eastAsia="IRNazanin"/>
          <w:color w:val="111111"/>
          <w:sz w:val="28"/>
          <w:sz w:val="28"/>
          <w:szCs w:val="28"/>
          <w:rtl w:val="true"/>
          <w:lang w:bidi="fa-IR"/>
        </w:rPr>
        <w:t>کما افترضت سابقاً، فإنّ التحلیل الوارد هنا حول روایة الطبری لأحداث کربلاء یحتاج إلی دراسات للروایات الأُخری للقصّة نفسها، وأَنْ تتمّ المقارنة معها، وربّما تظهر إلی السطح تحوّلات بنیویّة مهمّة عندما لا تُدرس التطوّرات الداخلیّة فقط، بل حتّی تلک التی بین النسخ المختلفة للأُسطورة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التحوّل الثنائی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الموضّح من خلال الصیغة القانونیّة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عندما تجتاز أُسطورةٌ ما نوعاً من الحدود، کخطٍّ لغویٍّ أو آیدیولوجی علی سبیل المثال، ویمکن اختباره من خلال مقارنة الروایات السنیّة لأحداث کربلاء مع الروایات الشیعیّة، والنسخ العربیّة مع النسخ الفارسیّة، أو فی لغات أُخری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قصص أُخری رواها الطبری، ینبغی أیضاً أن تکون موضوعاً للتحلیل البنیوی، وأن تُقارَن مع نتائج الدراسة الحالیّة، وبهذه الطریقة یمکن لشبکة العلاقات بین الرموز التی رُسمت فی المخطّطات هنا أن تُؤیَّد أو تُنقَض، وستُنسَج خیوط الشبکة علی الأرجح بصورةٍ أکثر إحکاماً بواسطة العلاقات المکتشفة مؤخّراً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ذکرت کذلک الحاجة إلی تحلیل إضافی لأحداث کربلاء بخصوص حرکة التوّابین ومراسم عاشوراء، وتطبیق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القانونیّة علی هذا المرکّب من الشعائر والأُسطورة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مسألة الأُصول الإسلامیّة الإضافیّة ومشاعر الشیعة وطقوسهم غالباً ما کانت عرضةً للنقاش، واعتقد أنّ التحلیلات البنیویّة للمیثولوجیا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الأساطیر أو علم الأساطیر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الیهودیّة، المسیحیّة، الإیرانیّة، والأساطیر القدیمة لبلاد ما بین النهرین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ومقارنة بُنْیات هذه المجامیع من الأساطیر هی الطریق للوصول إلی جوابٍ لهذه المسألة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ذلک، فإنّ هناک حاجة لمزید من الدراسات لهذه النسخة التی قمنا بدراستها هنا، فإنّ إحدی الخصائص المهمّة فی روایة الطبری حول أحداث کربلاء، التی ترکتُها عن قصدٍ بسبب أبعادها الواسعة، هی مسألة المَلَکیّة فی الإسلام فیما یتعلّق بالحسین، وکما بیّن کثیر من الباحثین، فإنّ الماء هو صورة للمَلَکیّة فی العصر الأوّل للإسلام، وربّما سیکون من المفید جدّاً دراسة فکرة المَلَکیّة بخصوص رمزیّة الماء فی القصّة؛ ورفض الماء من الحسین هو رفض السلطة السیاسیّة</w:t>
      </w:r>
      <w:r>
        <w:rPr>
          <w:rStyle w:val="FootnoteAnchor"/>
          <w:rtl w:val="true"/>
        </w:rPr>
        <w:footnoteReference w:id="530"/>
      </w:r>
      <w:r>
        <w:rPr>
          <w:rFonts w:ascii="Amiri" w:hAnsi="Amiri" w:eastAsia="Amiri" w:cs="Amiri"/>
          <w:color w:val="111111"/>
          <w:sz w:val="28"/>
          <w:sz w:val="28"/>
          <w:szCs w:val="28"/>
          <w:rtl w:val="true"/>
          <w:lang w:bidi="ar-SA"/>
        </w:rPr>
        <w:t>منه أیضاً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وتستمر الأساطیر بالتغییر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فمحتویاتها، ووظائفها،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بسرعةٍ أبطأ، بنیتها تتکیّف مع المواقف الجدیدة، وهذه حقیقةٌ تجعل تحلیلها مُحبِطاً واستفزازیّاً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مُحبِطاً؛ لأنّ تحلیل أُسطورةٍ ما لا ینتهی أبداً، واستفزازیّاً؛ لأنّه یُظهر قابلیّة البشر علی التکیّف مع الظروف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لکتابه الأوّل حول الأساطیر، یقول لیفی شتراوس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دراسة الأُسطورة یثیر مشکلةً منهجیّة، من حیث لا یمکن تنفیذها حسب المبدأ الدیکارتی حول تجزئة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أجزاء کثیرة بقدر ما هو ضروری من أجل إیجاد الحلّ، ولیس هناک نهایة حقیقیّة للتحلیل الأُسطوری، ولیس هناک وحدة مبطّنة حتّی یمکن إدراکها عندما تکون عملیّة التجزئة قد تمّت، والأفکار الرئیسیّة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أو ما 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تتجزّأ إلی ما لا نهایة، وفی اللحظة التی تعتقدُ أنّک قد فکّکتها وجزّأتها، تدرکُ أنّها تبدأ بالتشابک معاً مرّةً أُخری استجابةً لعملیّة الترابطات غیر المتوقّعة</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ینتهِ التحلیل البنیوی لأحداث کربلاء، بل بالعکس، فقد حثّنی علی الاستمرار فی التحلیل البنیوی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الأُسطورة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المعنی الذی یتبنّاه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نسخها المختلفة مأخوذةً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القصص التی قد صاغت والمستمرة فی صیاغة النظرة العالمیّة، وهویّة آلاف الملایین من المسلمین فی کلِّ العصور علی امتداد العالم کلّه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لو تحصّل للآخرین نفس الحافز خلال قراءتهم لهذا الکتاب، فسأکون فی غایة الرضا</w:t>
      </w:r>
      <w:r>
        <w:rPr>
          <w:rFonts w:eastAsia="IRNazanin" w:cs="IRNazanin"/>
          <w:color w:val="111111"/>
          <w:sz w:val="28"/>
          <w:szCs w:val="28"/>
          <w:rtl w:val="true"/>
          <w:lang w:bidi="fa-IR"/>
        </w:rPr>
        <w:t xml:space="preserve">. </w:t>
      </w:r>
      <w:bookmarkStart w:id="237" w:name="pg5097_58492"/>
    </w:p>
    <w:p>
      <w:pPr>
        <w:pStyle w:val="Heading2"/>
        <w:numPr>
          <w:ilvl w:val="1"/>
          <w:numId w:val="1"/>
        </w:numPr>
        <w:rPr/>
      </w:pPr>
      <w:bookmarkStart w:id="238" w:name="__RefHeading___Toc1259958_774463916"/>
      <w:bookmarkStart w:id="239" w:name="_Toc83"/>
      <w:bookmarkEnd w:id="237"/>
      <w:bookmarkEnd w:id="238"/>
      <w:r>
        <w:rPr>
          <w:rtl w:val="true"/>
        </w:rPr>
        <w:t>الملاحق</w:t>
      </w:r>
      <w:bookmarkEnd w:id="23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1259960_774463916"/>
      <w:bookmarkStart w:id="241" w:name="_Toc84"/>
      <w:bookmarkEnd w:id="240"/>
      <w:r>
        <w:rPr>
          <w:rtl w:val="true"/>
        </w:rPr>
        <w:t>اشارة</w:t>
      </w:r>
      <w:bookmarkEnd w:id="24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242" w:name="pg5097_58494"/>
    </w:p>
    <w:p>
      <w:pPr>
        <w:pStyle w:val="Heading3"/>
        <w:numPr>
          <w:ilvl w:val="2"/>
          <w:numId w:val="1"/>
        </w:numPr>
        <w:rPr/>
      </w:pPr>
      <w:bookmarkStart w:id="243" w:name="__RefHeading___Toc1259962_774463916"/>
      <w:bookmarkStart w:id="244" w:name="_Toc85"/>
      <w:bookmarkEnd w:id="242"/>
      <w:bookmarkEnd w:id="243"/>
      <w:r>
        <w:rPr>
          <w:rtl w:val="true"/>
        </w:rPr>
        <w:t xml:space="preserve">الملحق </w:t>
      </w:r>
      <w:r>
        <w:rPr>
          <w:rtl w:val="true"/>
        </w:rPr>
        <w:t>(</w:t>
      </w:r>
      <w:r>
        <w:rPr/>
        <w:t>1</w:t>
      </w:r>
      <w:r>
        <w:rPr>
          <w:rtl w:val="true"/>
        </w:rPr>
        <w:t>)</w:t>
      </w:r>
      <w:r>
        <w:rPr>
          <w:rtl w:val="true"/>
        </w:rPr>
        <w:t>خلاصة لأحداث کربلاء عند الطبری</w:t>
      </w:r>
      <w:bookmarkEnd w:id="244"/>
    </w:p>
    <w:p>
      <w:pPr>
        <w:pStyle w:val="Heading4"/>
        <w:numPr>
          <w:ilvl w:val="3"/>
          <w:numId w:val="1"/>
        </w:numPr>
        <w:rPr/>
      </w:pPr>
      <w:bookmarkStart w:id="245" w:name="__RefHeading___Toc1259964_774463916"/>
      <w:bookmarkStart w:id="246" w:name="_Toc86"/>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فیما یلی خلاصة لأحداث کربلاء من روایة الطبری، والمراد هو إعطاء خلاصة عامّة واضحة للقرّاء الذین لیس لدیهم اطّلاع علی القصّة، ولکن لا یمکن استخدامها لغرض تحلیل النصّ، وکنت قد اعتمدت روایة هشام بن الکلبی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والتی هی المصدر الرئیسی عند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وبیّنت فقط أین تتلاءم مع المصادر الأُخری، وقدّمت ملخّصاً قصیراً عن محتویاتها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عدة أخبار مختلفة جاءت حول الموضوع نفسه فی روایة ابن الکلبی، فقد أَهملتُ الاختلافات، وقمت بتلخیص الخطّ العام للقصّة فقط، والأرقام بین الأقواس تشیر إلی الصفحات فی طبعة لَیْدِن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Leiden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لتاریخ الطبری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وهذه الصفحات جاءت أیضاً فی هوامش الترجمة الإنجلیزیّة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وأرقام الصفحات یجب أن تُری فقط علی أنّها مجرّد بیان لمکان وجود بعض الأجزاء الخاصّة فی النصِّ، حیث إنّ الأخبار غالباً ما تتداخل فی بعضها، وبعض الحوادث الخاصّة ربّما تُروی مرّتین فی أماکن مختلفة</w:t>
      </w:r>
      <w:r>
        <w:rPr>
          <w:rFonts w:eastAsia="IRNazanin" w:cs="IRNazanin"/>
          <w:color w:val="111111"/>
          <w:sz w:val="28"/>
          <w:szCs w:val="28"/>
          <w:rtl w:val="true"/>
          <w:lang w:bidi="fa-IR"/>
        </w:rPr>
        <w:t>.</w:t>
      </w:r>
    </w:p>
    <w:p>
      <w:pPr>
        <w:pStyle w:val="Heading4"/>
        <w:numPr>
          <w:ilvl w:val="3"/>
          <w:numId w:val="1"/>
        </w:numPr>
        <w:rPr/>
      </w:pPr>
      <w:bookmarkStart w:id="247" w:name="__RefHeading___Toc1259966_774463916"/>
      <w:bookmarkStart w:id="248" w:name="_Toc87"/>
      <w:bookmarkEnd w:id="247"/>
      <w:r>
        <w:rPr>
          <w:rtl w:val="true"/>
        </w:rPr>
        <w:t>(</w:t>
      </w:r>
      <w:r>
        <w:rPr/>
        <w:t>216</w:t>
      </w:r>
      <w:r>
        <w:rPr>
          <w:rtl w:val="true"/>
        </w:rPr>
        <w:t xml:space="preserve"> - </w:t>
      </w:r>
      <w:r>
        <w:rPr/>
        <w:t>223</w:t>
      </w:r>
      <w:r>
        <w:rPr>
          <w:rtl w:val="true"/>
        </w:rPr>
        <w:t xml:space="preserve">) </w:t>
      </w:r>
      <w:r>
        <w:rPr>
          <w:rtl w:val="true"/>
        </w:rPr>
        <w:t>ابن الکلبی</w:t>
      </w:r>
      <w:bookmarkEnd w:id="24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وفاة الخلیفة الأُموی معاویة فی دمشق فی شهر رجب سنة ستین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سنة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م، أصبح ابنه یزید الحاکم الجدید، وأرسل یزید مباشرةً رسالةً إلی عامله علی المدینة الولید، یخبره فیها بموت أبیه، ویأمره بأخذ البیعة من </w:t>
      </w:r>
      <w:bookmarkStart w:id="249" w:name="pg5097_58495"/>
    </w:p>
    <w:p>
      <w:pPr>
        <w:pStyle w:val="BookText"/>
        <w:rPr/>
      </w:pPr>
      <w:bookmarkEnd w:id="249"/>
      <w:r>
        <w:rPr>
          <w:rFonts w:ascii="IRNazanin" w:hAnsi="IRNazanin" w:eastAsia="IRNazanin"/>
          <w:color w:val="111111"/>
          <w:sz w:val="28"/>
          <w:sz w:val="28"/>
          <w:szCs w:val="28"/>
          <w:rtl w:val="true"/>
          <w:lang w:bidi="fa-IR"/>
        </w:rPr>
        <w:t>أهمّ الرجال فی الجانب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عبدالله بن عمر، وعبدالله بن الزبیر، الذین لم یبایع أیٌّ منهم یزیداً، وخرج ابن الزبیر والحسین لیلاً إلی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ذلک فصلٌ حول عبدالله بن الزبیر الذی قاتله أخوه عمرو ابن الزبیر، ولکنّ عبدالله انتصر علی أخیه، ولیس لهذا علاقة بأحداث کربلاء، ولکنّ الطبری حسب الترتیب التحلیلی له وضع هذا الجزء هنا فی السنة التی حدث فیها</w:t>
      </w:r>
      <w:r>
        <w:rPr>
          <w:rFonts w:eastAsia="IRNazanin" w:cs="IRNazanin"/>
          <w:color w:val="111111"/>
          <w:sz w:val="28"/>
          <w:szCs w:val="28"/>
          <w:rtl w:val="true"/>
          <w:lang w:bidi="fa-IR"/>
        </w:rPr>
        <w:t>.</w:t>
      </w:r>
    </w:p>
    <w:p>
      <w:pPr>
        <w:pStyle w:val="Heading4"/>
        <w:numPr>
          <w:ilvl w:val="3"/>
          <w:numId w:val="1"/>
        </w:numPr>
        <w:rPr/>
      </w:pPr>
      <w:bookmarkStart w:id="250" w:name="__RefHeading___Toc1259968_774463916"/>
      <w:bookmarkStart w:id="251" w:name="_Toc88"/>
      <w:bookmarkEnd w:id="250"/>
      <w:r>
        <w:rPr>
          <w:rtl w:val="true"/>
        </w:rPr>
        <w:t>(</w:t>
      </w:r>
      <w:r>
        <w:rPr/>
        <w:t>227-232</w:t>
      </w:r>
      <w:r>
        <w:rPr>
          <w:rtl w:val="true"/>
        </w:rPr>
        <w:t xml:space="preserve">) </w:t>
      </w:r>
      <w:r>
        <w:rPr>
          <w:rtl w:val="true"/>
        </w:rPr>
        <w:t>عمّار الدُهنی</w:t>
      </w:r>
      <w:bookmarkEnd w:id="251"/>
    </w:p>
    <w:p>
      <w:pPr>
        <w:pStyle w:val="BookText"/>
        <w:rPr/>
      </w:pPr>
      <w:r>
        <w:rPr>
          <w:rFonts w:ascii="IRNazanin" w:hAnsi="IRNazanin" w:eastAsia="IRNazanin"/>
          <w:color w:val="111111"/>
          <w:sz w:val="28"/>
          <w:sz w:val="28"/>
          <w:szCs w:val="28"/>
          <w:rtl w:val="true"/>
          <w:lang w:bidi="fa-IR"/>
        </w:rPr>
        <w:t>هذا هو الجزء الأوّل من روایة الدُهنی المختصرة عمّا حدث للحسین وأصحابه، ویتحدّث هذا الجزء عن الدعوات التی أرسلها أهل الکوفة إلی الحسین، وإیفاد الحسین مسلم بن عقیل رسولاً له إلی أهل الکوفة، وغدر أهل الکوفة بمسلم، وإعدام مسلم ومضیّفه هانئ بن عُروة علی ید الوالی عبیدالله بن زیاد</w:t>
      </w:r>
      <w:r>
        <w:rPr>
          <w:rFonts w:eastAsia="IRNazanin" w:cs="IRNazanin"/>
          <w:color w:val="111111"/>
          <w:sz w:val="28"/>
          <w:szCs w:val="28"/>
          <w:rtl w:val="true"/>
          <w:lang w:bidi="fa-IR"/>
        </w:rPr>
        <w:t>.</w:t>
      </w:r>
    </w:p>
    <w:p>
      <w:pPr>
        <w:pStyle w:val="Heading4"/>
        <w:numPr>
          <w:ilvl w:val="3"/>
          <w:numId w:val="1"/>
        </w:numPr>
        <w:rPr/>
      </w:pPr>
      <w:bookmarkStart w:id="252" w:name="__RefHeading___Toc1259970_774463916"/>
      <w:bookmarkStart w:id="253" w:name="_Toc89"/>
      <w:bookmarkEnd w:id="252"/>
      <w:r>
        <w:rPr>
          <w:rtl w:val="true"/>
        </w:rPr>
        <w:t>(</w:t>
      </w:r>
      <w:r>
        <w:rPr/>
        <w:t>232</w:t>
      </w:r>
      <w:r>
        <w:rPr>
          <w:rtl w:val="true"/>
        </w:rPr>
        <w:t xml:space="preserve"> - </w:t>
      </w:r>
      <w:r>
        <w:rPr/>
        <w:t>272</w:t>
      </w:r>
      <w:r>
        <w:rPr>
          <w:rtl w:val="true"/>
        </w:rPr>
        <w:t xml:space="preserve">) </w:t>
      </w:r>
      <w:r>
        <w:rPr>
          <w:rtl w:val="true"/>
        </w:rPr>
        <w:t>ابن الکلبی</w:t>
      </w:r>
      <w:bookmarkEnd w:id="253"/>
    </w:p>
    <w:p>
      <w:pPr>
        <w:pStyle w:val="BookText"/>
        <w:rPr/>
      </w:pPr>
      <w:r>
        <w:rPr>
          <w:rFonts w:ascii="IRNazanin" w:hAnsi="IRNazanin" w:eastAsia="IRNazanin"/>
          <w:color w:val="111111"/>
          <w:sz w:val="28"/>
          <w:sz w:val="28"/>
          <w:szCs w:val="28"/>
          <w:rtl w:val="true"/>
          <w:lang w:bidi="fa-IR"/>
        </w:rPr>
        <w:t>نفس الروایة تأتی فی نسخة ابن الکلبی، ولکن بشکلٍ أکثر شمولیّةً بکثیر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یغادر الحسین المدینة خلسةً إلی مکّة، وفی طریقه یلتقی رجلاً ینصحه بالبقاء فی مکّة وعدم الذهاب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مکّة تتعاظم شعبیّته بین الناس عموماً إلّا عند ابن الزبیر، الذی یُدرک أنّه لا أحد سیرغب إلیه ما دام الحسین موجوداً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الوقت نفسه تقرّر جماعة من أهل الکوفة کتابة رسائل دعوة إلی الحسین، تطلب منه القدوم إلیهم وقیادتهم فی ثورة ضدّ والی الکوفة آنذاک النعمان بن بشیر، فبعثوا إلیه عدداً من الرُّسل یحملون معهم الرسائل والدعوات الشفهیّة، وأجابهم الحسین أنّه سیُرسل إلیهم ابن عّمه مسلم بن عقیل ممثّلاً عنه؛ لیری فیما إذا کان </w:t>
      </w:r>
    </w:p>
    <w:p>
      <w:pPr>
        <w:pStyle w:val="BookText"/>
        <w:rPr/>
      </w:pPr>
      <w:r>
        <w:rPr>
          <w:rFonts w:ascii="IRNazanin" w:hAnsi="IRNazanin" w:eastAsia="IRNazanin"/>
          <w:color w:val="111111"/>
          <w:sz w:val="28"/>
          <w:sz w:val="28"/>
          <w:szCs w:val="28"/>
          <w:rtl w:val="true"/>
          <w:lang w:bidi="fa-IR"/>
        </w:rPr>
        <w:t>الحال کما کتبوا إلیه، فإنْ کان الأمر کذلک، سیقدم إلیهم بأسرع ما یمکن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الحسین مسلماً الذی تاه فی الصحراء فی طریقه إلی الکوفة، وقد مات دلیلاه من العطش، واستطاع مسلم أن یجد الماء عند آخر لحظة، واعتبر مسلم تلک الحادثة کنذیر نحسٍ أمام مهمّته، فکتب إلی الحسین طالباً منه أن یعفیه من تلک المهمّة</w:t>
      </w:r>
      <w:r>
        <w:rPr>
          <w:rStyle w:val="FootnoteAnchor"/>
          <w:rtl w:val="true"/>
        </w:rPr>
        <w:footnoteReference w:id="53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 بن عقیل عاش فی ظلّ ثقافة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تؤمن بالخرافة، بل هی ثقافة الإیمان بإرادة الله والتوکّل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مَن یمثّله فی مسؤولیةٍ عُظمی؛ فیجب أن یکون مَن اختاره عمیق الإیمان وعلی بصیرة من أمره، لا أن یتردّد فی مواجهة خطّ الموت بسبب العطش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وصف مسلماً بأنه ثقته فی ذلک، فی رسالته إلی أهل الکوفة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بعثت إلیکم أخی، وابن عمّی، وثقتی من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 محمد بن جریر،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فالذی یختاره من بین أهل بیته لا بدّ أن یکون صلباً فی هدفه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مسلم حین ملاقاته جیش ابن زیاد فی الکوفة تتناقض تماماً مع ما نُسب إلیه من تردّد فی أداء الرسالة، حیث أعلن عدم خوفه من الموت مرتجزاً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لا أُقتل إلّا حراً</w:t>
      </w:r>
    </w:p>
    <w:p>
      <w:pPr>
        <w:pStyle w:val="BookText"/>
        <w:rPr/>
      </w:pPr>
      <w:r>
        <w:rPr>
          <w:rFonts w:ascii="Amiri" w:hAnsi="Amiri" w:eastAsia="Amiri" w:cs="Amiri"/>
          <w:color w:val="111111"/>
          <w:sz w:val="28"/>
          <w:sz w:val="28"/>
          <w:szCs w:val="28"/>
          <w:rtl w:val="true"/>
          <w:lang w:bidi="ar-SA"/>
        </w:rPr>
        <w:t>وإن رأیتُ الموت شیئاً نکراً</w:t>
      </w:r>
    </w:p>
    <w:p>
      <w:pPr>
        <w:pStyle w:val="BookText"/>
        <w:rPr/>
      </w:pPr>
      <w:r>
        <w:rPr>
          <w:rFonts w:ascii="IRNazanin" w:hAnsi="IRNazanin" w:eastAsia="IRNazanin"/>
          <w:color w:val="111111"/>
          <w:sz w:val="28"/>
          <w:sz w:val="28"/>
          <w:szCs w:val="28"/>
          <w:rtl w:val="true"/>
          <w:lang w:bidi="fa-IR"/>
        </w:rPr>
        <w:t>الطبری، محمد بن جریر،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لدیه هکذا روح جهادیة وتمسّک بمبادئة، لا یراوده التردّد أو یترک مسؤولیته بسبب العطش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ورفض الحسین ذلک، فسار مسلم حتّی وصل الکوفة، ومکث فی بیت المختار بن أبی عبید، وبدأ عددٌ کبیرٌ من الناس بزیارته وإعلان ولائهم للحسین أمامه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الکوفة النعمان بن بشیر حذّر الناس جهاراً من القیام، </w:t>
      </w:r>
    </w:p>
    <w:p>
      <w:pPr>
        <w:pStyle w:val="BookText"/>
        <w:rPr/>
      </w:pPr>
      <w:r>
        <w:rPr>
          <w:rFonts w:ascii="IRNazanin" w:hAnsi="IRNazanin" w:eastAsia="IRNazanin"/>
          <w:color w:val="111111"/>
          <w:sz w:val="28"/>
          <w:sz w:val="28"/>
          <w:szCs w:val="28"/>
          <w:rtl w:val="true"/>
          <w:lang w:bidi="fa-IR"/>
        </w:rPr>
        <w:t>ولکنّ بعض الوجهاء کانوا یعتبرونه متساهلاً کثیراً مع الشیعة، فکتبوا إلی یزید وأخبروه بذلک الحال، فقرّر یزید أن یتخلّص من النعمان ویعطی ولایة الکوفة إلی والی البصرة آنذاک عبیدالله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ذاته کتب الحسین رسالةً إلی أشراف البصرة دعاهم فیها لیلتحقوا به ضدّ بنی أُمیّة، وعلم ابن زیاد بتلک الرسالة قبل مغادرته إلی الکوفة بیومٍ واحد، فقتل رسول الحسین، وحذّر أهل البصرة أشدّ التحذیر من أن یورّطوا أنفسهم بأیِّ تمرّدٍ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 ابن زیاد إلی الکوفة ودخلها متنکّراً، فظنّ الناس أنّه الحسین فحیّوه مبتهجین بقدومه، فاغتمّ ابن زیاد کثیراً، فذهب إلی القصر وطرد النعمان بن بشیر، ودعا فی الحال إلی الصلاة جامعة، فخطب محذّراً الناس من أیّة خیانةٍ ضدّه أو ضدّ الخلیفة، وأمرَ ابنُ زیاد القادةَ فی الکوفة أن یقدّموا له التقاریر عن کافّة الغرباء ومثیری المشاکل فیها، وأرسل خادماً، لیعمل فی الخفاء ویجمع الأخبار عن أتباع الحسین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بسبب کثرة الزائرین عُلِم مکان مسلم بن عقیل، فانتقل إلی بیت هانئ ابن عُروة الذی استقبله علی کُره، وکان شریک بن الأعور یمکث فی بیت هانئ أیضاً، وهو رجل صاحب نفوذ وسلطة، وکان موالیاً للحسین وأهل بیته، ولکنّه ما زال یحظی بالکرامة عند ابن زیاد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مرض شریک أثناء وجوده فی دار هانئ، فأعلن ابن زیاد أنّه سیذهب لعیادته، واتّفق شریک ومسلم للإیقاع بابن زیاد، فعندما یأتی ابن زیاد سیطلب شریک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کانت هذه هی العلامة لمسلم، الذی کان مختبئاً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لیثب علی والی الکوفة ابن زیاد ویقتله، وعندما حان الوقت لم یقتل مسلم ابنَ زیاد علی الرغم من أنّ شریکاً </w:t>
      </w:r>
    </w:p>
    <w:p>
      <w:pPr>
        <w:pStyle w:val="BookText"/>
        <w:rPr/>
      </w:pPr>
      <w:r>
        <w:rPr>
          <w:rFonts w:ascii="IRNazanin" w:hAnsi="IRNazanin" w:eastAsia="IRNazanin"/>
          <w:color w:val="111111"/>
          <w:sz w:val="28"/>
          <w:sz w:val="28"/>
          <w:szCs w:val="28"/>
          <w:rtl w:val="true"/>
          <w:lang w:bidi="fa-IR"/>
        </w:rPr>
        <w:t>قد طلب الماء، وبرّر مسلمٌ فعله هذا مشیراً إلی حدیثٍ للنبیّ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قید الفتک، فلا یفتک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ذلک بأیّام مات شریک من مرضه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ابن زیاد من خلال جواسیسه أنّ مسلماً فی دار هانئ، فاستدعی هانئاً وبدأ باستجوابه، وعندما عرف هانئ الجواسیس أقرّ بذلک ولکنّه أبی أن یسلّم مسلم بن عقیل إلی ابن زیاد، بل إنّه هدّد ابن زیاد أنّ عشیرته سوف تأتی لتخلّصه، وضرب ابن زیاد هانئاً علی وجهه بعصاه وحبسه، کانت عشیرة هانئ خارج أبواب القصر قد احتشدت تتساءل عمّا حدث لهانئ، ولکن هدأ روعهم لمّا علموا أنّه ما زال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مسلم بما حدث لهانئ، فحشد جمیع الرجال الذین أعلنوا ولاءهم للحسین، وتحرّک الجمع نحو القصر لإنقاذ هانئ، وتزاید عدد الذین تجمّعوا خارج القصر طوال العصر، وکان موقف ابن زیاد متزلزلاً ومحفوفاً بالمخاطر، وقد حشد أشراف الکوفة حوله، وأمرهم برشوة الناس وتهدیدهم حتّی ینصرفوا، فجعلوا الناس یصدّقون أنّ جیشاً من أهل الشام من طرف الخلیفة قادمٌ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 الناس بالتفرّق، وعندما حلّ اللیل لم یبقَ مع مسلم سوی ثلاثین رجلاً، فترکوا القصر وعادوا، وحتّی هؤلاء تملّصوا، وبعد برهة بقی مسلمٌ وحیداً، ولم یکن مسلم یعرف أزقّة الکوفة ولم یکن لدیه مکان یلجأ إلیه، فطاف فی الأزقّة هنا وهناک حتّی وصل دار امرأةٍ عجوز وطلب منها الماء، وأجارته تلک المرأة وخبأته فی حجرة متروکة، وبعد حین وصل ابنها إلی البیت، وعلم أنّ مسلماً کان مختبئاً فی الدار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الوقت أدرک ابن زیاد وأشراف الکوفة الذین کانوا فی </w:t>
      </w:r>
    </w:p>
    <w:p>
      <w:pPr>
        <w:pStyle w:val="BookText"/>
        <w:rPr/>
      </w:pPr>
      <w:r>
        <w:rPr>
          <w:rFonts w:ascii="IRNazanin" w:hAnsi="IRNazanin" w:eastAsia="IRNazanin"/>
          <w:color w:val="111111"/>
          <w:sz w:val="28"/>
          <w:sz w:val="28"/>
          <w:szCs w:val="28"/>
          <w:rtl w:val="true"/>
          <w:lang w:bidi="fa-IR"/>
        </w:rPr>
        <w:t xml:space="preserve">القصر أنّه لم یبقَ أحدٌ من الناس فی الظلام خارج القصر، وأنّ الخطر قد زال عندئذٍ، واستدعی ابن زیاد وجهاء الکوفة لصلاة المغرب، وطلب من الجمیع البحث عن مسلم، وأمر قائد الشرطة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الحصین بن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یحرّض الناس علی البحث عنه، وعند الصباح کشف ابن تلک المرأة التی آوت مسلماً عن مکان اختباء مسلم لابن زیاد، الذی أرسل فریقاً للقبض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وصل أُولئک الرجال إلی البیت الذی کان یختبئ فیه مسلم، رفض مسلم تسلیم نفسه إلیهم ودافع عن نفسه بسیفه بکلِّ ما أُوتی من قوّة، فجُرح فی وجهه، واستسلم أخیراً عندما أعطاه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تلک المجموعة من الجنود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مسلم قد أرسل رسالةً إلی الحسین یخبره أنّ الأمور مواتیةً له؛ لکی یأتی إلی الکوفة، ولکنّه الآن طلب من ابن الأشعث أن یرسل رسالةً أُخری إلی الحسین یخبره فیها بما حصل، ویناشده العودة إلی مکّة، وأرسل ابن الأشعث رسولاً وجد الحسین فی طریقه بین مکّة والکوفة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بمسلمٍ إلی القصر وکان عطشاناً، فطلب شربةً من ماء، وفی المرّة الأُولی رفضوا أن یأتوا له بالماء، ولکن بعد ذلک جاؤوا له بقدح من ماء، وعندما أراد أن یشرب سال الدم من فمه إلی القدح وتنجّس الماء، وتحاجّ هو وابن زیاد، ثمّ أمر به ابن زیاد أن یُؤخذ إلی أعلی القصر ویُقطع رأسه هناک، ثمّ رُمی الرأس والجسد من أعلی القصر لیقعا وسط السوق</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مسلم قُتل هانئ، وهو الرجل الثانی الذی شارک فی ذلک التمرّد، وکتب ابن زیاد إلی الخلیفة یخبره بما حدث، فأجاب یزید أنّه راضٍ کثیراً بما فعل ابن زیاد وحذّره أنّ الحسین قادمٌ نحو الکوفة وأمره أن یمنعه</w:t>
      </w:r>
      <w:r>
        <w:rPr>
          <w:rFonts w:eastAsia="IRNazanin" w:cs="IRNazanin"/>
          <w:color w:val="111111"/>
          <w:sz w:val="28"/>
          <w:szCs w:val="28"/>
          <w:rtl w:val="true"/>
          <w:lang w:bidi="fa-IR"/>
        </w:rPr>
        <w:t xml:space="preserve">. </w:t>
      </w:r>
      <w:bookmarkStart w:id="254" w:name="pg5097_58500"/>
    </w:p>
    <w:p>
      <w:pPr>
        <w:pStyle w:val="BookText"/>
        <w:rPr/>
      </w:pPr>
      <w:bookmarkEnd w:id="254"/>
      <w:r>
        <w:rPr>
          <w:rFonts w:eastAsia="IRNazanin" w:cs="IRNazanin"/>
          <w:color w:val="111111"/>
          <w:sz w:val="28"/>
          <w:szCs w:val="28"/>
          <w:rtl w:val="true"/>
          <w:lang w:bidi="fa-IR"/>
        </w:rPr>
        <w:t>(</w:t>
      </w:r>
      <w:r>
        <w:rPr>
          <w:rFonts w:eastAsia="IRNazanin" w:cs="IRNazanin"/>
          <w:color w:val="111111"/>
          <w:sz w:val="28"/>
          <w:szCs w:val="28"/>
          <w:lang w:bidi="fa-IR"/>
        </w:rPr>
        <w:t>272-281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ذاته کان الحسین یعدّ العدّة للحرکة نحو الکوفة، فحذّره عدد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بینهم بعض أقاربه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الذهاب إلی الکوفة؛ إذ إنّ أهلها متقلّبون فی ولائهم، فالرجل الوحید الذی أیّد الحسین فی ذلک کان ابن الزبیر، الذی أدرک أنّه بذلک سیتخلّص من منافسه، وفی طریقه إلی الکوفة هاجم الحسین قافلةً کانت تحمل البضائع إلی الخلیفة یزید، وقد قابل کذلک أُناساً قادمین من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بینهم الشاعر المعروف 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حذّروه أیضاً من دخول الکوفة، وجاءته کذلک رسائل من أهل مکّة تنصحه بعدم الذهاب إلی الکوفة، وأجاب الحسین علی ذلک کلّه بأنّه ما دام یثق بالله، ویتبع إرادته فلن یخشَ شیئاً أبداً وإن کلّفه حیاته</w:t>
      </w:r>
      <w:r>
        <w:rPr>
          <w:rFonts w:eastAsia="IRNazanin" w:cs="IRNazanin"/>
          <w:color w:val="111111"/>
          <w:sz w:val="28"/>
          <w:szCs w:val="28"/>
          <w:rtl w:val="true"/>
          <w:lang w:bidi="fa-IR"/>
        </w:rPr>
        <w:t>.</w:t>
      </w:r>
    </w:p>
    <w:p>
      <w:pPr>
        <w:pStyle w:val="Heading4"/>
        <w:numPr>
          <w:ilvl w:val="3"/>
          <w:numId w:val="1"/>
        </w:numPr>
        <w:rPr/>
      </w:pPr>
      <w:bookmarkStart w:id="255" w:name="__RefHeading___Toc1259972_774463916"/>
      <w:bookmarkStart w:id="256" w:name="_Toc90"/>
      <w:bookmarkEnd w:id="255"/>
      <w:r>
        <w:rPr>
          <w:rtl w:val="true"/>
        </w:rPr>
        <w:t>(</w:t>
      </w:r>
      <w:r>
        <w:rPr/>
        <w:t>281-283</w:t>
      </w:r>
      <w:r>
        <w:rPr>
          <w:rtl w:val="true"/>
        </w:rPr>
        <w:t xml:space="preserve">) </w:t>
      </w:r>
      <w:r>
        <w:rPr>
          <w:rtl w:val="true"/>
        </w:rPr>
        <w:t>عمّار الدُهنی</w:t>
      </w:r>
      <w:bookmarkEnd w:id="25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بعد ذلک القسم الثانی من روایة الدُهنی، والذی یروی بقیّة القصّة بعباراتٍ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اعترضت کتائب أهل الکوفة الحسین الذی حاول التفاوض معهم، ولکنّه لم یُوفّق فی ذلک، وحصلت الحرب وقُتل فیها الحسین وجمیع الرجال والأولاد من أهل بیته وأصحابه، وأُرسِل مَن بقی حیّاً من أهل بیته إلی ابن زیاد فی الکوفة، ومن ثَمّ إلی یزید فی الشام، حیث تعامل معهم یزید بالحسنی</w:t>
      </w:r>
      <w:r>
        <w:rPr>
          <w:rStyle w:val="FootnoteAnchor"/>
          <w:rtl w:val="true"/>
        </w:rPr>
        <w:footnoteReference w:id="534"/>
      </w:r>
      <w:r>
        <w:rPr>
          <w:rFonts w:ascii="IRNazanin" w:hAnsi="IRNazanin" w:eastAsia="IRNazanin"/>
          <w:color w:val="111111"/>
          <w:sz w:val="28"/>
          <w:sz w:val="28"/>
          <w:szCs w:val="28"/>
          <w:rtl w:val="true"/>
          <w:lang w:bidi="fa-IR"/>
        </w:rPr>
        <w:t>وسمح لهم بالعودة إلی المدینة</w:t>
      </w:r>
      <w:r>
        <w:rPr>
          <w:rFonts w:eastAsia="IRNazanin" w:cs="IRNazanin"/>
          <w:color w:val="111111"/>
          <w:sz w:val="28"/>
          <w:szCs w:val="28"/>
          <w:rtl w:val="true"/>
          <w:lang w:bidi="fa-IR"/>
        </w:rPr>
        <w:t xml:space="preserve">. </w:t>
      </w:r>
      <w:bookmarkStart w:id="257" w:name="pg5097_58501"/>
    </w:p>
    <w:p>
      <w:pPr>
        <w:pStyle w:val="Heading4"/>
        <w:numPr>
          <w:ilvl w:val="3"/>
          <w:numId w:val="1"/>
        </w:numPr>
        <w:rPr/>
      </w:pPr>
      <w:bookmarkStart w:id="258" w:name="__RefHeading___Toc1259974_774463916"/>
      <w:bookmarkStart w:id="259" w:name="_Toc91"/>
      <w:bookmarkEnd w:id="257"/>
      <w:bookmarkEnd w:id="258"/>
      <w:r>
        <w:rPr>
          <w:rtl w:val="true"/>
        </w:rPr>
        <w:t>(</w:t>
      </w:r>
      <w:r>
        <w:rPr/>
        <w:t>283-287</w:t>
      </w:r>
      <w:r>
        <w:rPr>
          <w:rtl w:val="true"/>
        </w:rPr>
        <w:t xml:space="preserve">) </w:t>
      </w:r>
      <w:r>
        <w:rPr>
          <w:rtl w:val="true"/>
        </w:rPr>
        <w:t>الحسین بن عبد الرحمان</w:t>
      </w:r>
      <w:bookmarkEnd w:id="259"/>
    </w:p>
    <w:p>
      <w:pPr>
        <w:pStyle w:val="BookText"/>
        <w:rPr/>
      </w:pPr>
      <w:r>
        <w:rPr>
          <w:rFonts w:ascii="IRNazanin" w:hAnsi="IRNazanin" w:eastAsia="IRNazanin"/>
          <w:color w:val="111111"/>
          <w:sz w:val="28"/>
          <w:sz w:val="28"/>
          <w:szCs w:val="28"/>
          <w:rtl w:val="true"/>
          <w:lang w:bidi="fa-IR"/>
        </w:rPr>
        <w:t>تأتی القصّة مرّةً أُخری بصورةٍ مختصرة بدءاً من دعوة أهل الکوفة، مروراً بمهمّة مسلم بن عقیل وقتله، وحرکة الحسین إلی الکوفة، والمعرکة فی کربلاء وما جری بعدها لمن بقی حیّاً علی ید ابن زیاد فی الکوفة ویزید فی الشام</w:t>
      </w:r>
      <w:r>
        <w:rPr>
          <w:rFonts w:eastAsia="IRNazanin" w:cs="IRNazanin"/>
          <w:color w:val="111111"/>
          <w:sz w:val="28"/>
          <w:szCs w:val="28"/>
          <w:rtl w:val="true"/>
          <w:lang w:bidi="fa-IR"/>
        </w:rPr>
        <w:t>.</w:t>
      </w:r>
    </w:p>
    <w:p>
      <w:pPr>
        <w:pStyle w:val="Heading4"/>
        <w:numPr>
          <w:ilvl w:val="3"/>
          <w:numId w:val="1"/>
        </w:numPr>
        <w:rPr/>
      </w:pPr>
      <w:bookmarkStart w:id="260" w:name="__RefHeading___Toc1259976_774463916"/>
      <w:bookmarkStart w:id="261" w:name="_Toc92"/>
      <w:bookmarkEnd w:id="260"/>
      <w:r>
        <w:rPr>
          <w:rtl w:val="true"/>
        </w:rPr>
        <w:t>(</w:t>
      </w:r>
      <w:r>
        <w:rPr/>
        <w:t>287-288</w:t>
      </w:r>
      <w:r>
        <w:rPr>
          <w:rtl w:val="true"/>
        </w:rPr>
        <w:t xml:space="preserve">) </w:t>
      </w:r>
      <w:r>
        <w:rPr>
          <w:rtl w:val="true"/>
        </w:rPr>
        <w:t>الحارث بن محمّد</w:t>
      </w:r>
      <w:bookmarkEnd w:id="261"/>
    </w:p>
    <w:p>
      <w:pPr>
        <w:pStyle w:val="BookText"/>
        <w:rPr/>
      </w:pPr>
      <w:r>
        <w:rPr>
          <w:rFonts w:ascii="IRNazanin" w:hAnsi="IRNazanin" w:eastAsia="IRNazanin"/>
          <w:color w:val="111111"/>
          <w:sz w:val="28"/>
          <w:sz w:val="28"/>
          <w:szCs w:val="28"/>
          <w:rtl w:val="true"/>
          <w:lang w:bidi="fa-IR"/>
        </w:rPr>
        <w:t xml:space="preserve">تأتی بعد ذلک خمسة أخبار مرویة عن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تلک الأخبار تتحدّث عن تاریخ مقتل الحسین، والخامس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رأس الحسین کان أوّل رأس یُرفع علی الرمح</w:t>
      </w:r>
      <w:r>
        <w:rPr>
          <w:rFonts w:eastAsia="IRNazanin" w:cs="IRNazanin"/>
          <w:color w:val="111111"/>
          <w:sz w:val="28"/>
          <w:szCs w:val="28"/>
          <w:rtl w:val="true"/>
          <w:lang w:bidi="fa-IR"/>
        </w:rPr>
        <w:t>.</w:t>
      </w:r>
    </w:p>
    <w:p>
      <w:pPr>
        <w:pStyle w:val="Heading4"/>
        <w:numPr>
          <w:ilvl w:val="3"/>
          <w:numId w:val="1"/>
        </w:numPr>
        <w:rPr/>
      </w:pPr>
      <w:bookmarkStart w:id="262" w:name="__RefHeading___Toc1259978_774463916"/>
      <w:bookmarkStart w:id="263" w:name="_Toc93"/>
      <w:bookmarkEnd w:id="262"/>
      <w:r>
        <w:rPr>
          <w:rtl w:val="true"/>
        </w:rPr>
        <w:t>(</w:t>
      </w:r>
      <w:r>
        <w:rPr/>
        <w:t>288-390</w:t>
      </w:r>
      <w:r>
        <w:rPr>
          <w:rtl w:val="true"/>
        </w:rPr>
        <w:t xml:space="preserve">) </w:t>
      </w:r>
      <w:r>
        <w:rPr>
          <w:rtl w:val="true"/>
        </w:rPr>
        <w:t>ابن الکلبی</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یستمرّ الحسین فی مسیره نحو الکوفة، بینما یضع الحصین بن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شرطة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الحرّاس حول الکوفة، ویبعث الحسینُ قیسَ بن مُسهر الصیداوی برسالةٍ إلی قومه فی الکوفة یخبرهم أنّه قادمٌ فی طریقه إلیهم، ویحثّهم علی أن یکونوا مهیَّئین لوصوله، وتقبض شرطة الکوفة علی قیس، وتأتی به إلی ابن زیاد الذی یأمره بلعن الحسین أمام الملأ من أعلی القصر، ولکنّ قیساً یُجلّ الحسین ویلعن ابن زیاد، فیأمر ابن زیاد أزلامه برمی قیس من أعلی القصر فیموت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إلی الکوفة التقی الحسین رجلاً حذّره من الذهاب إلی الکوفة، ولکنّ الحسین أصرّ علی المضی فی طریقه، وکان یسیر فی الطریق نفسه رجلٌ </w:t>
      </w:r>
    </w:p>
    <w:p>
      <w:pPr>
        <w:pStyle w:val="BookText"/>
        <w:rPr/>
      </w:pPr>
      <w:r>
        <w:rPr>
          <w:rFonts w:ascii="IRNazanin" w:hAnsi="IRNazanin" w:eastAsia="IRNazanin"/>
          <w:color w:val="111111"/>
          <w:sz w:val="28"/>
          <w:sz w:val="28"/>
          <w:szCs w:val="28"/>
          <w:rtl w:val="true"/>
          <w:lang w:bidi="fa-IR"/>
        </w:rPr>
        <w:t>مع جماعةٍ من أصحابه،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القین، وهو من أتباع بنی أُمیّة</w:t>
      </w:r>
      <w:r>
        <w:rPr>
          <w:rStyle w:val="FootnoteAnchor"/>
          <w:rtl w:val="true"/>
        </w:rPr>
        <w:footnoteReference w:id="536"/>
      </w:r>
      <w:r>
        <w:rPr>
          <w:rFonts w:ascii="IRNazanin" w:hAnsi="IRNazanin" w:eastAsia="IRNazanin"/>
          <w:color w:val="111111"/>
          <w:sz w:val="28"/>
          <w:sz w:val="28"/>
          <w:szCs w:val="28"/>
          <w:rtl w:val="true"/>
          <w:lang w:bidi="fa-IR"/>
        </w:rPr>
        <w:t>، وکان یکره أن یشارک الحسین فی موارد الماء، وعندما یتوقّف الحسین یسیر ابن القین، وعندما یسیر الحسین یتوقّف ابن القین، وفی إحدی اللیالی اضطرّ ابن القین للتوقّف قرب مخیّم الحسین، فأرسل الحسین رسولاً یدعو زهیراً لزیارته، وطلبت منه امرأته أن یذهب فلبّی لها ذلک، وعندما رجع کانت أحواله قد تغیّرت، فقد عزم علی الالتحاق بالحسین، وحیث إنّه أدرک أنّ الالتحاق بالحسین فیه حتفه، فقد طلّق زوجته لتملک زمام أمرها إنْ هو قُتِل، وقد أجاز لأصحابه کذلک أن ینصرفوا، وبعدها أصبح واحداً من أخلص أصحاب الحسین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رجلان من بنی أسد من مکّة بعد خروج الحسین ببضعة أیّام، وحاولا اللحاق به والانضمام إلیه، وفی طریقهما التقیا برجلٍ قادمٍ من الکوفة وسألاه عن الأوضاع هناک، فأخبرهم بمقتل مسلم وهانئ، وبعد ذلک وصل الأسدیان إلی معسکر الحسین، وأخبراه بما سمعا، وحاولا إقناعه بعدم مواصلة السیر، ولکنّ إخوة مسلم أرادوا الثأر لأخیهم، وقالوا إنّهم سیواصلون المسیر مهما کان، وعندها قرّر الحسین مواصلة المسیر، وقد وصلت الحسینَ أخبارٌ أُخری عن مبعوثه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أُلقی القبض علیه وقُتل هو الآخر، وعند سماعه أخبار الکوفة أدرک الحسین مدی الخطورة التی سترافق مسیرته، فأعطی </w:t>
      </w:r>
      <w:bookmarkStart w:id="264" w:name="pg5097_58503"/>
    </w:p>
    <w:p>
      <w:pPr>
        <w:pStyle w:val="BookText"/>
        <w:rPr/>
      </w:pPr>
      <w:bookmarkEnd w:id="264"/>
      <w:r>
        <w:rPr>
          <w:rFonts w:ascii="IRNazanin" w:hAnsi="IRNazanin" w:eastAsia="IRNazanin"/>
          <w:color w:val="111111"/>
          <w:sz w:val="28"/>
          <w:sz w:val="28"/>
          <w:szCs w:val="28"/>
          <w:rtl w:val="true"/>
          <w:lang w:bidi="fa-IR"/>
        </w:rPr>
        <w:t>الإذن لکلّ مَن کان معه بالانصراف، وانصرف عنه بعض الأعراب الذین کانوا قد التحقوا به فی الطریق، ولقی الحسین بعد ذلک رجلاً آخر قادماً من الکوفة حذّره من مواصلة السیر، إلّا أنّ الحسین أصرَّ علی موقفه، حیث کان علی یقینٍ أنّها إرادة الله</w:t>
      </w:r>
      <w:r>
        <w:rPr>
          <w:rFonts w:eastAsia="IRNazanin" w:cs="IRNazanin"/>
          <w:color w:val="111111"/>
          <w:sz w:val="28"/>
          <w:szCs w:val="28"/>
          <w:rtl w:val="true"/>
          <w:lang w:bidi="fa-IR"/>
        </w:rPr>
        <w:t>.</w:t>
      </w:r>
    </w:p>
    <w:p>
      <w:pPr>
        <w:pStyle w:val="Heading4"/>
        <w:numPr>
          <w:ilvl w:val="3"/>
          <w:numId w:val="1"/>
        </w:numPr>
        <w:rPr/>
      </w:pPr>
      <w:bookmarkStart w:id="265" w:name="__RefHeading___Toc1259980_774463916"/>
      <w:bookmarkStart w:id="266" w:name="_Toc94"/>
      <w:bookmarkEnd w:id="265"/>
      <w:r>
        <w:rPr>
          <w:rtl w:val="true"/>
        </w:rPr>
        <w:t>(</w:t>
      </w:r>
      <w:r>
        <w:rPr/>
        <w:t>295-304</w:t>
      </w:r>
      <w:r>
        <w:rPr>
          <w:rtl w:val="true"/>
        </w:rPr>
        <w:t xml:space="preserve">) </w:t>
      </w:r>
      <w:r>
        <w:rPr>
          <w:rtl w:val="true"/>
        </w:rPr>
        <w:t>النصّ المعتمد</w:t>
      </w:r>
      <w:r>
        <w:rPr>
          <w:rtl w:val="true"/>
        </w:rPr>
        <w:t>.</w:t>
      </w:r>
      <w:bookmarkEnd w:id="266"/>
    </w:p>
    <w:p>
      <w:pPr>
        <w:pStyle w:val="BookText"/>
        <w:rPr/>
      </w:pPr>
      <w:r>
        <w:rPr>
          <w:rFonts w:ascii="Amiri" w:hAnsi="Amiri" w:eastAsia="Amiri" w:cs="Amiri"/>
          <w:color w:val="111111"/>
          <w:sz w:val="28"/>
          <w:sz w:val="28"/>
          <w:szCs w:val="28"/>
          <w:rtl w:val="true"/>
          <w:lang w:bidi="ar-SA"/>
        </w:rPr>
        <w:t xml:space="preserve">لمراجعة النصّ کاملاً، اُنظر الملحق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استطاع الحسین وأصحابه رؤیة طلائع کتائب الکوفة عن بُعد، فحاولوا أن یجدوا مکاناً لا یمکن محاصرتهم فیه، ولذلک سارعوا إلی وادٍ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ووصلت قوّة العدو بعد حین، وکان قائدها الحُرّ بن یزید التمیمی الیربوعی، وعندما تقابل الفریقان أمر الحسین فتیانه بسقایة رجال العدو العطاشی ورواحلهم، وفی ذی حُسُم صلّی رجال العدوّ مرّتین مع أصحاب الحسین جماعةً بإمامة الحسین، وخطب الحسین بجیش الکوفة مرّتین محاولاً إقناعهم بنصرته، وعندما حاول الحسین وأصحابه الانصراف منعهم الحُرّ وجنوده، فقد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مأمور بأخذ الحسین إلی الکوفة، وتنازع الحسین والحُرّ، وتوصّلا أخیراً إلی توافقٍ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یسلک الحسین طریقاً ثالثاً لا إلی الکوفة ولا إلی المدینة، بینما یکتب الحُرّ إلی ابن زیاد وینتظر منه أوامر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خطبة ثالثة کان الحسین قد خطبها فی أهل الکوفة، وکذلک بیّن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 الموت خیرٌ من الحیاة مع الظالمین، واستعدّ الفریقان للرحیل مرّةً أُخری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یرغب فی قتال سبط النبیّ، وحثّ الحسین علی الاستسلام، وإلّا فأنّه سیُقتل،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یخشی الموت ما دام یعمل بإرادة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p>
    <w:p>
      <w:pPr>
        <w:pStyle w:val="BookText"/>
        <w:rPr/>
      </w:pPr>
      <w:r>
        <w:rPr>
          <w:rFonts w:ascii="IRNazanin" w:hAnsi="IRNazanin" w:eastAsia="IRNazanin"/>
          <w:color w:val="111111"/>
          <w:sz w:val="28"/>
          <w:sz w:val="28"/>
          <w:szCs w:val="28"/>
          <w:rtl w:val="true"/>
          <w:lang w:bidi="fa-IR"/>
        </w:rPr>
        <w:t>حین جاء أربعة رجال مع دلیلهم الطرمّاح بن عدی قادمین من الکوفة أرادوا الالتحاق بالحسین، فمنعهم الحُرّ ورجاله، ولکن بعد حدیثٍ دارَ بینهم سمحوا لهم بالالتحاق بالحسین وأصحابه، وأخبر هؤلاء الرجال الأربعة الحسین بما حصل لآخر مبعوث له وهو قیس بن مسهر، وأخبروه أنّ جمیع أهل الکوفة قد انصرفوا عنه، أو أنّهم سینصرفون عاجلاً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الطرمّاح من الحسین أن یذهب معه إلی حصن قبیلته، حیث سیکون فی مأمن من بنی أُمیّة، ولکنّ الحسین رفض ذلک، وواصلوا المسیر حتّی وصلوا إلی مخیّم عبیدالله بن الحُرّ الجعفی، وهو من أشراف الکوفة وکان شاعراً، وسأل الحسینُ ابنَ الحُرّ أن یلتحق به ولکنّه أبی، حیث کان قد ترک الکوفة لیبقَ علی الحیاد فی النزاع بین والی الکوفة والحسین، وأثناء المسیر أخذت الحسین غفوة، فرأی أنّ رجلاً علی جواد ینعی له نفسه، وعندما أخبر ابنه علیّاً بهذا، 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ما داموا علی الحقّ فلن یخشوا الموت، وتسلّم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کتیبة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من ابن زیاد بأنّ علیه أن یوقف الحسین فی مکان حیث لا یستطیع فیه الوصول إلی الماء، وقد توقّفوا غیر بعید من الفرات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الغد، وصلت قوّة من الکوفة فی أربعة آلاف رجل یقودهم عمر بن سعد، والتحقوا بجماعة الحُرّ، وقبل ذلک کان ابن سعد قد أُعطی ولایة الری، وعندما اقترب الحسین من الکوفة أمر ابنُ زیاد عمرَ بن سعد بالخروج علی الحسین قبل الذهاب إلی الری، وکان ابن سعد متردّداً فی ذلک، حیث لم یکن یرغب بقتال سبط النبیّ، ولکنّ ابن زیاد هدّده بعزله من ولایة الری، فقرّر ابن سعد أن یسمع لابن زیاد رغم نصیحة بعض أهله له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وصل ابن سعد ورجاله إلی الحسین أخبره الحسین بأنّه مستعدّ </w:t>
      </w:r>
    </w:p>
    <w:p>
      <w:pPr>
        <w:pStyle w:val="BookText"/>
        <w:rPr/>
      </w:pPr>
      <w:r>
        <w:rPr>
          <w:rFonts w:ascii="Amiri" w:hAnsi="Amiri" w:eastAsia="Amiri" w:cs="Amiri"/>
          <w:color w:val="111111"/>
          <w:sz w:val="28"/>
          <w:sz w:val="28"/>
          <w:szCs w:val="28"/>
          <w:rtl w:val="true"/>
          <w:lang w:bidi="ar-SA"/>
        </w:rPr>
        <w:t>للعودة</w:t>
      </w:r>
      <w:r>
        <w:rPr>
          <w:rStyle w:val="FootnoteAnchor"/>
          <w:rtl w:val="true"/>
        </w:rPr>
        <w:footnoteReference w:id="537"/>
      </w:r>
      <w:r>
        <w:rPr>
          <w:rFonts w:ascii="IRNazanin" w:hAnsi="IRNazanin" w:eastAsia="IRNazanin"/>
          <w:color w:val="111111"/>
          <w:sz w:val="28"/>
          <w:sz w:val="28"/>
          <w:szCs w:val="28"/>
          <w:rtl w:val="true"/>
          <w:lang w:bidi="fa-IR"/>
        </w:rPr>
        <w:t>، فنقل ابن سعد ذلک إلی ابن زیاد، ولکنّ ابن زیاد أبی أن یقبل ذلک، وطلب أن یُعطی الحسینُ البیعةَ للخلیفة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ذاته، أمر ابن زیاد ألّا یُسمح للحسین وأصحابه بالحصول علی الماء أبداً، وسخر رجلٌ من الحسین لعدم حصوله علی الماء، فدعا علیه الحسین، فبقی الرجل إلی آخر حیاته یشکو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الحسین بعض أصحابه تحت إمرة أخیه العبّاس؛ لجلب الماء من النهر، وقد نجحوا بعض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الحسین التفاوض مع عمر بن سعد، فالتقیا لیلاً فی مکانٍ لا یسمعهما فیه أحد، وعرض الحسین خیارات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یُسمح له بالعودة، وإمّا یذهب بنفسه إلی الخلیفة یزید بن معاویة، وإمّا یُسمح له بالذهاب إلی مکانٍ منعزل بعید</w:t>
      </w:r>
      <w:r>
        <w:rPr>
          <w:rStyle w:val="FootnoteAnchor"/>
          <w:rtl w:val="true"/>
        </w:rPr>
        <w:footnoteReference w:id="53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الطبری نفسه یصرّح بأنّ الحادثة شاعت بین الناس وجاءت من ظنونهم ولم تکن عن علم،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وتحدّث الناس فیما بینهم ظناً یظنونه أنّ حسیناً 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 الناس بذلک وشاع فیهم من غیر أن یکونوا سمعوا من ذلک شیئاً ولا علموه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محمد بن جریر،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الطبری یذکر شاهد عیان ینفی هذه الحادثة، وهو عقبة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مولی للرباب بنت امرئ القیس، وهی أُمّ سکینة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نقل عنه الطبری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حسیناً فخرجت معه من المدینة إلی مکة، ومن مکة إلی العراق، ولم أُفارقه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أعطاهم ما یتذاکر الناس وما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أذهب فی هذه الأرض العریضة حتی ننظر ما یصیر أمر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محمد بن جریر،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یؤیّد أنّ هذه القضیة إنّما هی فرّیة هو اختلاف المؤرِّخین فیها من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کان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الخیارات التی ذُکرت بین ثلاثة وخیار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أثناء اللقاء کانا وحدهما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کان معهما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وحسب روایة أُخری، اقترح الحسین فقط أن ینصرف ولا یذهب إلی الکوفة</w:t>
      </w:r>
      <w:r>
        <w:rPr>
          <w:rStyle w:val="FootnoteAnchor"/>
          <w:rtl w:val="true"/>
        </w:rPr>
        <w:footnoteReference w:id="539"/>
      </w:r>
      <w:r>
        <w:rPr>
          <w:rFonts w:ascii="IRNazanin" w:hAnsi="IRNazanin" w:eastAsia="IRNazanin"/>
          <w:color w:val="111111"/>
          <w:sz w:val="28"/>
          <w:sz w:val="28"/>
          <w:szCs w:val="28"/>
          <w:rtl w:val="true"/>
          <w:lang w:bidi="fa-IR"/>
        </w:rPr>
        <w:t>، فکتب ابن سعد إلی ابن زیاد بما عرض علیه الحسین، ولکنّ ابن زیاد لم یکن لیقبل إلّا أن یذهب الحسین إلی یزید لمبایعته، فأصرّ علیه مستشاره شمر بن ذی الجوشن بأنّ ذلک سیکون دلیل ضعفٍ فی الوالی، وعلیه أن یأمر أن یأتی الحسین، لیعرض البیعة لیزید أمام ابن زیاد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وأذعن ابن زیاد وکتب إلی عمر بن سعد أنّ علی الحسین أن یأتی إلی الکوفة، ویُعطی البیعة للخلیفة أمام ابن زیاد، وإنْ رفضَ الحسین هذا کان واجباً علی عمر ابن سعد أن یقاتله ویقتله ویحتزّ رأسه، ویجعل الخیل تطأ جسده، فإنْ رفض ابن سعد قتال الحسین، عندئذٍ یجب علیه تسلیم إمرة الجیش إلی شمر بن ذی الجوشن، وأوصل الشمر بنفسه هذه الرسالة إلی ابن سعد، وأعطی الشمر الأمان لثلاثة من أُخوة الحسین الذین یمتّون إلیه بنسب، ولکنّهم رفضوا ذلک الأمان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أمان الله أعظم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جالساً أمام خیمته، فغفا غفوةً، فرأی فی المنام أنّ النبیّ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قادمٌ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الوقت ذاته کان جیش الکوفة یقترب وکان متأهّباً للقتال، وسألهم الحسین أن یؤخّروا القتال إلی الیوم التالی لعلّه یدرس الموقف أکثر مع أصحابه أثناء اللیل، فرضوا بتأخیر القتال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تحدّث الحسین مع أصحابه وخیّرهم أن ینصرفوا تحت الظلام، فلم ینصرف عنه إلّا رجلان، وأمّا بقیّة أصحابه فقد جدّدوا له العهد، وسمع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مریضاً تطبّبه عمّته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 ینشد قصیدةً حول مقتلهم، وبدأت زینب تبکی وتقطّع ثیابها</w:t>
      </w:r>
      <w:r>
        <w:rPr>
          <w:rStyle w:val="FootnoteAnchor"/>
          <w:rtl w:val="true"/>
        </w:rPr>
        <w:footnoteReference w:id="540"/>
      </w:r>
      <w:r>
        <w:rPr>
          <w:rFonts w:ascii="IRNazanin" w:hAnsi="IRNazanin" w:eastAsia="IRNazanin"/>
          <w:color w:val="111111"/>
          <w:sz w:val="28"/>
          <w:sz w:val="28"/>
          <w:szCs w:val="28"/>
          <w:rtl w:val="true"/>
          <w:lang w:bidi="fa-IR"/>
        </w:rPr>
        <w:t>، فهدّأ الحسین روعها قائلاً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سیذهبون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وطوال اللیل وحتّی الصباح کان الحسین وأصحابه یُصَلّون ویُعِدّون أنفسهم للقتال، وقد جعلوا الخیام قریبةً من بعضها، واتّخذوا لأنفسهم مواضع لتکون الخیام خلف ظهورهم، وملأوا خندقاً خلف الخیام بالقصب والحطب؛ لیضرموا به النار، فیحموها إنْ هم هُوجموا من الخلف، وأذابوا مسکاً فی إناءٍ من ماء ومسحوا به أنفسهم استعداداً للموت، وعند الصباح رفع الحسین نسخةً من القرآن أمامه، ورکب هو وأصحابه جمیعاً للقاء العدوّ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رأی جیش الکوفة الحطب یشتعل خلف الخیام، سخر الشمر من الحسین سائلاً إیّاه إن کان تعجّل الذهاب إلی نار جهنّم، فأراد أحد أصحاب الحسین أن یرمیه بسهمٍ، فمنعه الحسین؛ لأنّه کان یکره أن یکون هو البادئ بقتال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 الحسین علی جواده وتحدّث إلی أهل الکوفة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علیهم ألّا یقتلوه من أجل حرمته وحرمة أهل بیته، ولحبّ رسول الله له ولأخیه، وکذلک سأل بعض مَن کان فی جیش الکوفة عن الرسائل التی کانوا قد بعثوها إلیه، ودَعَوه فیها </w:t>
      </w:r>
    </w:p>
    <w:p>
      <w:pPr>
        <w:pStyle w:val="BookText"/>
        <w:rPr/>
      </w:pPr>
      <w:r>
        <w:rPr>
          <w:rFonts w:ascii="IRNazanin" w:hAnsi="IRNazanin" w:eastAsia="IRNazanin"/>
          <w:color w:val="111111"/>
          <w:sz w:val="28"/>
          <w:sz w:val="28"/>
          <w:szCs w:val="28"/>
          <w:rtl w:val="true"/>
          <w:lang w:bidi="fa-IR"/>
        </w:rPr>
        <w:t>للقدوم إلیهم، وطلب منهم أن یترکوه یعود من حیث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سلّم نفسه إلی الله واستعاذ به، وتحدّث بعد ذلک زهیر بن القین، وحثّ أهل الکوفة علی تجنّب القتال، حیث لا ینبغی للمسلم قتال أخیه المسلم،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 السیف ستتفرّق الأُمّة، وإنّ الله جعل الحسین لیبتلی به الأُمّة ویمتحن إیمانها، ونصحهم بترک الطاغیة ابن زیاد والخلیفة یزید، حیث إنّهما لن یجلبا سوی الشرّ، وسألهم أن یترکوا الحسین لیذهب إلی یزید علی الأقل، ثمّ بدأ النزاع بین الشمر وزهیر بن القین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تحرّک الجیش نحو الحسین، عزل الحُرّ نفسه عن الحشود، وقال لرجل بجانبه، کان قد سأله عن فعله هذا، أنّه یخیّر نفسه بین الجنّة والنار، ثمّ انطلق نحو الحسین الذی استقبله مرحّباً به، وخاطب الحُرّ أهل الکوفة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شرّ ما فعلوا مع الحسین، حیث دعوه ثمّ غدروا به، والآن قد منعوه الماء الذی یشرب منه الکفّار والخنازیر، ثمّ دعا عمر بن سعد باللواء ورمی سهماً، وبهذا بدأت المعرکة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بن عمیر الکلبی وزوجته أُمّ وهب بنت عبد قد التحقا من الکوفة بالحسین فی أوّل الأمر، وعندما بدأ القتال تقدّم رجلان من جیش الکوفة، ودعوا أصحاب الحسین للمبارزة، فبرز عبدالله بن عمیر وقتلهما، ثمّ هرعت أُمّ وهب لنصرة زوجها وبیدها عمود الخیمة، ولکنّها مُنعت من ذلک وأُعیدت مع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کلّما حمل العدوّ جثا أصحاب الحسین علی رکبهم مسدّدین رماحهم نحو صدور الجیاد، وبهذا کانوا یصدّون الحملات، وسخر رجل من أهل الکوفة من الحسین، فدعا علیه الحسین أن یبعثه الله إلی جهنّم، فسقط الرجل من علی جواده، وعلقت رجله بالرکاب فأسرع به الجواد، وضرب رأسه کلَّ حجرٍ </w:t>
      </w:r>
    </w:p>
    <w:p>
      <w:pPr>
        <w:pStyle w:val="BookText"/>
        <w:rPr/>
      </w:pPr>
      <w:r>
        <w:rPr>
          <w:rFonts w:ascii="Amiri" w:hAnsi="Amiri" w:eastAsia="Amiri" w:cs="Amiri"/>
          <w:color w:val="111111"/>
          <w:sz w:val="28"/>
          <w:sz w:val="28"/>
          <w:szCs w:val="28"/>
          <w:rtl w:val="true"/>
          <w:lang w:bidi="ar-SA"/>
        </w:rPr>
        <w:t>ومدرٍ وهلک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المعرکة کان القتال رجلاً لرجل، ولکن أدرک قادة جیش الکوفة أنّ أصحاب الحسین کانوا یَقتلون من جیش الکوفة أکثر بکثیر ممّا یُقتَل منهم، ولذلک منعوا کلَّ مبارزةٍ فردیّة، وبعد ذلک وسّع أهل الکوفة من حملاتهم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قصّة المعرکة لم تُرو بترتیب زمنی دقیق، ولکنّ أجزاءها جُمِعت فوق بعضها بنفس المضمون</w:t>
      </w:r>
      <w:r>
        <w:rPr>
          <w:rStyle w:val="FootnoteAnchor"/>
          <w:rtl w:val="true"/>
        </w:rPr>
        <w:footnoteReference w:id="541"/>
      </w:r>
      <w:r>
        <w:rPr>
          <w:rFonts w:ascii="IRNazanin" w:hAnsi="IRNazanin" w:eastAsia="IRNazanin"/>
          <w:color w:val="111111"/>
          <w:sz w:val="28"/>
          <w:sz w:val="28"/>
          <w:szCs w:val="28"/>
          <w:rtl w:val="true"/>
          <w:lang w:bidi="fa-IR"/>
        </w:rPr>
        <w:t>، وجاءت روایة مَقاتِل بعض أصحاب الحسین البارزین بالتفصیل، وکذلک کلماتهم مع الحسین ومع العدو بالإضافة إلی أدعیتهم، وبعد مقتل أصحاب الحسین جاءت الروایة عن مقتل أهل بیته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قُتل من أهل الحسین ولده علیّ الأکبر</w:t>
      </w:r>
      <w:r>
        <w:rPr>
          <w:rStyle w:val="FootnoteAnchor"/>
          <w:rtl w:val="true"/>
        </w:rPr>
        <w:footnoteReference w:id="542"/>
      </w:r>
      <w:r>
        <w:rPr>
          <w:rFonts w:ascii="IRNazanin" w:hAnsi="IRNazanin" w:eastAsia="IRNazanin"/>
          <w:color w:val="111111"/>
          <w:sz w:val="28"/>
          <w:sz w:val="28"/>
          <w:szCs w:val="28"/>
          <w:rtl w:val="true"/>
          <w:lang w:bidi="fa-IR"/>
        </w:rPr>
        <w:t xml:space="preserve">، وکان یحمل علی أهل الکوفة الذین کانوا یخشون قتله، ولکنّهم حملوا علیه أخیراً وقتلوه، فبکاه الحسین وأُخته زینب کثیراً، ثمّ قُتل عبدالله بن مسلم بن عقیل بسهمین، وصُرع ابن أخٍ للحسین فاستنجد بعمّه الذی انطلق لنجدته، ولکنّ الخیل وطأته فمات، وکان معظم مقاتلی العدو یخشون أن یکون دم الحسین فی عنقهم، ولذلک کانوا یتجنّبون مهاجمته، ولکنّ رجلاً قد ضربه بالسیف علی رأسه فجرحه فأثّر به </w:t>
      </w:r>
    </w:p>
    <w:p>
      <w:pPr>
        <w:pStyle w:val="BookText"/>
        <w:rPr/>
      </w:pPr>
      <w:r>
        <w:rPr>
          <w:rFonts w:ascii="IRNazanin" w:hAnsi="IRNazanin" w:eastAsia="IRNazanin"/>
          <w:color w:val="111111"/>
          <w:sz w:val="28"/>
          <w:sz w:val="28"/>
          <w:szCs w:val="28"/>
          <w:rtl w:val="true"/>
          <w:lang w:bidi="fa-IR"/>
        </w:rPr>
        <w:t>ذلک، ثمّ جاء الحسین بطفل رضیع یحمله فی حجره فجاءه سهم فذبحه، ثمّ قُتل إخوة الحسین وابن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عطشاناً فحاول الوصول إلی الماء، ولکنّ رجلاً من أهل الکوفة رماه بسهم وقع فی حلقه فتدفّق منه الدم، فدعا الحسین علی الرجل فبقی عطشاناً لا یروی مهما شرب من الماء، ثمّ حمل الشمر وبعض رجاله علی الحسین، فبرز صبیٌّ من أهل الحسین للدفاع عنه فقُطعت ذراعه، ودافع الحسین دفاع الأبطال وکان العدو خائفاً من قتله، ثمّ هاجمته جماعة فخضبّوه بالجراح، ثمّ ضربه سنان بن أنس بن عمرو ضربةً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ذلک القسم من الروایة حول مَن بقی حیّاً من أهل الحسین أمام ابن زیاد فی الکوفة ویزید فی الشام قسماً معقّداً، وقد رُوی فی صورةٍ معیّنة؛ لیعطی رسالةً خاصّة، وقد جاء هنا بصورة مختصرة، وسیأتی تحلیله فی الملحق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استُلب ما کان علی جسد الحسین، ثمّ تحوّل الناس إلی خیم النساء وسلبوهنّ کلَّ شیءٍ، وأراد الشمر قتل علیّ الأصغر، ولکنّ عمر بن سعد منعه من ذلک، وکذلک منع استلاب خیم النساء، إلّا أنّ ما سُلِب لم یُعَد، ووطأت الخیل جسد الحسین، وأُخِذ رأسه إلی ابن زیاد، وکذلک جاؤوا بأهل الحسین إلی الکوفة أمام ابن زیاد، ونکت ابن زیاد ثغر الحسین بقضیبه، فقام إلیه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رأی رسول الله یرشف ثنایاه، وتحاجّت زینب مع ابن زیاد حول إرادة الله فی قتل الحسین ومَن معه، ثمّ هدّد ابن زیاد بقتل علیّ الأصغر، إلّا أنّ زینب حالت دون ذلک فبقی حیّاً، ودعا ابن زیاد جمیع أهل الکوفة للصلاة جامعة،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 وابن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فقام شیخ ضریر من الشیعة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w:t>
      </w:r>
    </w:p>
    <w:p>
      <w:pPr>
        <w:pStyle w:val="BookText"/>
        <w:rPr/>
      </w:pPr>
      <w:r>
        <w:rPr>
          <w:rFonts w:ascii="IRNazanin" w:hAnsi="IRNazanin" w:eastAsia="IRNazanin"/>
          <w:color w:val="111111"/>
          <w:sz w:val="28"/>
          <w:sz w:val="28"/>
          <w:szCs w:val="28"/>
          <w:rtl w:val="true"/>
          <w:lang w:bidi="fa-IR"/>
        </w:rPr>
        <w:t>زیاد هو الکذّاب، فأراد ابن زیاد قتله، فهبّت عشیرته فحمته وأخذته بعیداً، لکنّ ابن زیاد تمکّن فیما بعد منه، فأخذه وقتله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رأس الحسین إلی الخلیفة یزید فی الشام، ثمّ جاؤوا بمَن بقی من أهل الحسین، وأظهر یزید حزنه وندمه علی قتل الحسین، ولکنّه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الذنب کان ذنب الحسین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إحدی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نکت ثغر الحسین بقضیبه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وتعامل یزید مع أهل الحسین بالحسنی</w:t>
      </w:r>
      <w:r>
        <w:rPr>
          <w:rStyle w:val="FootnoteAnchor"/>
          <w:rtl w:val="true"/>
        </w:rPr>
        <w:footnoteReference w:id="543"/>
      </w:r>
      <w:r>
        <w:rPr>
          <w:rFonts w:ascii="IRNazanin" w:hAnsi="IRNazanin" w:eastAsia="IRNazanin"/>
          <w:color w:val="111111"/>
          <w:sz w:val="28"/>
          <w:sz w:val="28"/>
          <w:szCs w:val="28"/>
          <w:rtl w:val="true"/>
          <w:lang w:bidi="fa-IR"/>
        </w:rPr>
        <w:t>، مع أنّه تجادل مع زینب وعلیّ، وبعد ذلک أرسلهم إلی المدینة یتبعهم موکب شایعهم باحترام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هذا الفصل أربعة أخبارٍ مختلفة حول الأحداث التی تلَت مقتل الحسین، وحسب الخبر الأوّل أرسل ابن زیاد رسولاً إلی المدینة یُعلن مقتل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الخبر الثانی،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 بمقتل أبنائه فأظهر حزنه، لکنّه کان فخوراً؛ لأنّهم قُتلوا دفاعاً عن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الثالث جاء فیه أنّ ابن زیاد سأل عمر بن سعد عن الکتاب الذی أمره فیه بقیادة الجیش ضدّ الحسین، فرفض ابن سعد أن یعطیه إیّاه،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بعثه إلی مکانٍ آخر کدلیلٍ علی أنّه لم یخرج لقتال الحسین من تلقاء نفسه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الخبر الرابع، فیحکی عن صوت غریب سُمع فی المدینة ینشد قصیدةَ شؤم تُدین أُولئک الذین قتلوا الحسین</w:t>
      </w:r>
      <w:r>
        <w:rPr>
          <w:rFonts w:eastAsia="IRNazanin" w:cs="IRNazanin"/>
          <w:color w:val="111111"/>
          <w:sz w:val="28"/>
          <w:szCs w:val="28"/>
          <w:rtl w:val="true"/>
          <w:lang w:bidi="fa-IR"/>
        </w:rPr>
        <w:t xml:space="preserve">. </w:t>
      </w:r>
      <w:bookmarkStart w:id="267" w:name="pg5097_58512"/>
    </w:p>
    <w:p>
      <w:pPr>
        <w:pStyle w:val="Heading4"/>
        <w:numPr>
          <w:ilvl w:val="3"/>
          <w:numId w:val="1"/>
        </w:numPr>
        <w:rPr/>
      </w:pPr>
      <w:bookmarkStart w:id="268" w:name="__RefHeading___Toc1259982_774463916"/>
      <w:bookmarkStart w:id="269" w:name="_Toc95"/>
      <w:bookmarkEnd w:id="267"/>
      <w:bookmarkEnd w:id="268"/>
      <w:r>
        <w:rPr>
          <w:rtl w:val="true"/>
        </w:rPr>
        <w:t>(</w:t>
      </w:r>
      <w:r>
        <w:rPr/>
        <w:t>386-388</w:t>
      </w:r>
      <w:r>
        <w:rPr>
          <w:rtl w:val="true"/>
        </w:rPr>
        <w:t xml:space="preserve">) </w:t>
      </w:r>
      <w:r>
        <w:rPr>
          <w:rtl w:val="true"/>
        </w:rPr>
        <w:t>أسماء الهاشمیین الذین قُتلوا فی المعرکة</w:t>
      </w:r>
      <w:r>
        <w:rPr>
          <w:rtl w:val="true"/>
        </w:rPr>
        <w:t>.</w:t>
      </w:r>
      <w:bookmarkEnd w:id="26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ابن زیاد من أحد أشراف الکوفة وهو عبیدالله بن الحُرّ الجعفی أن یُعلن ولاءه التامّ له، ولکنّ ابن الحُرّ رفض وفرّ، وبعد ذلک وصل إلی الکوفة ودعا الله أن یغفر له عدم نصرته للحسین، ثُمّ أنشد قصیدةً یمدح فیها أنصار الحسین ویذمّ خصومه</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5097_58514"/>
      <w:bookmarkStart w:id="271" w:name="pg5097_58514"/>
      <w:bookmarkEnd w:id="271"/>
    </w:p>
    <w:p>
      <w:pPr>
        <w:pStyle w:val="Heading3"/>
        <w:numPr>
          <w:ilvl w:val="2"/>
          <w:numId w:val="1"/>
        </w:numPr>
        <w:rPr/>
      </w:pPr>
      <w:bookmarkStart w:id="272" w:name="pg5097_58514"/>
      <w:bookmarkStart w:id="273" w:name="__RefHeading___Toc1259984_774463916"/>
      <w:bookmarkStart w:id="274" w:name="_Toc96"/>
      <w:bookmarkEnd w:id="272"/>
      <w:bookmarkEnd w:id="273"/>
      <w:r>
        <w:rPr>
          <w:rtl w:val="true"/>
        </w:rPr>
        <w:t xml:space="preserve">الملحق </w:t>
      </w:r>
      <w:r>
        <w:rPr>
          <w:rtl w:val="true"/>
        </w:rPr>
        <w:t>(</w:t>
      </w:r>
      <w:r>
        <w:rPr/>
        <w:t>2</w:t>
      </w:r>
      <w:r>
        <w:rPr>
          <w:rtl w:val="true"/>
        </w:rPr>
        <w:t xml:space="preserve">) </w:t>
      </w:r>
      <w:r>
        <w:rPr>
          <w:rtl w:val="true"/>
        </w:rPr>
        <w:t>النصّ المعتمد</w:t>
      </w:r>
      <w:bookmarkEnd w:id="274"/>
    </w:p>
    <w:p>
      <w:pPr>
        <w:pStyle w:val="Heading4"/>
        <w:numPr>
          <w:ilvl w:val="3"/>
          <w:numId w:val="1"/>
        </w:numPr>
        <w:rPr/>
      </w:pPr>
      <w:bookmarkStart w:id="275" w:name="__RefHeading___Toc1259986_774463916"/>
      <w:bookmarkStart w:id="276" w:name="_Toc97"/>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 xml:space="preserve">فیما یلی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بأکمله، ولقد ترجمته شخصیّاً، وقد اعتمدت فیها إلی حدٍّ بعید علی ترجمة هاوارد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History Of Al-Tabari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1259988_774463916"/>
      <w:bookmarkStart w:id="278" w:name="_Toc98"/>
      <w:bookmarkEnd w:id="277"/>
      <w:r>
        <w:rPr>
          <w:rtl w:val="true"/>
        </w:rPr>
        <w:t>القسم الأوّل</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عن أبی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جناب، عن عدی بن حرملة، عن عبدالله بن سلیم والمذری بن المشمعل الأسدیین،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5"/>
      </w:r>
      <w:r>
        <w:rPr>
          <w:rFonts w:ascii="Amiri" w:hAnsi="Amiri" w:eastAsia="Amiri" w:cs="Amiri"/>
          <w:color w:val="111111"/>
          <w:sz w:val="28"/>
          <w:sz w:val="28"/>
          <w:szCs w:val="28"/>
          <w:rtl w:val="true"/>
          <w:lang w:bidi="ar-SA"/>
        </w:rPr>
        <w:t>حتّی نزلَ شِراف، فلمّا کانَ فی السحرِ أمرَ فتیانَه فاستقوا من الماءِ فأکثروا، ثمّ ساروا منها فرسموا صدرَ یومِهم حتّی انتصفَ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فقالَ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ما 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النخلَ، فقالَ لهُ الأسدیان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المکان ما رأینا بهِ نخلةً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تریانه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رأیَ هوادی الخیل،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والله، أری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لنا ملجأٌ نلجأُ إلیه نجعله فی ظهورِنا، ونستقبل القومَ من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هذا ذو حُسُم إلی جنبِک تمیلُ إلیهِ عن یسارِک، فإنْ سبقتَ القومَ إلیهِ فهو کما ترید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فأخذَ إلیهِ ذاتَ الیسار،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ومِلنا معهُ فما کانَ بأسرع من أنْ طلعَتْ </w:t>
      </w:r>
    </w:p>
    <w:p>
      <w:pPr>
        <w:pStyle w:val="BookText"/>
        <w:rPr/>
      </w:pPr>
      <w:r>
        <w:rPr>
          <w:rFonts w:ascii="Amiri" w:hAnsi="Amiri" w:eastAsia="Amiri" w:cs="Amiri"/>
          <w:color w:val="111111"/>
          <w:sz w:val="28"/>
          <w:sz w:val="28"/>
          <w:szCs w:val="28"/>
          <w:rtl w:val="true"/>
          <w:lang w:bidi="ar-SA"/>
        </w:rPr>
        <w:t>علینا هوادیُ الخیلِ، فتبیّنّاها وعدنا، فلمّا رأونا وقد عَدَلْنا عن الطریقِ، عَدَلوا إلینا کأنّ أسنّتهم الیعاسیب، وکأنّ رایاتهم أجنحة الطیر،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فاستبقنا إلی ذی حُسُم فسبقناهم إلیه، فنزلَ الحسینُ وأمرَ بأبنتیهِ فضُرِبت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القومُ وهم ألفُ فارسٍ معَ الحُرّ بنِ یزید التمیمی الیربوعی، حتّی وقفَ هو وخیلُه مقابلَ الحسینِ فی حَرّ الظهیرةِ، والحسینُ وأصحابُه مُعْتَمّون متقلّدو أسیافهم، فقالَ الحسینُ لفتیانِهِ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اسقوا القومَ وأَرووهم من الماء، ورشِّفوا الخیلَ ترشیفاً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فتیانُه فرشَّفوا الخیلَ ترشیفاً، فقامَ فتیةٌ وسقوا القومَ من الماءِ حتّی أَرووهم، وأَقبَلوا یملؤونَ القصاعَ والأتوارَ والطساسَ من الماءِ ثُمّ یدنونها من الفرسِ، فإذا عبّ فیه ثلاثاً أو أربعاً أو خمساً عُزلت عنه وسقوا آخرَ، حتّی سقوا الخیلَ کلَّها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لقیط عن علیّ بنِ الطعّان المُحاربی</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الحُرّ بنِ یزید، فجئتُ فی آخر مَن جاءَ من أصحابِه، فلمّا رأی الحسینُ ما بی وبفَرَسی من العطشِ،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أَنِخ الراویة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والراویة عندی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 أخ، أنخ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کلّما شربتُ سالَ الماءُ من السِقاءِ، فقالَ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اخنث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لا أدری کیفَ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الحسینُ، فخنثه فشربتُ وسقیتُ فرسی</w:t>
      </w:r>
      <w:r>
        <w:rPr>
          <w:rFonts w:eastAsia="Amiri" w:cs="Amiri" w:ascii="Amiri" w:hAnsi="Amiri"/>
          <w:color w:val="111111"/>
          <w:sz w:val="28"/>
          <w:szCs w:val="28"/>
          <w:rtl w:val="true"/>
          <w:lang w:bidi="ar-SA"/>
        </w:rPr>
        <w:t xml:space="preserve">. </w:t>
      </w:r>
      <w:bookmarkStart w:id="279" w:name="pg5097_58516"/>
    </w:p>
    <w:p>
      <w:pPr>
        <w:pStyle w:val="Heading4"/>
        <w:numPr>
          <w:ilvl w:val="3"/>
          <w:numId w:val="1"/>
        </w:numPr>
        <w:rPr/>
      </w:pPr>
      <w:bookmarkStart w:id="280" w:name="__RefHeading___Toc1259990_774463916"/>
      <w:bookmarkStart w:id="281" w:name="_Toc99"/>
      <w:bookmarkEnd w:id="279"/>
      <w:bookmarkEnd w:id="280"/>
      <w:r>
        <w:rPr>
          <w:rtl w:val="true"/>
        </w:rPr>
        <w:t>القسم الثانی</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مجیءُ الحُرِّ بنِ یزید ومسیرُه إلی الحسینِ مِن القادسیّةِ، وذلک أنَّ عبیدَ الله بنَ زیاد لمّا بَلغَهُ إقبالُ الحسینِ بعثَ الحصینَ بنَ تمیمٍ</w:t>
      </w:r>
      <w:r>
        <w:rPr>
          <w:rStyle w:val="FootnoteAnchor"/>
          <w:rtl w:val="true"/>
        </w:rPr>
        <w:footnoteReference w:id="547"/>
      </w:r>
      <w:r>
        <w:rPr>
          <w:rFonts w:ascii="Amiri" w:hAnsi="Amiri" w:eastAsia="Amiri" w:cs="Amiri"/>
          <w:color w:val="111111"/>
          <w:sz w:val="28"/>
          <w:sz w:val="28"/>
          <w:szCs w:val="28"/>
          <w:rtl w:val="true"/>
          <w:lang w:bidi="ar-SA"/>
        </w:rPr>
        <w:t>التمیمی وکانَ علی شُرَطِهِ، فأمرَهُ أنْ ینزلَ القادسیّةَ وأنْ یضعَ المَسالحَ فینظم ما بین القَطْقَطانة إلی خفّان، وقدم الحُرّ بن یزید بین یدیهِ فی هذهِ الألفِ من القادسیّة فیستقبل حسیناً</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259992_774463916"/>
      <w:bookmarkStart w:id="283" w:name="_Toc100"/>
      <w:bookmarkEnd w:id="282"/>
      <w:r>
        <w:rPr>
          <w:rtl w:val="true"/>
        </w:rPr>
        <w:t>القسم الثالث</w:t>
      </w:r>
      <w:bookmarkEnd w:id="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موافقاً حسیناً حتّی حضرت الصلاةُ صلاةُ الظهرِ، فأمرَ الحسینُ الحجّاجَ بنَ مسروق الجعفی أنْ یُؤَذِّنَ فأذّنَ، فلمّا حضرت الإقامةُ خرجَ الحسینُ فی إزارٍ ورداءٍ ونعلین، فحمدَ الله وأثنی علیه،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إنّها معذرةٌ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آتِکُم حتّی أتتنی کتبُکم، وقدِمت علیّ رسلُکم أنْ أقدِم علینا فإنّهُ لیسَ لنا إمامٌ، لعلّ الله یجمعُنا بکَ علی الهُدی، فإنْ کنتُم علی ذلکَ فقد جئتُکُم، فإنْ تُعطونی ما أَطمئنُّ إلیهِ من عهودِکم ومواثیقِکم أَقدِمُ مصرَکم، وإنْ لم تفعلوا وکنتُم لمقدمی کارهین انصرفتُ عنکم إلی المکانِ الذی أقبلتُ منهُ إلیکُم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فسکتوا عنهُ وقالوا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أتریدُ أنْ تصلّیَ بأصحابِک؟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تصلّی أنتَ ونُصلّی بصلاتِک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فصلّی بهم الحسین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دخلَ واجتمعَ إلیهِ أصحابُه، وانصرفَ الحُرّ إلی مکانِه الذی کانَ بهِ، </w:t>
      </w:r>
      <w:bookmarkStart w:id="284" w:name="pg5097_58517"/>
    </w:p>
    <w:p>
      <w:pPr>
        <w:pStyle w:val="BookText"/>
        <w:rPr/>
      </w:pPr>
      <w:bookmarkEnd w:id="284"/>
      <w:r>
        <w:rPr>
          <w:rFonts w:ascii="Amiri" w:hAnsi="Amiri" w:eastAsia="Amiri" w:cs="Amiri"/>
          <w:color w:val="111111"/>
          <w:sz w:val="28"/>
          <w:sz w:val="28"/>
          <w:szCs w:val="28"/>
          <w:rtl w:val="true"/>
          <w:lang w:bidi="ar-SA"/>
        </w:rPr>
        <w:t>فدخلَ خیمةً قد ضُربت لهُ فاجتمعَ إلیهِ جماعةٌ من أصحابِه، وعادَ أصحابُه إلی صفّهم الذی کانوا فیهِ، فأعادوه ثمّ أخذَ کلُّ رجلٍ منهم بعنانِ دابّتهِ وجلسَ فی ظلِّها</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259994_774463916"/>
      <w:bookmarkStart w:id="286" w:name="_Toc101"/>
      <w:bookmarkEnd w:id="285"/>
      <w:r>
        <w:rPr>
          <w:rtl w:val="true"/>
        </w:rPr>
        <w:t>القسم الرابع</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وقتَ العصرِ أمرَ الحسینُ أن یتهیّؤوا للرحیلِ، ثمّ إنّه خرجَ فأمرَ منادیَهُ فنادی بالعصرِ وأقامَ، فاستقدمَ الحسینُ فصلّی بالقومِ، ثمّ سلَّم وانصرفَ إلی القومِ بوجههِ، فحَمِدَ الله وأثنی علیهِ،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أیّها الناس، فإنّکم إنْ تتّقوا وتعرِفوا الحقَّ لأهلِهِ یکُنْ أرضی لله، ونحنُ أهلَ البیتِ أولی بولایةِ هذا الأمرِ علیکم مِن هؤلاءِ المُدَّعینَ ما لیسَ لهم، والسائرینَ فیکُم بالجورِ والعدوانِ، وإنْ أنتم کرِهتمونا وجَهِلتُم حقَّنا، وکانَ رأیُکُم غیرَ ما أتتنی کتبُکم وقدِمتْ بهِ علیَّ رسلُکم انصرفتُ عنکم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ندری ما هذهِ الکتبُ التی 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عقبة بن سمعان أخرج الخرجینِ اللذینِ فیهما کتبُهم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خرجینِ مملوءینِ صُحُفاً، فنشرَها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لسنا مِن هؤلاءِ الذینَ کتبوا إلیکَ، وقد أُمِرنا إذا نحنُ لقیناکَ ألّا نفارقَک حتّی نُقدِمک علی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أدنی إلیکَ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فارکبوا، فرَکِبوا وانتظروا حتّی رَکِبت نساؤهُم</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259996_774463916"/>
      <w:bookmarkStart w:id="288" w:name="_Toc102"/>
      <w:bookmarkEnd w:id="287"/>
      <w:r>
        <w:rPr>
          <w:rtl w:val="true"/>
        </w:rPr>
        <w:t>القسم الخامس</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 انصرفوا بنا، فلمّا ذهبوا لینصرفوا حالَ القومُ بینَهُم وبینَ الانصراف</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أُمُّک، ما ترید؟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غیرُک مِن العربِ </w:t>
      </w:r>
      <w:bookmarkStart w:id="289" w:name="pg5097_58518"/>
    </w:p>
    <w:p>
      <w:pPr>
        <w:pStyle w:val="BookText"/>
        <w:rPr/>
      </w:pPr>
      <w:bookmarkEnd w:id="289"/>
      <w:r>
        <w:rPr>
          <w:rFonts w:ascii="Amiri" w:hAnsi="Amiri" w:eastAsia="Amiri" w:cs="Amiri"/>
          <w:color w:val="111111"/>
          <w:sz w:val="28"/>
          <w:sz w:val="28"/>
          <w:szCs w:val="28"/>
          <w:rtl w:val="true"/>
          <w:lang w:bidi="ar-SA"/>
        </w:rPr>
        <w:t>یقولُها لی وهو علی مثلِ الحالِ التی أنتَ علیها ما ترکتُ ذکرَ أُمِّه بالثکلِ، أنْ أقولَه کائناً مَن کانَ، ولکنْ والله، ما لی إلی ذکرِ أُمِّک مِن سبیلٍ إلّا بأحسن ما یُقدَرُ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ترید؟ 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أنطلقَ بکَ إلی عبیدِالله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أتبعُک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فترادّا القولَ ثلاثَ مراتٍ، ولمّا کثُرَ الکلامُ بینَهُما، 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أومرْ بقتالِکَ، وإنَّما أُمِرتُ ألّا أُفارقَکَ حتّی أُقدِمَکَ الکوفةَ، فإذا أَبیتَ فخُذْ طریقاً لا تُدخلُکَ الکوفةَ ولا تردُّکَ إلی المدینةِ تکونُ بینی وبینَک نَصَفاً حتّی أَکتُبَ إلی ابنِ زیادٍ وتَکتُبَ أنتَ إلی یزید بنِ معاویة إنْ أردتَ أنْ تکتبَ إلیهِ، أو إلی عبیدِالله بنِ زیاد إنْ شئت، فلعلّ الله إلی ذاکَ أنْ یأتیَ بأمرٍ یرزقُنی فیهِ العافیةَ مِن أنْ أُبتَلی بشیءٍ مِن أمرِک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فتیاسرَ عن طریقِ العُذَیبِ والقادسیّة وبینَهُ وبینَ العُذیبِ ثمانیةٌ وثلاثونَ میلاً، ثمّ إنَّ الحسینَ سارَ فی أصحابِه والحُرُّ یُسایرُه</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259998_774463916"/>
      <w:bookmarkStart w:id="291" w:name="_Toc103"/>
      <w:bookmarkEnd w:id="290"/>
      <w:r>
        <w:rPr>
          <w:rtl w:val="true"/>
        </w:rPr>
        <w:t>القسم السادس</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أبی العیزار</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یبدأ بإسنادٍ جدید فیه الراوی عقبة بن أبی العیزار، والذی لا یوجد فی أیِّ مکانٍ آخر من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یقطع تسلسل الروایة بین نهایة القسم الخامس وبدایة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بصورة مفاجئة مکاناً جدیداً وهو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وجوده فی النسخ المهمّة کروایة المفید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محمد بن محمد،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أنَّ الحسینَ خطبَ أصحابَهُ</w:t>
      </w:r>
    </w:p>
    <w:p>
      <w:pPr>
        <w:pStyle w:val="BookText"/>
        <w:rPr/>
      </w:pPr>
      <w:r>
        <w:rPr>
          <w:rFonts w:ascii="Amiri" w:hAnsi="Amiri" w:eastAsia="Amiri" w:cs="Amiri"/>
          <w:color w:val="111111"/>
          <w:sz w:val="28"/>
          <w:sz w:val="28"/>
          <w:szCs w:val="28"/>
          <w:rtl w:val="true"/>
          <w:lang w:bidi="ar-SA"/>
        </w:rPr>
        <w:t>وأصحابَ الحُرّ بالبیضةِ، فحَمِدَ الله وأثنی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 الله، ناکثاً لعهدِ الله، مُخالِفاً لسُنَّةِ رسولِ الله، یعملُ فی عبادِ الله بالإثمِ والعدوانِ، فلم یُغیِّرْ</w:t>
      </w:r>
      <w:r>
        <w:rPr>
          <w:rStyle w:val="FootnoteAnchor"/>
          <w:rtl w:val="true"/>
        </w:rPr>
        <w:footnoteReference w:id="549"/>
      </w:r>
      <w:r>
        <w:rPr>
          <w:rFonts w:ascii="Amiri" w:hAnsi="Amiri" w:eastAsia="Amiri" w:cs="Amiri"/>
          <w:color w:val="111111"/>
          <w:sz w:val="28"/>
          <w:sz w:val="28"/>
          <w:szCs w:val="28"/>
          <w:rtl w:val="true"/>
          <w:lang w:bidi="ar-SA"/>
        </w:rPr>
        <w:t>علیهِ بفعلٍ ولا قولٍ، کانَ حقّاً علی اللهِ أنْ یُدخِلَهُ مدخلَه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هؤلاءِ قد لزِموا طاعةَ الشیطانِ، وترکوا طاعةَ الرحمانِ، وأظهروا الفسادَ، وعطَّلوا الحدودَ، واستأثروا بالفیءِ، وأَحلّوا حرامَ اللهِ وحرَّموا حلالَه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أحقُّ مَن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أتتنی کتبُکم وقدِمَتْ علیَّ رسلُکم ببیعتِکم أنَّکم لا تُسلِّمونی ولا تَخذُلونی، فإنْ تممتُم علی بیعتِکم تُصیبوا رشدَکُم، فأنا الحسینُ بنُ علیّ، وابنُ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نفسی معَ أنفسِکم، وأهلی مع أهلیکُم، فلکُم فیَّ أُسوة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تفعلوا ونقَضتُم عهدَکُم وخَلَعتُم بیعَتی مِن أعناقِکم، فلَعَمْری ما هی لکُم بنُکرٍ، لقد فعلتُموها بأبی وأخی وابنِ عمّی مسلم، والمغرورُ مَن اغترَّ بکُم، فحظَّکم أخطأتُم ونصیبَکُم ضیَّعتُم، ومَن نکثَ فإنّما ینکثُ علی نفسِهِ وسیُغنی الله عنکُم، والسلامُ علیکُم ورحمةُ اللهِ وبرکاتُه</w:t>
      </w:r>
      <w:r>
        <w:rPr>
          <w:rFonts w:eastAsia="Amiri" w:cs="Amiri" w:ascii="Amiri" w:hAnsi="Amiri"/>
          <w:color w:val="111111"/>
          <w:sz w:val="28"/>
          <w:szCs w:val="28"/>
          <w:rtl w:val="true"/>
          <w:lang w:bidi="ar-SA"/>
        </w:rPr>
        <w:t xml:space="preserve">. </w:t>
      </w:r>
      <w:bookmarkStart w:id="292" w:name="pg5097_58520"/>
    </w:p>
    <w:p>
      <w:pPr>
        <w:pStyle w:val="Heading4"/>
        <w:numPr>
          <w:ilvl w:val="3"/>
          <w:numId w:val="1"/>
        </w:numPr>
        <w:rPr/>
      </w:pPr>
      <w:bookmarkStart w:id="293" w:name="__RefHeading___Toc1260000_774463916"/>
      <w:bookmarkStart w:id="294" w:name="_Toc104"/>
      <w:bookmarkEnd w:id="292"/>
      <w:bookmarkEnd w:id="293"/>
      <w:r>
        <w:rPr>
          <w:rtl w:val="true"/>
        </w:rPr>
        <w:t>القسم السابع</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عقبةُ بنُ أبی 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بذی حُسُمٍ، فحَمِدَ الله وأثنی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مِن الأمرِ ما قد ترَوْنَ، وإنَّ الدُنیا قد تغیَّرت وتنکَّرت وأدبرَ معروفُها واستمرَّت جدّاً، فلم یبقَ مِنها إلّا صُبابةٌ کصُبابةِ الإناءِ، وخسیسُ عیشٍ کالمرعی الوبیل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الحقَّ لا یُعمَلُ بهِ وأنَّ الباطلَ لا یُتَناهی عنهُ، لِیرغَبَ المؤمنُ فی لقاءِ اللهِ مُحِقّاً، فإنّی لا أری الموتَ إلّا شهادةً، ولا الحیاةَ معَ الظالمینَ إلّا بَرَما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زُهیرُ بنُ القینِ البَجَلی،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تتکلّمون أم أتکلّم؟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فأثنی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هَداکَ الله 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مَقالتَک، واللهِ، لو کانتِ الدُنیا لنا باقیةً، وکُنّا فیها مُخَلَّدینَ إلّا أنَّ فراقَها فی نَصرِکَ ومُواساتِکَ لآثَرنا الخروجَ معکَ علی الإقامةِ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فدعا لهُ الحسینُ، ثُمَّ قالَ لهُ خیراً</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260002_774463916"/>
      <w:bookmarkStart w:id="296" w:name="_Toc105"/>
      <w:bookmarkEnd w:id="295"/>
      <w:r>
        <w:rPr>
          <w:rtl w:val="true"/>
        </w:rPr>
        <w:t>القسم الثامن</w:t>
      </w:r>
      <w:bookmarkEnd w:id="29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الحُرُّ یُسایرُهُ وهو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إنّی أُذَکِّرُک الله فی نفسِک، فإنّی أَشهدُ لئِنْ قاتلتَ لتُقْتَلَنَّ، ولئِنْ قوتِلتَ لتَهلِکَنَّ فیما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یَعدو بِکُم الخطبُ أنْ تَقتُلونی؟ ما أدری ما اُقولُ لکَ، ولکنْ أقولُ کَما قالَ أخو الأَوْسِ لابنِ عمِّهِ ولقیهُ وهوَ یُریدُ نصرةَ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تذهبُ فإنَّکَ مَقتولٌ</w:t>
      </w:r>
      <w:r>
        <w:rPr>
          <w:rFonts w:eastAsia="Amiri" w:cs="Amiri" w:ascii="Amiri" w:hAnsi="Amiri"/>
          <w:color w:val="111111"/>
          <w:sz w:val="28"/>
          <w:szCs w:val="28"/>
          <w:rtl w:val="true"/>
          <w:lang w:bidi="ar-SA"/>
        </w:rPr>
        <w:t xml:space="preserve">. </w:t>
      </w:r>
      <w:bookmarkStart w:id="297" w:name="pg5097_58521"/>
    </w:p>
    <w:p>
      <w:pPr>
        <w:pStyle w:val="BookText"/>
        <w:rPr/>
      </w:pPr>
      <w:bookmarkEnd w:id="29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وما بالموتِ عارٌ علی الفتی</w:t>
      </w:r>
    </w:p>
    <w:p>
      <w:pPr>
        <w:pStyle w:val="BookText"/>
        <w:rPr/>
      </w:pPr>
      <w:r>
        <w:rPr>
          <w:rFonts w:ascii="Amiri" w:hAnsi="Amiri" w:eastAsia="Amiri" w:cs="Amiri"/>
          <w:color w:val="111111"/>
          <w:sz w:val="28"/>
          <w:sz w:val="28"/>
          <w:szCs w:val="28"/>
          <w:rtl w:val="true"/>
          <w:lang w:bidi="ar-SA"/>
        </w:rPr>
        <w:t>إذا ما نوی حقّاًوجاهدَ مُسلما</w:t>
      </w:r>
    </w:p>
    <w:p>
      <w:pPr>
        <w:pStyle w:val="BookText"/>
        <w:rPr/>
      </w:pPr>
      <w:r>
        <w:rPr>
          <w:rFonts w:ascii="Amiri" w:hAnsi="Amiri" w:eastAsia="Amiri" w:cs="Amiri"/>
          <w:color w:val="111111"/>
          <w:sz w:val="28"/>
          <w:sz w:val="28"/>
          <w:szCs w:val="28"/>
          <w:rtl w:val="true"/>
          <w:lang w:bidi="ar-SA"/>
        </w:rPr>
        <w:t>وآسی الرجالَ الصالحینَ بنفسِهِ</w:t>
      </w:r>
    </w:p>
    <w:p>
      <w:pPr>
        <w:pStyle w:val="BookText"/>
        <w:rPr/>
      </w:pPr>
      <w:r>
        <w:rPr>
          <w:rFonts w:ascii="Amiri" w:hAnsi="Amiri" w:eastAsia="Amiri" w:cs="Amiri"/>
          <w:color w:val="111111"/>
          <w:sz w:val="28"/>
          <w:sz w:val="28"/>
          <w:szCs w:val="28"/>
          <w:rtl w:val="true"/>
          <w:lang w:bidi="ar-SA"/>
        </w:rPr>
        <w:t>وفارَقَ مثبوراً یغشّ ویُرغما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ذلکَ مِنهُ الحُرّ تَنحَّی عنهُ</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260004_774463916"/>
      <w:bookmarkStart w:id="299" w:name="_Toc106"/>
      <w:bookmarkEnd w:id="298"/>
      <w:r>
        <w:rPr>
          <w:rtl w:val="true"/>
        </w:rPr>
        <w:t>القسم التاسع</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یسیرُ بأصحابِهِ فی ناحیةٍ وحسینٌ فی ناحیة أُخری حتّی انتهوا إلی عُذَیبِ الهِجانات، وکانَ بها هَجائنُ النُعمانِ ترعی هُنالک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بأربعةِ نفرٍ قد أقبلوا مِن الکوفةِ علی رواحِلِهم یجنبون فرساً لنافع ابنِ هِلال،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الکامل، ومعَهُم دلیلُهم الطّرِمّاحُ بنُ عدی علی فرسِهِ وهو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ناقتی لا تذعَری من زجری</w:t>
      </w:r>
    </w:p>
    <w:p>
      <w:pPr>
        <w:pStyle w:val="BookText"/>
        <w:rPr/>
      </w:pPr>
      <w:r>
        <w:rPr>
          <w:rFonts w:ascii="Amiri" w:hAnsi="Amiri" w:eastAsia="Amiri" w:cs="Amiri"/>
          <w:color w:val="111111"/>
          <w:sz w:val="28"/>
          <w:sz w:val="28"/>
          <w:szCs w:val="28"/>
          <w:rtl w:val="true"/>
          <w:lang w:bidi="ar-SA"/>
        </w:rPr>
        <w:t>وشَمِّری قبلَ طلوعِ الفجرِ</w:t>
      </w:r>
    </w:p>
    <w:p>
      <w:pPr>
        <w:pStyle w:val="BookText"/>
        <w:rPr/>
      </w:pPr>
      <w:r>
        <w:rPr>
          <w:rFonts w:ascii="Amiri" w:hAnsi="Amiri" w:eastAsia="Amiri" w:cs="Amiri"/>
          <w:color w:val="111111"/>
          <w:sz w:val="28"/>
          <w:sz w:val="28"/>
          <w:szCs w:val="28"/>
          <w:rtl w:val="true"/>
          <w:lang w:bidi="ar-SA"/>
        </w:rPr>
        <w:t>بخیرِ رُکبانٍ وخیرِ سفرِ</w:t>
      </w:r>
    </w:p>
    <w:p>
      <w:pPr>
        <w:pStyle w:val="BookText"/>
        <w:rPr/>
      </w:pPr>
      <w:r>
        <w:rPr>
          <w:rFonts w:ascii="Amiri" w:hAnsi="Amiri" w:eastAsia="Amiri" w:cs="Amiri"/>
          <w:color w:val="111111"/>
          <w:sz w:val="28"/>
          <w:sz w:val="28"/>
          <w:szCs w:val="28"/>
          <w:rtl w:val="true"/>
          <w:lang w:bidi="ar-SA"/>
        </w:rPr>
        <w:t>حتّی تحلّی بکریمِ النجرِ</w:t>
      </w:r>
    </w:p>
    <w:p>
      <w:pPr>
        <w:pStyle w:val="BookText"/>
        <w:rPr/>
      </w:pPr>
      <w:r>
        <w:rPr>
          <w:rFonts w:ascii="Amiri" w:hAnsi="Amiri" w:eastAsia="Amiri" w:cs="Amiri"/>
          <w:color w:val="111111"/>
          <w:sz w:val="28"/>
          <w:sz w:val="28"/>
          <w:szCs w:val="28"/>
          <w:rtl w:val="true"/>
          <w:lang w:bidi="ar-SA"/>
        </w:rPr>
        <w:t>الماجدِ الحُرّ رحیبِ الصدرِ</w:t>
      </w:r>
    </w:p>
    <w:p>
      <w:pPr>
        <w:pStyle w:val="BookText"/>
        <w:rPr/>
      </w:pPr>
      <w:r>
        <w:rPr>
          <w:rFonts w:ascii="Amiri" w:hAnsi="Amiri" w:eastAsia="Amiri" w:cs="Amiri"/>
          <w:color w:val="111111"/>
          <w:sz w:val="28"/>
          <w:sz w:val="28"/>
          <w:szCs w:val="28"/>
          <w:rtl w:val="true"/>
          <w:lang w:bidi="ar-SA"/>
        </w:rPr>
        <w:t>أتی بهِ الله لخیرِ أمرِ</w:t>
      </w:r>
    </w:p>
    <w:p>
      <w:pPr>
        <w:pStyle w:val="BookText"/>
        <w:rPr/>
      </w:pPr>
      <w:r>
        <w:rPr>
          <w:rFonts w:ascii="Amiri" w:hAnsi="Amiri" w:eastAsia="Amiri" w:cs="Amiri"/>
          <w:color w:val="111111"/>
          <w:sz w:val="28"/>
          <w:sz w:val="28"/>
          <w:szCs w:val="28"/>
          <w:rtl w:val="true"/>
          <w:lang w:bidi="ar-SA"/>
        </w:rPr>
        <w:t>ثمّتَ أبقاهُ بقاءَ الدهرِ</w:t>
      </w:r>
    </w:p>
    <w:p>
      <w:pPr>
        <w:pStyle w:val="BookText"/>
        <w:rPr/>
      </w:pPr>
      <w:r>
        <w:rPr>
          <w:rFonts w:ascii="Amiri" w:hAnsi="Amiri" w:eastAsia="Amiri" w:cs="Amiri"/>
          <w:color w:val="111111"/>
          <w:sz w:val="28"/>
          <w:sz w:val="28"/>
          <w:szCs w:val="28"/>
          <w:rtl w:val="true"/>
          <w:lang w:bidi="ar-SA"/>
        </w:rPr>
        <w:t>قال فلمّا انتهوا إلی الحسینِ أنشَدوهُ هذهِ الأبیات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إنّی لأرجو أنْ یکونَ خیراً ما أرادَ الله بِنا قُتِلنا أم ظَفَرنا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وأقبلَ إلیهم الحُرّ بنُ یزید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الذینَ مِن أهلِ الکوفةِ لیسوا ممَّن أقبلَ معَکَ وأنا حابِسُهم أو 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لأَمنَعنَّهُم ممّا أمنعُ مِنهُ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هؤلاءِ أَنصاری وأَعوانی، وقد کنتَ أعطیتَنی ألّا تعرضَ لی بشیءٍ حتّی یأتیکَ کتابٌ مِن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لکنْ لم یأتوا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أصحابی </w:t>
      </w:r>
      <w:bookmarkStart w:id="300" w:name="pg5097_58522"/>
    </w:p>
    <w:p>
      <w:pPr>
        <w:pStyle w:val="BookText"/>
        <w:rPr/>
      </w:pPr>
      <w:bookmarkEnd w:id="300"/>
      <w:r>
        <w:rPr>
          <w:rFonts w:ascii="Amiri" w:hAnsi="Amiri" w:eastAsia="Amiri" w:cs="Amiri"/>
          <w:color w:val="111111"/>
          <w:sz w:val="28"/>
          <w:sz w:val="28"/>
          <w:szCs w:val="28"/>
          <w:rtl w:val="true"/>
          <w:lang w:bidi="ar-SA"/>
        </w:rPr>
        <w:t>وهُم بمنزلةِ مَن جاءَ معی، فإنْ تممتَ علی ما کانَ بینی وبینَک وإلّا ناجزتُک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 عنهُم الحُرّ</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260006_774463916"/>
      <w:bookmarkStart w:id="302" w:name="_Toc107"/>
      <w:bookmarkEnd w:id="301"/>
      <w:r>
        <w:rPr>
          <w:rtl w:val="true"/>
        </w:rPr>
        <w:t>القسم العاشر</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خبرَ الناسِ وراءَکُم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مجمعُ بنُ عبدِالله العائذی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النفرِ الأربعة الذینَ جاؤوه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أشرافُ الناسِ فقد أُعظِمَت رشوتُهم ومُلِئَت غرائرُهم، یُستَمالُ ودُّهم ویُستخلَصُ بهِ نصیحتُهم، فهُم ألبٌ واحدٌ علیکَ، وأمّا سائرُ الناس فإنَّ أفئدتَهم تهوی إلیکَ، وسیوفَهم غداً مشهورةٌ علیک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فهل لکُم برسولی إلیکُم؟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 بنُ مُسهِر الصیداوی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أخذَهُ الحصینُ بنُ تمیم فبعثَ به إلی ابنِ زیادٍ، فأمرَهُ ابنُ زیادٍ أنْ یلعنَکَ ویلعنَ أباک، فصلَّی علیکَ وعلی أبیکَ، ولعنَ ابنَ زیادٍ وأباه، ودعا إلی نُصرَتِک وأخبرَهُم بقدومِکَ، فأمرَ بهِ ابنُ زیادٍ فأُلقِیَ من طمارِ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فترَقرَقَت عینا حسینٍ ولم یملِکْ دمعَهُ،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قضی نحبَهُ ومِنهُم مَن یَنتَظرُ وما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ولهُم الجَنَّةَ نُزُلاً، واجمَعْ بینَنا وبینَهُم فی مُستَقَرٍّ مِن رحمتِکَ، ورغائب مذخورِ ثوابِک</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5097_58524"/>
      <w:bookmarkStart w:id="304" w:name="pg5097_58524"/>
      <w:bookmarkEnd w:id="304"/>
    </w:p>
    <w:p>
      <w:pPr>
        <w:pStyle w:val="Heading3"/>
        <w:numPr>
          <w:ilvl w:val="2"/>
          <w:numId w:val="1"/>
        </w:numPr>
        <w:rPr/>
      </w:pPr>
      <w:bookmarkStart w:id="305" w:name="pg5097_58524"/>
      <w:bookmarkStart w:id="306" w:name="__RefHeading___Toc1260008_774463916"/>
      <w:bookmarkStart w:id="307" w:name="_Toc108"/>
      <w:bookmarkEnd w:id="305"/>
      <w:bookmarkEnd w:id="306"/>
      <w:r>
        <w:rPr>
          <w:rtl w:val="true"/>
        </w:rPr>
        <w:t xml:space="preserve">الملحق </w:t>
      </w:r>
      <w:r>
        <w:rPr>
          <w:rtl w:val="true"/>
        </w:rPr>
        <w:t>(</w:t>
      </w:r>
      <w:r>
        <w:rPr/>
        <w:t>3</w:t>
      </w:r>
      <w:r>
        <w:rPr>
          <w:rtl w:val="true"/>
        </w:rPr>
        <w:t xml:space="preserve">) </w:t>
      </w:r>
      <w:r>
        <w:rPr>
          <w:rtl w:val="true"/>
        </w:rPr>
        <w:t>موقف یزید من مقتل الحسین</w:t>
      </w:r>
      <w:bookmarkEnd w:id="307"/>
    </w:p>
    <w:p>
      <w:pPr>
        <w:pStyle w:val="BookText"/>
        <w:rPr/>
      </w:pPr>
      <w:r>
        <w:rPr>
          <w:rFonts w:ascii="IRNazanin" w:hAnsi="IRNazanin" w:eastAsia="IRNazanin"/>
          <w:color w:val="111111"/>
          <w:sz w:val="28"/>
          <w:sz w:val="28"/>
          <w:szCs w:val="28"/>
          <w:rtl w:val="true"/>
          <w:lang w:bidi="fa-IR"/>
        </w:rPr>
        <w:t xml:space="preserve">فی مقدّمة ترجمته للجزء الذی یحتوی علی أحداث کربلاء من تاریخ الطبری، یقول آیان کَیْ أَیْ هاوارد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Ian K. A. Howard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إنّ النص غالباً ما یصوّر الخلیفة یزید بن معاویة فی صورةٍ إیجابیّة، ویحاول نقل اللوم فی قتل الحسین من یزید إلی والی الکوفة عبیدالله بن زیاد</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ویورِد هاوارد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أیضاً أخباراً علی العکس من ذلک، یتبع هاوارد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هذا بواز شوشان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Boaz Shoshan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هناک نمطاً واضحاً فی النصِّ لصالح یزید، ولکنّه یختلف قلیلاً عن هاوارد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Howard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 حیث إنّه یختار التغاضی عن بعض الأخبار المتناقضة التی یوردها هاوارد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Howard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وعندما لا یستطیع تجاهل تلک الأخبار، فإنّه یتعامل معها علی أنّها شاذّة قلیلاً أو کثیراً عن النصِّ</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یعتبر شوشان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هذه هی واحدة من الأمثلة العرضیّة، حیث یکشف فیها الطبری عن أفکاره السیاسیّة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أُلریکا مارتنسون، فإنّها تتبنّی نفس الرأی عندما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یزید یوصف بأنّه رجل دولة نبیل وعادل فیما یخصّ أوامر القرآن وحقوقه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الدستوریّة، وقد حزن لفقدان الحسین کحُزنِ مَن بقی حیّاً من عائلة الحسین</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وأنا لا أجد صعوبة فی اتّباع هؤلاء المحقّقین الثلاثة فیما افترضوا، من أنّ بعض الأخبار کانت موافقةً للخطّ الأُموی، ولکنّنی غیر مستعدّ لأن أذهب بعیداً، کما فعل شوشان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Shoshan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وأطرح ذلک علی أنّه من سیاسة الطبری نفسه، ولا أعتقد أنّ الطبری یرغب بتصویر یزید بهذه التعابیر الإیجابیّة کما تری مارتنسون، بل بالعکس، فأنا أری أنّ المؤرّخ هنا یعطی صورةً ملطّخة عن یزید علی الأقل، إنْ لم تکن سلبیّةً برمّتها؛ وذلک لعدم احترامه حرمة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بیان بعض الدلائل علی رأیی هذا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سأناقش فقط ترتیب الروایات التی تخصّ الجزء الذی وردت فیه إهانة رأس الحسین؛ لکی أؤیّد أدلّتی فی هذا المقطع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أربع روایات حول هذه الحادثة، فقد نقلت لنا الأخبار باختصار أنّه عندما جاؤوا برأس الحسین أمام والی الکوفة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أمام الخلیفة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الروایتین الأخریین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بدأ الوالی أو الخلیفة بنکت ثغر الحسین بقضیبه، فی ثلاثٍ من الروایات قام شیخٌ ممَّن شهدوا ذلک، فعنّف الوالی أو الخلیفة قائلاً إنّه قد شهد رسول الله وهو یقبّل تلک الشفاه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یجب تفسیر هذا العمل بأنّه بلا شکٍّ إهانة للحسین واستخفاف بحرمته، ومن خلال کلمات ذلک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صحابة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أنّ ذلک العمل کان إهانة لرسول الله نفسه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الموقف الأوّل فی هذه الحادثة یأتی فی خبر عمّار الدهنی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عن الإمام </w:t>
      </w:r>
    </w:p>
    <w:p>
      <w:pPr>
        <w:pStyle w:val="BookText"/>
        <w:rPr/>
      </w:pPr>
      <w:r>
        <w:rPr>
          <w:rFonts w:ascii="IRNazanin" w:hAnsi="IRNazanin" w:eastAsia="IRNazanin"/>
          <w:color w:val="111111"/>
          <w:sz w:val="28"/>
          <w:sz w:val="28"/>
          <w:szCs w:val="28"/>
          <w:rtl w:val="true"/>
          <w:lang w:bidi="fa-IR"/>
        </w:rPr>
        <w:t xml:space="preserve">الخامس عند الشیعة، وهو حفید الحسین،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منتصف القصّة</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 کان یزید هو مَن أهان رأس الحسین، وهو ینشد هذا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یفلقنَ هاماً مِن رجالٍ أحبّةٍ إلینا</w:t>
      </w:r>
    </w:p>
    <w:p>
      <w:pPr>
        <w:pStyle w:val="BookText"/>
        <w:rPr/>
      </w:pPr>
      <w:r>
        <w:rPr>
          <w:rFonts w:ascii="Amiri" w:hAnsi="Amiri" w:eastAsia="Amiri" w:cs="Amiri"/>
          <w:color w:val="111111"/>
          <w:sz w:val="28"/>
          <w:sz w:val="28"/>
          <w:szCs w:val="28"/>
          <w:rtl w:val="true"/>
          <w:lang w:bidi="ar-SA"/>
        </w:rPr>
        <w:t>وهُم کانوا أعقَّ وأظلما</w:t>
      </w:r>
    </w:p>
    <w:p>
      <w:pPr>
        <w:pStyle w:val="BookText"/>
        <w:rPr/>
      </w:pPr>
      <w:r>
        <w:rPr>
          <w:rFonts w:ascii="IRNazanin" w:hAnsi="IRNazanin" w:eastAsia="IRNazanin"/>
          <w:color w:val="111111"/>
          <w:sz w:val="28"/>
          <w:sz w:val="28"/>
          <w:szCs w:val="28"/>
          <w:rtl w:val="true"/>
          <w:lang w:bidi="fa-IR"/>
        </w:rPr>
        <w:t xml:space="preserve">فقام إلیه أبو برزة الأسلمی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صحابة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وعنّفه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الثانی یُروی عن الحصین بن عبد الرحمان بعد بضع صفحات من ذلک، وقبل منتصف القصّة أیضاً</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کان ابن زیاد هو مَن أهان رأس الحسین بقضیبه، معلّقاً أنّ شعر الحسین قد 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الثالث والرابع للحادثة یأتیان فی الروایة الطویلة لهشام بن الکلبی فی أواخر القصّة تقریباً</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الروایتین عن أبی مخنف، فی الأُولی کان والی الکوفة هو مَن أهان رأس الحسین، وفی الثانیة کان الخلیفة هو مَن أهان الرأس، وهو ینشد الشعر المذکور أعلاه، ففی الحالتین یقع اللوم علی الحاکم، والرجل الذی أنّب ابن زیاد علی فعلته تلک یُقال أنّه زید ابن أرقم، بینما الرجل الذی اعترض علی یزید هو أبو برزة، کما فی روایة عمّار الدهنی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الجدول التالی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الروایات الأربعة حول ما فعلوا برأس الحسین کما فی تاریخ الطبری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المکان</w:t>
      </w:r>
    </w:p>
    <w:p>
      <w:pPr>
        <w:pStyle w:val="BookText"/>
        <w:rPr/>
      </w:pPr>
      <w:r>
        <w:rPr>
          <w:rFonts w:ascii="IRNazanin" w:hAnsi="IRNazanin" w:eastAsia="IRNazanin"/>
          <w:color w:val="111111"/>
          <w:sz w:val="28"/>
          <w:sz w:val="28"/>
          <w:szCs w:val="28"/>
          <w:rtl w:val="true"/>
          <w:lang w:bidi="fa-IR"/>
        </w:rPr>
        <w:t>الراوی</w:t>
      </w:r>
    </w:p>
    <w:p>
      <w:pPr>
        <w:pStyle w:val="BookText"/>
        <w:rPr/>
      </w:pPr>
      <w:r>
        <w:rPr>
          <w:rFonts w:ascii="IRNazanin" w:hAnsi="IRNazanin" w:eastAsia="IRNazanin"/>
          <w:color w:val="111111"/>
          <w:sz w:val="28"/>
          <w:sz w:val="28"/>
          <w:szCs w:val="28"/>
          <w:rtl w:val="true"/>
          <w:lang w:bidi="fa-IR"/>
        </w:rPr>
        <w:t>المعتدی</w:t>
      </w:r>
    </w:p>
    <w:p>
      <w:pPr>
        <w:pStyle w:val="BookText"/>
        <w:rPr/>
      </w:pPr>
      <w:r>
        <w:rPr>
          <w:rFonts w:ascii="Amiri" w:hAnsi="Amiri" w:eastAsia="Amiri" w:cs="Amiri"/>
          <w:color w:val="111111"/>
          <w:sz w:val="28"/>
          <w:sz w:val="28"/>
          <w:szCs w:val="28"/>
          <w:rtl w:val="true"/>
          <w:lang w:bidi="ar-SA"/>
        </w:rPr>
        <w:t xml:space="preserve">المعنِّف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282-283</w:t>
      </w:r>
    </w:p>
    <w:p>
      <w:pPr>
        <w:pStyle w:val="BookText"/>
        <w:rPr/>
      </w:pPr>
      <w:r>
        <w:rPr>
          <w:rFonts w:ascii="IRNazanin" w:hAnsi="IRNazanin" w:eastAsia="IRNazanin"/>
          <w:color w:val="111111"/>
          <w:sz w:val="28"/>
          <w:sz w:val="28"/>
          <w:szCs w:val="28"/>
          <w:rtl w:val="true"/>
          <w:lang w:bidi="fa-IR"/>
        </w:rPr>
        <w:t>عمّارالدهنی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الباقر</w:t>
      </w:r>
    </w:p>
    <w:p>
      <w:pPr>
        <w:pStyle w:val="BookText"/>
        <w:rPr/>
      </w:pPr>
      <w:r>
        <w:rPr>
          <w:rFonts w:ascii="IRNazanin" w:hAnsi="IRNazanin" w:eastAsia="IRNazanin"/>
          <w:color w:val="111111"/>
          <w:sz w:val="28"/>
          <w:sz w:val="28"/>
          <w:szCs w:val="28"/>
          <w:rtl w:val="true"/>
          <w:lang w:bidi="fa-IR"/>
        </w:rPr>
        <w:t>یزید بن معاویة</w:t>
      </w:r>
    </w:p>
    <w:p>
      <w:pPr>
        <w:pStyle w:val="BookText"/>
        <w:rPr/>
      </w:pPr>
      <w:r>
        <w:rPr>
          <w:rFonts w:ascii="IRNazanin" w:hAnsi="IRNazanin" w:eastAsia="IRNazanin"/>
          <w:color w:val="111111"/>
          <w:sz w:val="28"/>
          <w:sz w:val="28"/>
          <w:szCs w:val="28"/>
          <w:rtl w:val="true"/>
          <w:lang w:bidi="fa-IR"/>
        </w:rPr>
        <w:t>أبو برزة الأسلمی</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الحسین بن عبدالرحمان</w:t>
      </w:r>
    </w:p>
    <w:p>
      <w:pPr>
        <w:pStyle w:val="BookText"/>
        <w:rPr/>
      </w:pPr>
      <w:r>
        <w:rPr>
          <w:rFonts w:ascii="IRNazanin" w:hAnsi="IRNazanin" w:eastAsia="IRNazanin"/>
          <w:color w:val="111111"/>
          <w:sz w:val="28"/>
          <w:sz w:val="28"/>
          <w:szCs w:val="28"/>
          <w:rtl w:val="true"/>
          <w:lang w:bidi="fa-IR"/>
        </w:rPr>
        <w:t>عبیدالله بن زیاد</w:t>
      </w:r>
    </w:p>
    <w:p>
      <w:pPr>
        <w:pStyle w:val="BookText"/>
        <w:rPr/>
      </w:pPr>
      <w:r>
        <w:rPr>
          <w:rFonts w:eastAsia="Times New Roman" w:cs="Times New Roman" w:ascii="Times New Roman" w:hAnsi="Times New Roman"/>
          <w:color w:val="111111"/>
          <w:sz w:val="28"/>
          <w:szCs w:val="28"/>
          <w:lang w:val="en-US" w:bidi="en-US"/>
        </w:rPr>
        <w:t>370-371</w:t>
      </w:r>
    </w:p>
    <w:p>
      <w:pPr>
        <w:pStyle w:val="BookText"/>
        <w:rPr/>
      </w:pPr>
      <w:r>
        <w:rPr>
          <w:rFonts w:ascii="IRNazanin" w:hAnsi="IRNazanin" w:eastAsia="IRNazanin"/>
          <w:color w:val="111111"/>
          <w:sz w:val="28"/>
          <w:sz w:val="28"/>
          <w:szCs w:val="28"/>
          <w:rtl w:val="true"/>
          <w:lang w:bidi="fa-IR"/>
        </w:rPr>
        <w:t xml:space="preserve">هشام بن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w:t>
      </w:r>
    </w:p>
    <w:p>
      <w:pPr>
        <w:pStyle w:val="BookText"/>
        <w:rPr/>
      </w:pPr>
      <w:r>
        <w:rPr>
          <w:rFonts w:ascii="IRNazanin" w:hAnsi="IRNazanin" w:eastAsia="IRNazanin"/>
          <w:color w:val="111111"/>
          <w:sz w:val="28"/>
          <w:sz w:val="28"/>
          <w:szCs w:val="28"/>
          <w:rtl w:val="true"/>
          <w:lang w:bidi="fa-IR"/>
        </w:rPr>
        <w:t>عبیدالله بن زیاد</w:t>
      </w:r>
    </w:p>
    <w:p>
      <w:pPr>
        <w:pStyle w:val="BookText"/>
        <w:rPr/>
      </w:pPr>
      <w:r>
        <w:rPr>
          <w:rFonts w:ascii="IRNazanin" w:hAnsi="IRNazanin" w:eastAsia="IRNazanin"/>
          <w:color w:val="111111"/>
          <w:sz w:val="28"/>
          <w:sz w:val="28"/>
          <w:szCs w:val="28"/>
          <w:rtl w:val="true"/>
          <w:lang w:bidi="fa-IR"/>
        </w:rPr>
        <w:t>زید بن أرقم</w:t>
      </w:r>
    </w:p>
    <w:p>
      <w:pPr>
        <w:pStyle w:val="BookText"/>
        <w:rPr/>
      </w:pPr>
      <w:r>
        <w:rPr>
          <w:rFonts w:eastAsia="Times New Roman" w:cs="Times New Roman" w:ascii="Times New Roman" w:hAnsi="Times New Roman"/>
          <w:color w:val="111111"/>
          <w:sz w:val="28"/>
          <w:szCs w:val="28"/>
          <w:lang w:val="en-US" w:bidi="en-US"/>
        </w:rPr>
        <w:t>382-383</w:t>
      </w:r>
    </w:p>
    <w:p>
      <w:pPr>
        <w:pStyle w:val="BookText"/>
        <w:rPr/>
      </w:pPr>
      <w:r>
        <w:rPr>
          <w:rFonts w:ascii="IRNazanin" w:hAnsi="IRNazanin" w:eastAsia="IRNazanin"/>
          <w:color w:val="111111"/>
          <w:sz w:val="28"/>
          <w:sz w:val="28"/>
          <w:szCs w:val="28"/>
          <w:rtl w:val="true"/>
          <w:lang w:bidi="fa-IR"/>
        </w:rPr>
        <w:t xml:space="preserve">هشام بن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w:t>
      </w:r>
    </w:p>
    <w:p>
      <w:pPr>
        <w:pStyle w:val="BookText"/>
        <w:rPr/>
      </w:pPr>
      <w:r>
        <w:rPr>
          <w:rFonts w:ascii="IRNazanin" w:hAnsi="IRNazanin" w:eastAsia="IRNazanin"/>
          <w:color w:val="111111"/>
          <w:sz w:val="28"/>
          <w:sz w:val="28"/>
          <w:szCs w:val="28"/>
          <w:rtl w:val="true"/>
          <w:lang w:bidi="fa-IR"/>
        </w:rPr>
        <w:t>یزید بن معاویة</w:t>
      </w:r>
    </w:p>
    <w:p>
      <w:pPr>
        <w:pStyle w:val="BookText"/>
        <w:rPr/>
      </w:pPr>
      <w:r>
        <w:rPr>
          <w:rFonts w:ascii="IRNazanin" w:hAnsi="IRNazanin" w:eastAsia="IRNazanin"/>
          <w:color w:val="111111"/>
          <w:sz w:val="28"/>
          <w:sz w:val="28"/>
          <w:szCs w:val="28"/>
          <w:rtl w:val="true"/>
          <w:lang w:bidi="fa-IR"/>
        </w:rPr>
        <w:t>أبو برزة الأسلمی</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أرقام الصفحات فی العمود الأیمن تشیر إلی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بیّن عددٌ من المحقّقین، فإنّ ترتیب الروایات ذات المضامین المتناقضة هو وسیلة مهمّة عند الطبری فی عرض آرائه الشخصیّة بنجاح، وإنّ الروایات المختلفة التی تقدّم وتختم خبراً ما، لها أهمّیة خاصّة فی هذا الخصوص</w:t>
      </w:r>
      <w:r>
        <w:rPr>
          <w:rStyle w:val="FootnoteAnchor"/>
          <w:rtl w:val="true"/>
        </w:rPr>
        <w:footnoteReference w:id="557"/>
      </w:r>
      <w:r>
        <w:rPr>
          <w:rFonts w:ascii="IRNazanin" w:hAnsi="IRNazanin" w:eastAsia="IRNazanin"/>
          <w:color w:val="111111"/>
          <w:sz w:val="28"/>
          <w:sz w:val="28"/>
          <w:szCs w:val="28"/>
          <w:rtl w:val="true"/>
          <w:lang w:bidi="fa-IR"/>
        </w:rPr>
        <w:t>، ففی هذه الحال جاء ترتیب هذه الروایات الأربعة، بحیث یکون یزید هو المعتدی فی الروایة الأُولی والروایة الأخیرة، بینما یکون ابن زیاد هو المعتدی فی الروایتین اللتین فی الوسط، بالإضافة إلی ذلک ففی إحدی الروایات لم یُعنَّف ابن زیاد من قِبَل أحد صحابة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لست متأکّداً من أنّ بالإمکان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الطبری ألقی اللوم علی أحدهما أکثر من الآخر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فإنّ أخْذ ذلک فی الحسبان مع الصورة التی ظهرت فی الأجزاء الأُخری من الروایة حول ما حدث بعد مقتل الحسین، یُعطی الانطباع أنّ بکاء یزید علی مقتل الحسین لم یکن سوی دموع التماسیح</w:t>
      </w:r>
      <w:r>
        <w:rPr>
          <w:rFonts w:eastAsia="IRNazanin" w:cs="IRNazanin"/>
          <w:color w:val="111111"/>
          <w:sz w:val="28"/>
          <w:szCs w:val="28"/>
          <w:rtl w:val="true"/>
          <w:lang w:bidi="fa-IR"/>
        </w:rPr>
        <w:t xml:space="preserve">. </w:t>
      </w:r>
      <w:bookmarkStart w:id="308" w:name="pg5097_58528"/>
    </w:p>
    <w:p>
      <w:pPr>
        <w:pStyle w:val="Heading3"/>
        <w:numPr>
          <w:ilvl w:val="2"/>
          <w:numId w:val="1"/>
        </w:numPr>
        <w:rPr/>
      </w:pPr>
      <w:bookmarkStart w:id="309" w:name="__RefHeading___Toc1260010_774463916"/>
      <w:bookmarkStart w:id="310" w:name="_Toc109"/>
      <w:bookmarkEnd w:id="308"/>
      <w:bookmarkEnd w:id="309"/>
      <w:r>
        <w:rPr>
          <w:rtl w:val="true"/>
        </w:rPr>
        <w:t xml:space="preserve">الملحق </w:t>
      </w:r>
      <w:r>
        <w:rPr>
          <w:rtl w:val="true"/>
        </w:rPr>
        <w:t>(</w:t>
      </w:r>
      <w:r>
        <w:rPr/>
        <w:t>4</w:t>
      </w:r>
      <w:r>
        <w:rPr>
          <w:rtl w:val="true"/>
        </w:rPr>
        <w:t xml:space="preserve">) </w:t>
      </w:r>
      <w:r>
        <w:rPr>
          <w:rtl w:val="true"/>
        </w:rPr>
        <w:t xml:space="preserve">نبذة عن تورستن هایلین </w:t>
      </w:r>
      <w:r>
        <w:rPr>
          <w:rtl w:val="true"/>
        </w:rPr>
        <w:t>(</w:t>
      </w:r>
      <w:r>
        <w:rPr/>
        <w:t>Torsten Hylén</w:t>
      </w:r>
      <w:r>
        <w:rPr>
          <w:rtl w:val="true"/>
        </w:rPr>
        <w:t>)</w:t>
      </w:r>
      <w:bookmarkEnd w:id="310"/>
    </w:p>
    <w:p>
      <w:pPr>
        <w:pStyle w:val="Heading4"/>
        <w:numPr>
          <w:ilvl w:val="3"/>
          <w:numId w:val="1"/>
        </w:numPr>
        <w:rPr/>
      </w:pPr>
      <w:bookmarkStart w:id="311" w:name="__RefHeading___Toc1260012_774463916"/>
      <w:bookmarkStart w:id="312" w:name="_Toc110"/>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وحصل علی الدکتوراه من جامعة أوبسالا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Uppsala University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فی جامعة دالارنا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Dalarna University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مجال تاریخ الأدیان کمحاضر مساعد منذ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 وکمحاضر أول منذ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تتعلّق بحوثه بصورة رئیسة بتاریخ الإسلام المبکّر، مع الترکیز علی فترة نشوء التشیّع، ولکنّه کتب أیضاً حول القضایا النظریة فی تاریخ الأدیان والتعلیم الدینی، وفی الوقت الحاضر، یعکف علی مشروعین یموّلهما مجلس البحوث السویدی؛ أحدهما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الثأر أو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التوّابین کقرینة علی التطوّر المبکّر للتشیّع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بالمشارکة مع خمسة باحثین آخرین من مختلف الجامعات الإسکندنافیة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تطوّر علم الإلهیّات عند الشیعة خلال العقود الماضیة، وعنوانه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سلطة التفاوض فی الفکر الشیعی المعاصر وممارساته</w:t>
      </w:r>
      <w:r>
        <w:rPr>
          <w:rFonts w:eastAsia="IRNazanin" w:cs="IRNazanin"/>
          <w:color w:val="111111"/>
          <w:sz w:val="28"/>
          <w:szCs w:val="28"/>
          <w:rtl w:val="true"/>
          <w:lang w:bidi="fa-IR"/>
        </w:rPr>
        <w:t>).</w:t>
      </w:r>
    </w:p>
    <w:p>
      <w:pPr>
        <w:pStyle w:val="Heading4"/>
        <w:numPr>
          <w:ilvl w:val="3"/>
          <w:numId w:val="1"/>
        </w:numPr>
        <w:rPr/>
      </w:pPr>
      <w:bookmarkStart w:id="313" w:name="__RefHeading___Toc1260014_774463916"/>
      <w:bookmarkStart w:id="314" w:name="_Toc111"/>
      <w:bookmarkEnd w:id="313"/>
      <w:r>
        <w:rPr>
          <w:rtl w:val="true"/>
        </w:rPr>
        <w:t>من نتاجه العلمی</w:t>
      </w:r>
      <w:bookmarkEnd w:id="3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جدیدة للطقوس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نشوء طقوس العزاء فی الإسلام الشیعی،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 Meanings To Old Rituals The Emergence Of Mourning Rituals In Shiʿite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واقعة کربلاء فی المفاوضات الشیعیة المعاصرة حول السلطة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Karbala Drama In Contemporary Shi'ite Negotiations About Authority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مغلقة ومفتوحة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الماهویة فی التعلیم حول الأدیان، جزء من کتاب دراسی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الآلهة،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Closed And Open Concepts Of Religion : The Problem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Essentialism In Teaching About Religion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مفهومان معضلان فی دراسة الإسلام فی أفریقیا،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Conversion' And 'Religion' : Two Troublesome Concepts In The Study Of Islam In Africa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الثأر أو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التوّابین کقرینة علی التطوّر المبکر للتشیّع،</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Revenge Or Martyrdom! : The Story Of The Penitents As A Link To The Early Development Of Shi'ism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الماهیویّة فی التعلیم الدینی؛ بعض التأملات حول المشاکل التعلیمیة،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Essentialism In Religious Education : Some Reflections On A Didactical Problem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جهراً أم فی إخفاتاً؟ التداخل المفاهیمی والعواطف فی تحلیل الطقوس، الدین، والظاهرة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العشرون الذی عقدته الجمعیة الدولیة لتاریخ الأدیان فی عام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 مقالة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Praying Aloud Or In Silence? : On Conceptual Blending And Emotions In The Analysis Of Rituals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قراءة بنیویة لواقعة کربلاء،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Structuralist Reading Of The Karbala Drama</w:t>
      </w:r>
      <w:r>
        <w:rPr>
          <w:rFonts w:eastAsia="Times New Roman" w:cs="Times New Roman" w:ascii="Times New Roman" w:hAnsi="Times New Roman"/>
          <w:color w:val="111111"/>
          <w:sz w:val="28"/>
          <w:szCs w:val="28"/>
          <w:rtl w:val="true"/>
          <w:lang w:val="en-US" w:bidi="en-US"/>
        </w:rPr>
        <w:t xml:space="preserve">). </w:t>
      </w:r>
      <w:bookmarkStart w:id="315" w:name="pg5097_58530"/>
    </w:p>
    <w:p>
      <w:pPr>
        <w:pStyle w:val="Heading2"/>
        <w:numPr>
          <w:ilvl w:val="1"/>
          <w:numId w:val="1"/>
        </w:numPr>
        <w:rPr/>
      </w:pPr>
      <w:bookmarkStart w:id="316" w:name="__RefHeading___Toc1260016_774463916"/>
      <w:bookmarkStart w:id="317" w:name="_Toc112"/>
      <w:bookmarkEnd w:id="315"/>
      <w:bookmarkEnd w:id="316"/>
      <w:r>
        <w:rPr>
          <w:rtl w:val="true"/>
        </w:rPr>
        <w:t>المصادر</w:t>
      </w:r>
      <w:bookmarkEnd w:id="317"/>
    </w:p>
    <w:p>
      <w:pPr>
        <w:pStyle w:val="Heading3"/>
        <w:numPr>
          <w:ilvl w:val="2"/>
          <w:numId w:val="1"/>
        </w:numPr>
        <w:rPr/>
      </w:pPr>
      <w:bookmarkStart w:id="318" w:name="__RefHeading___Toc1260018_774463916"/>
      <w:bookmarkStart w:id="319" w:name="_Toc113"/>
      <w:bookmarkEnd w:id="318"/>
      <w:r>
        <w:rPr>
          <w:rtl w:val="true"/>
        </w:rPr>
        <w:t>أولاً</w:t>
      </w:r>
      <w:r>
        <w:rPr>
          <w:rtl w:val="true"/>
        </w:rPr>
        <w:t xml:space="preserve">: </w:t>
      </w:r>
      <w:r>
        <w:rPr>
          <w:rtl w:val="true"/>
        </w:rPr>
        <w:t>مصادر الکتاب</w:t>
      </w:r>
      <w:bookmarkEnd w:id="319"/>
    </w:p>
    <w:p>
      <w:pPr>
        <w:pStyle w:val="BookText"/>
        <w:rPr/>
      </w:pPr>
      <w:r>
        <w:rPr>
          <w:rFonts w:eastAsia="Times New Roman" w:cs="Times New Roman" w:ascii="Times New Roman" w:hAnsi="Times New Roman"/>
          <w:color w:val="111111"/>
          <w:sz w:val="28"/>
          <w:szCs w:val="28"/>
          <w:lang w:val="en-US" w:bidi="en-US"/>
        </w:rPr>
        <w:t>Abou El Fadl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Khaled. "Ahkarn Al-Bughat: Irregular-1 Warfare And The Law Of Rebellion In Islam." In Cross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Crescent And Sword: The Justifi</w:t>
        <w:softHyphen/>
        <w:t>cation</w:t>
      </w:r>
    </w:p>
    <w:p>
      <w:pPr>
        <w:pStyle w:val="BookText"/>
        <w:rPr/>
      </w:pPr>
      <w:r>
        <w:rPr>
          <w:rFonts w:eastAsia="Times New Roman" w:cs="Times New Roman" w:ascii="Times New Roman" w:hAnsi="Times New Roman"/>
          <w:color w:val="111111"/>
          <w:sz w:val="28"/>
          <w:szCs w:val="28"/>
          <w:lang w:val="en-US" w:bidi="en-US"/>
        </w:rPr>
        <w:t>And Limitation Of War In Western And Islamic Tradition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James Turner Johnson And John</w:t>
      </w:r>
    </w:p>
    <w:p>
      <w:pPr>
        <w:pStyle w:val="BookText"/>
        <w:rPr/>
      </w:pPr>
      <w:r>
        <w:rPr>
          <w:rFonts w:eastAsia="Times New Roman" w:cs="Times New Roman" w:ascii="Times New Roman" w:hAnsi="Times New Roman"/>
          <w:color w:val="111111"/>
          <w:sz w:val="28"/>
          <w:szCs w:val="28"/>
          <w:lang w:val="en-US" w:bidi="en-US"/>
        </w:rPr>
        <w:t>Kelsay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149-176. </w:t>
      </w:r>
      <w:r>
        <w:rPr>
          <w:rFonts w:eastAsia="Times New Roman" w:cs="Times New Roman" w:ascii="Times New Roman" w:hAnsi="Times New Roman"/>
          <w:color w:val="111111"/>
          <w:sz w:val="28"/>
          <w:szCs w:val="28"/>
          <w:lang w:val="en-US" w:bidi="en-US"/>
        </w:rPr>
        <w:t>New York: Greenwood</w:t>
      </w:r>
    </w:p>
    <w:p>
      <w:pPr>
        <w:pStyle w:val="BookText"/>
        <w:rPr/>
      </w:pPr>
      <w:r>
        <w:rPr>
          <w:rFonts w:eastAsia="Times New Roman" w:cs="Times New Roman" w:ascii="Times New Roman" w:hAnsi="Times New Roman"/>
          <w:color w:val="111111"/>
          <w:sz w:val="28"/>
          <w:szCs w:val="28"/>
          <w:lang w:val="en-US" w:bidi="en-US"/>
        </w:rPr>
        <w:t>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البغاة، الحرب غیر المنظّمة وقانون التمرّد فی الإسلام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الصلیب، الهلال، والسیف، تبریر الحرب وتقییدها فی العُرف الغربی والإسلامی، إعداد جیمس ترْنَر جونسون وجون کلْسی،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غرینوود،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Alexander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Scott 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Fear." In Eq</w:t>
      </w:r>
    </w:p>
    <w:p>
      <w:pPr>
        <w:pStyle w:val="BookText"/>
        <w:rPr/>
      </w:pPr>
      <w:r>
        <w:rPr>
          <w:rFonts w:ascii="IRNazanin" w:hAnsi="IRNazanin" w:eastAsia="IRNazanin"/>
          <w:color w:val="111111"/>
          <w:sz w:val="28"/>
          <w:sz w:val="28"/>
          <w:szCs w:val="28"/>
          <w:rtl w:val="true"/>
          <w:lang w:bidi="fa-IR"/>
        </w:rPr>
        <w:t xml:space="preserve">سکوت سی، ألکساندر،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Amir-Moezzi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Mohammad Ali. The Divine Guide In Early Shiism: The</w:t>
      </w:r>
    </w:p>
    <w:p>
      <w:pPr>
        <w:pStyle w:val="BookText"/>
        <w:rPr/>
      </w:pPr>
      <w:r>
        <w:rPr>
          <w:rFonts w:eastAsia="Times New Roman" w:cs="Times New Roman" w:ascii="Times New Roman" w:hAnsi="Times New Roman"/>
          <w:color w:val="111111"/>
          <w:sz w:val="28"/>
          <w:szCs w:val="28"/>
          <w:lang w:val="en-US" w:bidi="en-US"/>
        </w:rPr>
        <w:t>Sources Of Esotericism In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Translated By David Streight. Al</w:t>
        <w:softHyphen/>
        <w:t>bany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State University Of New York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أمیر معزّی،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الإلهیّة فی التشیّع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الروحیّات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دیفید سترَیْت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ألبانی، مطبعة جامعة ولایة نیویورک،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Arnaldez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Roger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Hayat." In E/2</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روجر أرنالدیز،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Ayoub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Mahmoud. Redemptive Suffering In Islam: A Study Of</w:t>
      </w:r>
    </w:p>
    <w:p>
      <w:pPr>
        <w:pStyle w:val="BookText"/>
        <w:rPr/>
      </w:pPr>
      <w:r>
        <w:rPr>
          <w:rFonts w:eastAsia="Times New Roman" w:cs="Times New Roman" w:ascii="Times New Roman" w:hAnsi="Times New Roman"/>
          <w:color w:val="111111"/>
          <w:sz w:val="28"/>
          <w:szCs w:val="28"/>
          <w:lang w:val="en-US" w:bidi="en-US"/>
        </w:rPr>
        <w:t>Devotional Aspects Of Ashura' In Twelver</w:t>
      </w:r>
    </w:p>
    <w:p>
      <w:pPr>
        <w:pStyle w:val="BookText"/>
        <w:rPr/>
      </w:pPr>
      <w:r>
        <w:rPr>
          <w:rFonts w:eastAsia="Times New Roman" w:cs="Times New Roman" w:ascii="Times New Roman" w:hAnsi="Times New Roman"/>
          <w:color w:val="111111"/>
          <w:sz w:val="28"/>
          <w:szCs w:val="28"/>
          <w:lang w:val="en-US" w:bidi="en-US"/>
        </w:rPr>
        <w:t>Shiism. The Hague: Mouton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معاناة التکفیر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 دراسة للخواص التعبّدیّة لعاشوراء عند الشیعة الاثنی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موتون،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Baladhuri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Ahmad B. Yahya Al- (D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279/8920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Ansab Al-Ashraf. Edited By Muhammad Baqir Al-Mahmudi. Vol. 3. Beirut: Dar Al-Ta’aruf</w:t>
      </w:r>
    </w:p>
    <w:p>
      <w:pPr>
        <w:pStyle w:val="BookText"/>
        <w:rPr/>
      </w:pPr>
      <w:r>
        <w:rPr>
          <w:rFonts w:eastAsia="Times New Roman" w:cs="Times New Roman" w:ascii="Times New Roman" w:hAnsi="Times New Roman"/>
          <w:color w:val="111111"/>
          <w:sz w:val="28"/>
          <w:szCs w:val="28"/>
          <w:lang w:val="en-US" w:bidi="en-US"/>
        </w:rPr>
        <w:t>Li-L</w:t>
        <w:softHyphen/>
        <w:t>matbu’at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Bascom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William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Forms Of Folklore: Prose Narratives." In Sacred Narratives: Readings In The Theory Of Myth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Alan Dundes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6-29. </w:t>
      </w:r>
      <w:r>
        <w:rPr>
          <w:rFonts w:eastAsia="Times New Roman" w:cs="Times New Roman" w:ascii="Times New Roman" w:hAnsi="Times New Roman"/>
          <w:color w:val="111111"/>
          <w:sz w:val="28"/>
          <w:szCs w:val="28"/>
          <w:lang w:val="en-US" w:bidi="en-US"/>
        </w:rPr>
        <w:t>Berkeley: University Of California</w:t>
      </w:r>
    </w:p>
    <w:p>
      <w:pPr>
        <w:pStyle w:val="BookText"/>
        <w:rPr/>
      </w:pPr>
      <w:r>
        <w:rPr>
          <w:rFonts w:eastAsia="Times New Roman" w:cs="Times New Roman" w:ascii="Times New Roman" w:hAnsi="Times New Roman"/>
          <w:color w:val="111111"/>
          <w:sz w:val="28"/>
          <w:szCs w:val="28"/>
          <w:lang w:val="en-US" w:bidi="en-US"/>
        </w:rPr>
        <w:t>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ویلیم باسکوم،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أشکال الفولکلور، روایات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المقدّسة، قراءات فی نظریة الأُسطورة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آلان دوندس،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بیرکلی، مطبعة جامعة کالیفورنیا،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Bergman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Jan. "Myt</w:t>
      </w:r>
    </w:p>
    <w:p>
      <w:pPr>
        <w:pStyle w:val="BookText"/>
        <w:rPr/>
      </w:pPr>
      <w:r>
        <w:rPr>
          <w:rFonts w:eastAsia="Times New Roman" w:cs="Times New Roman" w:ascii="Times New Roman" w:hAnsi="Times New Roman"/>
          <w:color w:val="111111"/>
          <w:sz w:val="28"/>
          <w:szCs w:val="28"/>
          <w:lang w:val="en-US" w:bidi="en-US"/>
        </w:rPr>
        <w:t>Och Historia: Historien Om Myten</w:t>
      </w:r>
    </w:p>
    <w:p>
      <w:pPr>
        <w:pStyle w:val="BookText"/>
        <w:rPr/>
      </w:pPr>
      <w:r>
        <w:rPr>
          <w:rFonts w:eastAsia="Times New Roman" w:cs="Times New Roman" w:ascii="Times New Roman" w:hAnsi="Times New Roman"/>
          <w:color w:val="111111"/>
          <w:sz w:val="28"/>
          <w:szCs w:val="28"/>
          <w:lang w:val="en-US" w:bidi="en-US"/>
        </w:rPr>
        <w:t>Och Myten Om Hi</w:t>
        <w:softHyphen/>
        <w:t>storien." Svensk Teologisk Kvartalsskrift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52 (1976): 29-39</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بیرغمان،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الأُسطورة والتاریخ، تاریخ الأُسطورة وأُسطورة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اللاهوت الفصلیة السویدیة، العدد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Bonnefoy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Yves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 Mythologies: A Restructured Translation Of Dictionnaire Des Mythologies Et Des Religions Des Societes Traditionelles</w:t>
      </w:r>
    </w:p>
    <w:p>
      <w:pPr>
        <w:pStyle w:val="BookText"/>
        <w:rPr/>
      </w:pPr>
      <w:r>
        <w:rPr>
          <w:rFonts w:eastAsia="Times New Roman" w:cs="Times New Roman" w:ascii="Times New Roman" w:hAnsi="Times New Roman"/>
          <w:color w:val="111111"/>
          <w:sz w:val="28"/>
          <w:szCs w:val="28"/>
          <w:lang w:val="en-US" w:bidi="en-US"/>
        </w:rPr>
        <w:t>Et Du Monde Antique. 2 Vols. Prepared Under The Di</w:t>
        <w:softHyphen/>
        <w:t>rection Of Wendy Doniger. Chicago: University Of Chicago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إیفیز بونفوی،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الأساطیر، ترجمة مجدّدة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الأساطیر والأدیان للمجتمعات التقلیدیّة والعالم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مجلدان، أُعِدّ تحت إشراف وندی دونیغر، شیکاغو، مطبعة جامعة شیکاغو،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Bowker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John. Problems Of Suffering In</w:t>
      </w:r>
    </w:p>
    <w:p>
      <w:pPr>
        <w:pStyle w:val="BookText"/>
        <w:rPr/>
      </w:pPr>
      <w:r>
        <w:rPr>
          <w:rFonts w:eastAsia="Times New Roman" w:cs="Times New Roman" w:ascii="Times New Roman" w:hAnsi="Times New Roman"/>
          <w:color w:val="111111"/>
          <w:sz w:val="28"/>
          <w:szCs w:val="28"/>
          <w:lang w:val="en-US" w:bidi="en-US"/>
        </w:rPr>
        <w:t>The Religions Of The World. Cam</w:t>
        <w:softHyphen/>
        <w:t>bridge: Cambridge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جون بوکر،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 المعاناة فی أدیان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کامبردج، مطبعة جامعة کامبریدج،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Calder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Norman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Significance Of The Term Imam In Early Islamic Jurisprudence." Zeitschrift Für Die Geschichte Der Arabisch</w:t>
        <w:softHyphen/>
        <w:t>islamischen</w:t>
      </w:r>
    </w:p>
    <w:p>
      <w:pPr>
        <w:pStyle w:val="BookText"/>
        <w:rPr/>
      </w:pPr>
      <w:r>
        <w:rPr>
          <w:rFonts w:eastAsia="Times New Roman" w:cs="Times New Roman" w:ascii="Times New Roman" w:hAnsi="Times New Roman"/>
          <w:color w:val="111111"/>
          <w:sz w:val="28"/>
          <w:szCs w:val="28"/>
          <w:lang w:val="en-US" w:bidi="en-US"/>
        </w:rPr>
        <w:t>Wisseschaften 1 (1984): 253-264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نورمان کالدر،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مصطلح الإمام فی الفقه الإسلامی المبکر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تاریخ العلوم العربیة والإسلامیّة،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Review Of God's Caliph: Religious Authority In The First Centuries Of Islam By P. Crone And M. Hinds. Journal</w:t>
      </w:r>
    </w:p>
    <w:p>
      <w:pPr>
        <w:pStyle w:val="BookText"/>
        <w:rPr/>
      </w:pPr>
      <w:r>
        <w:rPr>
          <w:rFonts w:eastAsia="Times New Roman" w:cs="Times New Roman" w:ascii="Times New Roman" w:hAnsi="Times New Roman"/>
          <w:color w:val="111111"/>
          <w:sz w:val="28"/>
          <w:szCs w:val="28"/>
          <w:lang w:val="en-US" w:bidi="en-US"/>
        </w:rPr>
        <w:t>Of Semitic Studies 32 (1987)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375-378</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إستعراض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 الله، السلطة الدینیة فی القرون الأُولی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 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هیندز، مجلة الدراسات السامیة العدد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375-378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Cassirer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Ernst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Structuralism In Modern Linguistics." Word 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2 (1945): 99-120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إرنست کاسِرر،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البنیویة فی علم اللغة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الکلمة الأُولی، العدد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Caws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Peter. Structuralism: A Philosophy For The Human Sciences. 2: Nd Ed. Amherst: Humanity Books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 کاوز،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للعلوم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أمهرست، هیومانِتی بُکْس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Cobb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Paul M. Review Of</w:t>
      </w:r>
    </w:p>
    <w:p>
      <w:pPr>
        <w:pStyle w:val="BookText"/>
        <w:rPr/>
      </w:pPr>
      <w:r>
        <w:rPr>
          <w:rFonts w:eastAsia="Times New Roman" w:cs="Times New Roman" w:ascii="Times New Roman" w:hAnsi="Times New Roman"/>
          <w:color w:val="111111"/>
          <w:sz w:val="28"/>
          <w:szCs w:val="28"/>
          <w:lang w:val="en-US" w:bidi="en-US"/>
        </w:rPr>
        <w:t>Reinterpreting Islamic Historiography By</w:t>
      </w:r>
    </w:p>
    <w:p>
      <w:pPr>
        <w:pStyle w:val="BookText"/>
        <w:rPr/>
      </w:pPr>
      <w:r>
        <w:rPr>
          <w:rFonts w:eastAsia="Times New Roman" w:cs="Times New Roman" w:ascii="Times New Roman" w:hAnsi="Times New Roman"/>
          <w:color w:val="111111"/>
          <w:sz w:val="28"/>
          <w:szCs w:val="28"/>
          <w:lang w:val="en-US" w:bidi="en-US"/>
        </w:rPr>
        <w:t>Tayeb El-Hibri. Journal Of The American Oriental Society 121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 1(2001) : 109 -110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باول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 إستعراض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إعادة تفسیر التأریخ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الطیب الهبری، مجلة المجتمع الشرقی الأمریکی، العدد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Juan. Sacred Space And Holy War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Politics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Culture And History Of Shiite</w:t>
      </w:r>
    </w:p>
    <w:p>
      <w:pPr>
        <w:pStyle w:val="BookText"/>
        <w:rPr/>
      </w:pPr>
      <w:r>
        <w:rPr>
          <w:rFonts w:eastAsia="Times New Roman" w:cs="Times New Roman" w:ascii="Times New Roman" w:hAnsi="Times New Roman"/>
          <w:color w:val="111111"/>
          <w:sz w:val="28"/>
          <w:szCs w:val="28"/>
          <w:lang w:val="en-US" w:bidi="en-US"/>
        </w:rPr>
        <w:t>Islam. London: I.B. Tauris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 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الفضاء المقدّس والحرب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وثقافة وتاریخ الإسلام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توریس،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Cook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Michael. Commanding Right And Forbidding Wrong In Islamic Thought. Cambridge: Cambridge University</w:t>
      </w:r>
    </w:p>
    <w:p>
      <w:pPr>
        <w:pStyle w:val="BookText"/>
        <w:rPr/>
      </w:pPr>
      <w:r>
        <w:rPr>
          <w:rFonts w:eastAsia="Times New Roman" w:cs="Times New Roman" w:ascii="Times New Roman" w:hAnsi="Times New Roman"/>
          <w:color w:val="111111"/>
          <w:sz w:val="28"/>
          <w:szCs w:val="28"/>
          <w:lang w:val="en-US" w:bidi="en-US"/>
        </w:rPr>
        <w:t>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مایکل 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والنهی عن المنکر فی الفکر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کامبردج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کامبریدج،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Crone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Patricia. Medieval Islamic Political Thought. Edinburgh: Edinburgh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باتریشیا 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السیاسی الإسلامی فی العصور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ادنبرة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أدنبرة،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Crone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Patricia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Martin</w:t>
      </w:r>
    </w:p>
    <w:p>
      <w:pPr>
        <w:pStyle w:val="BookText"/>
        <w:rPr/>
      </w:pPr>
      <w:r>
        <w:rPr>
          <w:rFonts w:eastAsia="Times New Roman" w:cs="Times New Roman" w:ascii="Times New Roman" w:hAnsi="Times New Roman"/>
          <w:color w:val="111111"/>
          <w:sz w:val="28"/>
          <w:szCs w:val="28"/>
          <w:lang w:val="en-US" w:bidi="en-US"/>
        </w:rPr>
        <w:t>Hinds. God's Caliph: Religious</w:t>
      </w:r>
    </w:p>
    <w:p>
      <w:pPr>
        <w:pStyle w:val="BookText"/>
        <w:rPr/>
      </w:pPr>
      <w:r>
        <w:rPr>
          <w:rFonts w:eastAsia="Times New Roman" w:cs="Times New Roman" w:ascii="Times New Roman" w:hAnsi="Times New Roman"/>
          <w:color w:val="111111"/>
          <w:sz w:val="28"/>
          <w:szCs w:val="28"/>
          <w:lang w:val="en-US" w:bidi="en-US"/>
        </w:rPr>
        <w:t>Authority In The First Centuries Of Islam. Cambridge: Cambridge</w:t>
      </w:r>
    </w:p>
    <w:p>
      <w:pPr>
        <w:pStyle w:val="BookText"/>
        <w:rPr/>
      </w:pPr>
      <w:r>
        <w:rPr>
          <w:rFonts w:eastAsia="Times New Roman" w:cs="Times New Roman" w:ascii="Times New Roman" w:hAnsi="Times New Roman"/>
          <w:color w:val="111111"/>
          <w:sz w:val="28"/>
          <w:szCs w:val="28"/>
          <w:lang w:val="en-US" w:bidi="en-US"/>
        </w:rPr>
        <w:t>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باتریشیا کرون ومارتن هیندز،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 السلطة الدینیة فی القرون الأولی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کامبردج، مطبعة جامعة کامبریدج،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Dakake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Maria Massi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Loyalty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Love And Faith: Defending The Boundaries Of The Early Shiite Community." Phd</w:t>
      </w:r>
    </w:p>
    <w:p>
      <w:pPr>
        <w:pStyle w:val="BookText"/>
        <w:rPr/>
      </w:pPr>
      <w:r>
        <w:rPr>
          <w:rFonts w:eastAsia="Times New Roman" w:cs="Times New Roman" w:ascii="Times New Roman" w:hAnsi="Times New Roman"/>
          <w:color w:val="111111"/>
          <w:sz w:val="28"/>
          <w:szCs w:val="28"/>
          <w:lang w:val="en-US" w:bidi="en-US"/>
        </w:rPr>
        <w:t>Thesis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Princeton University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ماریا ماسی داکاکی،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والحب والإیمان، الدفاع عن حدود الطائفة الشیعیّة فی العصر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أطروحة دکتوراه، جامعة برینستون،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Deliege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Robert. Levi-Strauss Today: An</w:t>
      </w:r>
    </w:p>
    <w:p>
      <w:pPr>
        <w:pStyle w:val="BookText"/>
        <w:rPr/>
      </w:pPr>
      <w:r>
        <w:rPr>
          <w:rFonts w:eastAsia="Times New Roman" w:cs="Times New Roman" w:ascii="Times New Roman" w:hAnsi="Times New Roman"/>
          <w:color w:val="111111"/>
          <w:sz w:val="28"/>
          <w:szCs w:val="28"/>
          <w:lang w:val="en-US" w:bidi="en-US"/>
        </w:rPr>
        <w:t>Introduction To Structural Anthropology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Translated By Nora Scott. 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Berg</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روبرت دالییج،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شتراوس الیوم، مدخل إلی الأنثروبولوجیا البنیویّة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نورا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بیرغ،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Denny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Frederick</w:t>
      </w:r>
    </w:p>
    <w:p>
      <w:pPr>
        <w:pStyle w:val="BookText"/>
        <w:rPr/>
      </w:pPr>
      <w:r>
        <w:rPr>
          <w:rFonts w:eastAsia="Times New Roman" w:cs="Times New Roman" w:ascii="Times New Roman" w:hAnsi="Times New Roman"/>
          <w:color w:val="111111"/>
          <w:sz w:val="28"/>
          <w:szCs w:val="28"/>
          <w:lang w:val="en-US" w:bidi="en-US"/>
        </w:rPr>
        <w:t>Mathewson. "Tawwabun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E/2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فریدریک ماثیوسون 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Donner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Fred M. Narratives</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Of Islamic Origins: The Beginnings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Islamic Historical Writing. Princeton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Darwin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من أصول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بدایات الکتابة التاریخیة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برینستون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Durkheim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Émile. Les</w:t>
      </w:r>
    </w:p>
    <w:p>
      <w:pPr>
        <w:pStyle w:val="BookText"/>
        <w:rPr/>
      </w:pPr>
      <w:r>
        <w:rPr>
          <w:rFonts w:eastAsia="Times New Roman" w:cs="Times New Roman" w:ascii="Times New Roman" w:hAnsi="Times New Roman"/>
          <w:color w:val="111111"/>
          <w:sz w:val="28"/>
          <w:szCs w:val="28"/>
          <w:lang w:val="en-US" w:bidi="en-US"/>
        </w:rPr>
        <w:t>Formes Élémentaires De La Vie</w:t>
      </w:r>
    </w:p>
    <w:p>
      <w:pPr>
        <w:pStyle w:val="BookText"/>
        <w:rPr/>
      </w:pPr>
      <w:r>
        <w:rPr>
          <w:rFonts w:eastAsia="Times New Roman" w:cs="Times New Roman" w:ascii="Times New Roman" w:hAnsi="Times New Roman"/>
          <w:color w:val="111111"/>
          <w:sz w:val="28"/>
          <w:szCs w:val="28"/>
          <w:lang w:val="en-US" w:bidi="en-US"/>
        </w:rPr>
        <w:t>Religieuse. Paris: Li</w:t>
        <w:softHyphen/>
        <w:t>brairie Felix Alcan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إمیل دورکهایم،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الأشکال الأولیّة للحیاة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باریس، مکتبة فیلیکس الکان،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E.J. Brill's First</w:t>
      </w:r>
    </w:p>
    <w:p>
      <w:pPr>
        <w:pStyle w:val="BookText"/>
        <w:rPr/>
      </w:pPr>
      <w:r>
        <w:rPr>
          <w:rFonts w:eastAsia="Times New Roman" w:cs="Times New Roman" w:ascii="Times New Roman" w:hAnsi="Times New Roman"/>
          <w:color w:val="111111"/>
          <w:sz w:val="28"/>
          <w:szCs w:val="28"/>
          <w:lang w:val="en-US" w:bidi="en-US"/>
        </w:rPr>
        <w:t>Encyclopedia Of Islam. Edited By</w:t>
      </w:r>
    </w:p>
    <w:p>
      <w:pPr>
        <w:pStyle w:val="BookText"/>
        <w:rPr/>
      </w:pPr>
      <w:r>
        <w:rPr>
          <w:rFonts w:eastAsia="Times New Roman" w:cs="Times New Roman" w:ascii="Times New Roman" w:hAnsi="Times New Roman"/>
          <w:color w:val="111111"/>
          <w:sz w:val="28"/>
          <w:szCs w:val="28"/>
          <w:lang w:val="en-US" w:bidi="en-US"/>
        </w:rPr>
        <w:t>W.Th. Houtsma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 Al. Leiden: E.J. Brill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1913-1936. </w:t>
      </w:r>
      <w:r>
        <w:rPr>
          <w:rFonts w:eastAsia="Times New Roman" w:cs="Times New Roman" w:ascii="Times New Roman" w:hAnsi="Times New Roman"/>
          <w:color w:val="111111"/>
          <w:sz w:val="28"/>
          <w:szCs w:val="28"/>
          <w:lang w:val="en-US" w:bidi="en-US"/>
        </w:rPr>
        <w:t>Reprint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الإسلام الأولی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أج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هوتسما وآخرین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ثانیة سنة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El-Hibri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Tayeb. Reinterpreting</w:t>
      </w:r>
    </w:p>
    <w:p>
      <w:pPr>
        <w:pStyle w:val="BookText"/>
        <w:rPr/>
      </w:pPr>
      <w:r>
        <w:rPr>
          <w:rFonts w:eastAsia="Times New Roman" w:cs="Times New Roman" w:ascii="Times New Roman" w:hAnsi="Times New Roman"/>
          <w:color w:val="111111"/>
          <w:sz w:val="28"/>
          <w:szCs w:val="28"/>
          <w:lang w:val="en-US" w:bidi="en-US"/>
        </w:rPr>
        <w:t>Islamic Historiography: Harun Al-Rashid</w:t>
      </w:r>
    </w:p>
    <w:p>
      <w:pPr>
        <w:pStyle w:val="BookText"/>
        <w:rPr/>
      </w:pPr>
      <w:r>
        <w:rPr>
          <w:rFonts w:eastAsia="Times New Roman" w:cs="Times New Roman" w:ascii="Times New Roman" w:hAnsi="Times New Roman"/>
          <w:color w:val="111111"/>
          <w:sz w:val="28"/>
          <w:szCs w:val="28"/>
          <w:lang w:val="en-US" w:bidi="en-US"/>
        </w:rPr>
        <w:t>And The Narrative Of The Abbasid Cailpahte. Cambridge: Cam</w:t>
        <w:softHyphen/>
        <w:t>bridge</w:t>
      </w:r>
    </w:p>
    <w:p>
      <w:pPr>
        <w:pStyle w:val="BookText"/>
        <w:rPr/>
      </w:pPr>
      <w:r>
        <w:rPr>
          <w:rFonts w:eastAsia="Times New Roman" w:cs="Times New Roman" w:ascii="Times New Roman" w:hAnsi="Times New Roman"/>
          <w:color w:val="111111"/>
          <w:sz w:val="28"/>
          <w:szCs w:val="28"/>
          <w:lang w:val="en-US" w:bidi="en-US"/>
        </w:rPr>
        <w:t>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الطیّب الهبری،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تفسیر التأریخ الإسلامی، هارون الرشید وقصّة الخلافة العباسیّة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کامبریدج، مطبعة جامعة کامبریدج،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Unity Of</w:t>
      </w:r>
    </w:p>
    <w:p>
      <w:pPr>
        <w:pStyle w:val="BookText"/>
        <w:rPr/>
      </w:pPr>
      <w:r>
        <w:rPr>
          <w:rFonts w:eastAsia="Times New Roman" w:cs="Times New Roman" w:ascii="Times New Roman" w:hAnsi="Times New Roman"/>
          <w:color w:val="111111"/>
          <w:sz w:val="28"/>
          <w:szCs w:val="28"/>
          <w:lang w:val="en-US" w:bidi="en-US"/>
        </w:rPr>
        <w:t>Tabari's Chronicle." Al-Usur Al-Wusta: The Bulle</w:t>
        <w:softHyphen/>
        <w:t>tin Of Middle East</w:t>
      </w:r>
    </w:p>
    <w:p>
      <w:pPr>
        <w:pStyle w:val="BookText"/>
        <w:rPr/>
      </w:pPr>
      <w:r>
        <w:rPr>
          <w:rFonts w:eastAsia="Times New Roman" w:cs="Times New Roman" w:ascii="Times New Roman" w:hAnsi="Times New Roman"/>
          <w:color w:val="111111"/>
          <w:sz w:val="28"/>
          <w:szCs w:val="28"/>
          <w:lang w:val="en-US" w:bidi="en-US"/>
        </w:rPr>
        <w:t>Medievalists 11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1 (1999): 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العصور الوسطی، نشرة المتخصّصین فی تاریخ</w:t>
      </w:r>
    </w:p>
    <w:p>
      <w:pPr>
        <w:pStyle w:val="BookText"/>
        <w:rPr/>
      </w:pPr>
      <w:r>
        <w:rPr>
          <w:rFonts w:ascii="IRNazanin" w:hAnsi="IRNazanin" w:eastAsia="IRNazanin"/>
          <w:color w:val="111111"/>
          <w:sz w:val="28"/>
          <w:sz w:val="28"/>
          <w:szCs w:val="28"/>
          <w:rtl w:val="true"/>
          <w:lang w:bidi="fa-IR"/>
        </w:rPr>
        <w:t xml:space="preserve">القرون الوسطی للشرق الأوسط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Elad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Amikam. "Community</w:t>
      </w:r>
    </w:p>
    <w:p>
      <w:pPr>
        <w:pStyle w:val="BookText"/>
        <w:rPr/>
      </w:pPr>
      <w:r>
        <w:rPr>
          <w:rFonts w:eastAsia="Times New Roman" w:cs="Times New Roman" w:ascii="Times New Roman" w:hAnsi="Times New Roman"/>
          <w:color w:val="111111"/>
          <w:sz w:val="28"/>
          <w:szCs w:val="28"/>
          <w:lang w:val="en-US" w:bidi="en-US"/>
        </w:rPr>
        <w:t>Of Believers Of 'Holy Men' And 'Saints' Or Community Of Muslims? The Rise And</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Development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Early Muslim Historiography." Review Of Narratives Of Islamic</w:t>
      </w:r>
    </w:p>
    <w:p>
      <w:pPr>
        <w:pStyle w:val="BookText"/>
        <w:rPr/>
      </w:pPr>
      <w:r>
        <w:rPr>
          <w:rFonts w:eastAsia="Times New Roman" w:cs="Times New Roman" w:ascii="Times New Roman" w:hAnsi="Times New Roman"/>
          <w:color w:val="111111"/>
          <w:sz w:val="28"/>
          <w:szCs w:val="28"/>
          <w:lang w:val="en-US" w:bidi="en-US"/>
        </w:rPr>
        <w:t>Origins By Fred M. Donner. Journal Of Semitic Studies 47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1 (2002): 241-308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إلعاد أمیکام،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المؤمنین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أمّة المسلمین؟ نشأة وتطوّر التأریخ الأسلامی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استعراض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من أُصول 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قِبَل فْرَد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دونر، مجلة الدراسات السامیة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Enayat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Hamid. Modern</w:t>
      </w:r>
    </w:p>
    <w:p>
      <w:pPr>
        <w:pStyle w:val="BookText"/>
        <w:rPr/>
      </w:pPr>
      <w:r>
        <w:rPr>
          <w:rFonts w:eastAsia="Times New Roman" w:cs="Times New Roman" w:ascii="Times New Roman" w:hAnsi="Times New Roman"/>
          <w:color w:val="111111"/>
          <w:sz w:val="28"/>
          <w:szCs w:val="28"/>
          <w:lang w:val="en-US" w:bidi="en-US"/>
        </w:rPr>
        <w:t>Islamic Political Thought: The Response Of The Shii And Sunni Muslims To</w:t>
      </w:r>
    </w:p>
    <w:p>
      <w:pPr>
        <w:pStyle w:val="BookText"/>
        <w:rPr/>
      </w:pPr>
      <w:r>
        <w:rPr>
          <w:rFonts w:eastAsia="Times New Roman" w:cs="Times New Roman" w:ascii="Times New Roman" w:hAnsi="Times New Roman"/>
          <w:color w:val="111111"/>
          <w:sz w:val="28"/>
          <w:szCs w:val="28"/>
          <w:lang w:val="en-US" w:bidi="en-US"/>
        </w:rPr>
        <w:t>The Twentieth Century. London: Macmillan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حامد عنایات،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السیاسی الإسلامی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تجاوب المسلمین الشیعة والسنة مع القرن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ماکمیلان،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Encyclopedia Of Islam. Edited By 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Bosworth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 Al. 2nd Ed. 10 Vols. Leiden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1960-2002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بوسوورث وآخرین، الطبعة الثانیة،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لَیْدِن، بریل،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Encyclopedia Of The Qur'an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Edited By Jane Dammen Mcauliffe. 6 Vols. Leiden: Brill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2001-2006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 دامن مکولیف،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Esposito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John 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And John 0. Voll. Islam And Democracy. Oxford: Ox</w:t>
        <w:softHyphen/>
        <w:t>ford University Press</w:t>
      </w:r>
      <w:r>
        <w:rPr>
          <w:rFonts w:ascii="IRNazanin" w:hAnsi="IRNazanin" w:eastAsia="IRNazanin"/>
          <w:color w:val="111111"/>
          <w:sz w:val="28"/>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جون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اسبوزیتو وجون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والدیمقراطیة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أکسفورد،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Van 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Josef. Theologie</w:t>
      </w:r>
    </w:p>
    <w:p>
      <w:pPr>
        <w:pStyle w:val="BookText"/>
        <w:rPr/>
      </w:pPr>
      <w:r>
        <w:rPr>
          <w:rFonts w:eastAsia="Times New Roman" w:cs="Times New Roman" w:ascii="Times New Roman" w:hAnsi="Times New Roman"/>
          <w:color w:val="111111"/>
          <w:sz w:val="28"/>
          <w:szCs w:val="28"/>
          <w:lang w:val="en-US" w:bidi="en-US"/>
        </w:rPr>
        <w:t>Und Gesellschaft Im 2. Und 3. Jahrhundert Hidschra: Eine Geschichte Des</w:t>
      </w:r>
    </w:p>
    <w:p>
      <w:pPr>
        <w:pStyle w:val="BookText"/>
        <w:rPr/>
      </w:pPr>
      <w:r>
        <w:rPr>
          <w:rFonts w:eastAsia="Times New Roman" w:cs="Times New Roman" w:ascii="Times New Roman" w:hAnsi="Times New Roman"/>
          <w:color w:val="111111"/>
          <w:sz w:val="28"/>
          <w:szCs w:val="28"/>
          <w:lang w:val="en-US" w:bidi="en-US"/>
        </w:rPr>
        <w:t>Religiösen Denkens Im Frühen Islam. 6 Vols. Berlin: De Gruyter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1991-1997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جوزیف فان 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اللاهوت والمجتمع فی القرن الثانی والثالث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الفکر الدینی فی الإسلام المبکّر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دی غرویتر،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Political</w:t>
      </w:r>
    </w:p>
    <w:p>
      <w:pPr>
        <w:pStyle w:val="BookText"/>
        <w:rPr/>
      </w:pPr>
      <w:r>
        <w:rPr>
          <w:rFonts w:eastAsia="Times New Roman" w:cs="Times New Roman" w:ascii="Times New Roman" w:hAnsi="Times New Roman"/>
          <w:color w:val="111111"/>
          <w:sz w:val="28"/>
          <w:szCs w:val="28"/>
          <w:lang w:val="en-US" w:bidi="en-US"/>
        </w:rPr>
        <w:t>Ideas In Early Islamic Religious Thought." British Journal Of Middle Eastern</w:t>
      </w:r>
    </w:p>
    <w:p>
      <w:pPr>
        <w:pStyle w:val="BookText"/>
        <w:rPr/>
      </w:pPr>
      <w:r>
        <w:rPr>
          <w:rFonts w:eastAsia="Times New Roman" w:cs="Times New Roman" w:ascii="Times New Roman" w:hAnsi="Times New Roman"/>
          <w:color w:val="111111"/>
          <w:sz w:val="28"/>
          <w:szCs w:val="28"/>
          <w:lang w:val="en-US" w:bidi="en-US"/>
        </w:rPr>
        <w:t>Studies 28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2 (2001)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الأفکار السیاسیة فی الفکر الدینی الإسلامی المبکر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المجلة البریطانیة للدراسات الشرق أوسطیّة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Fadel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w:t>
      </w:r>
    </w:p>
    <w:p>
      <w:pPr>
        <w:pStyle w:val="BookText"/>
        <w:rPr/>
      </w:pPr>
      <w:r>
        <w:rPr>
          <w:rFonts w:eastAsia="Times New Roman" w:cs="Times New Roman" w:ascii="Times New Roman" w:hAnsi="Times New Roman"/>
          <w:color w:val="111111"/>
          <w:sz w:val="28"/>
          <w:szCs w:val="28"/>
          <w:lang w:val="en-US" w:bidi="en-US"/>
        </w:rPr>
        <w:t>Hossam. "Chastisement And Punishment." In EQ</w:t>
      </w:r>
    </w:p>
    <w:p>
      <w:pPr>
        <w:pStyle w:val="BookText"/>
        <w:rPr/>
      </w:pPr>
      <w:r>
        <w:rPr>
          <w:rFonts w:ascii="IRNazanin" w:hAnsi="IRNazanin" w:eastAsia="IRNazanin"/>
          <w:color w:val="111111"/>
          <w:sz w:val="28"/>
          <w:sz w:val="28"/>
          <w:szCs w:val="28"/>
          <w:rtl w:val="true"/>
          <w:lang w:bidi="fa-IR"/>
        </w:rPr>
        <w:t xml:space="preserve">محمد حسام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 والحساب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Geertz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Clifford. The</w:t>
      </w:r>
    </w:p>
    <w:p>
      <w:pPr>
        <w:pStyle w:val="BookText"/>
        <w:rPr/>
      </w:pPr>
      <w:r>
        <w:rPr>
          <w:rFonts w:eastAsia="Times New Roman" w:cs="Times New Roman" w:ascii="Times New Roman" w:hAnsi="Times New Roman"/>
          <w:color w:val="111111"/>
          <w:sz w:val="28"/>
          <w:szCs w:val="28"/>
          <w:lang w:val="en-US" w:bidi="en-US"/>
        </w:rPr>
        <w:t>Interpretation Of Cultures: Selected Essays. London: Fontana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کلیفورد غیرتز،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الثقافات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فونتانا،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Gilliot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Claude. Exégèse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Langue Et Theologie En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L'exégèse Coranique</w:t>
      </w:r>
    </w:p>
    <w:p>
      <w:pPr>
        <w:pStyle w:val="BookText"/>
        <w:rPr/>
      </w:pPr>
      <w:r>
        <w:rPr>
          <w:rFonts w:eastAsia="Times New Roman" w:cs="Times New Roman" w:ascii="Times New Roman" w:hAnsi="Times New Roman"/>
          <w:color w:val="111111"/>
          <w:sz w:val="28"/>
          <w:szCs w:val="28"/>
          <w:lang w:val="en-US" w:bidi="en-US"/>
        </w:rPr>
        <w:t>De Tabari. Paris: Vrin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کلود جیلیوت،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واللغة وعلم الکلام فی الإسلام، تفسیر القرآن للطبری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فْرین،</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Mythe</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Récit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Histoire Du Salut Dans Le Commentaire Coranique De Tabari."Joumal</w:t>
      </w:r>
    </w:p>
    <w:p>
      <w:pPr>
        <w:pStyle w:val="BookText"/>
        <w:rPr/>
      </w:pPr>
      <w:r>
        <w:rPr>
          <w:rFonts w:eastAsia="Times New Roman" w:cs="Times New Roman" w:ascii="Times New Roman" w:hAnsi="Times New Roman"/>
          <w:color w:val="111111"/>
          <w:sz w:val="28"/>
          <w:szCs w:val="28"/>
          <w:lang w:val="en-US" w:bidi="en-US"/>
        </w:rPr>
        <w:t>Asiatique 282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2 (1994): 237-270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الأُسطورة والقصّة وتاریخ التحیّة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تاریخ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المجلة الآسیویّة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Gottschalk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Peter. Beyond</w:t>
      </w:r>
    </w:p>
    <w:p>
      <w:pPr>
        <w:pStyle w:val="BookText"/>
        <w:rPr/>
      </w:pPr>
      <w:r>
        <w:rPr>
          <w:rFonts w:eastAsia="Times New Roman" w:cs="Times New Roman" w:ascii="Times New Roman" w:hAnsi="Times New Roman"/>
          <w:color w:val="111111"/>
          <w:sz w:val="28"/>
          <w:szCs w:val="28"/>
          <w:lang w:val="en-US" w:bidi="en-US"/>
        </w:rPr>
        <w:t>Hindu And Muslim: Multiple Identity In Narratives From Village India. 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 غوتشوک،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الهندوسی والمسلم، هویة متعدّدة فی روایات من قریة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أکسفورد،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Grater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Irene. "Arabische</w:t>
      </w:r>
    </w:p>
    <w:p>
      <w:pPr>
        <w:pStyle w:val="BookText"/>
        <w:rPr/>
      </w:pPr>
      <w:r>
        <w:rPr>
          <w:rFonts w:eastAsia="Times New Roman" w:cs="Times New Roman" w:ascii="Times New Roman" w:hAnsi="Times New Roman"/>
          <w:color w:val="111111"/>
          <w:sz w:val="28"/>
          <w:szCs w:val="28"/>
          <w:lang w:val="en-US" w:bidi="en-US"/>
        </w:rPr>
        <w:t>Bestattungsbräuche In Frühislamischer Zeit."Der Islam 31-32 (1953-57)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آیرین غروتر،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الجنائز فی عصر الإسلام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الإسلام،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Günther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Sebastian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Maqatil Literature In Medieval Islam." Journal Of Arabic</w:t>
      </w:r>
    </w:p>
    <w:p>
      <w:pPr>
        <w:pStyle w:val="BookText"/>
        <w:rPr/>
      </w:pPr>
      <w:r>
        <w:rPr>
          <w:rFonts w:eastAsia="Times New Roman" w:cs="Times New Roman" w:ascii="Times New Roman" w:hAnsi="Times New Roman"/>
          <w:color w:val="111111"/>
          <w:sz w:val="28"/>
          <w:szCs w:val="28"/>
          <w:lang w:val="en-US" w:bidi="en-US"/>
        </w:rPr>
        <w:t>Literature 25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3 (1994): 192-212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سباستیان غونتر،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المقاتل فی إسلام العصور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الأدب العربی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Yvonne Yazbeck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Jane I. Smith. The</w:t>
      </w:r>
    </w:p>
    <w:p>
      <w:pPr>
        <w:pStyle w:val="BookText"/>
        <w:rPr/>
      </w:pPr>
      <w:r>
        <w:rPr>
          <w:rFonts w:eastAsia="Times New Roman" w:cs="Times New Roman" w:ascii="Times New Roman" w:hAnsi="Times New Roman"/>
          <w:color w:val="111111"/>
          <w:sz w:val="28"/>
          <w:szCs w:val="28"/>
          <w:lang w:val="en-US" w:bidi="en-US"/>
        </w:rPr>
        <w:t>Islamic Understanding</w:t>
      </w:r>
    </w:p>
    <w:p>
      <w:pPr>
        <w:pStyle w:val="BookText"/>
        <w:rPr/>
      </w:pPr>
      <w:r>
        <w:rPr>
          <w:rFonts w:eastAsia="Times New Roman" w:cs="Times New Roman" w:ascii="Times New Roman" w:hAnsi="Times New Roman"/>
          <w:color w:val="111111"/>
          <w:sz w:val="28"/>
          <w:szCs w:val="28"/>
          <w:lang w:val="en-US" w:bidi="en-US"/>
        </w:rPr>
        <w:t>Of Death And Resurrection. 2nd Ed. Oxford: 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إیفون یزبک حداد وجین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الإسلامی للموت والقیامة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الطبعة الثانیة، أوکسفورد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أکسفورد،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Halm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Heinz. Shi’a</w:t>
      </w:r>
    </w:p>
    <w:p>
      <w:pPr>
        <w:pStyle w:val="BookText"/>
        <w:rPr/>
      </w:pPr>
      <w:r>
        <w:rPr>
          <w:rFonts w:eastAsia="Times New Roman" w:cs="Times New Roman" w:ascii="Times New Roman" w:hAnsi="Times New Roman"/>
          <w:color w:val="111111"/>
          <w:sz w:val="28"/>
          <w:szCs w:val="28"/>
          <w:lang w:val="en-US" w:bidi="en-US"/>
        </w:rPr>
        <w:t>Islam: From Religion To Revolution. Translated By Allison Brown. Princeton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Marcus Wiener Publishers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هاینز هالم،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الشیعی، من الدین إلی 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ألیسون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برینستون، مارکوس فینر للنشر،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Halpern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Manfred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Choosing Between Ways Of Life And Death And Be</w:t>
        <w:softHyphen/>
        <w:t>tween Forms Of Democracy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Archetypal Analysis." Alternatives 12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1 (1987): 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مانفرید هالبیرن،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الإختیار بین طرق الحیاة والموت وبین أشکال الدیمقراطیة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نموذجی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البدائل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Hasson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 "Ziyad</w:t>
      </w:r>
    </w:p>
    <w:p>
      <w:pPr>
        <w:pStyle w:val="BookText"/>
        <w:rPr/>
      </w:pPr>
      <w:r>
        <w:rPr>
          <w:rFonts w:eastAsia="Times New Roman" w:cs="Times New Roman" w:ascii="Times New Roman" w:hAnsi="Times New Roman"/>
          <w:color w:val="111111"/>
          <w:sz w:val="28"/>
          <w:szCs w:val="28"/>
          <w:lang w:val="en-US" w:bidi="en-US"/>
        </w:rPr>
        <w:t>B. Abihi." In E/2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ابن أبیه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Hawting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Gerald 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Translator's Foreword." In The History Of Al-Tabari. Vol. 20: The</w:t>
      </w:r>
    </w:p>
    <w:p>
      <w:pPr>
        <w:pStyle w:val="BookText"/>
        <w:rPr/>
      </w:pPr>
      <w:r>
        <w:rPr>
          <w:rFonts w:eastAsia="Times New Roman" w:cs="Times New Roman" w:ascii="Times New Roman" w:hAnsi="Times New Roman"/>
          <w:color w:val="111111"/>
          <w:sz w:val="28"/>
          <w:szCs w:val="28"/>
          <w:lang w:val="en-US" w:bidi="en-US"/>
        </w:rPr>
        <w:t>Collapse Of Sufyanid Authority And The Coming Of The Marwanids. Translated</w:t>
      </w:r>
    </w:p>
    <w:p>
      <w:pPr>
        <w:pStyle w:val="BookText"/>
        <w:rPr/>
      </w:pPr>
      <w:r>
        <w:rPr>
          <w:rFonts w:eastAsia="Times New Roman" w:cs="Times New Roman" w:ascii="Times New Roman" w:hAnsi="Times New Roman"/>
          <w:color w:val="111111"/>
          <w:sz w:val="28"/>
          <w:szCs w:val="28"/>
          <w:lang w:val="en-US" w:bidi="en-US"/>
        </w:rPr>
        <w:t>And Annotated By G. R. Hawting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Xi</w:t>
        <w:softHyphen/>
        <w:t>xviii. New York: State University Of New</w:t>
      </w:r>
    </w:p>
    <w:p>
      <w:pPr>
        <w:pStyle w:val="BookText"/>
        <w:rPr/>
      </w:pPr>
      <w:r>
        <w:rPr>
          <w:rFonts w:eastAsia="Times New Roman" w:cs="Times New Roman" w:ascii="Times New Roman" w:hAnsi="Times New Roman"/>
          <w:color w:val="111111"/>
          <w:sz w:val="28"/>
          <w:szCs w:val="28"/>
          <w:lang w:val="en-US" w:bidi="en-US"/>
        </w:rPr>
        <w:t>York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جیرالد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هاوتنغ،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سقوط السلطة السفیانیة ومجیء المروانیین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جیرالد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هاوتنغ، نیویورک، مطبعة جامعة ولایة نیویورک،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w:t>
      </w:r>
    </w:p>
    <w:p>
      <w:pPr>
        <w:pStyle w:val="BookText"/>
        <w:rPr/>
      </w:pPr>
      <w:r>
        <w:rPr>
          <w:rFonts w:eastAsia="Times New Roman" w:cs="Times New Roman" w:ascii="Times New Roman" w:hAnsi="Times New Roman"/>
          <w:color w:val="111111"/>
          <w:sz w:val="28"/>
          <w:szCs w:val="28"/>
          <w:lang w:val="en-US" w:bidi="en-US"/>
        </w:rPr>
        <w:t>Tawwabun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Atonement And ‘Asura’." Jerusalem Studies In Arabic And Islam</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166-181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التوّابون، التکفیر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القدس للدراسات فی اللغة العربیة والإسلام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First</w:t>
      </w:r>
    </w:p>
    <w:p>
      <w:pPr>
        <w:pStyle w:val="BookText"/>
        <w:rPr/>
      </w:pPr>
      <w:r>
        <w:rPr>
          <w:rFonts w:eastAsia="Times New Roman" w:cs="Times New Roman" w:ascii="Times New Roman" w:hAnsi="Times New Roman"/>
          <w:color w:val="111111"/>
          <w:sz w:val="28"/>
          <w:szCs w:val="28"/>
          <w:lang w:val="en-US" w:bidi="en-US"/>
        </w:rPr>
        <w:t>Dynasty Of Islam: The Umayyad Caliphate AD 661</w:t>
        <w:softHyphen/>
        <w:t>750. 2nd Ed. London: Routledge</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الأُسرة الحاکمة الأُولی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الأُمویة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لندن، روتلیدج،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Henaff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Marcel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Claude Levi-Strauss. Paris: Pierre Belfond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مارسیل هناف،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 لیفی ستراوس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بییر بلفوند،</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Claude Levi-Strauss</w:t>
      </w:r>
    </w:p>
    <w:p>
      <w:pPr>
        <w:pStyle w:val="BookText"/>
        <w:rPr/>
      </w:pPr>
      <w:r>
        <w:rPr>
          <w:rFonts w:eastAsia="Times New Roman" w:cs="Times New Roman" w:ascii="Times New Roman" w:hAnsi="Times New Roman"/>
          <w:color w:val="111111"/>
          <w:sz w:val="28"/>
          <w:szCs w:val="28"/>
          <w:lang w:val="en-US" w:bidi="en-US"/>
        </w:rPr>
        <w:t>And The Making Of Structural Anthropology. Translated By Mary Baker. Minneapolis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University Of Minnesota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کلود لیفی ستراوس وابتداع الأنثروبولوجیا البنیویة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بیکر، مینیابولیس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ولایة مینیسوتا،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Hinds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Martin. Studies</w:t>
      </w:r>
    </w:p>
    <w:p>
      <w:pPr>
        <w:pStyle w:val="BookText"/>
        <w:rPr/>
      </w:pPr>
      <w:r>
        <w:rPr>
          <w:rFonts w:eastAsia="Times New Roman" w:cs="Times New Roman" w:ascii="Times New Roman" w:hAnsi="Times New Roman"/>
          <w:color w:val="111111"/>
          <w:sz w:val="28"/>
          <w:szCs w:val="28"/>
          <w:lang w:val="en-US" w:bidi="en-US"/>
        </w:rPr>
        <w:t>In Early Islamic History. Princeton: Darwin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مارتن هیندز،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التاریخ الإسلامی المبکر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برینستون، مطبعة داروین،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Hodgson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Marshall 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How Did The Early Shia Become Sectarian?"Jour</w:t>
        <w:softHyphen/>
        <w:t>nal Of The American</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Oriental Society75 (1955): 1-13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مارشال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هوجسون،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اصبح الشیعة الأوائل طائفیین؟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المجتمع الأمریکی الشرقی،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Two Pre-Modern</w:t>
      </w:r>
    </w:p>
    <w:p>
      <w:pPr>
        <w:pStyle w:val="BookText"/>
        <w:rPr/>
      </w:pPr>
      <w:r>
        <w:rPr>
          <w:rFonts w:eastAsia="Times New Roman" w:cs="Times New Roman" w:ascii="Times New Roman" w:hAnsi="Times New Roman"/>
          <w:color w:val="111111"/>
          <w:sz w:val="28"/>
          <w:szCs w:val="28"/>
          <w:lang w:val="en-US" w:bidi="en-US"/>
        </w:rPr>
        <w:t>Muslim Historians: Pitfalls And Opportunities In Presenting Them To Moderns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Towards World Community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John Nef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53-68. </w:t>
      </w:r>
      <w:r>
        <w:rPr>
          <w:rFonts w:eastAsia="Times New Roman" w:cs="Times New Roman" w:ascii="Times New Roman" w:hAnsi="Times New Roman"/>
          <w:color w:val="111111"/>
          <w:sz w:val="28"/>
          <w:szCs w:val="28"/>
          <w:lang w:val="en-US" w:bidi="en-US"/>
        </w:rPr>
        <w:t>The Hague: Junk</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 من المؤرّخین المسلمین ما قبل العصر الحدیث، العقبات والفرص فی تقدیمهم إلی أهل العصر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مجتمع 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نَف،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جانک،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Venture Of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Conscience And Civilization In A World Civilization. 3 Vols. Vol. 1. The</w:t>
      </w:r>
    </w:p>
    <w:p>
      <w:pPr>
        <w:pStyle w:val="BookText"/>
        <w:rPr/>
      </w:pPr>
      <w:r>
        <w:rPr>
          <w:rFonts w:eastAsia="Times New Roman" w:cs="Times New Roman" w:ascii="Times New Roman" w:hAnsi="Times New Roman"/>
          <w:color w:val="111111"/>
          <w:sz w:val="28"/>
          <w:szCs w:val="28"/>
          <w:lang w:val="en-US" w:bidi="en-US"/>
        </w:rPr>
        <w:t>Classical Age Of Islam. Chicago: University Of Chicago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جرأة الإسلام، الضمیر والحضارة فی حضارة 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المجلد رقم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العصر الکلاسیکی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شیکاغو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شیکاغو،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Honko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Lauri. "The Problem Of Defining Myth." In Sacred Narrative: Readings In The Theory Of Myth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Alan Dundes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41-52. </w:t>
      </w:r>
      <w:r>
        <w:rPr>
          <w:rFonts w:eastAsia="Times New Roman" w:cs="Times New Roman" w:ascii="Times New Roman" w:hAnsi="Times New Roman"/>
          <w:color w:val="111111"/>
          <w:sz w:val="28"/>
          <w:szCs w:val="28"/>
          <w:lang w:val="en-US" w:bidi="en-US"/>
        </w:rPr>
        <w:t>Berkeley: University Of California Press</w:t>
      </w:r>
      <w:r>
        <w:rPr>
          <w:rFonts w:ascii="IRNazanin" w:hAnsi="IRNazanin" w:eastAsia="IRNazanin"/>
          <w:color w:val="111111"/>
          <w:sz w:val="28"/>
          <w:sz w:val="28"/>
          <w:szCs w:val="28"/>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لوری هونکو،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تعریف الأُسطورة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قراءات فی نظریة الأُسطورة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آلان دوندیز،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بیرکلی، مطبعة جامعة کالیفورنیا،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Howard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I.K.A. "Husayn</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Martyr: A Commentary On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Accounts Of The Martyrdom In Arabic</w:t>
      </w:r>
    </w:p>
    <w:p>
      <w:pPr>
        <w:pStyle w:val="BookText"/>
        <w:rPr/>
      </w:pPr>
      <w:r>
        <w:rPr>
          <w:rFonts w:eastAsia="Times New Roman" w:cs="Times New Roman" w:ascii="Times New Roman" w:hAnsi="Times New Roman"/>
          <w:color w:val="111111"/>
          <w:sz w:val="28"/>
          <w:szCs w:val="28"/>
          <w:lang w:val="en-US" w:bidi="en-US"/>
        </w:rPr>
        <w:t>Sources." Al-Serat 12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Spring And Au</w:t>
        <w:softHyphen/>
        <w:t>tumn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1986. </w:t>
      </w:r>
      <w:r>
        <w:rPr>
          <w:rFonts w:eastAsia="Times New Roman" w:cs="Times New Roman" w:ascii="Times New Roman" w:hAnsi="Times New Roman"/>
          <w:color w:val="111111"/>
          <w:sz w:val="28"/>
          <w:szCs w:val="28"/>
          <w:lang w:val="en-US" w:bidi="en-US"/>
        </w:rPr>
        <w:t>Special Issue: Papers</w:t>
      </w:r>
    </w:p>
    <w:p>
      <w:pPr>
        <w:pStyle w:val="BookText"/>
        <w:rPr/>
      </w:pPr>
      <w:r>
        <w:rPr>
          <w:rFonts w:eastAsia="Times New Roman" w:cs="Times New Roman" w:ascii="Times New Roman" w:hAnsi="Times New Roman"/>
          <w:color w:val="111111"/>
          <w:sz w:val="28"/>
          <w:szCs w:val="28"/>
          <w:lang w:val="en-US" w:bidi="en-US"/>
        </w:rPr>
        <w:t>From The Imam Husayn Confer</w:t>
        <w:softHyphen/>
        <w:t>ence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 July 1984. (1986): 124-142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الشهید، تعلیق علی روایات الاستشهاد فی المصادر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الطراط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ربیع وخریف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من مؤتمر الإمام الحسین، لندن، یولیو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Translator's</w:t>
      </w:r>
    </w:p>
    <w:p>
      <w:pPr>
        <w:pStyle w:val="BookText"/>
        <w:rPr/>
      </w:pPr>
      <w:r>
        <w:rPr>
          <w:rFonts w:eastAsia="Times New Roman" w:cs="Times New Roman" w:ascii="Times New Roman" w:hAnsi="Times New Roman"/>
          <w:color w:val="111111"/>
          <w:sz w:val="28"/>
          <w:szCs w:val="28"/>
          <w:lang w:val="en-US" w:bidi="en-US"/>
        </w:rPr>
        <w:t>Foreword." In The History Of Al-Tabari Vol. 19: The Caliphate Of Yazid</w:t>
      </w:r>
    </w:p>
    <w:p>
      <w:pPr>
        <w:pStyle w:val="BookText"/>
        <w:rPr/>
      </w:pPr>
      <w:r>
        <w:rPr>
          <w:rFonts w:eastAsia="Times New Roman" w:cs="Times New Roman" w:ascii="Times New Roman" w:hAnsi="Times New Roman"/>
          <w:color w:val="111111"/>
          <w:sz w:val="28"/>
          <w:szCs w:val="28"/>
          <w:lang w:val="en-US" w:bidi="en-US"/>
        </w:rPr>
        <w:t>B. Mu’awiyah. Translated And Annotated By I.K.A. Howard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Ix—Xvi.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State University Of New York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مقدمة المترجم فی تاریخ الطبری، المجلد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خلافة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هوارد، نیویورک، مطبعة جامعة ولایة نیویورک،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Humphreys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 Stephen. "Qur'anic Myth And Narrative Structure In Early Islamic Historiography." In Tradition And Innovation In Late An</w:t>
        <w:softHyphen/>
        <w:t>tiquity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F.M. Clover And R.S. Humphreys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271-290. </w:t>
      </w:r>
      <w:r>
        <w:rPr>
          <w:rFonts w:eastAsia="Times New Roman" w:cs="Times New Roman" w:ascii="Times New Roman" w:hAnsi="Times New Roman"/>
          <w:color w:val="111111"/>
          <w:sz w:val="28"/>
          <w:szCs w:val="28"/>
          <w:lang w:val="en-US" w:bidi="en-US"/>
        </w:rPr>
        <w:t>Madison: University Of Wisconsin Press</w:t>
      </w:r>
      <w:r>
        <w:rPr>
          <w:rFonts w:ascii="IRNazanin" w:hAnsi="IRNazanin" w:eastAsia="IRNazanin"/>
          <w:color w:val="111111"/>
          <w:sz w:val="28"/>
          <w:sz w:val="28"/>
          <w:szCs w:val="28"/>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ستیفن همفریز،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الأُسطورة القرآنیة والبنیة الروائیّة فی کتابة التاریخ الإسلامی المبکر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 والتجدید فی العصور القدیمة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کلوفر وآر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همفریز،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ویسکونسن،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Islamic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Framework For Inquiry Revised Ed. Princeton NJ.: Princeton University</w:t>
      </w:r>
    </w:p>
    <w:p>
      <w:pPr>
        <w:pStyle w:val="BookText"/>
        <w:rPr/>
      </w:pPr>
      <w:r>
        <w:rPr>
          <w:rFonts w:eastAsia="Times New Roman" w:cs="Times New Roman" w:ascii="Times New Roman" w:hAnsi="Times New Roman"/>
          <w:color w:val="111111"/>
          <w:sz w:val="28"/>
          <w:szCs w:val="28"/>
          <w:lang w:val="en-US" w:bidi="en-US"/>
        </w:rPr>
        <w:t>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التاریخ الإسلامی إطار للتحقیق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منقّحة، برینستون، نیوجیرسی، مطبعة جامعة برینستون،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Hylen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Torsten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Några Begrepp Och Teorier I Religionshistoria." Unpub</w:t>
        <w:softHyphen/>
        <w:t>lished Textbook</w:t>
      </w:r>
    </w:p>
    <w:p>
      <w:pPr>
        <w:pStyle w:val="BookText"/>
        <w:rPr/>
      </w:pPr>
      <w:r>
        <w:rPr>
          <w:rFonts w:eastAsia="Times New Roman" w:cs="Times New Roman" w:ascii="Times New Roman" w:hAnsi="Times New Roman"/>
          <w:color w:val="111111"/>
          <w:sz w:val="28"/>
          <w:szCs w:val="28"/>
          <w:lang w:val="en-US" w:bidi="en-US"/>
        </w:rPr>
        <w:t>Material Used At Courses In Religious Studies At Högskolan Dalarna 1997-2004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تورستن هایلین،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المفاهیم والنظریات الدینیة التاریخی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مواد کتاب مدرسی غیر منشورة، تستخدم خلال الدروس فی الدراسات الدینیة فی جامعة دالارنا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Är Kerbala-Dramat</w:t>
      </w:r>
    </w:p>
    <w:p>
      <w:pPr>
        <w:pStyle w:val="BookText"/>
        <w:rPr/>
      </w:pPr>
      <w:r>
        <w:rPr>
          <w:rFonts w:eastAsia="Times New Roman" w:cs="Times New Roman" w:ascii="Times New Roman" w:hAnsi="Times New Roman"/>
          <w:color w:val="111111"/>
          <w:sz w:val="28"/>
          <w:szCs w:val="28"/>
          <w:lang w:val="en-US" w:bidi="en-US"/>
        </w:rPr>
        <w:t>En Myt?" In Myter Och Mytteorier: Religions</w:t>
        <w:softHyphen/>
        <w:t>historiska Diskussioner</w:t>
      </w:r>
    </w:p>
    <w:p>
      <w:pPr>
        <w:pStyle w:val="BookText"/>
        <w:rPr/>
      </w:pPr>
      <w:r>
        <w:rPr>
          <w:rFonts w:eastAsia="Times New Roman" w:cs="Times New Roman" w:ascii="Times New Roman" w:hAnsi="Times New Roman"/>
          <w:color w:val="111111"/>
          <w:sz w:val="28"/>
          <w:szCs w:val="28"/>
          <w:lang w:val="en-US" w:bidi="en-US"/>
        </w:rPr>
        <w:t>Och Teoretiska Ansatser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O. Sund</w:t>
        <w:softHyphen/>
        <w:t>qvist And A. Svalastog</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55-71. </w:t>
      </w:r>
      <w:r>
        <w:rPr>
          <w:rFonts w:eastAsia="Times New Roman" w:cs="Times New Roman" w:ascii="Times New Roman" w:hAnsi="Times New Roman"/>
          <w:color w:val="111111"/>
          <w:sz w:val="28"/>
          <w:szCs w:val="28"/>
          <w:lang w:val="en-US" w:bidi="en-US"/>
        </w:rPr>
        <w:t>Uppsala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Religionshistoriska Avdel</w:t>
        <w:softHyphen/>
        <w:t>ningen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Teologiska Institutionen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Uppsala</w:t>
      </w:r>
    </w:p>
    <w:p>
      <w:pPr>
        <w:pStyle w:val="BookText"/>
        <w:rPr/>
      </w:pPr>
      <w:r>
        <w:rPr>
          <w:rFonts w:eastAsia="Times New Roman" w:cs="Times New Roman" w:ascii="Times New Roman" w:hAnsi="Times New Roman"/>
          <w:color w:val="111111"/>
          <w:sz w:val="28"/>
          <w:szCs w:val="28"/>
          <w:lang w:val="en-US" w:bidi="en-US"/>
        </w:rPr>
        <w:t>Universitet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أحداث کربلاء أُسطورة؟ الأساطیر ونظریة الأُسطورة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دینیةتاریخیة، ومناهج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سنکفیست 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سفالاستوغ،</w:t>
      </w:r>
    </w:p>
    <w:p>
      <w:pPr>
        <w:pStyle w:val="BookText"/>
        <w:rPr/>
      </w:pPr>
      <w:r>
        <w:rPr>
          <w:rFonts w:eastAsia="IRNazanin" w:cs="IRNazanin"/>
          <w:color w:val="111111"/>
          <w:sz w:val="28"/>
          <w:szCs w:val="28"/>
          <w:lang w:bidi="fa-IR"/>
        </w:rPr>
        <w:t>55-71</w:t>
      </w:r>
      <w:r>
        <w:rPr>
          <w:rFonts w:ascii="IRNazanin" w:hAnsi="IRNazanin" w:eastAsia="IRNazanin"/>
          <w:color w:val="111111"/>
          <w:sz w:val="28"/>
          <w:sz w:val="28"/>
          <w:szCs w:val="28"/>
          <w:rtl w:val="true"/>
          <w:lang w:bidi="fa-IR"/>
        </w:rPr>
        <w:t xml:space="preserve">، أُوبسالا، قسم تاریخ الأدیان، معهد اللاهوت، جامعة أوبسالا،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Ibn Ishag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The</w:t>
      </w:r>
    </w:p>
    <w:p>
      <w:pPr>
        <w:pStyle w:val="BookText"/>
        <w:rPr/>
      </w:pPr>
      <w:r>
        <w:rPr>
          <w:rFonts w:eastAsia="Times New Roman" w:cs="Times New Roman" w:ascii="Times New Roman" w:hAnsi="Times New Roman"/>
          <w:color w:val="111111"/>
          <w:sz w:val="28"/>
          <w:szCs w:val="28"/>
          <w:lang w:val="en-US" w:bidi="en-US"/>
        </w:rPr>
        <w:t>Life Of Muhammad: A Translation Of Ishaq's “Siat Rasul Allah”: Edited And</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Translated By Alfred Guillaume. Oxford: 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محمد، 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وإعداد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ألفرید جیلوم، أُوکسفورد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أکسفورد،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Izutsu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Toshihiko. Ethico-Religious</w:t>
      </w:r>
    </w:p>
    <w:p>
      <w:pPr>
        <w:pStyle w:val="BookText"/>
        <w:rPr/>
      </w:pPr>
      <w:r>
        <w:rPr>
          <w:rFonts w:eastAsia="Times New Roman" w:cs="Times New Roman" w:ascii="Times New Roman" w:hAnsi="Times New Roman"/>
          <w:color w:val="111111"/>
          <w:sz w:val="28"/>
          <w:szCs w:val="28"/>
          <w:lang w:val="en-US" w:bidi="en-US"/>
        </w:rPr>
        <w:t>Concepts In The Qur'an. 2nd Ed. Montreal &amp; Kingston: Mcgill-Queen's</w:t>
      </w:r>
    </w:p>
    <w:p>
      <w:pPr>
        <w:pStyle w:val="BookText"/>
        <w:rPr/>
      </w:pPr>
      <w:r>
        <w:rPr>
          <w:rFonts w:eastAsia="Times New Roman" w:cs="Times New Roman" w:ascii="Times New Roman" w:hAnsi="Times New Roman"/>
          <w:color w:val="111111"/>
          <w:sz w:val="28"/>
          <w:szCs w:val="28"/>
          <w:lang w:val="en-US" w:bidi="en-US"/>
        </w:rPr>
        <w:t>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توشیهیکو إیزوتسو،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المفاهیم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الأخلاقیّة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مونتریال وکینغستون، مطبعة جامعة ماکغیل کوینز،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Jafri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Syed Husain</w:t>
      </w:r>
    </w:p>
    <w:p>
      <w:pPr>
        <w:pStyle w:val="BookText"/>
        <w:rPr/>
      </w:pPr>
      <w:r>
        <w:rPr>
          <w:rFonts w:eastAsia="Times New Roman" w:cs="Times New Roman" w:ascii="Times New Roman" w:hAnsi="Times New Roman"/>
          <w:color w:val="111111"/>
          <w:sz w:val="28"/>
          <w:szCs w:val="28"/>
          <w:lang w:val="en-US" w:bidi="en-US"/>
        </w:rPr>
        <w:t>Mohammad. The Origins And Early Development Of Shia Islam. Oxford: Oxford</w:t>
      </w:r>
    </w:p>
    <w:p>
      <w:pPr>
        <w:pStyle w:val="BookText"/>
        <w:rPr/>
      </w:pPr>
      <w:r>
        <w:rPr>
          <w:rFonts w:eastAsia="Times New Roman" w:cs="Times New Roman" w:ascii="Times New Roman" w:hAnsi="Times New Roman"/>
          <w:color w:val="111111"/>
          <w:sz w:val="28"/>
          <w:szCs w:val="28"/>
          <w:lang w:val="en-US" w:bidi="en-US"/>
        </w:rPr>
        <w:t>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 (1979)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محمد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والتطوّر المبکر للإسلام 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أکسفورد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Jakobson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Roman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Morris</w:t>
      </w:r>
    </w:p>
    <w:p>
      <w:pPr>
        <w:pStyle w:val="BookText"/>
        <w:rPr/>
      </w:pPr>
      <w:r>
        <w:rPr>
          <w:rFonts w:eastAsia="Times New Roman" w:cs="Times New Roman" w:ascii="Times New Roman" w:hAnsi="Times New Roman"/>
          <w:color w:val="111111"/>
          <w:sz w:val="28"/>
          <w:szCs w:val="28"/>
          <w:lang w:val="en-US" w:bidi="en-US"/>
        </w:rPr>
        <w:t>Halle. Fundamentals Of Language. 2nd Ed. Berlin: Mouton De Gruyter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رومان جاکوبسون وموریس 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برلین، موتون دی غرویتر،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Jensen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Jeppe Sinding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Structure." In Guide To The Study Of Religion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t>
        <w:softHyphen/>
        <w:t>ited By W. Braun</w:t>
      </w:r>
    </w:p>
    <w:p>
      <w:pPr>
        <w:pStyle w:val="BookText"/>
        <w:rPr/>
      </w:pPr>
      <w:r>
        <w:rPr>
          <w:rFonts w:eastAsia="Times New Roman" w:cs="Times New Roman" w:ascii="Times New Roman" w:hAnsi="Times New Roman"/>
          <w:color w:val="111111"/>
          <w:sz w:val="28"/>
          <w:szCs w:val="28"/>
          <w:lang w:val="en-US" w:bidi="en-US"/>
        </w:rPr>
        <w:t>And R. Mccutcheon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314-333. </w:t>
      </w:r>
      <w:r>
        <w:rPr>
          <w:rFonts w:eastAsia="Times New Roman" w:cs="Times New Roman" w:ascii="Times New Roman" w:hAnsi="Times New Roman"/>
          <w:color w:val="111111"/>
          <w:sz w:val="28"/>
          <w:szCs w:val="28"/>
          <w:lang w:val="en-US" w:bidi="en-US"/>
        </w:rPr>
        <w:t>London: Cassell</w:t>
      </w:r>
      <w:r>
        <w:rPr>
          <w:rFonts w:ascii="IRNazanin" w:hAnsi="IRNazanin" w:eastAsia="IRNazanin"/>
          <w:color w:val="111111"/>
          <w:sz w:val="28"/>
          <w:sz w:val="28"/>
          <w:szCs w:val="28"/>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سِندنغ جَبی ینزِن،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لدراسة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وآر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 کوتشون،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لندن، کاسِل،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Khalidi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Tarif. Arabic</w:t>
      </w:r>
    </w:p>
    <w:p>
      <w:pPr>
        <w:pStyle w:val="BookText"/>
        <w:rPr/>
      </w:pPr>
      <w:r>
        <w:rPr>
          <w:rFonts w:eastAsia="Times New Roman" w:cs="Times New Roman" w:ascii="Times New Roman" w:hAnsi="Times New Roman"/>
          <w:color w:val="111111"/>
          <w:sz w:val="28"/>
          <w:szCs w:val="28"/>
          <w:lang w:val="en-US" w:bidi="en-US"/>
        </w:rPr>
        <w:t>Historical Thought In The Classical Period. Cam</w:t>
        <w:softHyphen/>
        <w:t>bridge: Cambridge</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طریف الخالدی،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التاریخی العربی فی العصر الکلاسیکی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کامبردج، مطبعة جامعة کامبریدج،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Kister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M.J. "Social</w:t>
      </w:r>
    </w:p>
    <w:p>
      <w:pPr>
        <w:pStyle w:val="BookText"/>
        <w:rPr/>
      </w:pPr>
      <w:r>
        <w:rPr>
          <w:rFonts w:eastAsia="Times New Roman" w:cs="Times New Roman" w:ascii="Times New Roman" w:hAnsi="Times New Roman"/>
          <w:color w:val="111111"/>
          <w:sz w:val="28"/>
          <w:szCs w:val="28"/>
          <w:lang w:val="en-US" w:bidi="en-US"/>
        </w:rPr>
        <w:t>And Religious Concepts Of Authority In Islam."Jerusa</w:t>
        <w:softHyphen/>
        <w:t>lem Studies In Arabic</w:t>
      </w:r>
    </w:p>
    <w:p>
      <w:pPr>
        <w:pStyle w:val="BookText"/>
        <w:rPr/>
      </w:pPr>
      <w:r>
        <w:rPr>
          <w:rFonts w:eastAsia="Times New Roman" w:cs="Times New Roman" w:ascii="Times New Roman" w:hAnsi="Times New Roman"/>
          <w:color w:val="111111"/>
          <w:sz w:val="28"/>
          <w:szCs w:val="28"/>
          <w:lang w:val="en-US" w:bidi="en-US"/>
        </w:rPr>
        <w:t>And Islam 18 (1994): 84-127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 الاجتماعیة والدینیة للسلطة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القدس للدراسات فی اللغة العربیة والإسلام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Kohlberg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Shahid." In E/2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ایتان کولبَرْغ،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Kunin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Seth Daniel. The</w:t>
      </w:r>
    </w:p>
    <w:p>
      <w:pPr>
        <w:pStyle w:val="BookText"/>
        <w:rPr/>
      </w:pPr>
      <w:r>
        <w:rPr>
          <w:rFonts w:eastAsia="Times New Roman" w:cs="Times New Roman" w:ascii="Times New Roman" w:hAnsi="Times New Roman"/>
          <w:color w:val="111111"/>
          <w:sz w:val="28"/>
          <w:szCs w:val="28"/>
          <w:lang w:val="en-US" w:bidi="en-US"/>
        </w:rPr>
        <w:t>Logic Of Incest: A Structuralist Analysis Of He</w:t>
        <w:noBreakHyphen/>
        <w:t xml:space="preserve"> Brew Mythology. Sheffield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Sheffield Academic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سَیت دانیال کونین،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سِفاح القربی، تحلیل بنیوی للأساطیر العبریّة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شیفیلد الأکادیمیّة،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 Think What We Eat: Neo-Structuralist Analysis</w:t>
      </w:r>
    </w:p>
    <w:p>
      <w:pPr>
        <w:pStyle w:val="BookText"/>
        <w:rPr/>
      </w:pPr>
      <w:r>
        <w:rPr>
          <w:rFonts w:eastAsia="Times New Roman" w:cs="Times New Roman" w:ascii="Times New Roman" w:hAnsi="Times New Roman"/>
          <w:color w:val="111111"/>
          <w:sz w:val="28"/>
          <w:szCs w:val="28"/>
          <w:lang w:val="en-US" w:bidi="en-US"/>
        </w:rPr>
        <w:t>Of Israelite Food</w:t>
      </w:r>
    </w:p>
    <w:p>
      <w:pPr>
        <w:pStyle w:val="BookText"/>
        <w:rPr/>
      </w:pPr>
      <w:r>
        <w:rPr>
          <w:rFonts w:eastAsia="Times New Roman" w:cs="Times New Roman" w:ascii="Times New Roman" w:hAnsi="Times New Roman"/>
          <w:color w:val="111111"/>
          <w:sz w:val="28"/>
          <w:szCs w:val="28"/>
          <w:lang w:val="en-US" w:bidi="en-US"/>
        </w:rPr>
        <w:t>Rules And Other Cultural And Textual Practices. London: T &amp; T Clark</w:t>
      </w:r>
    </w:p>
    <w:p>
      <w:pPr>
        <w:pStyle w:val="BookText"/>
        <w:rPr/>
      </w:pPr>
      <w:r>
        <w:rPr>
          <w:rFonts w:eastAsia="Times New Roman" w:cs="Times New Roman" w:ascii="Times New Roman" w:hAnsi="Times New Roman"/>
          <w:color w:val="111111"/>
          <w:sz w:val="28"/>
          <w:szCs w:val="28"/>
          <w:lang w:val="en-US" w:bidi="en-US"/>
        </w:rPr>
        <w:t>International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نفکّر بما نأکل، تحلیل علی أساس البنیویّة الجدیدة لقواعد الأطعمة الإسرائیلیّة وغیرها من الممارسات الثقافیة والمتعلّقة بالنصوص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تی أند تی کلارک الدولیّة،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Lammens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Henri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Al-Husain." In Ei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هنری لامنس،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Landau-Tasseron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Ella</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From Tribal Society To Centralized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Polity: An Interpretation Of Events</w:t>
      </w:r>
    </w:p>
    <w:p>
      <w:pPr>
        <w:pStyle w:val="BookText"/>
        <w:rPr/>
      </w:pPr>
      <w:r>
        <w:rPr>
          <w:rFonts w:eastAsia="Times New Roman" w:cs="Times New Roman" w:ascii="Times New Roman" w:hAnsi="Times New Roman"/>
          <w:color w:val="111111"/>
          <w:sz w:val="28"/>
          <w:szCs w:val="28"/>
          <w:lang w:val="en-US" w:bidi="en-US"/>
        </w:rPr>
        <w:t>And Anecdotes In The Formative Period Of Islam." Jerusalem Studies In</w:t>
      </w:r>
    </w:p>
    <w:p>
      <w:pPr>
        <w:pStyle w:val="BookText"/>
        <w:rPr/>
      </w:pPr>
      <w:r>
        <w:rPr>
          <w:rFonts w:eastAsia="Times New Roman" w:cs="Times New Roman" w:ascii="Times New Roman" w:hAnsi="Times New Roman"/>
          <w:color w:val="111111"/>
          <w:sz w:val="28"/>
          <w:szCs w:val="28"/>
          <w:lang w:val="en-US" w:bidi="en-US"/>
        </w:rPr>
        <w:t>Arabic And Islam 24 (2000): 180-216. Lane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Edward W. Arabic-English</w:t>
      </w:r>
    </w:p>
    <w:p>
      <w:pPr>
        <w:pStyle w:val="BookText"/>
        <w:rPr/>
      </w:pPr>
      <w:r>
        <w:rPr>
          <w:rFonts w:eastAsia="Times New Roman" w:cs="Times New Roman" w:ascii="Times New Roman" w:hAnsi="Times New Roman"/>
          <w:color w:val="111111"/>
          <w:sz w:val="28"/>
          <w:szCs w:val="28"/>
          <w:lang w:val="en-US" w:bidi="en-US"/>
        </w:rPr>
        <w:t>Lexicon. Revised Ed. 2 Vols. Cambridge: Islamic Texts Society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1984 (1863-93)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إیلا لانداو تاسیرون،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المجتمع القبلی إلی الدولة المرکزیة، تفسیر الأحداث والحکایات فی فترة نشوء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القدس للدراسات فی اللغة العربیة والإسلام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إدوارد لَیْن، قاموس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إنجلیزی، طبعة منقّحة، مجلدان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کامبریدج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المتون الإسلامیة،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Kate. Review Of</w:t>
      </w:r>
    </w:p>
    <w:p>
      <w:pPr>
        <w:pStyle w:val="BookText"/>
        <w:rPr/>
      </w:pPr>
      <w:r>
        <w:rPr>
          <w:rFonts w:eastAsia="Times New Roman" w:cs="Times New Roman" w:ascii="Times New Roman" w:hAnsi="Times New Roman"/>
          <w:color w:val="111111"/>
          <w:sz w:val="28"/>
          <w:szCs w:val="28"/>
          <w:lang w:val="en-US" w:bidi="en-US"/>
        </w:rPr>
        <w:t>Reinterpreting Islamic Historiography By Tayeb El</w:t>
        <w:softHyphen/>
        <w:t>-Hibri. Journal Of Near</w:t>
      </w:r>
    </w:p>
    <w:p>
      <w:pPr>
        <w:pStyle w:val="BookText"/>
        <w:rPr/>
      </w:pPr>
      <w:r>
        <w:rPr>
          <w:rFonts w:eastAsia="Times New Roman" w:cs="Times New Roman" w:ascii="Times New Roman" w:hAnsi="Times New Roman"/>
          <w:color w:val="111111"/>
          <w:sz w:val="28"/>
          <w:szCs w:val="28"/>
          <w:lang w:val="en-US" w:bidi="en-US"/>
        </w:rPr>
        <w:t>Eastern Studies 62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2 (2003): 111-112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کَیْت لانغ، استعراض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إعادة تأویل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للطیّب الهبری،مجلة دراسات الشرق الأدنی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Leach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Edmund. Culture</w:t>
      </w:r>
    </w:p>
    <w:p>
      <w:pPr>
        <w:pStyle w:val="BookText"/>
        <w:rPr/>
      </w:pPr>
      <w:r>
        <w:rPr>
          <w:rFonts w:eastAsia="Times New Roman" w:cs="Times New Roman" w:ascii="Times New Roman" w:hAnsi="Times New Roman"/>
          <w:color w:val="111111"/>
          <w:sz w:val="28"/>
          <w:szCs w:val="28"/>
          <w:lang w:val="en-US" w:bidi="en-US"/>
        </w:rPr>
        <w:t>And Communication: The Logic By Which Sym</w:t>
        <w:softHyphen/>
        <w:t>bols Are Connected. An</w:t>
      </w:r>
    </w:p>
    <w:p>
      <w:pPr>
        <w:pStyle w:val="BookText"/>
        <w:rPr/>
      </w:pPr>
      <w:r>
        <w:rPr>
          <w:rFonts w:eastAsia="Times New Roman" w:cs="Times New Roman" w:ascii="Times New Roman" w:hAnsi="Times New Roman"/>
          <w:color w:val="111111"/>
          <w:sz w:val="28"/>
          <w:szCs w:val="28"/>
          <w:lang w:val="en-US" w:bidi="en-US"/>
        </w:rPr>
        <w:t>Introduction To The Use Of Structuralist Analysis In Social Anthropology. Cambridge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Cambridge Univer</w:t>
        <w:softHyphen/>
        <w:t>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إدموند لیتش،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 والارتباطات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الذی تترابط به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إلی استخدام التحلیل البنیوی فی الأنثروبولوجیا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کامبردج، مطبعة جامعة کامبریدج،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Structuralism." In 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Levi-Strauss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Claude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Anthropologie Structurale. Paris: Plon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کلود لیفی ستروس،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الأنثروبولوجیا البنیویّة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باریس، بلون،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Structural</w:t>
      </w:r>
    </w:p>
    <w:p>
      <w:pPr>
        <w:pStyle w:val="BookText"/>
        <w:rPr/>
      </w:pPr>
      <w:r>
        <w:rPr>
          <w:rFonts w:eastAsia="Times New Roman" w:cs="Times New Roman" w:ascii="Times New Roman" w:hAnsi="Times New Roman"/>
          <w:color w:val="111111"/>
          <w:sz w:val="28"/>
          <w:szCs w:val="28"/>
          <w:lang w:val="en-US" w:bidi="en-US"/>
        </w:rPr>
        <w:t>Anthropology. Translated By Claire Jacobson And Brooke Grundfest Schoepf. New</w:t>
      </w:r>
    </w:p>
    <w:p>
      <w:pPr>
        <w:pStyle w:val="BookText"/>
        <w:rPr/>
      </w:pPr>
      <w:r>
        <w:rPr>
          <w:rFonts w:eastAsia="Times New Roman" w:cs="Times New Roman" w:ascii="Times New Roman" w:hAnsi="Times New Roman"/>
          <w:color w:val="111111"/>
          <w:sz w:val="28"/>
          <w:szCs w:val="28"/>
          <w:lang w:val="en-US" w:bidi="en-US"/>
        </w:rPr>
        <w:t>York: Basicbooks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الأنثروبولوجیا البنیویة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کلیر جاکوبسون وبروک غراندفست شیف، نیویورک، بَیْسِک بُکْس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الأساسیّة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 Cru Et Le</w:t>
      </w:r>
    </w:p>
    <w:p>
      <w:pPr>
        <w:pStyle w:val="BookText"/>
        <w:rPr/>
      </w:pPr>
      <w:r>
        <w:rPr>
          <w:rFonts w:eastAsia="Times New Roman" w:cs="Times New Roman" w:ascii="Times New Roman" w:hAnsi="Times New Roman"/>
          <w:color w:val="111111"/>
          <w:sz w:val="28"/>
          <w:szCs w:val="28"/>
          <w:lang w:val="en-US" w:bidi="en-US"/>
        </w:rPr>
        <w:t>Cuit. Vol 1 Of Mythologiques. Paris: Plon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النیء والمطبوخ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الأوّل من المیثولوجیا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بلون،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Savage Mind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Chicago: University Of Chicago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المتوحّش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شیکاغو، مطبعة جامعة شیکاغو،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Raw And The Cooked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1 Of Introduction To A Science Of Mythology. Translated By John</w:t>
      </w:r>
    </w:p>
    <w:p>
      <w:pPr>
        <w:pStyle w:val="BookText"/>
        <w:rPr/>
      </w:pPr>
      <w:r>
        <w:rPr>
          <w:rFonts w:eastAsia="Times New Roman" w:cs="Times New Roman" w:ascii="Times New Roman" w:hAnsi="Times New Roman"/>
          <w:color w:val="111111"/>
          <w:sz w:val="28"/>
          <w:szCs w:val="28"/>
          <w:lang w:val="en-US" w:bidi="en-US"/>
        </w:rPr>
        <w:t>Weightman And Doreen Weightman. New York: Harper &amp; Row</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النیئ والمطبوخ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إلی علم الأساطیر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ویتمان ودورین ویتمان، نیویورک، هاربر ورو،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Deduction Of The Crane." In Structural Analysis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Oral Tradition</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Edited By Elli Kongas Maranda And Pierre Maranda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w:t>
        <w:softHyphen/>
        <w:t xml:space="preserve">21. </w:t>
      </w:r>
      <w:r>
        <w:rPr>
          <w:rFonts w:eastAsia="Times New Roman" w:cs="Times New Roman" w:ascii="Times New Roman" w:hAnsi="Times New Roman"/>
          <w:color w:val="111111"/>
          <w:sz w:val="28"/>
          <w:szCs w:val="28"/>
          <w:lang w:val="en-US" w:bidi="en-US"/>
        </w:rPr>
        <w:t>Philadelphia: University</w:t>
      </w:r>
    </w:p>
    <w:p>
      <w:pPr>
        <w:pStyle w:val="BookText"/>
        <w:rPr/>
      </w:pPr>
      <w:r>
        <w:rPr>
          <w:rFonts w:eastAsia="Times New Roman" w:cs="Times New Roman" w:ascii="Times New Roman" w:hAnsi="Times New Roman"/>
          <w:color w:val="111111"/>
          <w:sz w:val="28"/>
          <w:szCs w:val="28"/>
          <w:lang w:val="en-US" w:bidi="en-US"/>
        </w:rPr>
        <w:t>Of Pennsylvania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اقتطاع الرافعة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التحلیل البنیوی للعُرف الشفوی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إیلی کونغاس ماراندا وبییر ماراندا،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فیلادلفیا، مطبعة جامعة بنسلفانیا،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From Honey To Ashes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2 Of Introduction To A Science Of My</w:t>
        <w:softHyphen/>
        <w:t>thology. Translated By John</w:t>
      </w:r>
    </w:p>
    <w:p>
      <w:pPr>
        <w:pStyle w:val="BookText"/>
        <w:rPr/>
      </w:pPr>
      <w:r>
        <w:rPr>
          <w:rFonts w:eastAsia="Times New Roman" w:cs="Times New Roman" w:ascii="Times New Roman" w:hAnsi="Times New Roman"/>
          <w:color w:val="111111"/>
          <w:sz w:val="28"/>
          <w:szCs w:val="28"/>
          <w:lang w:val="en-US" w:bidi="en-US"/>
        </w:rPr>
        <w:t>Weightman And Doreen Weightman. New York: Harper &amp; Row</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العسل إلی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مقدمة إلی علم الأساطیر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ویتمان ودورین ویتمان، نیویورک، هاربر ورو،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Structural Anthropology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Volume 2. Translated By MoniqueLayton. Chicago: University</w:t>
      </w:r>
    </w:p>
    <w:p>
      <w:pPr>
        <w:pStyle w:val="BookText"/>
        <w:rPr/>
      </w:pPr>
      <w:r>
        <w:rPr>
          <w:rFonts w:eastAsia="Times New Roman" w:cs="Times New Roman" w:ascii="Times New Roman" w:hAnsi="Times New Roman"/>
          <w:color w:val="111111"/>
          <w:sz w:val="28"/>
          <w:szCs w:val="28"/>
          <w:lang w:val="en-US" w:bidi="en-US"/>
        </w:rPr>
        <w:t>Of Chicago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الأنثروبولوجیا البنیویة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مونیک لایتون، شیکاغو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شیکاغو،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Origin Of Table</w:t>
      </w:r>
    </w:p>
    <w:p>
      <w:pPr>
        <w:pStyle w:val="BookText"/>
        <w:rPr/>
      </w:pPr>
      <w:r>
        <w:rPr>
          <w:rFonts w:eastAsia="Times New Roman" w:cs="Times New Roman" w:ascii="Times New Roman" w:hAnsi="Times New Roman"/>
          <w:color w:val="111111"/>
          <w:sz w:val="28"/>
          <w:szCs w:val="28"/>
          <w:lang w:val="en-US" w:bidi="en-US"/>
        </w:rPr>
        <w:t>Manners. Vol. 3 Of Introduction To A Science Of Mythology Translated By John</w:t>
      </w:r>
    </w:p>
    <w:p>
      <w:pPr>
        <w:pStyle w:val="BookText"/>
        <w:rPr/>
      </w:pPr>
      <w:r>
        <w:rPr>
          <w:rFonts w:eastAsia="Times New Roman" w:cs="Times New Roman" w:ascii="Times New Roman" w:hAnsi="Times New Roman"/>
          <w:color w:val="111111"/>
          <w:sz w:val="28"/>
          <w:szCs w:val="28"/>
          <w:lang w:val="en-US" w:bidi="en-US"/>
        </w:rPr>
        <w:t>Weightman And Doreen Weightman. New York: Harper And Row</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آداب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إلی علم الأساطیر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ویتمان ودورین ویتمان، نیویورک، هاربر ورو،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Naked Man. 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Of Introduction To A Science Of Mythol</w:t>
        <w:softHyphen/>
        <w:t>ogy. Translated By John Weightman</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Doreen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Weightman. New York: Harper And Row</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العاری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إلی علم الأساطیر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ویتمان ودورین ویتمان، نیویورک، هاربر ورو،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Anthropology And</w:t>
      </w:r>
    </w:p>
    <w:p>
      <w:pPr>
        <w:pStyle w:val="BookText"/>
        <w:rPr/>
      </w:pPr>
      <w:r>
        <w:rPr>
          <w:rFonts w:eastAsia="Times New Roman" w:cs="Times New Roman" w:ascii="Times New Roman" w:hAnsi="Times New Roman"/>
          <w:color w:val="111111"/>
          <w:sz w:val="28"/>
          <w:szCs w:val="28"/>
          <w:lang w:val="en-US" w:bidi="en-US"/>
        </w:rPr>
        <w:t>Myth. Translated By Roy Willis. Oxford: Blackwell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الأنثروبولوجیا والأُسطورة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ویلیس، أُوکسفورد، بْلاکْوَل،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Jealous</w:t>
      </w:r>
    </w:p>
    <w:p>
      <w:pPr>
        <w:pStyle w:val="BookText"/>
        <w:rPr/>
      </w:pPr>
      <w:r>
        <w:rPr>
          <w:rFonts w:eastAsia="Times New Roman" w:cs="Times New Roman" w:ascii="Times New Roman" w:hAnsi="Times New Roman"/>
          <w:color w:val="111111"/>
          <w:sz w:val="28"/>
          <w:szCs w:val="28"/>
          <w:lang w:val="en-US" w:bidi="en-US"/>
        </w:rPr>
        <w:t>Potter. Translated by Benedicte Chorier. Chicago: University of Chicago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الخزّاف الغیور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کورییه بَنِدیکت، شیکاغو، مطبعة جامعة شیکاغو،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Story Of Lynx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Translated By Catherine Tihanyi. Chicago: University Of Chicago Press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الوشق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کاثرین تیهانیی، شیکاغو، مطبعة جامعة شیکاغو،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Hourglass</w:t>
      </w:r>
    </w:p>
    <w:p>
      <w:pPr>
        <w:pStyle w:val="BookText"/>
        <w:rPr/>
      </w:pPr>
      <w:r>
        <w:rPr>
          <w:rFonts w:eastAsia="Times New Roman" w:cs="Times New Roman" w:ascii="Times New Roman" w:hAnsi="Times New Roman"/>
          <w:color w:val="111111"/>
          <w:sz w:val="28"/>
          <w:szCs w:val="28"/>
          <w:lang w:val="en-US" w:bidi="en-US"/>
        </w:rPr>
        <w:t>Configurations." In The Double Twist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Pi</w:t>
        <w:softHyphen/>
        <w:t>erre Maranda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Toronto: University Of Toronto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تنظیمات الساعة الرملیة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الانعطاف المزدوج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بییر ماراندا،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تورونتو، مطبعة جامعة تورونتو،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Levi-Strauss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Claude</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And Didier Eribon. Conversations With Claude Levi-Strauss. Translated By Paula</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Wissing. Chicago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University Of Chi</w:t>
        <w:softHyphen/>
        <w:t>cago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کلود لیفی ستراوس ودیدییه إریبون،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محادثات مع کلود لیفی ستراوس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باولا ویسنغ، شیکاغو، مطبعة جامعة شیکاغو،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Lincoln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Bruce. Theorizing</w:t>
      </w:r>
    </w:p>
    <w:p>
      <w:pPr>
        <w:pStyle w:val="BookText"/>
        <w:rPr/>
      </w:pPr>
      <w:r>
        <w:rPr>
          <w:rFonts w:eastAsia="Times New Roman" w:cs="Times New Roman" w:ascii="Times New Roman" w:hAnsi="Times New Roman"/>
          <w:color w:val="111111"/>
          <w:sz w:val="28"/>
          <w:szCs w:val="28"/>
          <w:lang w:val="en-US" w:bidi="en-US"/>
        </w:rPr>
        <w:t>Myth: Narrative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Ideology And Scholarship. Chicago: University Of Chicago</w:t>
      </w:r>
    </w:p>
    <w:p>
      <w:pPr>
        <w:pStyle w:val="BookText"/>
        <w:rPr/>
      </w:pPr>
      <w:r>
        <w:rPr>
          <w:rFonts w:eastAsia="Times New Roman" w:cs="Times New Roman" w:ascii="Times New Roman" w:hAnsi="Times New Roman"/>
          <w:color w:val="111111"/>
          <w:sz w:val="28"/>
          <w:szCs w:val="28"/>
          <w:lang w:val="en-US" w:bidi="en-US"/>
        </w:rPr>
        <w:t>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تنظیر الخرافة، الروایة، الإیدیولوجیا، والمعرفة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شیکاغو، مطبعة جامعة شیکاغو،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Lindsay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James 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Caliphal And Moral Exemplar? 'Ali Ibn Asakir's Portrait Of Yazid B. Mu’awiya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Islam 74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2 (1997): 250-278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جیمس 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لیندسای،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النموذج الخلافتی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یزید عند علی بن عساکر، الإسلام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Maniglier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Patrice. Le</w:t>
      </w:r>
    </w:p>
    <w:p>
      <w:pPr>
        <w:pStyle w:val="BookText"/>
        <w:rPr/>
      </w:pPr>
      <w:r>
        <w:rPr>
          <w:rFonts w:eastAsia="Times New Roman" w:cs="Times New Roman" w:ascii="Times New Roman" w:hAnsi="Times New Roman"/>
          <w:color w:val="111111"/>
          <w:sz w:val="28"/>
          <w:szCs w:val="28"/>
          <w:lang w:val="en-US" w:bidi="en-US"/>
        </w:rPr>
        <w:t>Vocabulaire De Lévi-Strauss. Paris: Ellipses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باتریس مانغلییه،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لیفی ستروس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باریس، إلیبسیس،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Maranda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Elli Kongas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And Pierre Maranda. Structural Models In Folklore And Transformational</w:t>
      </w:r>
    </w:p>
    <w:p>
      <w:pPr>
        <w:pStyle w:val="BookText"/>
        <w:rPr/>
      </w:pPr>
      <w:r>
        <w:rPr>
          <w:rFonts w:eastAsia="Times New Roman" w:cs="Times New Roman" w:ascii="Times New Roman" w:hAnsi="Times New Roman"/>
          <w:color w:val="111111"/>
          <w:sz w:val="28"/>
          <w:szCs w:val="28"/>
          <w:lang w:val="en-US" w:bidi="en-US"/>
        </w:rPr>
        <w:t>Essays. The Hague: Mouton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إیلی کونغاس ماراندا وبییر ماراندا،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النماذج البنیویّة فی الفلکلور ومقالات 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لاهای، موتون،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Maranda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Pierre</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Conclusion." In The Double Twist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Pierre Maranda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Toronto: University Of Toronto Pess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بییر ماراندا،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الانعطاف المزدوج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بییر ماراندا،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تورونتو، مطبعة جامعة تورونتو،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Ed. The Double</w:t>
      </w:r>
    </w:p>
    <w:p>
      <w:pPr>
        <w:pStyle w:val="BookText"/>
        <w:rPr/>
      </w:pPr>
      <w:r>
        <w:rPr>
          <w:rFonts w:eastAsia="Times New Roman" w:cs="Times New Roman" w:ascii="Times New Roman" w:hAnsi="Times New Roman"/>
          <w:color w:val="111111"/>
          <w:sz w:val="28"/>
          <w:szCs w:val="28"/>
          <w:lang w:val="en-US" w:bidi="en-US"/>
        </w:rPr>
        <w:t>Twist: From Ethnography To Morphodynamics. Toronto: University Of Toronto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الانعطاف المزدوج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الاثنوغرافیا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السلالات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دینامیکیّة التشکّل</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مورفودینامیک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تورونتو، جامعة تورونتو،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Marcus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Solomon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Logical And Semiotic Status Of The Canonic Formula Of Myth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Semiotica 116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2-4 (1997): 115-188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سولومون مارکوس،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الوضع المنطقی والرمزی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 بالرموز والعلامات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للصیغة القانونیّة للأُسطورة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السیمیائیّة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Semiotica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Mårtensson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Ulrika. "The True</w:t>
      </w:r>
    </w:p>
    <w:p>
      <w:pPr>
        <w:pStyle w:val="BookText"/>
        <w:rPr/>
      </w:pPr>
      <w:r>
        <w:rPr>
          <w:rFonts w:eastAsia="Times New Roman" w:cs="Times New Roman" w:ascii="Times New Roman" w:hAnsi="Times New Roman"/>
          <w:color w:val="111111"/>
          <w:sz w:val="28"/>
          <w:szCs w:val="28"/>
          <w:lang w:val="en-US" w:bidi="en-US"/>
        </w:rPr>
        <w:t>New Testament: Sealing The Heart's Cove</w:t>
        <w:softHyphen/>
        <w:t>nant In Al-Tabari's Ta'rikh Al-Rusul</w:t>
      </w:r>
    </w:p>
    <w:p>
      <w:pPr>
        <w:pStyle w:val="BookText"/>
        <w:rPr/>
      </w:pPr>
      <w:r>
        <w:rPr>
          <w:rFonts w:eastAsia="Times New Roman" w:cs="Times New Roman" w:ascii="Times New Roman" w:hAnsi="Times New Roman"/>
          <w:color w:val="111111"/>
          <w:sz w:val="28"/>
          <w:szCs w:val="28"/>
          <w:lang w:val="en-US" w:bidi="en-US"/>
        </w:rPr>
        <w:t>Wal-Muluk." Phd Thesis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Upp</w:t>
        <w:softHyphen/>
        <w:t>sala University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أولریکا مارتنسون،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الجدید الصحیح، ختم عهد القلب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أُطروحة دکتوراه، جامعة أوبسالا،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Discourse And Historical Analysis: The Case Of Al-Tabari's His</w:t>
        <w:softHyphen/>
        <w:t>tory Of The Messengers And The Kings." Journal Of Islamic Studies 16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287-331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وتحلیل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تاریخ الرسل والملوک للطبری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الدراسات الإسلامیة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Mccutcheon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Russel T. "Myth." In Guide To The Study Of Religion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W. Braun And R.T. Mccutcheon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190-208. </w:t>
      </w:r>
      <w:r>
        <w:rPr>
          <w:rFonts w:eastAsia="Times New Roman" w:cs="Times New Roman" w:ascii="Times New Roman" w:hAnsi="Times New Roman"/>
          <w:color w:val="111111"/>
          <w:sz w:val="28"/>
          <w:szCs w:val="28"/>
          <w:lang w:val="en-US" w:bidi="en-US"/>
        </w:rPr>
        <w:t>London: Cassell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روسَل ماک کوتشون،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إلی دراسة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 کوتشون،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لندن، کاسِل،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Monnot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 "Salat Al-Khawf." In E/2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Morava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Jack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 The Canonical Formula Of C. Levi-Strauss [Electronic Article] (Arxiv.Org</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11 </w:t>
      </w:r>
      <w:r>
        <w:rPr>
          <w:rFonts w:eastAsia="Times New Roman" w:cs="Times New Roman" w:ascii="Times New Roman" w:hAnsi="Times New Roman"/>
          <w:color w:val="111111"/>
          <w:sz w:val="28"/>
          <w:szCs w:val="28"/>
          <w:lang w:val="en-US" w:bidi="en-US"/>
        </w:rPr>
        <w:t>June 2003); Available From: Http: //Arxiv.Org/PS_Cache/Math/Pdf/0306/0306174.Pdf (Accessed 17 April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جاک مورافا،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الصیغة القانونیّة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کلود لیفی ستراوس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إلکترونیّة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Arxiv.Org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یونیو،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موجودة علی هذا الموقع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//Arxiv.Org/PS_Cache/Math/Pdf/0306/0306174.Pdf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أبریل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Mosko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Mark S. "The Canonic Formula Of Myth And Nonmyth." Ameri</w:t>
        <w:softHyphen/>
        <w:t>can Ethnologist 18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1 (1991): 126-151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 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 القانونیّة للأُسطورة وغیر الأُسطورة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الأثنولوجی الأمیرکی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Mufid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B. Muhammad B. Al-Nu’man Al- (D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413/1022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w:t>
        <w:softHyphen/>
        <w:t>Irshad. Edited By Kazim Al-Musawi Al-Miyamiwi. Tehran: Dar Al</w:t>
        <w:softHyphen/>
        <w:t>-Kutub Al-Islamiyya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1022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الموسوی المیاموی،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Netton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Ian Richard. "Life." In Eq</w:t>
      </w:r>
    </w:p>
    <w:p>
      <w:pPr>
        <w:pStyle w:val="BookText"/>
        <w:rPr/>
      </w:pPr>
      <w:r>
        <w:rPr>
          <w:rFonts w:ascii="IRNazanin" w:hAnsi="IRNazanin" w:eastAsia="IRNazanin"/>
          <w:color w:val="111111"/>
          <w:sz w:val="28"/>
          <w:sz w:val="28"/>
          <w:szCs w:val="28"/>
          <w:rtl w:val="true"/>
          <w:lang w:bidi="fa-IR"/>
        </w:rPr>
        <w:t xml:space="preserve">آیان ریتشارد نَتون،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Neuwirth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Angelika. "Qur'anic Literary Structure Revisited: Surat Al-</w:t>
        <w:softHyphen/>
        <w:t>Rahman Between Mythic Account And Decodation Of Myth." In Story-Telling In The Framework Of Non-Fictional Arabic Literature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Stefan Leder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388- 420. </w:t>
      </w:r>
      <w:r>
        <w:rPr>
          <w:rFonts w:eastAsia="Times New Roman" w:cs="Times New Roman" w:ascii="Times New Roman" w:hAnsi="Times New Roman"/>
          <w:color w:val="111111"/>
          <w:sz w:val="28"/>
          <w:szCs w:val="28"/>
          <w:lang w:val="en-US" w:bidi="en-US"/>
        </w:rPr>
        <w:t>Wiesbaden: Harrasowitz</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أنجلیکا نیویرث،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النظر فی البنیة الأدبیة القرآنیة، سورة الرحمن بین الروایة الأُسطوریّة وتأویل الأُسطورة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القصص فی إطار الأدب العربی غیر الخیالی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ستیفان لَدَر،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فیسبادن، هاراسوفیتس،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Myths And Legends In The Qur'an." In EQ</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الخرافات والأساطیر فی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Albrecht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Lawrence Conrad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 The Early Arabic Historical Tra</w:t>
        <w:softHyphen/>
        <w:t>dition: A Source-Critical Study. Translated By Michael Bonner. Princeton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NJ.: Darwin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ألبریشت نوث وآی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لورنس کونراد،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التقالید التاریخیة العربیة المبکرة، دراسة نقدیة مرجعیّة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بونَر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برنستون، نیوجیرسی، داروین،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Ohlander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Erik S. "Fear Of God (Taqwa) In The Qur'an: Some Notes On Semantic Shift And Thematic Context." Journal Of Semitic Studies 50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1 (2005): 137-152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أریک 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فی القرآن، بعض الملاحظات علی التحوّل الدلالی والسیاق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الدراسات السامیة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Petitot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Jean. "Approche Morphodynamique De La Formule Canonique Du Mythe." L'Homme 106-107 (1988): 24-50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بیتیتو،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التشکّل الدینامیکی إلی الصیغة القانونیّة للأُسطورة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Morphogenesis Of Meaning. Translated By Franson Manjali. Bern: Peter Lang</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فرانسون مانجالی، بَیرْن، بیتر لانغ،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Ringgren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Helmer. "Some Religious Aspects Of The Caliphate." In Contri</w:t>
        <w:softHyphen/>
        <w:t>butions To The Central Theme Of The Viiith International Congress For The History Of Religions (Rome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April .1955)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737-748. </w:t>
      </w:r>
      <w:r>
        <w:rPr>
          <w:rFonts w:eastAsia="Times New Roman" w:cs="Times New Roman" w:ascii="Times New Roman" w:hAnsi="Times New Roman"/>
          <w:color w:val="111111"/>
          <w:sz w:val="28"/>
          <w:szCs w:val="28"/>
          <w:lang w:val="en-US" w:bidi="en-US"/>
        </w:rPr>
        <w:t>Rome: Brill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هیلمَر رِنغْرَن،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الجوانب الدینیة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فی الموضوع الرئیسی للمؤتمر الدولی الثامن لتاریخ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 أبریل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نیسان</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Roberts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Joseph B. "Early Islamic Historiography: Ideology And Methodol</w:t>
        <w:softHyphen/>
        <w:t>ogy." Phd Thesis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Ohio State University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جوزیف روبرتس،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التاریخ الإسلامی المبکر، الآیدیولوجیّة والمنهجیّة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أُطروحة دکتوراه، جامعة ولایة أوهایو،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Robinson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C.F. Islamic Historiography. Cambridge: Cambridge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روبنسون،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التأریخ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کامبردج، مطبعة جامعة کامبریدج،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Rosenthal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Franz "The Influence Of The Biblical Tradition On Muslim His</w:t>
        <w:softHyphen/>
        <w:t>toriography." In Historians Of The</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Middle East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B. Lewis And P.M. Holt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35-45. </w:t>
      </w:r>
      <w:r>
        <w:rPr>
          <w:rFonts w:eastAsia="Times New Roman" w:cs="Times New Roman" w:ascii="Times New Roman" w:hAnsi="Times New Roman"/>
          <w:color w:val="111111"/>
          <w:sz w:val="28"/>
          <w:szCs w:val="28"/>
          <w:lang w:val="en-US" w:bidi="en-US"/>
        </w:rPr>
        <w:t>London: 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فرانز روزنتال،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التقالید الإنجیلیّة فی کتابة تأریخ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مؤرّخی الشرق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 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لندن، مطبعة جامعة أکسفورد،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History Of Muslim Historiography. 2nd Ed. Leiden: Brill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کتابة تأریخ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لَیْدِن، بریل،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General Introduction." In The History Of Al-Tabari. Vol. 1: Gen</w:t>
        <w:softHyphen/>
        <w:t>eral Introduction And From The Creation To The Flood. Translated And Annotated By F. Rosenthal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1-154. </w:t>
      </w:r>
      <w:r>
        <w:rPr>
          <w:rFonts w:eastAsia="Times New Roman" w:cs="Times New Roman" w:ascii="Times New Roman" w:hAnsi="Times New Roman"/>
          <w:color w:val="111111"/>
          <w:sz w:val="28"/>
          <w:szCs w:val="28"/>
          <w:lang w:val="en-US" w:bidi="en-US"/>
        </w:rPr>
        <w:t>New York: State University Of New York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مقدمة عامّة ومن الخلق إلی الطوفان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وتعلیق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روزنتال، المجلد الأوّل،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نیویورک، </w:t>
      </w:r>
    </w:p>
    <w:p>
      <w:pPr>
        <w:pStyle w:val="BookText"/>
        <w:rPr/>
      </w:pPr>
      <w:r>
        <w:rPr>
          <w:rFonts w:ascii="IRNazanin" w:hAnsi="IRNazanin" w:eastAsia="IRNazanin"/>
          <w:color w:val="111111"/>
          <w:sz w:val="28"/>
          <w:sz w:val="28"/>
          <w:szCs w:val="28"/>
          <w:rtl w:val="true"/>
          <w:lang w:bidi="fa-IR"/>
        </w:rPr>
        <w:t xml:space="preserve">جامعة ولایة نیویورک،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Saussure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Ferdinand. Course In General Linguistics. Translated By Roy Harris. London: Duckworth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1916 (1983)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فردیناند دی سوسیر،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فی علم اللغة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هاریس، لندن، داکْویرث،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Schubel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Vernon James. Religious Performance In Contemporary Islam: Shi’i Devotional Rituals In South Asia. Columbia: University Of South Carolina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فیرنون جیمس شوبیل،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 الدینی فی الإسلام المعاصر، شعائر الشیعة التعبّدیّة فی جنوب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کولومبیا، مطبعة جامعة ولایة کارولینا الجنوبیة،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Scubla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Lucien. Lire Lévi-Strauss: Le Déploiement D'une Intuition. Paris: Odile Jacob</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لوسییه سکوبلا،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إقرأ لیفی ستراوس، انتشار الحدس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باریس، أودیل جاکوب،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Hesiod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Three Functions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The Canonical Formula Of Myth." In The Double Twist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Pierre Maranda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123-155. </w:t>
      </w:r>
      <w:r>
        <w:rPr>
          <w:rFonts w:eastAsia="Times New Roman" w:cs="Times New Roman" w:ascii="Times New Roman" w:hAnsi="Times New Roman"/>
          <w:color w:val="111111"/>
          <w:sz w:val="28"/>
          <w:szCs w:val="28"/>
          <w:lang w:val="en-US" w:bidi="en-US"/>
        </w:rPr>
        <w:t>Toronto: University Of Toronto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هیسیود، الوظائف الثلاث، والصیغة القانونیّة للأُسطورة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الانعطاف المزدوج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بییر ماراندا،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تورنتو، مطبعة جامعة تورنتو،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Sur Deux Applications De La Formule Canonique À Des</w:t>
      </w:r>
    </w:p>
    <w:p>
      <w:pPr>
        <w:pStyle w:val="BookText"/>
        <w:rPr/>
      </w:pPr>
      <w:r>
        <w:rPr>
          <w:rFonts w:eastAsia="Times New Roman" w:cs="Times New Roman" w:ascii="Times New Roman" w:hAnsi="Times New Roman"/>
          <w:color w:val="111111"/>
          <w:sz w:val="28"/>
          <w:szCs w:val="28"/>
          <w:lang w:val="en-US" w:bidi="en-US"/>
        </w:rPr>
        <w:t>Mythes De l'Antiquité Grecque." Unpublished Paper Delivered At Colloque Homo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Budapest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November 24-26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اثنین من تطبیقات الصیغة القانونیّة علی الأساطیر الیونانیّة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مقالة غیر منشورة قُدِّمت فی مؤتمر هومو، بودابست،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Sezgin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Ursula. Abu Mikhnaf: Ein Beitrag Zur Historiography Der Umaiyadischen Zeit. Leiden: Brill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أورسولا سزکین،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لکتابة التاریخ فی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Shaban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 Islamic History: A New Interpretation. Vol. 1: A.D. 600-750 (A.H. 132). Cambridge: Cambridge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المجلد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کامبردج، مطبعة جامعة کامبریدج،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Moshe. "The Development Of The Debate Around The Legitimacy Of Authority In Early Islam." Jerusalem Studies In Arabic And Is</w:t>
        <w:softHyphen/>
        <w:t>lam 5 (1984): 121-141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موشیه شارون،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النقاش حول شرعیّة السلطة فی عصر الإسلام المبکر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القدس للدراسات فی اللغة العربیة والإسلام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Ahl Al-Bayt — People Of The House." Jerusalem Studies In Arabic And Islam 8 (1986): 169-184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القدس للدراسات فی اللغة العربیة والإسلام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Umayyads As Ahl Al-Bayt."Jerusalem Studies In Arabic And Islam 14 (1991): 115-152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الأُمویّون علی أنّهم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القدس للدراسات فی اللغة العربیة والإسلام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Shoshan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Boaz. Poetics Of Islamic Historiography: Deconstructing Tabari’s History. Leiden: Brill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بواز شوشان،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الشعر فی التأریخ الإسلامی، تفکیک 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لیدن، بریل،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Sienkewicz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Thomas J. Theories Of Myth: An Annotated Bibliography. London: Scarecrow</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سینکفیتش،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الأساطیر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بیبلیوغرافیا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سْکَیرکْرو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Sourdel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Dominique. "Une Profession De Foi De L'historien Al-Tabari." Revue Des Études Islamiques 26 (1968): 177-199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دومینیک سوردَل،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مهنة الأمانة للمؤرّخ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استعراض لدراسات إسلامیّة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Sperber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Dan. Le Structuralisme En Anthropologie. 2nd Ed. Paris: Éditions Du Seuil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سبیربر،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البنیویّة فی الأنثروبولوجیا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باریس، إصدارات دو سُوِی،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Stetkevych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Jaroslay. Muhammad And The Golden Bough: Reconstructing Arabian Myth. Bloomington: Indiana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یاروسلاف سْتَتکیفیتش،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والفرع الذهبی، إعادة بناء الأُسطورة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بلومینغتون، مطبعة جامعة إندیانا،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Sundqvist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Olof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Anna Lydia Svalastog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Eds. Myter Och Mytteorier: Religionshistoriska Diskussioner Och Teoretiska</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Ansatser. Uppsala: Religionshistoriska Avdelningen. Teologiska Institutionen. Uppsala Universitet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أولوف سنکفست وآنا لیدیا سفالاستوغ،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الأساطیر ونظریة الأُسطورة، مناقشات فی التاریخ الدینی والنهج النظری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أوبسالا، قسم تاریخ الأدیان، معهد اللاهوت، جامعة أوبسالا،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Tabari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B. Jarir Al- (D. 310/923). Ta"Rikh Al-Rusul Wa-‘L-Muluk. Edited By M. J. De Goeje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 Al. Leiden: Brill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1881-1883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غوجه وآخرین، لیدن، بریل، </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History Of Al-Tabari. An Annotated Translation. Edited By Ehsan Yar-Shater. 38 Vols. Albany: State University Of New York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1985-1999</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تحتوی تعلیقات وهوامش،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یارشاطر،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ألبانی، مطبعة جامعة ولایة نیویورک،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History Of Al-Tabari. Vol. 1: General Introduction And From The Creation To The Flood. Translated And Annotated By F. Rosen</w:t>
        <w:softHyphen/>
        <w:t>thal. Albany: State University Of New York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مقدمة عامّة ومن الخلق إلی الطوفان، ترجمة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ألبانی، مطبعة جامعة ولایة نیویورک،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History Of Al-Tabari. Vol. 5: The Sasanids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Byzantines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Lakhmids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Yemen. Translated And Annotated By C.E. Bos</w:t>
        <w:softHyphen/>
        <w:t>worth. Albany: State University Of New York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الساسانیّون، البیزنطیّون، اللخمیّون، والیمن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بوسوورث، ألبانی، مطبعة جامعة ولایة نیویورک،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History Of Al-Tabari. Vol. 19: The Caliphate Of Yazid B. Mu’awiyah. Translated And Annotated By I.K.A. Howard. Albany: State University Of New York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خلافة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هاوارد، 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ولایة نیویورک،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History Of Al-Tabari: Vol. 20: The Collapse Of Sufyanid Au</w:t>
        <w:softHyphen/>
        <w:t>thority And The Coming Of The Marwanids. Translated And Anno</w:t>
        <w:softHyphen/>
        <w:t>tated By G.R. Hawting. Albany: State</w:t>
      </w:r>
    </w:p>
    <w:p>
      <w:pPr>
        <w:pStyle w:val="BookText"/>
        <w:rPr/>
      </w:pPr>
      <w:r>
        <w:rPr>
          <w:rFonts w:eastAsia="Times New Roman" w:cs="Times New Roman" w:ascii="Times New Roman" w:hAnsi="Times New Roman"/>
          <w:color w:val="111111"/>
          <w:sz w:val="28"/>
          <w:szCs w:val="28"/>
          <w:lang w:val="en-US" w:bidi="en-US"/>
        </w:rPr>
        <w:t>University Of New York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إنهیار السلطة السفیانیّة ومجیء المروانیّین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هاوتِنغ، 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ولایة نیویورک،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Jami’ Al-Bayan An Ta'wil Ãy Al-Qur'an. 15 Vols. Beirut: Dar Al-Fikr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Tayob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Abdulkader. "An Analytical Survey Of Al-Tabari's Exegesis Of The Cultural Symbolic Construct Of Fitna." In Approaches To The Qur'an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Edited By G.R. Hawting And A.A. Shareef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157-172. </w:t>
      </w:r>
      <w:r>
        <w:rPr>
          <w:rFonts w:eastAsia="Times New Roman" w:cs="Times New Roman" w:ascii="Times New Roman" w:hAnsi="Times New Roman"/>
          <w:color w:val="111111"/>
          <w:sz w:val="28"/>
          <w:szCs w:val="28"/>
          <w:lang w:val="en-US" w:bidi="en-US"/>
        </w:rPr>
        <w:t>New York: Routledge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القادر تایوب،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استقصائیة تحلیلیة لتفسیر الطبری للبنیة الثقافیة الرمزیة 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 إلی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هاوتِنغ 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نیویورک، روتلیدج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Thurfjell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David. "Living Shiism: Instances Of Ritualisation Among Islamist Men In Contemporary Iran." Phd Thesis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Uppsala University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دیفید ثَرْفْجل،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 الحی، أمثلة علی ممارسة الشعائر بین الرجال الاسلامیین فی إیران المعاصرة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أُطروحة دکتوراه، جامعة أوبسالا،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Toronto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James A. "Astray." In Eq</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جیمس تورونتو،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Tyan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"Bay’a." In E/2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Waldman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Marilyn Robinson. Toward A Theory Of Historical Narrative: A Case Study In Perso-Islamicate Historiography. Columbus: Ohio State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مارلین روبنسون والدمان،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نظریة الروایة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الحالة فی التاریخ الفارسی الإسلامیکانی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کولومبوس، مطبعة جامعة ولایة أوهایو،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Wansbrough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John. Quranic Studies: Sources And Methods Of Scriptural Interpretation. Oxford: 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جون وانسبرو،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قرآنیة، مصادر وطرق تأویل النصوص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أکسفورد،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Sectarian Milieu: Content And Composition Of Islamic Salvation History. Oxford: 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البیئة الطائفیّة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وترکیب تاریخ الخلاص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أکسفورد، مطبعة جامعة أکسفورد،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Veccia Vaglieri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Laura. "Husayn B. 'Ali B. Abi Talib." In EI2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لورا فیشیا فاغلییری،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Wellhausen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Julius. The Religio-Political Factions In Early Islam. Translated By R.C. Ostle And S.M. Walzer. Amsterdam: North-Holland Publishing Company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1975 (1901)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یولیوس ولهاوزِن،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الطوائف الدینیة السیاسیة فی الإسلام المبکر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أوسل وأس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أمستردام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شمال هولندا للنشر،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Wensinck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A.J. " Iḥram." In Hi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Wensinck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A.J.</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J. Jomier. "Iḥram." In EI2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فنسِنک وجَی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جومییه،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Wüstenfeld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Friedrich. Der Tod Des Husein Ben Ali Und Die Rache. Göt</w:t>
        <w:softHyphen/>
        <w:t>tingen: Der Dietrichen Buchhandlung</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ووستِنفَلد، فریدریش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بن علی والإنتقام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غوتنجن، مکتبة دایتریشن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فتّاحة الأقفال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20" w:name="pg5097_58564"/>
    </w:p>
    <w:p>
      <w:pPr>
        <w:pStyle w:val="Heading3"/>
        <w:numPr>
          <w:ilvl w:val="2"/>
          <w:numId w:val="1"/>
        </w:numPr>
        <w:rPr/>
      </w:pPr>
      <w:bookmarkStart w:id="321" w:name="__RefHeading___Toc1260020_774463916"/>
      <w:bookmarkStart w:id="322" w:name="_Toc114"/>
      <w:bookmarkEnd w:id="320"/>
      <w:bookmarkEnd w:id="321"/>
      <w:r>
        <w:rPr>
          <w:rtl w:val="true"/>
        </w:rPr>
        <w:t>ثانیاً</w:t>
      </w:r>
      <w:r>
        <w:rPr>
          <w:rtl w:val="true"/>
        </w:rPr>
        <w:t xml:space="preserve">: </w:t>
      </w:r>
      <w:r>
        <w:rPr>
          <w:rtl w:val="true"/>
        </w:rPr>
        <w:t>مصادر التحقیق</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أزمة الخلافة والإمامة وآثارها المعاصرة، أسعد وحید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 الغدیر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أصل الشیعة وأُصولها، الشیخ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علاء جعفر، ، الناشر مؤسسة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الإلهیة، تقریر بحث الشیخ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دار الأمیرة، الطبعة الأُولی،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الأُمة والإمامة،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شعیب، الطبعة الثانیة، ضمن سلسلة الآثار الکاملة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محمد حمیدالله، الناشر مطابع دار المعارف بمصر،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قُوبلت هذه النسخة علی النسخة المطبوعة بمطبعة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لندن فی سنة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الشیعة فی الإسلام،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جعفر بهاء الدین، الناشر بیت الکاتب،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وصحاح العربیة، إسماعیل بن حماد الجوهری، الطبعة الرابعة، دار العلم للملایین،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مقتل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محمد الریّ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الناشر دار الحدیث للطباعة والنشر،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الخلیل بن أحمد الفراهیدی، مؤسسة دار الهجرة الطبعة الثانیة، إیران،</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الأفریقی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الناشر دار صادر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الفلسفی، مراد وهبة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دار قباء الحدیثة، القاهرة،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احمد بن فارس، مکتب الاعلام الاسلامی، قم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نشأة التشیّع والشیعة، السیّد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شرارة،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الإسلامیّة، </w:t>
      </w:r>
      <w:r>
        <w:rPr>
          <w:rFonts w:eastAsia="IRNazanin" w:cs="IRNazanin"/>
          <w:color w:val="111111"/>
          <w:sz w:val="28"/>
          <w:szCs w:val="28"/>
          <w:lang w:bidi="fa-IR"/>
        </w:rPr>
        <w:t>1417/1997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نشأة التشیّع، السیّد طالب الخرسان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انتشارات الشریف الرضی، </w:t>
      </w:r>
      <w:r>
        <w:rPr>
          <w:rFonts w:eastAsia="IRNazanin" w:cs="IRNazanin"/>
          <w:color w:val="111111"/>
          <w:sz w:val="28"/>
          <w:szCs w:val="28"/>
          <w:lang w:bidi="fa-IR"/>
        </w:rPr>
        <w:t>1412/1991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23" w:name="pg5097_58566"/>
    </w:p>
    <w:p>
      <w:pPr>
        <w:pStyle w:val="Heading2"/>
        <w:numPr>
          <w:ilvl w:val="1"/>
          <w:numId w:val="1"/>
        </w:numPr>
        <w:rPr/>
      </w:pPr>
      <w:bookmarkStart w:id="324" w:name="__RefHeading___Toc1260022_774463916"/>
      <w:bookmarkStart w:id="325" w:name="_Toc115"/>
      <w:bookmarkEnd w:id="323"/>
      <w:bookmarkEnd w:id="324"/>
      <w:r>
        <w:rPr>
          <w:rtl w:val="true"/>
        </w:rPr>
        <w:t>فهرس الموضوعات</w:t>
      </w:r>
      <w:bookmarkEnd w:id="325"/>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کلمة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الاستشراق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نبذة حول حرکة الاستشراق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الاهتمام بالتراث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نتائج المستشرقین حول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نافذةٌ علی البنیویّة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تقدیم وشکر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کربلاء فی هذا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الأُسطورة وصناعتها وکتابة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الغرض من هذه الدراسة وفحواها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دراسات مسبقة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الأُسطورة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دراسات حدیثة حول مأساة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الطبری وروایته</w:t>
      </w:r>
    </w:p>
    <w:p>
      <w:pPr>
        <w:pStyle w:val="BookText"/>
        <w:rPr/>
      </w:pPr>
      <w:r>
        <w:rPr>
          <w:rFonts w:ascii="IRNazanin" w:hAnsi="IRNazanin" w:eastAsia="IRNazanin"/>
          <w:color w:val="111111"/>
          <w:sz w:val="28"/>
          <w:sz w:val="28"/>
          <w:szCs w:val="28"/>
          <w:rtl w:val="true"/>
          <w:lang w:bidi="fa-IR"/>
        </w:rPr>
        <w:t>الطبری وسیاق روایته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نشوء علم الکلام والسیاسة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السمات العامّة للتاریخ الإسلامی فی مراحله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بعض الدراسات المعاصرة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البِنیة والتحلیل البنیوی</w:t>
      </w:r>
    </w:p>
    <w:p>
      <w:pPr>
        <w:pStyle w:val="BookText"/>
        <w:rPr/>
      </w:pPr>
      <w:r>
        <w:rPr>
          <w:rFonts w:ascii="IRNazanin" w:hAnsi="IRNazanin" w:eastAsia="IRNazanin"/>
          <w:color w:val="111111"/>
          <w:sz w:val="28"/>
          <w:sz w:val="28"/>
          <w:szCs w:val="28"/>
          <w:rtl w:val="true"/>
          <w:lang w:bidi="fa-IR"/>
        </w:rPr>
        <w:t>ما هی البنیویّة؟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المفاهیم الأساسیّة فی بنیویّة لیفی شتراوس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الصیغة القانونیّة وتطبیقاتها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آراء منهجیّة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الرموز</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البِنیة فی روایة الطبری</w:t>
      </w:r>
    </w:p>
    <w:p>
      <w:pPr>
        <w:pStyle w:val="BookText"/>
        <w:rPr/>
      </w:pPr>
      <w:r>
        <w:rPr>
          <w:rFonts w:ascii="IRNazanin" w:hAnsi="IRNazanin" w:eastAsia="IRNazanin"/>
          <w:color w:val="111111"/>
          <w:sz w:val="28"/>
          <w:sz w:val="28"/>
          <w:szCs w:val="28"/>
          <w:rtl w:val="true"/>
          <w:lang w:bidi="fa-IR"/>
        </w:rPr>
        <w:t>حول أحداث کربلاء</w:t>
      </w:r>
    </w:p>
    <w:p>
      <w:pPr>
        <w:pStyle w:val="BookText"/>
        <w:rPr/>
      </w:pPr>
      <w:r>
        <w:rPr>
          <w:rFonts w:ascii="IRNazanin" w:hAnsi="IRNazanin" w:eastAsia="IRNazanin"/>
          <w:color w:val="111111"/>
          <w:sz w:val="28"/>
          <w:sz w:val="28"/>
          <w:szCs w:val="28"/>
          <w:rtl w:val="true"/>
          <w:lang w:bidi="fa-IR"/>
        </w:rPr>
        <w:t>إطلالة علی مصادر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النصّ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الوسطّیة فی النصِّ المعتمد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ما 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تجاه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الخصیصة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الحسین ودوره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الخصیصة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النص المعتمد الماء والدم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الحسین وسیطاً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بعد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استنتاجات وتوقّعات مستقبلیّة</w:t>
      </w:r>
    </w:p>
    <w:p>
      <w:pPr>
        <w:pStyle w:val="BookText"/>
        <w:rPr/>
      </w:pPr>
      <w:r>
        <w:rPr>
          <w:rFonts w:ascii="IRNazanin" w:hAnsi="IRNazanin" w:eastAsia="IRNazanin"/>
          <w:color w:val="111111"/>
          <w:sz w:val="28"/>
          <w:sz w:val="28"/>
          <w:szCs w:val="28"/>
          <w:rtl w:val="true"/>
          <w:lang w:bidi="fa-IR"/>
        </w:rPr>
        <w:t>الطبری وأحداث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تطبیق البنیویّة علی دراسة التاریخ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بعد؟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الملاحق</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خلاصة لأحداث کربلاء عند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یزید من مقتل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عن تورستن هایلین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من نتاجه العلمی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 محمّد، العلم والحکمة فی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نقلاً عن قرّة العیون للفیض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سیبیّن المؤلّف هذا المعنی فی الفصل الثانی من هذا الباب،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البنیة والتحلیل البنیوی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 الکلام حول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من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من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العربیة، المجلد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الحضارة العربیة، مصطلح الاستشراق،ص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رودی بارت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Rudi Paret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الدراسات العربیة والإسلامیة فی الجامعات الألمانیة،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المستشرقون الألمان منذ تیودور نولدکه </w:t>
      </w:r>
      <w:r>
        <w:rPr>
          <w:rFonts w:eastAsia="IRNazanin" w:cs="IRNazanin"/>
          <w:b w:val="false"/>
          <w:bCs w:val="false"/>
          <w:i w:val="false"/>
          <w:iCs w:val="false"/>
          <w:color w:val="333333"/>
          <w:sz w:val="20"/>
          <w:szCs w:val="20"/>
        </w:rPr>
        <w:t>Theodornoldeke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مصطفی 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جوزیف شاختی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Joseph Franz Schacht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وکلیفورد بوزورث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Clifford Edmund Bosworth</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مکسیم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الزیات، أحمد حسن، تاریخ الأدب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الخربوطلی، علی حسن، الاستشراق فی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المدینة المنورة لدراسات وبحوث الاستشراق </w:t>
      </w:r>
      <w:r>
        <w:rPr>
          <w:rFonts w:eastAsia="IRNazanin" w:cs="IRNazanin"/>
          <w:b w:val="false"/>
          <w:bCs w:val="false"/>
          <w:i w:val="false"/>
          <w:iCs w:val="false"/>
          <w:color w:val="333333"/>
          <w:sz w:val="20"/>
          <w:szCs w:val="20"/>
        </w:rPr>
        <w:t>www.Madinacenter.com</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سهام ربیع، الموسوعة السیاسیة للشباب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النمر، عبد المنعم، الثقافة الإسلامیة بین الغزو والاستغراب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سهام ربیع، الموسوعة السیاسیة للشباب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النشأة والدوافع، مجلة الاجتهاد، العدد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زقزوف، محمود حمدی، الاستشراق والخلفیة الفکریة للصراع الحضاری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رودی بارت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Rudi Paret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الدراسات العربیة والإسلامیة فی الجامعات الألمانیة،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المستشرقون الألمان منذ تیودور نولدکه </w:t>
      </w:r>
      <w:r>
        <w:rPr>
          <w:rFonts w:eastAsia="IRNazanin" w:cs="IRNazanin"/>
          <w:b w:val="false"/>
          <w:bCs w:val="false"/>
          <w:i w:val="false"/>
          <w:iCs w:val="false"/>
          <w:color w:val="333333"/>
          <w:sz w:val="20"/>
          <w:szCs w:val="20"/>
        </w:rPr>
        <w:t>heodornoldeke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مصطفی ماهر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ستیفان لیدرما، مقالة مدیر معهد الدراسات الاستشراقیة فی لبنان، مجلة التسامح نحو خطاب إسلامی متوازن، العدد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العقیقی، نجیب، المستشرقون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بدوی، أحمد، موسوعة المستشرقین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قروم، حنان، مصطلحات الحداثة وما قبلها،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المصاروة، ثامر إبراهیم محمد، البنیویة فی النقد العربی الحدیث،ص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بحث هذه النظریة بشکل مفصل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کلود لیفی شتراوس عالم انثروبولوجی فرنسی وأحد أعمدة الفکر البنیوی وتنسب له النظریة البنیویة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وتبتنی علی الرجوع إلی العرف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ظاهرة بذل الماء فی المراسم الحسینیّة عند الشیعة لا تنطلق من فکرة التکفیر عن الذنب؛ لأنّ الأجیال التی تحیی الذکری لم تکن حاضرة فی واقعة کربلاء،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ارتکبت ذنباً وترید أن تکفّر عنه ببذل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إلی أنهم یبذلون الطعام وکل غال ونفیس من أجل إحیاء ذکری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فهذه الظواهر تجسد أهداف وأخلاق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قام بنهضته لأجلها، وتکشف عن مدی اللؤم الذی تکتنفه شخصیة أعدائه، وبعدهم عن المبادئ الإنسانیة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المظهر وغیره من المظاهر الأُخری التی لم تبرز عند عموم الشیعة، واقتصرت عند بعض البلدان، إنّما تعدّ من تقالید تلک الشعوب لا من الشعائر التی لها مستند شرعی متّفق علیه عند الشیعة؛ لذلک یقوم بها بعض الشیعة دون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ثورة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مرّ التاریخ ملحمةً ونبراساً لکثیر من الثورات التی تنهض ضدّ الحکومات الظالمة، والثورة الإسلامیة فی إیران فی هذا العصر واحدة منها، والجدیر بالذکر أنّ أحداثها کانت متزامنة مع ذکری شهادة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النذر لله والهدایا التی یقدّمها الناس فی هذه المناسبة لقضاء حوائجهم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هذه المراسم هی بالحقیقة تصویر فنّی ینقل المشاهد بمشاعره إلی تلک الأحداث، فیجعله أکثر حماساً وأکثر انفعالاً وتفاعلاً مع قضیة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استجابة الدعاء إلی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اعتقاد عامّی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لیس له مستند 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وردت أخبار بأنّ الدعاء مستجاب یوم عاشوراء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الاستنتاج الذی توصّلت إلیه حین مراقبتی للأجسام التی کانت متأثرة بضربات السیاط، فهو أنّ تلک الطقوس لا بدّ أن تکون موجعة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الواقع کما یقول فیرنون شوبل الذی قام بدراسةٍ لطقوس الشیعة فی الباکستان معتمداً علی ملاحظاته الشخصیّة، وعلی عددٍ من المقابلات التی أجراها، حیث اتّفق معظم المشارکین بتلک الطقوس علی أنّ تلک الممارسات لا تسبب أیَّ ألمٍ جسدیٍّ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الأداء الدینی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Religious Performance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لکاتبه فیرنون شوبل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یرد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مأساة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کتابی هذا، فإنّی أعنی بها قصّة مقتل الحسین کما نعرّفها نحن بشکلها العام، وکما نروی أیّة قصّةٍ مأساویّة أُخری، أی أنّنا نفهم منها بأنّها قصّة لها بدایتها، وحبکتها المرکزیّة، ونهایتها المأساویّة، وقد رویت هذه المأساة مراراً وتکراراً بأشکال تتفاوت فی السرد والتفاصیل، فمثلاً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أبو مخنف، والطبری، وآخرون کُثر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عرفوا بالشیعة فی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ولیس فیما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محمد حسین، أصل الشیعة وأُصولها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الخراسانی، طالب بن علی، نشأة التشیّع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نشأة التشیّع والشیعة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الشیعة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الوراثة التی تقول بها الشیعة هی وراثة بالتنصیب والمقام لا بالنسب، ولا بدّ للمتّصف بها أن یمتلک مؤهّلات تؤهّله لهذا المقام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شریعتی، علی، الأمّة والإمامة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محمد، الإمامة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ثلاثة آراء فی منشأ التسمیة لهذا المصطلح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حول عدد أفراد العسکرین فیه اختلافٌ کثیر، وتحدید عدد معیّن لا یخلو من صعوبة، وإلیک أقوال المؤرِّخین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للقارئ أن یطّلع علی خلاصة شاملة للقصّة الکاملة کما رواها الطبری فی الملحق الأوّل لهذا الکتاب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حاضرة الکوفة تتکون من طائفة ولاقومیة ولا عشیرة ولاطبقة اجتماعیة واحدة، ولا من تیار ولا خط سیاسی واحد، وهذا یعکسه تنوع مواقف أهلها بین من ینصر الحق ومن ینصر الباطل، ومن یقف متفرجاً، والذی ینمّ عن اختلاف فی الولاء ونمط التفکیر وطریقته، فکان منهم ذوی آراء ووجهات نظر ومنهم من یتحرک وراء المنافع والمصالح المادیة، وألقی هذا التعقید فی ترکیبة المجتمع الکوفی بظلاله فی دعوة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ونصرته ورفض یزید وبنی أمیة، فلم تقتصر الکتب المرسلة للإمام علی الشیعة منهم، فقد کتب له حتی بعض الخوارج وبعض المتلونین وأصحاب المصالح أمثال الحجاج بن أبجر وشبث بن ربعی وغیرهما، ولو نلقی نظرة فاحصة للمجتمع الکوفی، تاریخیاً سنجده یتشکل فی تلک الفترة من عدة فئات 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فئة الخوارج، وفئة الحمراء وهم العبید الذین کانوا یشکلون قسماً کبیراً من شرطة الوالی وجنده، وفئة الأُمویین وفئة الشیعة وهی أقل الفئات، وعامة الناس الذی یمیلون مع القوی اینما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ورغم هذا التنوع إلا أن الطابع العام للمجتمع الکوفی محبة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لأنهم شهدوا حکم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وبعده الحسن المجتبی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أی فی إمارة زیاد بن أبیه جعل الأقسام العسکریة فی الکوفة علی غرار ما کان فی البصرة، حیث أصبحت الأسباع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والربع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 وهمدان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والربع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وبکر وکندة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والربع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مذحج وأسد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صورة شاملة للشیعة فی العالم المعاصر، 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الفضاء المقدّس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Sacred Space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لکاتبه کول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Cole</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تحمّل المعاناة لا یعنی القبول بمعناه السلبی، بل التعایش معها؛ لأنّها أمرٌ واقع، الشر یعادی الخیر دائماً وما دام الإنسان یری نفسه فی جهة الخیر فلا یتوقّع أن یترکه الشر یعیش کیفما أراد، مضافاً إلی أنّ لمبادئ التی ثار لأجلها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تنسجم بأیّ شکل من الأشکال مع الخنوع والخضوع والذلّة، وإنمّا تنسجم مع العزّة والکرامة والدفاع عن المبادئ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سکوبلا، الأداء الدینی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Religiouse Perfoymance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مقام ودرجة أعطاها الله تعالی للنبیّ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لعلوّ درجتهم، ولکونهم أُناساً مصطفین، لا لأنّهم استُشهدوا فی سبیل الله، نعم إنّ للشهادة مقاماً عالیاً، لکنّهم بدون الشهادة أیضاً لهم مقام الشفاعة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أیوب، المعاناة الافتدائیة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بوکر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Bowker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مشاکل المعاناة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هذا الاعتقاد السائد فی تلک العصور محض دعوی، بل لمَسه المسلمون فی حیاتهم، ومن خلال قربهم منهم، وقد دلّت علیه الآیات والروایات الصریحة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Divine Guide</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معزّی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أیوب، المعاناة الافتدائیة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علی المظاهر العبادیّة والشعائریّة لاعتقادات الشیعة فی مختلف الثقافات والبیئات التی عاشوا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والإسلام الشیعی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Shi’a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للکاتب هالم، والأداء الدینی، للکاتب شوبل، والتشیّع الحی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Living Shi’ism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للکاتب ثورفییل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Thurfjell</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طُبعت تلک المقالات فی مطبعة سندکفیست وسفالاستوج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الأُسطورة وصناعتها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Myter Och Mytteorier</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فی دلیل المراجع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ببلیوغرافیا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نظریّات الأُسطورة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Theories Of Myth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لکاتبه سینکویج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Sienkewicz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نظریّات الأُسطورة، وقد احتوت علی أکثر من خمسمائة مادّة، تجد فیها خمسة مواضع لها علاقة بالإسلام، بینما لا تجد مادّة واحدة تخصّ الأُسطورة فی الإسلام فی موسوعة الأساطیر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Mythologies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کتبها بونیفوی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Bonnefoy</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أینما ذُکرت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 فإنّی لا أقصد منطقة جغرافیّة أو اتجاهاً سیاسیّاً ما، وإنّما أقصد من هذه اللفظة العرف الأکادیمی العلمانی الذی تطوّر فی أُوروبا وأمیرکا فی القرنین الأخیرین، علی أنّه موجود أیضاً فی أجزاء أُخری من العالم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أسماء أُخری تستخدم کثیراً للتعبیر عن الحکایة الشعبیّة؛ لذا حصل تداخل کبیر فی تأکید هذا النوع من القصص بینها وبین الأنواع الأُخری التی تقع ضمنها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ویلیم باسکوم، أشکال الفولکلور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Forms Of Folklore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استخدم هذا المصطلح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ویلیم باسکوم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لینکولن، تنظیر الأُسطورة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Theorizing Myth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مکوتشیون، الأُسطورة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 الکاتبین یؤکّدان أنّ الفرق بین الأُسطورة والقصّة الذی وضعه أفلاطون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Plato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متداولاً ومعروفاً فی المجتمع الإغریقی قبل أفلاطون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Plato</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هناک بعض الاستثناءات لهذه النظرة، خصوصاً فی بدایة القرن العشرین، کما ستری فی الفصل الثانی من هذا الکتاب، حینما نتناول بتفصیلٍ أکثر التاریخَ الإسلامی، وکیف تعامل معه العلماء الغربیون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نیوفیرث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Neuwirth</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الأساطیر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Myths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ستتکویتش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Stetkevych</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والغصن الذهبی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Muhammad And The Golden Bough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المقالة الموسومة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قصّة کربلاء، مأساة أم أُسطورة؟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Är Kerbala – Dramat En Myt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للکاتب هایلین، معتمداً فی کتابتها علی کتاب کتبه لاوری هونکو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Lauri Honko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معضلة تعریف الأُسطورة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Problem Of Defining Myth</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لاوری هونکو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Lauri Honko</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معضلة تعریف 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لاوری هونکو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Lauri Honko</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معضلة تعریف 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کلیفورد جیتز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Clifford Geertz</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الثقافات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Interpretation Of Cultures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والجدیر بالذکر أنّ المعیار الرابع الذی عرضه هونکو کإحدی النقاط المشترکة بین الأساطیر لا تکون ضروریّة؛ لأنّ سیاق الأسطورة بشکلها العام یمثّل شعیرةً أو طقساً دینیّاً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لاوری هونکو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Lauri Honko</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معضلة تعریف 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ما هو وجه الاستحالة فی أن یقف الکاتب أو أیُّ باحثٍ علی حقائق ثابتة تاریخیّاً لحادثة کربلاء، وهذا الکلام یتردّد عند کثیر من المستشرقین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هاوتینج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Hawting</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السلالة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لم یحسبوا لها حساباً کبیراً، ألم یکن الجیش الأُموی الذی أعدّته الدولة یعبّر عن الحسبان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علی الصحیح من النقل التاریخی 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قبال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نفراً من أنصار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بعید عن الواقع؛ وذلک لأنّ حادثة کربلاء أخذ یتردّد صداها بعد فترة وجیز من وقوعها، فلقد خرجت عن کونها واقعة وحسب، إذا ألقت بظلالها علی المجتمع الإسلامی، وأخذت النهضة النکریة ضدّ الأُمویین تتعالی وتنجح الثورات علی الأرض؛ ومن ذلک الیوم وضع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ثورته ومبادئها، فلم تکن بحاجة إلی تغییرات وأبعاد لتضفی علیها الهالة الکبیرة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وإطلالة سریعة علی حال أهل الکوفة عندما أُدخلت السبایا إلی المدینة تکفی لإثبات ذلک، مضافاً إلی ما جری فی الشام وفی الطریق إلیها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مکوتشیون، 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مقتبسة 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الأُسطورة فی التاریخ، لکاتبه السویدی بیرجمان، حیث استخدم فی کتابه هذا لفظة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Grundläggande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السویدیّة، والتی تقابل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ستقابلک فی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تحاورت مع الکاتب شخصیّاً فی العاشر من آذار من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وتناقشت معه حول هذه النقطة واستخدامی لها کمقابل للفظة التی استخدمها هو فی کتابه المذکور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أحاول فی هذا الکتاب جاهداً أن أفرِّق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بمعناه العام الذی یرمز إلی أحداث حدثت فعلاً فی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والتاریخ الأکادیمی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وأعنی به الأحداث التی أیّدت الدراسات الأکادیمیّة وقوعها فعلاً فی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والتاریخ الرسمی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وأعنی به نظرتنا لأحداث حدثت فی الماضی وکیفیة روایتنا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هذه المصطلحات تراها فی کتب أُخری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الهندوس والمسلمین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Beyond Hindu And Muslims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للکاتب جوتشاک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سیث کونین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Seth Kunin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نفکر بما نأکل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 Think What We Eat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سیث کونین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Seth Kunin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نفکر بما نأکل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 Think What We Eat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أنّ الکاتب لا یفرّق بین التاریخ والتاریخ الرسمی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وشبیه من کلام الکاتب ما قاله بیتر جوتشاک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Pete Gottschalk</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کان هذا الکاتب قد استخدم مصطلح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الذاکرة الجماعیّة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للتعبیر عن 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الهندوس والمسلمین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العقل الوحشی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Savage Mind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کونین، نفکر بما نأکل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الکاتب إلی حاجة کثیر من المتدیّنین فی مجتمعنا إلی برهنة عقائدهم کوقائع حدثت فعلاً فی التاریخ؛ وذلک بسبب القول العلمی الرائج فی مجتمعنا 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مکوتشیون، 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العقل الوحشی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ناقش الکاتب لیفی شتراوس مفهوم الترکیب الآنی بشکلٍ مسهب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ناقش فی نفس الکتاب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فکرة أُسطوریة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أمر معقّد لا أستطیع أن أخوض فیه فی هذا الکتاب، فأکتفی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التفکیر الأُسطوری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یقول شتراوس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عادةً میزة وخاصّیة یتمتّع بها الناس البدائیون، ولکنّها مسألة نمارسها کلّنا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علی مثال استثنائی للترکیب الآنی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الوحش الأشقر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اخترعه نیتشه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لینکولن، تنظیر 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وستری فیما یأتی شرحاً لمفهوم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الوحش الأشقر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طرحه نیتشه کمثال لما أسمیناه الترکیب الآنی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أکثر علی نظریّة البنیویّة کما یراها لیفی</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لینکولن، تنظیر 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یعطی الکاتب أمثلة علی عملیة التغییر هذه، فیبیّن الفرق بین التسلسل الطبقی للشعوب الذی یطرحه بیندار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Pindar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وإمبیدوکلیز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Empedocles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وأفلاطون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Plato</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 حسب نظرته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أکثر علی مفهوم البنیویّة ورأی لیفی شتراوس بالأُسطورة، راجع الفصل الثالث من هذا الکتاب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افرنجی مکوّن من مقطعین یونانیین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الله، </w:t>
      </w:r>
      <w:r>
        <w:rPr>
          <w:rFonts w:eastAsia="IRNazanin" w:cs="IRNazanin"/>
          <w:b w:val="false"/>
          <w:bCs w:val="false"/>
          <w:i w:val="false"/>
          <w:iCs w:val="false"/>
          <w:color w:val="333333"/>
          <w:sz w:val="20"/>
          <w:szCs w:val="20"/>
        </w:rPr>
        <w:t>Logos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علم، أی علم الله وصفاته وعلاقته بالعالم، وأفلاطون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Plato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استخدم هذا المصطلح، ویقصد به أحادیث الشعراء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نماذج بنیویّة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Structural Models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للکاتبین ماراندا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Maranda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وماراندا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Maranda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والصیغة القانونیّة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Canonic Formula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للکاتب مارکوس،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Hesiod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Lire Levi-Strauss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للکاتب سکوبلا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Of The Qur'an</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نیوویرث، الأساطیر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Myths</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نیوویرث، زیارة أُخری إلی الترکیب الأدبی للقرآن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Qur'anic Literary Structure Revisited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نیوویرث، الأساطیر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Myths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ستیکیفیتش، محمّد والغصن الذهبی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Muhammad And The Golden Bough</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همفریز، الأُسطورة القرآنیّة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Qur’anic Myth</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تفصیل شافٍ لهذه النقطة فی الفصل الثانی من هذا الکتاب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همفریز، الأُسطورة القرآنیّة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Qur’anic Myth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شوشان، الشعر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Poetics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وانسبرو، المحیط الطائفی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Sectarian Milieu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 همفریز یختلف مع وانسبرو حول فکرة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الحنین إلی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کتاب الأساطیر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هذا السیاق، لا یستخدم الکاتب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Erwählungsberuβtsein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مفهوم المیثاق، ولکننی أری أنّه یوافق علی الرأی القائل بأنّ هذا المصطلح هو أفضل ما نعبّر به عن حسِّ الانتخابات الذی کان موجوداً فی العصر الأوّل للإسلام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الأُسطورة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Mythe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للکاتب جیلیو، ففی مقالته فی ذلک الکتاب یبدو الکاتب متأثراً بشکلٍ جلیٍّ بلیفی شتراوس، کما بیَّن ذلک بشکلٍ تفصیلی العالم البریطانی المتخصّص بعلم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الانثروبولوجیا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إدموند لیتش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المذکور 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إنّ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التناقضات والوسطیّة المزدوجة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نتاج لیفی شتراوس، کما سنبّین هذا فیما یلی من الکتاب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جیلیو، الأُسطورة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Mythe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المذکور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 الکتاب المذکور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للکاتب لیمینز، الذی طبعه بعد کتاب ولهاوزن بفترة یسیرة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لورا فاشیا فاغلیری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الکاتب اسمه محمّد أیوب ولیس محمود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 الکتاب المذکور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 الکتاب المذکور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التصوّر نفسه ینطبق علی ما کتبه السید حسین محمّد جعفری عن الحسین ومأساة کربلاء فی کتابه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Origins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الولاء والحبّ والإیمان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للکاتبة ماریا داکاکه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وأغتنم هذه الفرصة لأعبّر عن امتنانی للأُستاذة لیندا کلارک من مونتریال التی جذبت انتباهی إلی هذه الأُطروحة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الکاتبة علی خطبة أحد أصحاب الحسین فی کربلاء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الأُطروحة المذکورة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ومقارنتها بین رسالتین أرسلهما الحسین إلی شیعة الکوفة وأشراف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الأُطروحة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تذکر الکاتبة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أُطروحتها بأنّه لم یحمل الحسین ولا أحد من أصحابه فکرة استبدادیّة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للحسین وحده الحقّ فی تولّی السلطة الدینیّة السیاسیّة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شوشان، أشعار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سأقوم فی فصول قادمة من الکتاب بمناقشة المستویات المختلفة للترکیب بشکلٍ عام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کُتب الشیء الکثیر عن هذا الموضوع، فمثلاً یمکن للقارئ أن یرجع إلی مقدّمة حول هذا الموضوع کتبها همفریز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الإسلامی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Islamic 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کتب روزنتهال دراسة مستوفیة عن هذا الموضوع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کتابة التاریخ الإسلامی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Ahistory Of Muslim Historiography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إلی ذلک، هناک کتب کثیرة کُتبت حول هذا الموضوع ولکن من زوایا مختلفة، مثل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Narratives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للکاتب دونور،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التاریخیّة العربیّة فی عهدها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Early Arabic Historical Tradition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للکاتبَین نوث وکونراد،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التأریخ الإسلامی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Islamic Historiography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للکاتب روبنسون،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نظریّة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Toward Atheory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للکاتب وولدمان، وکلُّ هذه الکتب قد حوت مصادر یمکن الرجوع إلیها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علی عملیة النقل هذه اُنظر مناقشاتی لمصادر الطبری فیما یلی من فصول هذا الکتاب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وأهمّ ما کُتب حول هذا الموضوع، وإن کان عملاً تقلیدیّاً، فهو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قرآنیّة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Qur'anic Studies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للکاتب وانسبرو، یمکن للقارئ أن یقارن ذلک بما کتبه دونر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دونر، المرویات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Narratives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أجل التعرّف علی دراسةٍ لرموز المناهج، ومن ضمنها مقالة نقدیّة لأکثر المواطن المشکوک بها فی هذا السیاق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من غیر الممکن لنا فی هذه الأسطر أن نذکر کلَّ ما کُتب حول تطوّر الفکر الإسلامی السیاسی والدِّینی فی مرحلته المبکرة؛ لذا سأحاول أن أستجلب نزراً یسیراً من الکتابات فی هذا المضمار، والتی کان لها أهمّیة مباشرة بصلب الموضوع علی حسب نظری حینما کتبت هذا الفصل، لمعرفة تلک المصادر بتفاصیلها یرجی مراجعة فهرس المصادر فی نهایة الکتاب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وافیة عن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المستخدم فی هذا السیاق، یرجی مراجعة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کرون،الفکر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کرون، الفکر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لانداو تاسیرون، من المجتمع القبلی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أجل الإطّلاع علی تفسیر جدیر بالقبول للدور السیاسی لمحمّدٍ کما جاء فی تلک المصادر، یُرجی الرجوع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Kister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 لیس بمؤمن، وبصریح القرآن أنّهم من أهل النار، بل هم فی أسفل درکٍ من الجحیم، حیث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الْمُنَافِقِینَ فِی الدَّرْکِ الْأَسْفَلِ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دراسة ممتازة حول مفهوم النفاق فی القرآن، إرجع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ایزوتسو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Izutsu</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أس، علم الکلام والمجتمع فی القرنین الثانی والثالث للهجرة، المجلد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أطلقه المسلمون المتأخّرون عن عصر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المعاصرین له، ولکنّه عاش السعة والضیق، وتدخّلت الأیادی العابثة لتسحبه حتی یغطی مَن أُرید إعطاؤه هذه السمة؛ من أجل تصحیح أفعاله المشینة وشرعنتها، فجعلوا الصحابی هو کلّ مَن لقی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وأظهر الإسلام ولو ساعة من النهار ومات بعد ذلک، وأُلحق بهم مَن أُمّروا فی الفتوح بعد وفاة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ما لا یرتضیه الشیعة؛ فهم یرون الصحابی مَن آمن بالرسول وحفظ عنه ما بلّغ به عن الله، وعلم أمر الله ونهیه، وتفقّه فی الدین وأقامه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أس، علم الکلام والمجتمع فی القرنین الثانی والثالث للهجرة، المجلد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باتریشا کرون، الفکر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مراجعة تلک المصادر التاریخیة ستجدها دُوّنت فی فترة من خلافة الأُمویین وسیطرتهم علی مفاصل الحیاة فی الأُمّة الإسلامیة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یُمثّل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تلک الفترة الخلیفة الشرعی بحسب النصّ الإلهی کما هو عند الشیعة، وبحسب الإجماع والانتخاب عند العامّة علی اختلاف نظریاتهم، فکان موقف الإمام هو موقف جمیع المسلمین والأُمّة الإسلامیة ضد معاویة وأتباعة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فی التعبیر أن یقول فی مسجد الکوفة؛ إذ تواترت الأخبار بأنّ ضربة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فی مسجد الکوفة المعروف والمشهور، والذی ذُکرت له فضائل 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المجتمع الإسلامی مقسماً علی شکل أحزاب سیاسیة یومئذٍ، وعندما قُتل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العالم الإسلامی إلا الخط الهاشمی والخلافة الحقیقیة المتمثّلة بالإمام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والخط الأُموی المخالف للخلافة الإسلامیة والمتمثّل بمعاویة وأتباعة من الأُمویین وغیرهم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سنأتی علی تحلیل أکثر تفصیلاً لمفهوم الفتنة فی الفصل الخامس من هذا الکتاب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الشیعة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دینیة سیاسیة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طارئة علی المجتمع الإسلامی، بل هی مذهب إسلامی ممتدّ بامتداد الدین الإسلامی، وله أُسسه العقائدیة والفقهیة المنشقّة من الدین الحنیف، وذو منهج علمی عریق یرسم معالمه أئمة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الذین أخذوا علومهم واحد عن واحد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إیلا لانداو تاسیرون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Ella Landau-Tasseron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المجتمع القبلی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أس، علم الکلام والمجتمع فی القرنین الثانی والثالث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وکتابه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الأفکار السیاسیّة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تکن فی تلک الفترة أیّ حروب أهلیة، أمّا فی زمن عثمان فإنما کانت هناک ثورة من قبل المسلمین، وبلغت ذروتها حتی انتهت بقتل المسبب الذی أدّی إلی قیام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بالثورة علیه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أس، الأفکار السیاسیّة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حادثة انتخاب أبی بکر للخلافة بعد موت محمّد تحت سقیفة تابعة لإحدی قبائل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وجهات نظر مقاربة لما ذُکر حول أصل التاریخ الإسلامی،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دونر، المرویات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طریف خالدی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الفکر التاریخی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إس، علم الکلام والمجتمع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وکتابه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الأفکار السیاسیّة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هذا الأمر أکثر من مرّة فی القرآن، کما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مصادر أکثر، 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Commanding Right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للکاتب کوک، إذ إنّ کتابه هذا یعتبر رسالة علمیّة تنطق عن دراسة موسّعة لمفهوم الأمر بالمعروف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تغلبت هذه الفکرة علی الفکر الشرعی والسیاسی لأغلب المسلمین لا جمیعهم، حیث أُرید لها ذلک؛ إذ سعی حکام الجور للحفاظ علی حکمهم بواسطة وعّاظ السلاطین والنفعیین لیقوموا بشرعنة هذه الفکرة ومن ثم هیمنتها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مقالة شاملة حول المفاهیم الفقهیّة للثورة وقمعها،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البغاة، لأبی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أبو الفضل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کرون، الفکر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ملاحظة هذه الفکرة ولکن بشکلٍ أکثر نضوجاً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God’s Caliph</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للکاتبین کرون وهیندز، خصوصاً فی الفصلین الرابع والخامس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کرون، الفکر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المجتمع المدنی المسلم، فقد بقی متّحداً دینیّاً، ولکن هذا الموضوع لیس ما نطمح أن نناقشه فی هذه المقالة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الشرعی لخلافة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لأنّه ابن عم النبی وزوج ابنته، بل للنصوص الشرعیة الکثیرة الواردة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حینما أقصد بکلمة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الشیعی لها، فإنّی أضع الکلمة بین تنصیصین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وجدتها بدون تنصیصین، فاعلم أنّ مرادی منها معناها العام، وهو القائد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اعتمدت بشکلٍ أساسی فی ترجمتی للطبری علی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General Introduction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للکاتب روزنتهال، کما اقتطفت بعض التفاصیل من مصادر أُخری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روزنتهال، مقدمة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مورتنسون، العهد الجدید الحقیقی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True New Testament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روزنتهال، مقدمة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Sourdel</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إعلان العقیدة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Proffesion De Foi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جیلیو، التفسیر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Exégèse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بالمسلمین هنا العلماء المتشرّعین، ارجع إلی الصفحات السابقة من هذا الکتاب لمعرفة المزید حول هذا المصطلح، ومن أجل الاطّلاع علی وجهات نظر العلماء المتشرّعین حول السیاسة،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هودجسون، المغامرة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Venture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مؤرِّخان مسلمان لفترة ما قبل الحداثة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Two Pre-Modern Muslim Historians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للکاتب هودجسون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ویوضّح هودجسون نظرته هذه بأمثلة توضیحیّة یدرس من خلالها قضیة مقتل الخلیفة الثالث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أجل الاطّلاع علی نتائج مشابهة مستلة من دراسة لحرب الجمل،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التاریخ الإسلامی فی مراحله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Early Islamic Historiography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یوضِّح الکاتبان جیلیو وروزنتهال بأنّ هناک التباساً کبیراً حول کمیّة ما کتبه الطبری، فقد استغرقت کتابته لکتبه الرئیسیّة المعروفة سنین طویلة، وأنّ بعضاً من أجزاءٍ من کتبه قد تمّ تداولها قبل أن ینتهی من کتابة الکتاب بأکمله، علاوةً علی ذلک، فإنّ قسماً کبیراً من کتبه تُعرف الآن بعناوین غیر ما وضعه هو لها، للاطّلاع علی دراسة هذه المسألة وجدول بما کتبه الطبری،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جیلیو،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روزنتهال، مقدمة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ویحمل هذا الکتاب عناوین أُخری کثیرة، وکلُّ تلک العناوین التی استخدمها الطبری نفسه، بدت وکأنّها تشیر إلی صنفین من الرسل والحکّام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نأتی علی تأویل لما تعنیه هذه الحقیقة فی الصفحات القادمة من هذا الکتاب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روزنتهال، مقدمة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أمثلة من تلک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الملحق الثانی من هذا الکتاب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أولریکا مورتنسون،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ناقشت الکاتبة أولریکا مورتنسون هذه المسألة فی کتابها 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همفریز، الأُسطورة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والکاتب نفسه یُرجع القارئ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روزنتهال، التأثیر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Influence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 الطائفی، الفصل العاشر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أولریکا مورتنسون، 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جیلیو، 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همفریز، الأُسطورة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روزنتهال،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عامّة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الهبری، التفسیر الجدید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Reinterpreting</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الهبری، التفسیر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 کتاب الوحدة، للکاتب نفسه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یتطرّق الهبری إلی الحدیث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عملیة تأکید وقلب وتغییر فی وضع اللغة المجازیّة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یضرب مثالاً مثیراً للاهتمام عن هذه العملیة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المزبور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الهبری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یتمّ نقل الرسالة الرئیسیّة المقصودة من نقل تلک الأخبار بصراحة ولا مرّة واحدة، ولکن تعابیر مجازیّة تعبّر عنها قد ذُکرت فی تلک النصوص مراراً وتکراراً وبطرقٍ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الکتاب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لانغ، مراجعة لکتاب الهبری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شوشان،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شوشان،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الفصلان الثالث والرابع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یذکر هنا کتاب الشعر، للکاتب شوشان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أولریکا مورتنسون،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Discourse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وتتبع الکاتبة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نظرتها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التأویلات التی قدّمها هودجسون وهمفریز من بین کتّاب آخرین یحملون نفس الرأی، ولکنّها تتخطاهم متقدّمة علیهم بشکلٍ ملحوظ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بک آراء هودجسون وهمفریز فی صفحات سابقة من هذا الکتاب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هذا الکلام من التهافت فالنبوة لم تکن فی الخلفاء الأربعة، نعم بالنسبة للإمام علی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وصی النبی الأکرم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نبیاً، وإن کانت الوصایة امتداداً للنبوة ولأهدافها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بالنسبة للخلفاء الثلاثة الأوائل، فهم أبعد ما یکون عن النبوة، حیث إن الأول یقول للأمة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 لی شیطاناً یعترینی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لطالما قال للإمام علی بن أبی طالب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یخرجه من المآزق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بقیت لمعضلة لیس لها أبو الحسن، والثالث وصل الأمر فی عهده أن یضرب مَن یقول الحق، وسلم أُمور الدولة لعشیرته بنی أُمیّة حتی ثار علیه المسلمون وقتل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أولریکا مورتنسون،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Discourse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الکاتب هنا فی خطأ؛ لأن عنوان الکتاب هو تاریخ الأمم والملوک، لا الأنبیاء والملوک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بشکل أوسع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البنیویّة بین النشأة والتأسیس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نظریّة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ثامر إبراهیم محمّد المصادرة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کوز، البنیویّة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Structuralism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ینزن، البنیة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Structure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کونین، منطق السفاح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Logic Of Incest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ینزن، البنیّة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Structure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 کوز،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وللاطّلاع علی فروق مماثلة لما ذکره الکاتب ارجع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بتیتو، التکوّن التشکلی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Morphogenesis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بیتر کوز،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وخاصّةً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سیث کونین، نفکر بما نأکل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تُرجم هذا الکتاب إلی اللغة الإنجلیزیّة عدّة مرّات وبتراجم مختلفة، ولقد اعتمدت علی ترجمة روی هاریس فی اقتباسی من الکتاب المذکور،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سوسیر،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الطریقة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لیتش، البنیویّة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Structuralism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بتیتو، التکوّن التشکلی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ایرنست کاسیرر، البنیویّة فی علم اللغة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Structuralism In Modern Linguistics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کما هو موجود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البنیویّة، للکاتب کوز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 کوز،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بتیتو، التکوّن التشکلی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علی ملخّص عن وجهات النظر المختلفة حول تطبیق البنیویّة علی علم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الأنثروبولوجیا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وعلی دراسة الأدیان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فیها الدراسة التی کتبها لیفی شتراوس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علی سبیل المثال إلی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البنیة، للکاتب ینزن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البنیویّة، للکاتب لیتش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وکلّما یأتی الذکر فی الأسطر القادمة من الکتاب علی البنیویّة، فإنّی أقصد بها بنیویّة لیفی شتراوس، إلّا إذا کان هناک ما یدلّ علی غیر ذلک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اعتمدت فی کتابة هذه الأسطر بشکلٍ رئیسی علی الفصل الأوّل 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الیوم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Lévi-Strauss Today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للکاتب دلییجه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Deliège</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مقالة کُتبت کمقدّمة لطریقة تفکیر لیفی شتراوس بشکلٍ عام، وکمقدمة لرأیه حول الأساطیر، تلک التی کتبها سبیربر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Sperber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البنیویّة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 Structuralisme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یُؤسف له أنّنی لم اطّلع علی تلک المقدّمة إلّا بعد فوات الأوان، وإلّا کنت اقتبست کثیراً من سطورها فی هذا الکتاب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وأریبون، المحادثات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Conversations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العاری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Naked 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نهایة هذا المقطع من الکتاب یصف المؤلِّف بحثه السابق حول العلاقة بین علم الأحیاء والبنیویّة بأنّها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مقیّدة بمساحةٍ ما من التفکیر، وأنّها استغراقیّة فی العقلانیّة، ومشبعة بالارتباک والخطل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سیث کونین، نفکر بما نأکل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 کتابه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ولو أنّ الکاتب فی هذا الکتاب یبحث فی المستویات الثلاثة الأُولی للتراکیب الأساسیّة، ثمّ یؤکد بأنّ هذا التصنیف هو تحلیلی بحت، وأنّ مستویات التراکیب لا یمکن فی الواقع تمییزها عن بعضها البعض</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سیث کونین، نفکّر بما نأکل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النیء والمطبوخ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نُعطی تفاصیل أکثر لمفهوم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الأسطر القادمة من الکتاب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المجالات الأُخری التی استخدم الإنسان للتعبیر عنها تراکیب متقنة، فهی تلک التی وصف فیها الإنسان صلة القرابة وتلک التی استخدمها فی تسجیل الأحداث التاریخیّة، وهذا یجری علی کثیر من الحضارات، علی حدّ قول کونین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وأریبون، المحادثات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إحدی الأفکار الرئیسة عن لیفی شتراوس، وقد عبّر عنها فی کثیر من کتاباته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الأنثروبولوجیا البنیویّة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Structural Anthropology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النیء والمطبوخ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الکتاب یقتبس الکاتب 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الأشکال الأولیّة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Les Formes Elémentaires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للکاتب دوکهایم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Durkheim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العاری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الخزّاف الغیور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Jealous Potter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الرجل العاری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وأریبون، المحادثات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الخزّاف الغیور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الأنثروبولوجیا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الأنثروبولوجیا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المتوحش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الخزّاف الغیور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إحدی الطرق التی یستخدم فیها مصطلح الاستعارة، ولکنّه یستخدم نفس المصطلح فی معنیً آخر، ویقصد به الرموز نفسها لا مصطلحات معیّنة داخل تلک الرموز، تستخدم للتعبیر مجازاً عن العلاقات بین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الخزّاف الغیور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مانیغلییر، المفردات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Maniglier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المزید عن هذا الموضوع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الأنثروبولوجیا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إدموند لیتش، الثقافة والتواصل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یستخدم لیفی شتراوس مفهومی الاستعارة والکنایة متأثراً باللغوی البنیوی رومان جاکوبسون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Roman Jakobson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منهج جاکوبسون فی استخدام هذین المفهومین،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جاکوبسون وهیل، أُصول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Fundamentals Of Language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إدموند لیتش، الثقافة والتواصل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الخزّاف الغیور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شترواس، الخزّاف الغیور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النیء والمطبوخ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الرجل العاری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استخدمتُ فی هذه الجملة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لأعبّر بها عن معنی أوسع ممّا ذکرته فی تعریفی لها فی بدایة هذا الکتاب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موسکو، الصیغة القانونیّة للأُسطورة واللاأُسطورة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والذی منه تمّ تعدیل الشکل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وأریبون، المحادثات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إدموند لیتش، الثقافة والتواصل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استدلال الکُرکی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Deduction Of The Crane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الخزّاف الغیور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حکایة الوشق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Story Of Lynx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کوز،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ماراندا، نماذج 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مارکوس، الصیغة القانونیّة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وقد اقتبس الکاتب فی هذه الفقرة جملة مأخوذة 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نماذج بنیویّة، للکاتبة ماراندا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رجعنا إلی الجملة التی ضربناها مثالاً فی الصفحات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لدی ماری حمل 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الفقرة أعلاه توضّح لنا السبب فی عدم إمکانیة استبدال اسم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بسهولة؛ وذلک لأنّ الاسم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الفتاة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یحمل سمات دلالیّة أکثر ممّا یحملها اسم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مارکوس، الصیغة القانونیّة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کوز،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یُعرف بالذئب البری، وکذلک ذئب السهول، أو ذئب المروج، أو الذئب الواوی، وکذلک یُعرف بعوائه الغریب المخیف، الذی یُسمع عادةً فی فترة المساء واللیل، أو فی الصباح الباکر؛ لأنّه یعیش فی السهول المفتوحة فی شمال أمیرکا من کوستریکا إلی آلاسکا، وکذلک یعیش فی بعض أجزاء أمیرکا الوسطی، ویعیش فی کندا والمکسیک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ویکیبیدیا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البویبلو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شعوب أمیرکیة أصلیة، ترکّزت فیما یُعرف الآن بمنطقة الأرکان الأربعة فی الولایات المتحدة، التی تضم جنوب یوتا، وشمال أریزونا، وشمال غرب نیومکسیکو، وجنوب کولورادو، حیث کانوا یعیشون فی مجموعة من الهیا کل، بما فی ذلک منازل الحفر، ومساکن محضورة فی الأجراف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ویکیبیدیا الموسوعة الحرة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الأنثروبولوجیا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الرجل العاری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الأنثروبولوجیا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أصل آداب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Origin Of Table Manners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حکایة الوشق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اقتبس جزءاً من الفقرة من کتابه الرجل العاری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 الإنجلیزیّة من الکتاب هناک إشارة إلی الرجوع إلی کتاب النیء والمطبوخ، للیفی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وهی فقرة تتناول نفس الموضوع، ولکنّها لا تحتوی علی الجزء المقتبس فی هذه الفقرة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أصل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الاطّلاع أکثر علی الوظائف والأسالیب التی تؤدّیها الوسائط فی الأساطیر، ارجع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هیناف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Hénaff</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کلود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کونین، نفکر بما نأکل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ومواطن أُخری من الکتاب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الأنثروبولوجیا البنیویّة </w:t>
      </w:r>
      <w:r>
        <w:rPr>
          <w:rFonts w:eastAsia="IRNazanin" w:cs="IRNazanin"/>
          <w:b w:val="false"/>
          <w:bCs w:val="false"/>
          <w:i w:val="false"/>
          <w:iCs w:val="false"/>
          <w:color w:val="333333"/>
          <w:sz w:val="20"/>
          <w:szCs w:val="20"/>
        </w:rPr>
        <w:t>Lévi-Strauss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Structural) Anthropology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قانونیّة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فی الأصل الفرنسی للمقالة، وقد حُذِفت کلمة قانونیّة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Canonical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الترجمة الإنجلیزیّة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أنّها تأتی متکرّرة فی أعماله اللاحقة، فقد تمّ ترجمتها إلی الإنجلیزیّة علی کلِّ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الأنثروبولوجیا والأُسطورة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دراسة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حدٍّ 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الصیغة ومتغیّراتها فی أعمال لیفی شتراوس، ومن بین المعلّقین علیها هو کتاب سکوبلا، اقرأ لیفی شتراوس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Scubla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Lire Lévi-Strauss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مقالة جیّدة تتعامل مع هذه الصیغة من المنظار الشکلی بصورة أساسیّة، لمارکوس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الصیغة القانونیّة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Marcus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Canonic Formula</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من العسل إلی الرماد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Lévi-Strauss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From Honey To Ashes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الأنثروبولوجیا والأسطورة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الأنثروبولجیا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الأنثروبولوجیا والأُسطورة،ص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لمطالعة مناقشة شاملة حول استقبال الصیغة،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یعلّق سکوبلا علی ملاحظة لیفی شتراوس المقتبسة فی الجملة السابقة بالقول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سنکون أکثر مَیلاً للنظر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 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لتلک الصیغة کبیان مختص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بحاجة إلی فکّ رموزها، وربّما تحتوی بالفعل بداخلها أکثر ممّا کان المؤلّف عالماً بما وضع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سکوبلا، هسیود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Scubla</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Hesiod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ملاحظة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الشمس فی النصّ الأصلی بصیغة المذکّر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إذا قُطر علی ظهره قطرةٌ من ماء 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السُّبَد طائر مثل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الخزّاف الغیور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Jealous Potter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الخزّاف الغیور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لقراءة دراسة شاملة فی تحلیل هذه الأُسطورة یرجی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سکوبلا، إقرأ لیفی شتراوس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Scubla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Lire Lévi-Strauss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الأنثروبولوجیا البنیویّة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Structural Anthropology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من العسل إلی الرماد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From Honey To Ashes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ولیفی شتراوس، حکایة الوشق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تطبیقات العلاقة بین الأُسطورة والطقوس،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الأنثروبولوجیا والأُسطورة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Anthropology And Myth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وحول تطبیقها علی مجموعة من الطقوس ذات الصلة،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الأنثروبولوجیا والأُسطورة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سکوبلا، هسیود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Hesiod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دراسة شاملة لهذه العقبات وعقبات أُخری لها علاقة بالموضوع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هسیود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الأنثروبولوجیا والأُسطورة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 کونغاس ماراندا وبییر وماراندا، نماذج بنیویّة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Maranda And Maranda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Structural Models</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 کونغاس ماراندا وبییر وماراندا، نماذج 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هسیود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 کتاب سکوبلا، 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إلیه فی الفقرة المقتبَسة هو هذه المقالة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الدراسة البنیویّة للأُسطورة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Structural Study Of Myth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الأنثروبولوجیا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استخدام لیفی شتراوس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النموذج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إلیه یوجد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الأنثروبولوجیا البنیویّة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اقرأ</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مارکوس، الصیغة القانونیّة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Marcus</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Canonic Formula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مارکوس، الصیغة القانونیّة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الأقواس المربّعة وردت فی الأصل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فی رسالةٍ إلی مارکوس مقتبسة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ماراندا، الخاتمة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Conclusion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أیضاً تعلیقة لیفی شتراوس علی مقالات ماراندا، الانعطاف المزدوج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Double Twist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سولومون مارکوس، وهو نفسه عالم ریاضیّات معروف، یدّعی أنّ لیفی شتراوس هو واحد من علماء الاجتماع القلائل الذین فهموا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الریاضیّات المعاصرین لم تعد تسیطر علیهم فکرة المقادیر کما فی الماضی، ولکن فکرة البنیة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مارکوس،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الصیغة القانونیّة</w:t>
      </w:r>
      <w:r>
        <w:rPr>
          <w:rFonts w:eastAsia="IRNazanin" w:cs="IRNazanin"/>
          <w:b w:val="false"/>
          <w:bCs w:val="false"/>
          <w:i w:val="false"/>
          <w:iCs w:val="false"/>
          <w:color w:val="333333"/>
          <w:sz w:val="20"/>
          <w:szCs w:val="20"/>
        </w:rPr>
        <w:t>Canonic Formula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الریاضی الفرنسی جان بیتیتو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Jean Petitot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الذی هو أحد تلامیذ رینیه توم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René Thom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نظریّة الفاجعة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Catastrophe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الریاضیّات، قد ناقش الصیغة من خلال هذه النظریّة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بیتیتو،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إلی التشکّل الدینامیکی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Approche Morphodynamique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العمل من منظار نظریّة المجموعة، أثبت الریاضی الأمیرکی جاک مورافا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Jack Morava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الصیغة القانونیّة تمثّل مجموعة رباعیّة من نظام الثمانیة التی هی مجموعة ریاضیّة غیر تبادلیّة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Non-Commutative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بالمقارنة مع مجموعة کْلَیْن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Klein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یستخدمها لیفی شتراوس أحیاناً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لمطالعة خلاصة عن 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الفاجعة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Catastrophe Theory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لرینیه توم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René Thom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وتطبیقاتها علی البنیویّة، یُرجی مراجعة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بیتیتو، التشکّل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التخلّق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Morphogenesis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لمشاهدة تطبیق مباشر لهذه النظریّة علی الصیغة القانونیّة، یرجی مراجعة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بیتیتو، مقدّمة إلی التشکّل الدینامیکی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Approche Morphodynamique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لمطالعة خلاصة وتقییم لعمل بیتیتو، یرجی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هذا البحث حول تأویل سکوبلا للصیغة القانونیّة علی کتاب سکوبلا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هسیود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البورورو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من الهنود الحمر فی أمیرکا الجنوبیّة، یعیشون فی منطقة محدودة من البرازیل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النیّء والمطبوخ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Raw And The Cooked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هسیود،ص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المعادلة الاستاتیکیّة تعنی المعادلة التفاضلیة فی علم الریاضیات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سکوبلا، هسیود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المهمّ ملاحظة أنّ حرف 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فی المعادلة لا یشیر إلی الوظیفة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لیفی شتراوس من الصیغة القانونیّة، ویستخدم سکوبلا العلامة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نسخته المبسّطة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 أن یعطی تأثیراً تصویریّاً للنموذج البصری للانعطاف المزدوج؛ لأنّ هذا العنصر یخصّ بصورة أساسیّة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هسیود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هسیود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بالاقتباس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الأنثروبولوجیا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هسیود، وهو من أوائل الشعراء الإغریق المعروفین، عاش فی القرن الثامن قبل المیلاد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هسیود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لسوء الحظ أنّ هذه المناقشة طویلة جدّاً ومعقّدة، حیث لا یمکن تلخیصها بصورة وافیة، وهنا أعطینا خلاصة قصیرة فقط لا یمکنها أن تفی بحقّها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هسیود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مارکوس، الصیغة القانونیّة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سکوبلا، حول اثنین من التطبیقات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Sur Deux Applications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 شکری للوسیه سکوبلا علی إعطائی هذه المقالة غیر المنشورة، والسماح لی بالاقتباس منها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الصفحات التالیة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الأنثروبولوجیا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فی الأصل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أُسطورة أسْدیوال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الأنثروبولوجیا البنیویّة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الأنثروبولوجیا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النیّء والمطبوخ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وأریبون، محادثات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Lévi-Strauss And Eribon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Conversations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من الأنثروبولوجیا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الأعراق أو الأجناس البشریّة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المعقوفتین من المحقّق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کتابات لیفی شتراوس ملیئة جدّاً بهذه التوصیفات، حیث من السهولة أن تفتح أیّاً من کتبه کیفما اتّفق، لتأتی علی وصفٍ من تلک الأوصاف، ولکن علی سبیل المثال راجع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النیّء والمطبوخ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والأنثروبولوجیا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النیء والمطبوخ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والأنثروبولوجیا البنیویّة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ونفس المصدر،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الأقواس الکبیرة فی النصِّ تبیّن أننی قد قمت بتعدیلات طفیفة فی الترجمة؛ لتناسب بصورة أفضل ما أعتقد أنّه المقصود فی النصّ الأصلی فی الفرنسیّة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Lévi-Strauss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Le Cru Et Le Cuit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النیء والمطبوخ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وبالإجمال، تعطی هذه الفقرة دلالتها فی النصّ الفرنسی أفضل ممّا هی فی الترجمة الإنجلیزیّة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من العسل إلی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لیفی شتراوس، أصل آداب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Origin Of Table Manners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محمد بن جریر،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Ta’rikh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محمد بن جریر،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Ta’rikh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المفهوم،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بحث حول النتائج الأولیّة للتحلیل البنیوی یوجد فی کتاب لیفی شتراوس، النیء والمطبوخ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یناقش المؤلّف فی مقدّمة الکتاب المعادلات شبه الریاضیّة، ویؤکّد أنّه لم یکن الغرض منها إثبات أیِّ شیءٍ، وإنّما هی مجرّد توضیحات مبسّطة للبُنْیات المعقّدة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النیء والمطبوخ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الخزّاف الغیور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حکایة الوشق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الخزّاف الغیور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دونَر، الروایات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Donner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Narratives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نوث وکونراد، العُرف التاریخی العربی القدیم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Noth And Conrad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Early Arabic Historical Tradition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إلاد، أُمّة 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Elad</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Community Of Believers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 یعرّف مانفْرَد هالبرن السیاسة بأنّها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یمکننا فعله ونحتاج أن نفعله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هالْبَرن، الاختیار من بین الطرق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Choosing Between Ways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الثانیة المقترحة مأخوذة من دونَر،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لمطالعة موسّعة حول استعمال القرآن لهذه المفردة المهمّة والمتعدّدة الوجوه،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ألکساندر، الخوف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Alexander</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Fear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والأحدث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أولانْدَر، الخوف من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Ohlander</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Fear Of God</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تایان، البیعة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Tyan</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Bay’a</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خلاصة وافیة جدّاً تجدها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المَقاتل،لغونثر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Günther</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Maqatil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والفقرة التالیة اعتمدت علی هذه المقالة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غونتر،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ملاحظة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غونثر،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التیسیر، استخدمت مصطلحات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هذه المصطلحات تنطوی علی مفارقة تاریخیّة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تدوین وتوزیع الأعمال الأدبیّة المستنسَخة یدویّاً کان یختلف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بطبیعة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مهنة النشر فی هذه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للمطالعة حول هذا الموضوع مع إشارات أُخری،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غونثر،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غونثر،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لمشاهدة قائمة مؤلَّفاته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سزغین، أبو مخنف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Sezgin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Abu Mikhnaf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سزغین،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الذی یلی عن مصادر الطبری قد اعتمدت کثیراً علی هاوارد، مقدمة المترجم، </w:t>
      </w:r>
      <w:r>
        <w:rPr>
          <w:rFonts w:eastAsia="IRNazanin" w:cs="IRNazanin"/>
          <w:b w:val="false"/>
          <w:bCs w:val="false"/>
          <w:i w:val="false"/>
          <w:iCs w:val="false"/>
          <w:color w:val="333333"/>
          <w:sz w:val="20"/>
          <w:szCs w:val="20"/>
        </w:rPr>
        <w:t>X-Xi (10- 11)</w:t>
      </w:r>
      <w:r>
        <w:rPr>
          <w:rFonts w:ascii="IRNazanin" w:hAnsi="IRNazanin" w:eastAsia="IRNazanin"/>
          <w:b w:val="false"/>
          <w:b w:val="false"/>
          <w:bCs w:val="false"/>
          <w:i w:val="false"/>
          <w:i w:val="false"/>
          <w:iCs w:val="false"/>
          <w:color w:val="333333"/>
          <w:sz w:val="20"/>
          <w:sz w:val="20"/>
          <w:szCs w:val="20"/>
          <w:rtl w:val="true"/>
        </w:rPr>
        <w:t xml:space="preserve">، وهاوارد، الحسین الشهید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Howard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Husayn The Martyr</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تشیعه من المسلمات فقد وقع خلاف فی ذلک، وقام السید الخوئی فی معجمه بمناقشة الوجوه المطروحة لاثبات تشیعه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هاوارد، الحسین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ملاحظة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هاوارد، الحسین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ووستنفِلد، مقتل الحسین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Wüstenfeld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Tod Des Husein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الموضع مُشار إلیه أیضاً فی 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هودسون، اثنان من المؤرّخین المسلمین القدماء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Hodgson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Two Pre-Modern Muslim Historians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هَمفْریز، الأسطورة القرآنیّة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Humphreys</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Qur’anic Myth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شوشان، رسالة فی الشعر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Shoshan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Poetics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المؤلِّف اعتمد علی نسخة الطبری المترجمة؛ ارتأینا أن نضع ما یقابلها من النصِّ العربی لنسخة الطبری، مع الإشارة إلی مکان الاختلاف إن 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اعتبار ابن الطعّان رمزاً لکتیبة العدوّ بأجمعها؛ حیث یمکن استنتاج ذلک من معنی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الطعّان المحاربی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ماجاء فی تاریخ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مجئُ الحُرّ بن یزید ومسیرُه إلی الحسینِ من القادسیّة، وذلک أنّ عبیدَالله بن زیاد لمّا بلغَهُ إقبالُ الحسینِ، بعثَ الحصینَ بن نمیر التمیمی وکانَ علی شرطه، فأمرَهُ أنْ ینزلَ القادسیّةَ، وأنْ یضعَ المسالحَ فینظّم ما بینّ القطقطانة إلی خفّان، وقَدِم الحُرّ بن یزید بین یدیه فی هذه الألف من القادسیّة فیستقبل حسیناً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یزلْ موافقاً حسیناً حتّی حضرت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فأَمرَ الحسینُ الحجّاج بن مسروق الجعفی أنْ یؤذِّن فأذَّنَ، فلمّا حضرت الإقامةُ خرجَ الحسینُ فی إزارٍ ورداءٍ ونعلین،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إنّها معذرةٌ إلی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وإلیکم، إنّی لم آتکم حتّی أتتنی کتبُکم، وقدِمت علیَّ رسلُکم أنْ أقدِم علینا، فإنّه لیسَ لنا إمام، لعلّ الله یجمعُنا بکَ علی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کنتُم علی ذلک فقد جئتُکم، فإنْ تعطونی ما أطمئنُّ إلیهِ من عهودِکم ومواثیقِکم أقدم مصرَکُم، وإنْ لم تفعلوا وکنتُم لمقدمی کارهین، انصرفتُ عنکم إلی المکانِ الذی أقبلتُ منه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فسکتوا عنهُ، وقال للمؤذِّن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فأقامَ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أتریدُ أنْ تصلّیَ بأصحابِک؟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تصلّی أنتَ ونصلّی بصلاتِک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فصلّی بهم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دخلَ واجتمعَ إلیهِ أصحابُه وانصرفَ الحُرّ إلی مکانِه الذی کان بهِ، فدخلَ خیمةً قد ضُربت لهُ فاجتمعَ إلیهِ جماعةٌ من أصحابِه وعادَ أصحابُه إلی صفّهم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أمثلة علی ذلک مرّات عدیدة فیما سبق من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ولمطالعة عامّة حول کون الصلاة رمزاً للوحدة والهویّة،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أس، تی 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Van 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کِستَر، مفاهیم السلطة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Kister</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Concepts Of Authority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دکاکی، الولاء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Dakake</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Loyalty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وحول الإمام بأنّه الأَوْلی من الناحیة الشرعیّة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القائد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کالدَر، الأهمّیة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Calder</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Significance</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أهمّیة الوحدة فی المجتمع الإسلامی الأوّل،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أس، تی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دور الإمام کمصدر للوحدة والهدایة،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کرون وهِنْدز، خلیفة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Crone And Hinds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God’s Caliph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وکالْدَر، الأهمّیة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لباس الحج، یمکن مراجعة أیّة دراسة تمهیدیّة عن الإسلام، أو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وَنسِنک وجومییر، الإحرام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Wensinck And Jomier</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Ihram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الإزار والرداء ککفن للموتی،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غروتَر، مراسم تشییع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Grütter</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Bestattungsbräuche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جون ناواس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جامعة لوفن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John Nawas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Leuven University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أرشدنی لهذه المقالة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هذه العبارة وما بعدها استخدمت زمن الفعل الماضی عند الحدیث عن أهمّیة لباس الحج والتکفین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المعنی یتعلّق بلباس هذه الأیّام علی أیّة حالٍ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اللباس هذا بیّنه هاوارد فی ترجمته لتاریخ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مشیراً إلی کتاب وَنسِنک وجومییر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الإحرام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غروتَر، مراسم تشییع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Bestattungsbräuche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الإحرام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سأعود مرّةً أُخری إلی مسألة حُرمة الحسین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غروتر، مراسم تشییع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Bestattungsbräuche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التأویل کان قد اقترحه لی أیضاً بروفسور جولیه میسمی خلال رسالة عبر البرید الإلکترونی فی جواب علی سؤال فی قائمة الحوارات </w:t>
      </w:r>
      <w:r>
        <w:rPr>
          <w:rFonts w:eastAsia="IRNazanin" w:cs="IRNazanin"/>
          <w:b w:val="false"/>
          <w:bCs w:val="false"/>
          <w:i w:val="false"/>
          <w:iCs w:val="false"/>
          <w:color w:val="333333"/>
          <w:sz w:val="20"/>
          <w:szCs w:val="20"/>
        </w:rPr>
        <w:t>H-MIDEAST-MEDIEVAL@H-NET.MSU.EDU</w:t>
      </w:r>
      <w:r>
        <w:rPr>
          <w:rFonts w:ascii="IRNazanin" w:hAnsi="IRNazanin" w:eastAsia="IRNazanin"/>
          <w:b w:val="false"/>
          <w:b w:val="false"/>
          <w:bCs w:val="false"/>
          <w:i w:val="false"/>
          <w:i w:val="false"/>
          <w:iCs w:val="false"/>
          <w:color w:val="333333"/>
          <w:sz w:val="20"/>
          <w:sz w:val="20"/>
          <w:szCs w:val="20"/>
          <w:rtl w:val="true"/>
        </w:rPr>
        <w:t xml:space="preserve">، فی </w:t>
      </w:r>
      <w:r>
        <w:rPr>
          <w:rFonts w:eastAsia="IRNazanin" w:cs="IRNazanin"/>
          <w:b w:val="false"/>
          <w:bCs w:val="false"/>
          <w:i w:val="false"/>
          <w:iCs w:val="false"/>
          <w:color w:val="333333"/>
          <w:sz w:val="20"/>
          <w:szCs w:val="20"/>
        </w:rPr>
        <w:t>5/5/2005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الإجراء عموماً،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غروتر، مراسم تشییع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Bestattungsbräuche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کان وقت العصر أمرَ الحسینُ أصحابَه أن یتهیّئوا للرحیلِ ففعلوا، ثمّ خرجَ فأمرَ منادیه فنادی بالعصر وأقامَه، وصلّی الحسینُ بالقومِ جمیعاً، ثمّ سلّم وانصرفَ إلیهم بوجهه،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أیّها الناس، فإنّکم إن تتّقوا اللهّ وتعرِفوا الحقَّ لأهله یکنْ أرضی لله، ونحنُ أهلُ البیتِ أولی بولایةِ هذا الأمرِ علیکم من هؤلاء المدّعینَ ما لیس لهم، والسائرین فیکم بالجورِ والعدوان، فإن أنتم کرِهتمونا وجهلتم حقّنا وکان رأیُکم غیرَ ما أتتنی به کتبُکم، وقدِمَت علیّ بهِ رسلُکم، انصرفت عنکم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حاشیة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المعادلات المستخدمة فی هذا النصّ یجب أن یُقرأ الخط المائل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تضادٍّ مع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المعادلات المستخدمة فی هذا النصّ ینبغی أن یقرأ الرمز </w:t>
      </w:r>
      <w:r>
        <w:rPr>
          <w:rFonts w:eastAsia="IRNazanin" w:cs="IRNazanin"/>
          <w:b w:val="false"/>
          <w:bCs w:val="false"/>
          <w:i w:val="false"/>
          <w:iCs w:val="false"/>
          <w:color w:val="333333"/>
          <w:sz w:val="20"/>
          <w:szCs w:val="20"/>
        </w:rPr>
        <w:t>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ینسجم مع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المعادلات الواردة فی هذا النصّ ینبغی أن یُقرأ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متحوّل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علامتا الزائد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تدلاّن علی أنّ الحالة لها قیمة موجبة أو سلبیّة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المطالعة حول فکرة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 یرجی مراجعة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أولاندَر، تقوی الله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للحر هو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ثکلتک أُمّک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یعدّها أحد من اللغویین من ألفاظ السبّ والشتم؛ لأن معنی الثکل یدّل علی فقدان الحبیب، ویختص بفقدان الولد عند بعض أهل اللغة ، ویستعمل کذلک فی فقدان المرأة زوجها، وفی فقدان الرجل والمرأة ولدهما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وبذلک تندرج هذه العبارة تحت عنوان الدعاء لا الشتم والسُّباب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فتعبیر الکاتب غیر دقیق؛ إذ نسب للإمام قیامه بشتم مَن سیصبح من أنصاره بعد 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ذهبوا لینصرفوا، حالَ القومُ بینهم وبین الانصراف، فقال الحسینُ للحُرِّ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 أُمُّک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لو غیرُک من العربِ یقولُها لی وهو علی مثلِ الحالِ التّی أنتَ علیها ما ترکتُ ذِکرَ أُمِّه بالثکل أنْ أقوله کائناً من کان، ولکنْ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إلی ذِکرِ أُمِّکَ من سبیلٍ إلّا بأحسن ما یُقدر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تُرید؟ 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واللهِ أن أنطلقَ بک إلی عبیدِالله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والله لا أتبعُک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والله لا أدعک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فترادّا القولَ ثلاثَ مرّاتٍ، ولما کثُرَ الکلامُ بینَهما قالَ لهُ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أُومر بقتالِکَ، وإنّما أُمرتُ ألّا أفارقَک حتّی أقدمک الکوفةَ، فإذا أَبَیتَ فخُذْ طریقاً لا تُدخلُکَ الکوفةَ ولا تردُّکَ إلی المدینة، تکون بینی وبینَک نصَفاً حتّی أکتُبَ إلی ابنِ زیاد، وتکتُبَ أنتَ إلی یزید بن معاویة إن أَردتَ أن تکتبَ إلیهِ أو إلی عبیدِالله بنِ زیاد إن شِئتَ، فلعلّ الله إلی ذاک أن یأتیَ بأمرٍ یرزقنی فیه العافیةَ من أن أُبتَلی بشیءٍ من أمرِک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قول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الشتم، بل دعاء بالهلاک وفقدان الأُمّ لولدها؛ لفعلٍ سیئ یقوم به أو قول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الحسینَ خطبَ أصحابَه وأصحابَ الحُرّ بالبیضةِ،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رأی سلطاناً جائراً، مستحلاً لحُرَم الله، ناکثاً لعهدِ الله، مخالفاً لسُنّةِ رسولِ الله، یعملُ فی عبادِ الله بالإثمِ والعدوان، فلم یغیّر علیه بفعلٍ ولا قولٍ، کان حقّاً علی اللهِ أن یُدخله مدخله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 هؤلاءِ قد لزموا طاعةَ الشیطانِ، وترکوا طاعةَ الرحمانِ، وأظهروا الفسادَ، وعطّلوا الحدودَ، واستأثروا بالفیءِ، وأحلّوا حرامَ الله، وحرَّموا حلالَه، وأنا أحقُّ من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أتتنی کتبُکم وقدمت علیّ رسلُکم ببیعتکم أنّکم لا تسلمونی ولا تخذلونی، فإنْ تممتم علی بیعتِکم تصیبوا رشدَکم، فأنا الحسینُ بنُ علیّ وابنُ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نفسی مع أنفسِکم، وأهلی مع أهلیکم، فلکم فیّ أسوةٌ، وإن لم تفعلوا ونقضتم عهدَکم وخلعتم بیعتی من أعناقِکم، فلعمری ما هی لکم بنُکرٍ، لقد فعلتموها بأبی وأخی وابنِ عمّی مسلم، والمغرور مَن اغترّ بکم، فحظّکم أخطأتم ونصیبَکم ضیّعتم، ومَن نکثَ فإنّما ینکثُ علی نفسِه، وسیغنی الله عنکم، والسلامُ علیکم ورحمةُ الله وبرکاتُه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الواضح جدّاً أنّ هذه الکلمات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فحظّکم أخطأتم ونصیبَکم ضیّعتم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تشیر إلی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الخصوص قد حذوت حذو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معاناة الخلاص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Ayoub</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Redemptive Suffering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کَانَ لَکُمْ فِی رَسُولِ اللَّهِ أُسْوَةٌ حَسَنَةٌ لِمَنْ کَانَ یَرْجُو اللَّهَ وَالْیَوْمَ الْآخِرَ وَذَکَرَ اللَّهَ کَثِیرًا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فیما سیأتی لاحقاً فی القصّة، یذکّر الحسین بوظیفة النبی ودوره فی حیاة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مفهوم البیعة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تایان، البیعة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Tyan</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Bay’a</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 حیاة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عن تأویل آی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عن تأویل آی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الموضوع راجع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أس، تی 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Van 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TG</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وانسبْرو، دراسات قرآنیّة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Wansbrough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Quranic Studies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أهل القلم المعاصرین تناولوا فکرة الشهادة فی الإسلام فی کتاباتهم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کولبرغ، الشهید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Kohlberg</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Shahid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فهرسة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بالرغم من أنّ الحسین قد أصبح النموذخ الأعلی للشهادة فی الإسلام، فهذه أوّل مرّة تأتی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لتشیر إلی الحسین فی هذه القصّة، حسب ما کان باستطاعتی أن أجدها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وأقبلَ الحُرّ یُسایره وهو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إنّی أُذَکّرُک الله فی نفسِک، فإنّی أشهدُ لئن قاتلتَ لتُقتلنّ، ولئن قوتلتَ لتَهلِکنّ فیما 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أَفبالموتِ تخوِّفُنی، وهل یعدو بکم الخطب أن تقتلونی؟ ما أدری ما أقولُ لکَ، ولکنْ أقولُ کما قالَ أخو الأوسِ لابنِ عمّه ولقیَهُ وهو یریدُ نُصرةَ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تذهبُ فإنّک مقتول،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سأمضی وما بالموتِ عارٌ علی الفتی</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العُذیب بالتصغیر وادی بنی تمیم، وهو حد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فیه مسلحة للفرس، وبینه وبین القادسیة ستّ أمیال، وکانت خیل النعمان ملک الحیرة ترعی فیه، فقیل عذیب الهجانات جمع الهجین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الدم الخلیط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سمعَ ذلکَ منهُ الحُرّ تنحّی عنهُ، وکانَ یسیرُ بأصحابِهِ فی ناحیةٍ، وحسینٌ فی ناحیةٍ أُخری، حتّی انتهوا إلی عذیبِ الهجانات، وکانَ بها هجائنُ النعمانِ ترعی هنالک، فإذا هم بأربعةِ نفر قد أقبلوا من الکوفةِ علی رواحلِهم، یجنبون فرساً لنافعِ بنِ هلال یقالُ له الکامل، ومعهم دلیلُهم الطرمّاح بن عدی علی فرسِهِ وهو یقول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لهمُ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أخبرونی خبرَ الناسِ وراءکم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مجمعُ بنُ عبدِالله العائذی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النفرِ الأربعة الذین جاؤوه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أشرافُ الناسِ، فقد أُعظمت رشوتُهم ومُلئت غرائرُهم، یُستمالُ ودُّهم ویُستخلصُ بهِ نصیحتُهم، فهم ألبٌ واحدٌ علیکَ، وأمّا سائرُ الناسِ بعد، فإنَّ أفئدتَهم تهوی إلیکَ وسیوفَهم غداً مشهورةٌ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أخبرونی فهل لکم برسولی إلیکم؟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مسهر الصیداوی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أخذهُ الحصینُ بنُ تمیم، فبعثَ بهِ إلی ابنِ زیادٍ، فأمرَهُ ابنُ زیادٍ أنْ یلعنَک ویلعنَ أباک، فصلّی علیکَ وعلی أبیکَ، ولعنَ ابنَ زیادٍ وأباهُ، ودعا إلی نُصرتِک وأخبرَهم بقدومک، فأمرَ بهِ ابنُ زیادٍ فأُلقیَ من طمارِ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فترقرقتْ عینا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یملک دمعَهُ،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الْمُؤْمِنِینَ رِجَالٌ صَدَقُوا مَا عَاهَدُوا اللَّهَ عَلَیْهِ فَمِنْهُمْ مَنْ قَضَی نَحْبَهُ وَمِنْهُمْ مَنْ یَنْتَظِرُ وَمَا بَدَّلُوا تَبْدِیلًا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لنا ولهم الجنّةَ نزلاً، واجمع بیننا وبینهم فی مُستقرٍّ من رحمتِک ورغائب مذخورِ ثوابِک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عن تأویل آی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ویقصد به بحث تحلیل النص المعتمد، ویأتی بحسب تقسیم الکتاب البحث الثانی من الفصل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الخلود فی جهنّم أو النار کعقاب قد تناولها علماء الکلام المسلمون بالبحث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أدّعی أنّ هذه صورة کاملة عن البنیة الإسلامیّة الأساسیّة، فمن الممکن دراستها بالتفصیل أکثر وأکثر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وتصنیفات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کالضلالة القرآنیّة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یمکن إدخالها ضمن البنیة العامّة، فهذا الاصطلاح یختلف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المستعمل فی المخطّط، من حیث إنّ الضلالة تُستعمل کنقیض للهدایة، وبهذا تکون قریبة أو حتّی مرادفة للکفر فی القرآن وعلم التفسیر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تورونتو، ضال </w:t>
      </w:r>
      <w:r>
        <w:rPr>
          <w:rFonts w:eastAsia="IRNazanin" w:cs="IRNazanin"/>
          <w:b w:val="false"/>
          <w:bCs w:val="false"/>
          <w:i w:val="false"/>
          <w:iCs w:val="false"/>
          <w:color w:val="333333"/>
          <w:sz w:val="20"/>
          <w:szCs w:val="20"/>
        </w:rPr>
        <w:t>Toronto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Astray</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النیء والمطبوخ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یدخل الحُرّ أبداً فی عهدٍ مع الحسین، ولذلک لم یکن لدیه شیء لینقضه، فلو کان ینبغی إدخاله فی هذه القافلة من المتضادّات والوساطة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أعتقد أنّه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عندها ربّما سیکون التعارض واضحاً بصورة أفضل فی هذه المصطلحات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عنقه 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عنقه بیعة</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لمراجعة أوصاف الجنّة والنار فی الفکر التقلیدی للمسلمین یرجی مطالعة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وسمیث، فهم الموت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Haddad And Smith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Understanding Of Death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والخصب المرتبط به هو أیضاً رمز فارسی للمَلَکیّة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الأجزاء الأُولی من تاریخ الطبری والذی یتعامل فیها مع تاریخ الساسانیّین، یروی الطبری کیف أنّ حکم الملِک الصالح یجلب الماء للأنهار والسواقی، وکیف یصیر الماء غزیراً، وربّما یکون فی هذا أیضاً نتائج لصورة الحسین کقائد سیاسی کما أشارت إلی ذلک أُلریکا مارتنسون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Ulrika Mårtensson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مارتنسون، العهد الجدید الحقیقی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True New Testament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مارتنسون، النصّ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Discourse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الهبری، إعادة التأویل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El-Hibri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Reinterpreting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لمطالعةٍ لنفس الموضوع فی أجزاء أُخری من تاریخ الطبری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سأناقش عمّا قریب رمز الماء خلال القصّة کلّها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دلالات قویّة علی الهدایة، وهکذا ترجمها هاوارد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سبیل المثال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حالة من القدسیّة أوسع من الطهارة، ولکنّه یتضمّن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للمطالعة حول مفهوم الإحرام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وجومییر،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فکرة طهارة الشهید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غروتَر، مراسیم تشییع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کولبیرغ،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حدّاد وسمیث، فهم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اعتمدتُ فی البحث الآتی عن الحیاة والموت علی هذا الکتاب بصورة أساسیّة، وکذلک علی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أرنالدیز، الحیاة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Arnaldez</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Hayat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نتون، الحیاة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Netton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Life</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حدّاد وسمیث، فهم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مناقشة هذا الموضوع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أرنالدیز، الحیاة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Hayat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ونِتون، الحیاة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Life</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العادة أنّ کون الشخص الذی یموت مؤمناً لا یکون شرطاً کافیاً لتصنیف هذا الموت بأنّه الشهادة، فهناک خصائص أُخری لازمة، کالموت أثناء القتال النظامی من أجل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کولبیرغ،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الشروط لم تُذکَر هنا صراحةً إلّا أنّها قد تکون ذُکِرت ضمناً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الملفت ملاحظة أنّ الآیات التی تأتی مباشرةً بعد هذا المثل القرآنی الذی ناقشناه، تذکر مقطعاً یتحدّث عن الهدایة الإلهیّة، والحساب الأخیر، والعاقبة النهائیّة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سورة یونس، آیة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یمکننا أن نعلم إن کان الطبری أو غیره ممَّن کتبوا عن أحداث کربلاء هل مرّ ببالهم هذا المقطع عند کتابتهم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العلاقات البنیویّة لافتة للنظر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الصفحات السابقة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علی خلاصة للقصّة، یرجی مراجعة الملحق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ولهاوزن، النزاعات الدینیّة السیاسیّة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Wellhausen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Religio-Political Factions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بعض هؤلاء الرجال، راجع ملاحظات هاوارد فی ترجمة لتاریخ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إعادة بناء التاریخ عن دور أشراف الکوفة فی زمن الخلیفتین الراشدین عمر وعلیّ،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هِندز، دراسات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Hinds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Studies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هناک مَن ترک جیش عمر بن سعد والتحق بالحسین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عمرو بن خبیة بن قیس التمیمی، وقِیل هناک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هو ابن زیاد ابن أبیه، وسمّی زیاد بذلک؛ لأنّه لم یُعرف أبوه، فأُمّه سمیّة کانت مشهورةً بالبغاء، ومن هنا غالباً ما یُشار إلی زیاد بابن 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ابن أبیه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Hasson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Ziyad B. Abihi</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وسأُناقش هذا عمّا قریب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تقییم ولهاوزن الإیجابی لابن زیاد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حیث اتّهمه الحسین بأنّه لا دین ولا إیمان له، ولم یردّ الشمر هذه التهمة عن نفسه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ذُکرت ستّة آراء فیمَن قتل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أتدرونَ مِن أینَ أُتی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علیٌّ خیرٌ مِن أبیهِ، وأُمّی فاطمةٌ خیرٌ مِن أُمّه، وجدّی رسولُ الله خیرٌ مِن جدِّه، وأنا خیرٌ منه وأحقُّ بهذا الأمرِ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خیرٌ من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حاجّ أبی أباه وعلِم الناسُ أیّهما حُکم له، وأمّا قولُه أُمّی خیرٌ مِن أُمّه، فلعمری فاطمةُ ابنةُ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من أُمّی، وأمّا قولُه جدّی خیرٌ مِن جدِّه، فلعمری ما أحد یؤمنُ بالله والیومِ الآخرِ یری لرسولِ الله فینا عِدْلاً ولا نِدّاً، ولکنّه إنّما أُتی من قِبَلِ فقهه ولم یقرأ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اللَّهُمَّ مَالِکَ الْمُلْکِ تُؤْتِی الْمُلْکَ مَنْ تَشَاءُ وَتَنْزِعُ الْمُلْکَ مِمَّنْ تَشَاءُ وَتُعِزُّ مَنْ تَشَاءُ وَتُذِلُّ مَنْ تَشَاءُ بِیَدِکَ الْخَیْرُ إِنَّکَ عَلَی کُلِّ شَیْءٍ قَدِیرٌ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مستشهداً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تقییم الوضع العام للأُمویّین فی هذه المسألة،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شارون، التطوّر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Sharon</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Development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هاوارد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وأن علّقنا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بین یزید وزینب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فی تاریخ الطبری،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هاوارد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لمطالعة أکثر شمولیة حول الترتیب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للأخبار التی تروی أحداث ما بعد المعرکة، وما تضمّنتها من معانٍ، یُرجی مراجعة الملحق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هاوارد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هاوارد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لمطالعة شاهد آخر علی ذلک یظهر عمر بن سعد فیه لوعته،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هاوارد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هاوارد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الحُرّ هو الرجل الوحید الذی ترک الجیش الأُموی والتحق بالحسین، فقد ذکر الطبری أنّ یزید ابن زیاد بن المهاصر الذی کان واحداً من الذین جاؤوا مع عمر بن سعد للقتال ضدّ الحسین، ولکنّه التحق بعد ذلک بالحسین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 الذی أُعطی للحُرّ فی مسألة تغییر الولاء کبیر جدّاً وغیر قابل للمقارنة، ربّما بسبب مکانته فی أهل الکوفة وبلائه فی المعرکة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فتشیا فاغلییری، الحسین بن علیّ بن أبی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Veccia Vaglieri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Husayn B. Ali B. Abi Talib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دکاکی، الولاء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Dakake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Loyalty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زهیر بن القین وتحوّله،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أبرزهم مسلم بن عوسجة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عابس ابن أبی شبیب الشاکری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ثمامة الصائدی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المؤسف حقّاً أنّ النساء فی 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بالرغم من دورهنّ الثانوی باستثناء واحدة أو اثنتین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مواقفهنّ جمیعاً إیجابیّة تجاه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تُذکر ولا واحدة فی جمیع أحداث کربلاء بأنّها کانت تعارض الحسین، أو حرکته، بل بالعکس، فقد رأینا نساءً قد أنّبن رجالهنّ علی التحاقهم بالمعسکر المقابل للحسین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القصّة من منظور الجنس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ذکراً أو 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ستعطی نتائج ممتعة جدّاً، ولکن هذا بعید عن غرض هذا البحث</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المعقوفتین من المحقّق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محاولة یزید أخذ البیعة من الحسین،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وحول موقف ابن الزبیر تجاه الحسین، 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هاوارد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هاوارد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عن تأویل آی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الآیات المشار إلیها فی الملاحظة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إیزوتسو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Izutsu</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Izutsu</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Concepts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کرون، الفکر السیاسی </w:t>
      </w:r>
      <w:r>
        <w:rPr>
          <w:rFonts w:eastAsia="IRNazanin" w:cs="IRNazanin"/>
          <w:b w:val="false"/>
          <w:bCs w:val="false"/>
          <w:i w:val="false"/>
          <w:iCs w:val="false"/>
          <w:color w:val="333333"/>
          <w:sz w:val="20"/>
          <w:szCs w:val="20"/>
        </w:rPr>
        <w:t>Crone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Political Thought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للمطالعة حول مصطلح الإمام بعنوان الفقیه الأفضل یُرجی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کالْدَر، الأهمّیّة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Calder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Significance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وحول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کمرادفٍ للإسلام فی القرآن، یرجی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إیزوتسو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Izutsu</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رأی الطبری فی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عن تأویل آی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هاوارد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الانطباع فی ترجمة هاوارد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مترادفان فی النصّ العربی یوجد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مصدری الوحی هذین، وبهذا علی الترجمة أن تدرج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الله وسُنّة نبیّه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زینب حول الحسین وبقیّة أفراد العائلة بعد المعرکة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ملاحظة</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ذلک هوجسون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أصبح الشیعة الأوائل متعصّبین؟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Hodgson</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How Did The Early Shia Become Sectarian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دکاکی، 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دراسة حول أحداث کربلاء، حیث یرکّز المؤلِّف فیها علی حرمة الحسین، ولم یعتمد دکاکی علی الطبری فقط، وإنّما اعتمد علی مصادر أُخری أیضاً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الموضعان الآخران اللذان وردت فیهما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ومواضع أُخری متفرّقة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یبدو من کلام الحر مع أهل الکوفة خلاف هذا، فدافعه إنسانی ودینی، وتصاعد هذا الدافع عندما کان مَن وقع علیهم الظلم هم أهل بیت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ویؤیّد هذا مواقفه مع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الموقف اتّخذوه تجاه ولد الحسین علیّ الأکبر حیث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الکوفة کانوا یخشون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تری دکاکی أنّ دعوة الحسین لنصرته هی موضوع فی غایة الأهمّیة فی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دکاکی، 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دکاکی، 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المعقوفتین من المحقّق</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مختصرة عن هذه الحادثة توجد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لعنٌ آخر مثل هذا مع عواقبه ورد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القسم العاشر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الملحق</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أظنّ أنّ الطبری قد نظر إلی دموع یزید بارتیاب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سنری لاحقاً أنّ ابن زیاد أمر له بماء فسقی بخزفة، ثمّ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لم یمنعنا أن نسقیک فیها إلّا کراهة أن تحرم بالشرب فیها ثمّ نقتلک، ولذلک سقیناک فی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حالة خاصّة حیث لم یُفضِ فیها الماء إلی الحیاة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وفاته حوالی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المخطّط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أُخری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روایة أُخری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الروایة هناک تأکید علی موضوع الماء، ولکنّ الحدیث النبوی غیر موجود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الحسین الموقف نفسه عندما ألحّ علیه أحد أصحابه لقتال کتیبة الحُرّ التی کانت قلیلةً نوعاً ما قبل أن یصل جیش عمر بن سعد، ولکنّ الحسین أبی ذلک؛ لأنّه لا یرید أن یکون البادئ بقتال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هانئ بن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جثمان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الممکن هو عندما خاطب الحسین أهلَ الکوفة قبل مقتله بقلیل،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أن لو قد قتلتمونی لقد ألقی الله بأسکم بینکم وسفک دماءکم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حول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الأبحاث السابقة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شوشان، دراسة فی الشعر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Shoshan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Poetics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هذا البحث کذلک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أیوب، معاناة الخلاص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Ayoub</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Redemptive Suffeing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یقصده هنا المعنی اللغوی الشائع للهلاک وهو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فی النصوص هو الانصراف عن أهل الکوفة، وذلک فی المفاوضات مع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کتب الإمام الحسین لعمر بن سعد بعدما وصلته رسالته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إلیّ أهل مصرکم هذا أن أقدم فأمّا إذا کرهتمونی فإنّی أنصرف عنکم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یصحّ إذا کان الشخص الثائر إنساناً عادیاً، ووضع خطة لبلوغ أهدافه ولکن الریاح کانت تجری عکس حرکته، وبدّدت کلّ خططه، أمّا الإمام الحسین فالأمر مختلف بالنسبة له؛ إذ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ومنذ بدایة ثورته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یقین من النتائج، ویعلم من البدایة أن ما سیقع کیفما کان هو من أمر الله وتقدیره، 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خلال خطبته عندما أراد الخروج من مکة کشف عن النهایة التی أسماها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تجنّب الحسین المعرکة بعِزٍّ،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الرأی الذی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حدث کان مقدّراً من الله، وسیؤدّی إلی أفضل ما سیکون، 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شوشان، دراسة فی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شوشان، دراسة فی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شوشان، دراسة فی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شوشان، دراسة فی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مشیراً إلی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نعرف المغزی من وراء مناشدات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علی فرض صحّة صدورها، وإنّما هی لیجنب أعداءه نار جهنم، وحتی لا تصبّ علیهم ویلات الدنیا والآخرة؛ وحتی یُلقی علیهم الحجّة لیحیا مَن حیِیَ عن بینة، ویموت مَن مات عن بینه؛ لأنّهم یقدمون علی أکبر جریمة فی الإسلام، الأمر الذی یقتضی أن تتناسب الحجّة مع عظمتها، والمتأمّل فی سیرة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أعدائه هؤلاء سیعرف أنّ الإمام الحسین کان یمثّل الرحمة الإلهیة لهم، ولکنّهم قست قلوبهم وعُمیت أبصارهم، فسوّدوا صفحات التاریخ بجریمتهم النکراء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تفسیر خاطئ لما سیحدث بعد مقتل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کان یری دمه هو الذی سیعید الإسلام إلی حقیقته، وحتی یتمیّز الإسلام الصحیح القائم علی الکتاب وسنة الرسول من ذلک الإسلام المنحرف، الذی أصابته عدوی الیهودیة والمسیحیة، وصار یقلب المفاهیم ویغیّرها، إلی درجة أن یکون خلیفة المسلمین أفسقهم، وهم لا یغیّرون علیه بفعلٍ ولا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استعداد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لإعطاء البیعة لیزید لیس له أیُّ مستند تاریخی، بل بالعکس، کلُّ الخطابات التی صدرت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 وأثناء المعرکة تدلّ علی عکس هذا الادّعاء، وأذکر شاهدین علی ذلک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الذی یقدّمه النصّ حول رفض الحسین إعطاء البیعة لابن زیاد لیس واضحاً کلّ الوضوح، مع أنّ هناک تلمیح فیه إلی خشیة الحسین فیما لو أنّه سلّم نفسه إلی ابن زیاد، فإنّه سیُقتَل بمهانة لا تلیق بسبط النبیّ، کما فُعِل مع ابن عمّه مسلم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ترجمة هاوارد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وأماکن أُخری متفرّقة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الفکرة التی ضربت جذورها إلی حدٍّ کبیر فی التشیّع فیما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أیّوب، معاناة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هالْم، الإسلام الشیعی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Halm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Shia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جافری،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Jafri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Origins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لاحظنا فیما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تحلیل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الحسین استخدم هذه الکلمة حول نفسه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وجهة نظر إسلامیّة صارمة، فإنّ الحسین لا یمکنه تقدیم دمه باختیاره؛ حیث إنّ حیاته المادیّة لیست ملکه هو، بل هی لله وحده، وعلی هذا تکون تلک رغبة الحسین فی الاستسلام لإرادة الله الذی یعطی ویأخذ الحیاة حسب ما یراه الأصلح، وهکذا أعتبر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تقدیم الحسین لدمه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 علی الجدول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ینبغی القول بالرغم من الإشارة أحیاناً إلی کفر بنی أُمیّة وأهل الکوفة، إلّا إنّه من الصعب التوقّع من الطبری أن یعتبرهم خارجین عن الإسلام، فإنّ انقسام الأُمّة کان أمراً واقعاً، ولم یکن هناک شکّ حول مَن اعتبرهم الطبری علی الحقّ، ومع هذا لم یذهب بعیداً، بأن ینکر إیمان خصوم الحسین؛ ولهذا ما زلتُ أری أنّ من المناسب وضع ثالوث التضادّ والوساطة للماء والدم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أعلاه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هاوتنغ، مقدّمة المترجم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Hawting</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Translator’s Foreword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Xvi-Xvii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مرویّة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لمطالعة دراسات وتعلیقات عن حرکة التوابین،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التوّابون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Denny</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Tawawabun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هالم، الإسلام 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مقالة رائعة، یری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هاوتنغ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 R. Hawting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حرکة التوّابین هی الرابط الذی یربط مقتل الحسین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الغفران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الیهود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هاوتنغ،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التوّابون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مستشهداً بالقرآن، سورة البقرة، 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هاوتنغ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الآیة حسب تفاسیر المسلمین التقلیدیّة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بضمنها تفسیر الطبری،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عن تأویل آی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القسم الأوّل،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تشیر إلی العجل الذی صنعه الیهود من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إسرائیل أن یقتل أحدهم الآخر؛ لأجل الاستغفار من ذنبهم، وقد فعلوا ذلک بإرادتهم حتّی منعهم الله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لمطالعة ذلک فی الکتاب المقدّس، والذی فیه أنّ اللاویین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أبناء لاوی ابن النبیّ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أُمروا بقتل المذنبین منهم، راجع 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لمطالعة نظائر أُخری عند الیهود،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هاوتنغ، التوّابون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هالم، الإسلام 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هالم، الإسلام 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هالم، الإسلام 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هاوتنغ، التوّابون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الصفحات المتقدمة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سکوبلا، اقرأ لیفی شتراوس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البحث</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تفسیر هذه العملیة بالجبن وطلب غایات دنیویة؛ لأنّ الجبن أو طلب الدنیا لیس من شأنهما الدفع إلی الموت وترک ما یطلبونه؛ إذ فی هذا مخالفةٌ لأمر بدیهی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هالم، الإسلام 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للمطالعة حول تحذیر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طُرح فی اصطلاحات سیاسیّة أکثر وبتکلّفٍ،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موضوع کتابة التاریخ الإسلامی المبکّر،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دونَر، الروایات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Donner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Narratives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نوث وکونراد، العُرف التاریخی العربی المبکّر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Noth And Conrad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Early Arabic Historicaltradition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للمطالعة حول هذا المفهوم فی المناظرات السیاسیّة المعاصرة، 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اسبوسیتو وفول، الإسلام والدیمقراطیّة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Esposito And Voll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Islam And Democracy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تایوب، عبد القادر، تفسیر الطبری للفتنة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Tayob</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Tabari’s Exegesis Of Fitna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تایوب، عبد القادر، تفسیر الطبری للفتنة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فیتشیا فاغلییری، الحسین بن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فیرنون شوبیل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Vernon Schubel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أنّ المسلمین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دول جنوب آسیا فی الزمن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یحتفلون کذلک بمقتل الحسین، ولکنْ بطریقة بهیجة تختلف تماماً عن الشیعة؛ لأنّهم یؤکّدون علی عنصر الانتصار علی الشرّ فی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سکوبلا، الأداء الدِّینی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Scubla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Religious Performance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تحلیل المؤلف ودراسته البنیویة، إذ هناک عدة آراء حول فلسفة وأسباب النهضة الحسینیة ومنها إقامة الحکومة الإسلامیة حتی یتسنی إیصال کل حق لصاحبه والعمل بالشریعة الإسلامیة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موضوع الماء کصورة للمَلَکیّة فی عصر الإسلام الأوّل،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الهبری، إعادة التأویل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El-Hibri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Reinterpreting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مارتنسون، العهد الجدید الصحیح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Mårtensson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True New Testament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مارتنسون، النصّ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Discourse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رِنْغْرَن، الخصائص الدِّینیّة للخلافة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Ringgren</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Religious Aspects Of The Caliphate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لیفی شتراوس، النیء والمطبوخ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بالرغم من أنّ هذه القصة قد ذُکرت فی مصادر تاریخیة مختلفة، ونقلها الکاتب هنا معتمداً علی تاریخ الطبری؛ إلّا أنّ القصة یمکن أن تکون من الدسّ المراد به الخدش فی رموز ثورة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وشخصیات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وذلک لما سنذکره من ملاحظات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یتعامل معهم بالحسنی ویشهد علی ذلک کیفیة تعامله معهم حین وصولهم للشام بل أخذهم أسری مقیدین یحیط بهم الجند خیر دلیل علی نوایا یزید، وما أظهره من تغییر إنما کان عن اضطرار وخوف من انقلاب الأمور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الملاحظة</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الأمر موضع بحثٍ ونقاش، بین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عثمانی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مَن یری خلاف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هذا وذلک لم یکن هناک مَن یری أنّه من أتباع بنی أُمیّة؛ فمجرّد المیل لبنی أُمیّة لا یجعله من أتباعهم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یذکر هنا هو بحسب ما ورد فی هذه الروایات وحسب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هو فریة من قِبل بنی أُمیّة لتشویه الثورة الحسینیة؛ وذلک لعدّة أُمور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بعض المصادر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شقّت جیبها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ولکن فی بعض المصادر کما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أوصی أن لا یشقّوا علیه جیباً، ولا یخمشوا وجهاً، ولم یذکر أنّ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 جیبها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حول مقتل یزید بن زیاد بن المحاصر أبو الشعثاء الکندی، التی تظهر بارزة فی الأحداث، والتی فیها ملاحظة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کان من الأوائل الذین قُتلوا فی المعرکة،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إنّه کان للحسین ولدان باسم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الأکبر، وعلیّ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الأصغر مریضاً أثناء المعرکة ولم یستطع المشارکة فی القتال، وکان واحداً من الذکور القلائل من أهل الحسین الذین بقوا أحیاءً بعد المعرکة، وقد أصبح الإمام الرابع من أئمّة الشیعة باسم علیّ زین العابدین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المخطّط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التناقض فی هذه الروایات، الذی یکشف عن حالة من تمییع الوقائع وتغییب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من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المحتمل أن یکون هذا الجزء مقحماً فی نصِّ أبی مخنف؛ إذ لا یوجد فی إسناده أبو مخنف، ولا یوجد فی بعض النسخ الأُخری کالبلاذری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نصِّ الطبری یوجد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ولکن صُحّح هذا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Addenda And Emendanda DCLIV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نسخة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الذی یشتمل علی القسمین السادس والسابع قد حُشِر بکلِّ تأکیدٍ فی النصِّ الأصلی، بالرغم من أنّ له إسناداً یتّصل بأبی مخنف؛ وذلک لأسباب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النصّ هنا وبعد بضعة أسطر أیضاً، وبعد سطرین من ذلک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السطر الثامن والسطر الحادی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الکلمة أضعف کثیراً من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تُستعمل عادةً فی السیاقات المشابهة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 الأمر بالمعروف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Cook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Commanding Right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ویستعملها البلاذری فی المکان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 کوک أنّ الکلمة هنا ینبغی أن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ملاحظة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وأنا أختار هذه الکلمة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من المؤلِّف ولیس من المحقّق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هاوارد، مقدّمة المترجم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Xi-Xiv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شوشان، رسالة فی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خصوصاً الملاحظة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مارتنسون، أُلریکا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الجدید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لمطالعة کاملة عن أحداث کربلاء فی روایة الطبری، راجع الملحق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هوجسون، اثنان من المؤرّخین المسلمین ما قبل الحداثة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Two Pre-Modern Muslim Historians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همفریز، الأُسطورة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دراسة مطوّلة حول أُسلوب الطبری هذا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الشعر لشوشان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3.png"/><Relationship Id="rId9" Type="http://schemas.openxmlformats.org/officeDocument/2006/relationships/footer" Target="footer2.xml"/><Relationship Id="rId10" Type="http://schemas.openxmlformats.org/officeDocument/2006/relationships/image" Target="media/image4.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5.png"/><Relationship Id="rId14" Type="http://schemas.openxmlformats.org/officeDocument/2006/relationships/footer" Target="footer3.xml"/><Relationship Id="rId15" Type="http://schemas.openxmlformats.org/officeDocument/2006/relationships/image" Target="media/image6.png"/><Relationship Id="rId16" Type="http://schemas.openxmlformats.org/officeDocument/2006/relationships/image" Target="media/image6.png"/><Relationship Id="rId17" Type="http://schemas.openxmlformats.org/officeDocument/2006/relationships/footer" Target="footer4.xml"/><Relationship Id="rId18" Type="http://schemas.openxmlformats.org/officeDocument/2006/relationships/image" Target="media/image7.png"/><Relationship Id="rId19" Type="http://schemas.openxmlformats.org/officeDocument/2006/relationships/image" Target="media/image7.png"/><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image" Target="media/image7.png"/><Relationship Id="rId61" Type="http://schemas.openxmlformats.org/officeDocument/2006/relationships/image" Target="media/image7.png"/><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image" Target="media/image8.png"/><Relationship Id="rId72" Type="http://schemas.openxmlformats.org/officeDocument/2006/relationships/image" Target="media/image8.png"/><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image" Target="media/image9.png"/><Relationship Id="rId78" Type="http://schemas.openxmlformats.org/officeDocument/2006/relationships/image" Target="media/image9.png"/><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image" Target="media/image7.png"/><Relationship Id="rId119" Type="http://schemas.openxmlformats.org/officeDocument/2006/relationships/image" Target="media/image7.png"/><Relationship Id="rId120" Type="http://schemas.openxmlformats.org/officeDocument/2006/relationships/image" Target="media/image7.png"/><Relationship Id="rId121" Type="http://schemas.openxmlformats.org/officeDocument/2006/relationships/image" Target="media/image7.png"/><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image" Target="media/image10.png"/><Relationship Id="rId140" Type="http://schemas.openxmlformats.org/officeDocument/2006/relationships/image" Target="media/image10.png"/><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footer" Target="footer131.xml"/><Relationship Id="rId159" Type="http://schemas.openxmlformats.org/officeDocument/2006/relationships/image" Target="media/image7.png"/><Relationship Id="rId160" Type="http://schemas.openxmlformats.org/officeDocument/2006/relationships/image" Target="media/image7.png"/><Relationship Id="rId161" Type="http://schemas.openxmlformats.org/officeDocument/2006/relationships/footer" Target="footer132.xml"/><Relationship Id="rId162" Type="http://schemas.openxmlformats.org/officeDocument/2006/relationships/image" Target="media/image7.png"/><Relationship Id="rId163" Type="http://schemas.openxmlformats.org/officeDocument/2006/relationships/image" Target="media/image7.png"/><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footer" Target="footer146.xml"/><Relationship Id="rId178" Type="http://schemas.openxmlformats.org/officeDocument/2006/relationships/footer" Target="footer147.xml"/><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image" Target="media/image11.png"/><Relationship Id="rId192" Type="http://schemas.openxmlformats.org/officeDocument/2006/relationships/image" Target="media/image11.png"/><Relationship Id="rId193" Type="http://schemas.openxmlformats.org/officeDocument/2006/relationships/footer" Target="footer160.xml"/><Relationship Id="rId194" Type="http://schemas.openxmlformats.org/officeDocument/2006/relationships/footer" Target="footer161.xml"/><Relationship Id="rId195" Type="http://schemas.openxmlformats.org/officeDocument/2006/relationships/footer" Target="footer162.xml"/><Relationship Id="rId196" Type="http://schemas.openxmlformats.org/officeDocument/2006/relationships/footer" Target="footer163.xml"/><Relationship Id="rId197" Type="http://schemas.openxmlformats.org/officeDocument/2006/relationships/footer" Target="footer164.xml"/><Relationship Id="rId198" Type="http://schemas.openxmlformats.org/officeDocument/2006/relationships/footer" Target="footer165.xml"/><Relationship Id="rId199" Type="http://schemas.openxmlformats.org/officeDocument/2006/relationships/footer" Target="footer166.xml"/><Relationship Id="rId200" Type="http://schemas.openxmlformats.org/officeDocument/2006/relationships/footer" Target="footer167.xml"/><Relationship Id="rId201" Type="http://schemas.openxmlformats.org/officeDocument/2006/relationships/footer" Target="footer168.xml"/><Relationship Id="rId202" Type="http://schemas.openxmlformats.org/officeDocument/2006/relationships/footer" Target="footer169.xml"/><Relationship Id="rId203" Type="http://schemas.openxmlformats.org/officeDocument/2006/relationships/footer" Target="footer170.xml"/><Relationship Id="rId204" Type="http://schemas.openxmlformats.org/officeDocument/2006/relationships/footer" Target="footer171.xml"/><Relationship Id="rId205" Type="http://schemas.openxmlformats.org/officeDocument/2006/relationships/footer" Target="footer172.xml"/><Relationship Id="rId206" Type="http://schemas.openxmlformats.org/officeDocument/2006/relationships/footer" Target="footer173.xml"/><Relationship Id="rId207" Type="http://schemas.openxmlformats.org/officeDocument/2006/relationships/footer" Target="footer174.xml"/><Relationship Id="rId208" Type="http://schemas.openxmlformats.org/officeDocument/2006/relationships/footer" Target="footer175.xml"/><Relationship Id="rId209" Type="http://schemas.openxmlformats.org/officeDocument/2006/relationships/footer" Target="footer176.xml"/><Relationship Id="rId210" Type="http://schemas.openxmlformats.org/officeDocument/2006/relationships/footer" Target="footer177.xml"/><Relationship Id="rId211" Type="http://schemas.openxmlformats.org/officeDocument/2006/relationships/footer" Target="footer178.xml"/><Relationship Id="rId212" Type="http://schemas.openxmlformats.org/officeDocument/2006/relationships/footer" Target="footer179.xml"/><Relationship Id="rId213" Type="http://schemas.openxmlformats.org/officeDocument/2006/relationships/footer" Target="footer180.xml"/><Relationship Id="rId214" Type="http://schemas.openxmlformats.org/officeDocument/2006/relationships/image" Target="media/image12.png"/><Relationship Id="rId215" Type="http://schemas.openxmlformats.org/officeDocument/2006/relationships/image" Target="media/image12.png"/><Relationship Id="rId216" Type="http://schemas.openxmlformats.org/officeDocument/2006/relationships/footer" Target="footer181.xml"/><Relationship Id="rId217" Type="http://schemas.openxmlformats.org/officeDocument/2006/relationships/footer" Target="footer182.xml"/><Relationship Id="rId218" Type="http://schemas.openxmlformats.org/officeDocument/2006/relationships/footer" Target="footer183.xml"/><Relationship Id="rId219" Type="http://schemas.openxmlformats.org/officeDocument/2006/relationships/footer" Target="footer184.xml"/><Relationship Id="rId220" Type="http://schemas.openxmlformats.org/officeDocument/2006/relationships/footer" Target="footer185.xml"/><Relationship Id="rId221" Type="http://schemas.openxmlformats.org/officeDocument/2006/relationships/footer" Target="footer186.xml"/><Relationship Id="rId222" Type="http://schemas.openxmlformats.org/officeDocument/2006/relationships/image" Target="media/image13.png"/><Relationship Id="rId223" Type="http://schemas.openxmlformats.org/officeDocument/2006/relationships/image" Target="media/image13.png"/><Relationship Id="rId224" Type="http://schemas.openxmlformats.org/officeDocument/2006/relationships/footer" Target="footer187.xml"/><Relationship Id="rId225" Type="http://schemas.openxmlformats.org/officeDocument/2006/relationships/footer" Target="footer188.xml"/><Relationship Id="rId226" Type="http://schemas.openxmlformats.org/officeDocument/2006/relationships/footer" Target="footer189.xml"/><Relationship Id="rId227" Type="http://schemas.openxmlformats.org/officeDocument/2006/relationships/image" Target="media/image13.png"/><Relationship Id="rId228" Type="http://schemas.openxmlformats.org/officeDocument/2006/relationships/image" Target="media/image13.png"/><Relationship Id="rId229" Type="http://schemas.openxmlformats.org/officeDocument/2006/relationships/footer" Target="footer190.xml"/><Relationship Id="rId230" Type="http://schemas.openxmlformats.org/officeDocument/2006/relationships/footer" Target="footer191.xml"/><Relationship Id="rId231" Type="http://schemas.openxmlformats.org/officeDocument/2006/relationships/footer" Target="footer192.xml"/><Relationship Id="rId232" Type="http://schemas.openxmlformats.org/officeDocument/2006/relationships/footer" Target="footer193.xml"/><Relationship Id="rId233" Type="http://schemas.openxmlformats.org/officeDocument/2006/relationships/footer" Target="footer194.xml"/><Relationship Id="rId234" Type="http://schemas.openxmlformats.org/officeDocument/2006/relationships/footer" Target="footer195.xml"/><Relationship Id="rId235" Type="http://schemas.openxmlformats.org/officeDocument/2006/relationships/footer" Target="footer196.xml"/><Relationship Id="rId236" Type="http://schemas.openxmlformats.org/officeDocument/2006/relationships/footer" Target="footer197.xml"/><Relationship Id="rId237" Type="http://schemas.openxmlformats.org/officeDocument/2006/relationships/footer" Target="footer198.xml"/><Relationship Id="rId238" Type="http://schemas.openxmlformats.org/officeDocument/2006/relationships/footer" Target="footer199.xml"/><Relationship Id="rId239" Type="http://schemas.openxmlformats.org/officeDocument/2006/relationships/footer" Target="footer200.xml"/><Relationship Id="rId240" Type="http://schemas.openxmlformats.org/officeDocument/2006/relationships/footer" Target="footer201.xml"/><Relationship Id="rId241" Type="http://schemas.openxmlformats.org/officeDocument/2006/relationships/footer" Target="footer202.xml"/><Relationship Id="rId242" Type="http://schemas.openxmlformats.org/officeDocument/2006/relationships/footer" Target="footer203.xml"/><Relationship Id="rId243" Type="http://schemas.openxmlformats.org/officeDocument/2006/relationships/footer" Target="footer204.xml"/><Relationship Id="rId244" Type="http://schemas.openxmlformats.org/officeDocument/2006/relationships/image" Target="media/image7.png"/><Relationship Id="rId245" Type="http://schemas.openxmlformats.org/officeDocument/2006/relationships/image" Target="media/image7.png"/><Relationship Id="rId246" Type="http://schemas.openxmlformats.org/officeDocument/2006/relationships/image" Target="media/image7.png"/><Relationship Id="rId247" Type="http://schemas.openxmlformats.org/officeDocument/2006/relationships/image" Target="media/image7.png"/><Relationship Id="rId248" Type="http://schemas.openxmlformats.org/officeDocument/2006/relationships/footer" Target="footer205.xml"/><Relationship Id="rId249" Type="http://schemas.openxmlformats.org/officeDocument/2006/relationships/footer" Target="footer206.xml"/><Relationship Id="rId250" Type="http://schemas.openxmlformats.org/officeDocument/2006/relationships/footer" Target="footer207.xml"/><Relationship Id="rId251" Type="http://schemas.openxmlformats.org/officeDocument/2006/relationships/footer" Target="footer208.xml"/><Relationship Id="rId252" Type="http://schemas.openxmlformats.org/officeDocument/2006/relationships/footer" Target="footer209.xml"/><Relationship Id="rId253" Type="http://schemas.openxmlformats.org/officeDocument/2006/relationships/footer" Target="footer210.xml"/><Relationship Id="rId254" Type="http://schemas.openxmlformats.org/officeDocument/2006/relationships/footer" Target="footer211.xml"/><Relationship Id="rId255" Type="http://schemas.openxmlformats.org/officeDocument/2006/relationships/footer" Target="footer212.xml"/><Relationship Id="rId256" Type="http://schemas.openxmlformats.org/officeDocument/2006/relationships/footer" Target="footer213.xml"/><Relationship Id="rId257" Type="http://schemas.openxmlformats.org/officeDocument/2006/relationships/image" Target="media/image14.png"/><Relationship Id="rId258" Type="http://schemas.openxmlformats.org/officeDocument/2006/relationships/image" Target="media/image14.png"/><Relationship Id="rId259" Type="http://schemas.openxmlformats.org/officeDocument/2006/relationships/footer" Target="footer214.xml"/><Relationship Id="rId260" Type="http://schemas.openxmlformats.org/officeDocument/2006/relationships/footer" Target="footer215.xml"/><Relationship Id="rId261" Type="http://schemas.openxmlformats.org/officeDocument/2006/relationships/footer" Target="footer216.xml"/><Relationship Id="rId262" Type="http://schemas.openxmlformats.org/officeDocument/2006/relationships/footer" Target="footer217.xml"/><Relationship Id="rId263" Type="http://schemas.openxmlformats.org/officeDocument/2006/relationships/footer" Target="footer218.xml"/><Relationship Id="rId264" Type="http://schemas.openxmlformats.org/officeDocument/2006/relationships/footer" Target="footer219.xml"/><Relationship Id="rId265" Type="http://schemas.openxmlformats.org/officeDocument/2006/relationships/footer" Target="footer220.xml"/><Relationship Id="rId266" Type="http://schemas.openxmlformats.org/officeDocument/2006/relationships/footer" Target="footer221.xml"/><Relationship Id="rId267" Type="http://schemas.openxmlformats.org/officeDocument/2006/relationships/footer" Target="footer222.xml"/><Relationship Id="rId268" Type="http://schemas.openxmlformats.org/officeDocument/2006/relationships/footer" Target="footer223.xml"/><Relationship Id="rId269" Type="http://schemas.openxmlformats.org/officeDocument/2006/relationships/footer" Target="footer224.xml"/><Relationship Id="rId270" Type="http://schemas.openxmlformats.org/officeDocument/2006/relationships/footer" Target="footer225.xml"/><Relationship Id="rId271" Type="http://schemas.openxmlformats.org/officeDocument/2006/relationships/image" Target="media/image15.png"/><Relationship Id="rId272" Type="http://schemas.openxmlformats.org/officeDocument/2006/relationships/image" Target="media/image15.png"/><Relationship Id="rId273" Type="http://schemas.openxmlformats.org/officeDocument/2006/relationships/footer" Target="footer226.xml"/><Relationship Id="rId274" Type="http://schemas.openxmlformats.org/officeDocument/2006/relationships/image" Target="media/image16.png"/><Relationship Id="rId275" Type="http://schemas.openxmlformats.org/officeDocument/2006/relationships/image" Target="media/image16.png"/><Relationship Id="rId276" Type="http://schemas.openxmlformats.org/officeDocument/2006/relationships/image" Target="media/image17.png"/><Relationship Id="rId277" Type="http://schemas.openxmlformats.org/officeDocument/2006/relationships/image" Target="media/image17.png"/><Relationship Id="rId278" Type="http://schemas.openxmlformats.org/officeDocument/2006/relationships/footer" Target="footer227.xml"/><Relationship Id="rId279" Type="http://schemas.openxmlformats.org/officeDocument/2006/relationships/footer" Target="footer228.xml"/><Relationship Id="rId280" Type="http://schemas.openxmlformats.org/officeDocument/2006/relationships/footer" Target="footer229.xml"/><Relationship Id="rId281" Type="http://schemas.openxmlformats.org/officeDocument/2006/relationships/footer" Target="footer230.xml"/><Relationship Id="rId282" Type="http://schemas.openxmlformats.org/officeDocument/2006/relationships/footer" Target="footer231.xml"/><Relationship Id="rId283" Type="http://schemas.openxmlformats.org/officeDocument/2006/relationships/footer" Target="footer232.xml"/><Relationship Id="rId284" Type="http://schemas.openxmlformats.org/officeDocument/2006/relationships/footer" Target="footer233.xml"/><Relationship Id="rId285" Type="http://schemas.openxmlformats.org/officeDocument/2006/relationships/footer" Target="footer234.xml"/><Relationship Id="rId286" Type="http://schemas.openxmlformats.org/officeDocument/2006/relationships/footer" Target="footer235.xml"/><Relationship Id="rId287" Type="http://schemas.openxmlformats.org/officeDocument/2006/relationships/footer" Target="footer236.xml"/><Relationship Id="rId288" Type="http://schemas.openxmlformats.org/officeDocument/2006/relationships/footer" Target="footer237.xml"/><Relationship Id="rId289" Type="http://schemas.openxmlformats.org/officeDocument/2006/relationships/footer" Target="footer238.xml"/><Relationship Id="rId290" Type="http://schemas.openxmlformats.org/officeDocument/2006/relationships/footer" Target="footer239.xml"/><Relationship Id="rId291" Type="http://schemas.openxmlformats.org/officeDocument/2006/relationships/footer" Target="footer240.xml"/><Relationship Id="rId292" Type="http://schemas.openxmlformats.org/officeDocument/2006/relationships/footer" Target="footer241.xml"/><Relationship Id="rId293" Type="http://schemas.openxmlformats.org/officeDocument/2006/relationships/footer" Target="footer242.xml"/><Relationship Id="rId294" Type="http://schemas.openxmlformats.org/officeDocument/2006/relationships/footer" Target="footer243.xml"/><Relationship Id="rId295" Type="http://schemas.openxmlformats.org/officeDocument/2006/relationships/footer" Target="footer244.xml"/><Relationship Id="rId296" Type="http://schemas.openxmlformats.org/officeDocument/2006/relationships/footer" Target="footer245.xml"/><Relationship Id="rId297" Type="http://schemas.openxmlformats.org/officeDocument/2006/relationships/footer" Target="footer246.xml"/><Relationship Id="rId298" Type="http://schemas.openxmlformats.org/officeDocument/2006/relationships/footer" Target="footer247.xml"/><Relationship Id="rId299" Type="http://schemas.openxmlformats.org/officeDocument/2006/relationships/footer" Target="footer248.xml"/><Relationship Id="rId300" Type="http://schemas.openxmlformats.org/officeDocument/2006/relationships/footer" Target="footer249.xml"/><Relationship Id="rId301" Type="http://schemas.openxmlformats.org/officeDocument/2006/relationships/footer" Target="footer250.xml"/><Relationship Id="rId302" Type="http://schemas.openxmlformats.org/officeDocument/2006/relationships/image" Target="media/image18.png"/><Relationship Id="rId303" Type="http://schemas.openxmlformats.org/officeDocument/2006/relationships/image" Target="media/image18.png"/><Relationship Id="rId304" Type="http://schemas.openxmlformats.org/officeDocument/2006/relationships/footer" Target="footer251.xml"/><Relationship Id="rId305" Type="http://schemas.openxmlformats.org/officeDocument/2006/relationships/footer" Target="footer252.xml"/><Relationship Id="rId306" Type="http://schemas.openxmlformats.org/officeDocument/2006/relationships/footer" Target="footer253.xml"/><Relationship Id="rId307" Type="http://schemas.openxmlformats.org/officeDocument/2006/relationships/footer" Target="footer254.xml"/><Relationship Id="rId308" Type="http://schemas.openxmlformats.org/officeDocument/2006/relationships/footer" Target="footer255.xml"/><Relationship Id="rId309" Type="http://schemas.openxmlformats.org/officeDocument/2006/relationships/footer" Target="footer256.xml"/><Relationship Id="rId310" Type="http://schemas.openxmlformats.org/officeDocument/2006/relationships/footer" Target="footer257.xml"/><Relationship Id="rId311" Type="http://schemas.openxmlformats.org/officeDocument/2006/relationships/footer" Target="footer258.xml"/><Relationship Id="rId312" Type="http://schemas.openxmlformats.org/officeDocument/2006/relationships/footer" Target="footer259.xml"/><Relationship Id="rId313" Type="http://schemas.openxmlformats.org/officeDocument/2006/relationships/footer" Target="footer260.xml"/><Relationship Id="rId314" Type="http://schemas.openxmlformats.org/officeDocument/2006/relationships/image" Target="media/image19.png"/><Relationship Id="rId315" Type="http://schemas.openxmlformats.org/officeDocument/2006/relationships/image" Target="media/image19.png"/><Relationship Id="rId316" Type="http://schemas.openxmlformats.org/officeDocument/2006/relationships/footer" Target="footer261.xml"/><Relationship Id="rId317" Type="http://schemas.openxmlformats.org/officeDocument/2006/relationships/footer" Target="footer262.xml"/><Relationship Id="rId318" Type="http://schemas.openxmlformats.org/officeDocument/2006/relationships/footer" Target="footer263.xml"/><Relationship Id="rId319" Type="http://schemas.openxmlformats.org/officeDocument/2006/relationships/footer" Target="footer264.xml"/><Relationship Id="rId320" Type="http://schemas.openxmlformats.org/officeDocument/2006/relationships/footer" Target="footer265.xml"/><Relationship Id="rId321" Type="http://schemas.openxmlformats.org/officeDocument/2006/relationships/footer" Target="footer266.xml"/><Relationship Id="rId322" Type="http://schemas.openxmlformats.org/officeDocument/2006/relationships/footer" Target="footer267.xml"/><Relationship Id="rId323" Type="http://schemas.openxmlformats.org/officeDocument/2006/relationships/footer" Target="footer268.xml"/><Relationship Id="rId324" Type="http://schemas.openxmlformats.org/officeDocument/2006/relationships/footer" Target="footer269.xml"/><Relationship Id="rId325" Type="http://schemas.openxmlformats.org/officeDocument/2006/relationships/footer" Target="footer270.xml"/><Relationship Id="rId326" Type="http://schemas.openxmlformats.org/officeDocument/2006/relationships/footer" Target="footer271.xml"/><Relationship Id="rId327" Type="http://schemas.openxmlformats.org/officeDocument/2006/relationships/footer" Target="footer272.xml"/><Relationship Id="rId328" Type="http://schemas.openxmlformats.org/officeDocument/2006/relationships/footer" Target="footer273.xml"/><Relationship Id="rId329" Type="http://schemas.openxmlformats.org/officeDocument/2006/relationships/footer" Target="footer274.xml"/><Relationship Id="rId330" Type="http://schemas.openxmlformats.org/officeDocument/2006/relationships/footer" Target="footer275.xml"/><Relationship Id="rId331" Type="http://schemas.openxmlformats.org/officeDocument/2006/relationships/footer" Target="footer276.xml"/><Relationship Id="rId332" Type="http://schemas.openxmlformats.org/officeDocument/2006/relationships/footer" Target="footer277.xml"/><Relationship Id="rId333" Type="http://schemas.openxmlformats.org/officeDocument/2006/relationships/footer" Target="footer278.xml"/><Relationship Id="rId334" Type="http://schemas.openxmlformats.org/officeDocument/2006/relationships/footer" Target="footer279.xml"/><Relationship Id="rId335" Type="http://schemas.openxmlformats.org/officeDocument/2006/relationships/footer" Target="footer280.xml"/><Relationship Id="rId336" Type="http://schemas.openxmlformats.org/officeDocument/2006/relationships/footer" Target="footer281.xml"/><Relationship Id="rId337" Type="http://schemas.openxmlformats.org/officeDocument/2006/relationships/footer" Target="footer282.xml"/><Relationship Id="rId338" Type="http://schemas.openxmlformats.org/officeDocument/2006/relationships/footer" Target="footer283.xml"/><Relationship Id="rId339" Type="http://schemas.openxmlformats.org/officeDocument/2006/relationships/footer" Target="footer284.xml"/><Relationship Id="rId340" Type="http://schemas.openxmlformats.org/officeDocument/2006/relationships/footer" Target="footer285.xml"/><Relationship Id="rId341" Type="http://schemas.openxmlformats.org/officeDocument/2006/relationships/footer" Target="footer286.xml"/><Relationship Id="rId342" Type="http://schemas.openxmlformats.org/officeDocument/2006/relationships/footer" Target="footer287.xml"/><Relationship Id="rId343" Type="http://schemas.openxmlformats.org/officeDocument/2006/relationships/footer" Target="footer288.xml"/><Relationship Id="rId344" Type="http://schemas.openxmlformats.org/officeDocument/2006/relationships/footer" Target="footer289.xml"/><Relationship Id="rId345" Type="http://schemas.openxmlformats.org/officeDocument/2006/relationships/footer" Target="footer290.xml"/><Relationship Id="rId346" Type="http://schemas.openxmlformats.org/officeDocument/2006/relationships/image" Target="media/image13.png"/><Relationship Id="rId347" Type="http://schemas.openxmlformats.org/officeDocument/2006/relationships/image" Target="media/image13.png"/><Relationship Id="rId348" Type="http://schemas.openxmlformats.org/officeDocument/2006/relationships/footer" Target="footer291.xml"/><Relationship Id="rId349" Type="http://schemas.openxmlformats.org/officeDocument/2006/relationships/footer" Target="footer292.xml"/><Relationship Id="rId350" Type="http://schemas.openxmlformats.org/officeDocument/2006/relationships/footer" Target="footer293.xml"/><Relationship Id="rId351" Type="http://schemas.openxmlformats.org/officeDocument/2006/relationships/footer" Target="footer294.xml"/><Relationship Id="rId352" Type="http://schemas.openxmlformats.org/officeDocument/2006/relationships/footer" Target="footer295.xml"/><Relationship Id="rId353" Type="http://schemas.openxmlformats.org/officeDocument/2006/relationships/footer" Target="footer296.xml"/><Relationship Id="rId354" Type="http://schemas.openxmlformats.org/officeDocument/2006/relationships/footer" Target="footer297.xml"/><Relationship Id="rId355" Type="http://schemas.openxmlformats.org/officeDocument/2006/relationships/footer" Target="footer298.xml"/><Relationship Id="rId356" Type="http://schemas.openxmlformats.org/officeDocument/2006/relationships/footer" Target="footer299.xml"/><Relationship Id="rId357" Type="http://schemas.openxmlformats.org/officeDocument/2006/relationships/footer" Target="footer300.xml"/><Relationship Id="rId358" Type="http://schemas.openxmlformats.org/officeDocument/2006/relationships/footer" Target="footer301.xml"/><Relationship Id="rId359" Type="http://schemas.openxmlformats.org/officeDocument/2006/relationships/footer" Target="footer302.xml"/><Relationship Id="rId360" Type="http://schemas.openxmlformats.org/officeDocument/2006/relationships/footer" Target="footer303.xml"/><Relationship Id="rId361" Type="http://schemas.openxmlformats.org/officeDocument/2006/relationships/footer" Target="footer304.xml"/><Relationship Id="rId362" Type="http://schemas.openxmlformats.org/officeDocument/2006/relationships/footer" Target="footer305.xml"/><Relationship Id="rId363" Type="http://schemas.openxmlformats.org/officeDocument/2006/relationships/footer" Target="footer306.xml"/><Relationship Id="rId364" Type="http://schemas.openxmlformats.org/officeDocument/2006/relationships/footer" Target="footer307.xml"/><Relationship Id="rId365" Type="http://schemas.openxmlformats.org/officeDocument/2006/relationships/footer" Target="footer308.xml"/><Relationship Id="rId366" Type="http://schemas.openxmlformats.org/officeDocument/2006/relationships/footer" Target="footer309.xml"/><Relationship Id="rId367" Type="http://schemas.openxmlformats.org/officeDocument/2006/relationships/footer" Target="footer310.xml"/><Relationship Id="rId368" Type="http://schemas.openxmlformats.org/officeDocument/2006/relationships/footer" Target="footer311.xml"/><Relationship Id="rId369" Type="http://schemas.openxmlformats.org/officeDocument/2006/relationships/footer" Target="footer312.xml"/><Relationship Id="rId370" Type="http://schemas.openxmlformats.org/officeDocument/2006/relationships/footer" Target="footer313.xml"/><Relationship Id="rId371" Type="http://schemas.openxmlformats.org/officeDocument/2006/relationships/footer" Target="footer314.xml"/><Relationship Id="rId372" Type="http://schemas.openxmlformats.org/officeDocument/2006/relationships/footer" Target="footer315.xml"/><Relationship Id="rId373" Type="http://schemas.openxmlformats.org/officeDocument/2006/relationships/footer" Target="footer316.xml"/><Relationship Id="rId374" Type="http://schemas.openxmlformats.org/officeDocument/2006/relationships/footer" Target="footer317.xml"/><Relationship Id="rId375" Type="http://schemas.openxmlformats.org/officeDocument/2006/relationships/image" Target="media/image7.png"/><Relationship Id="rId376" Type="http://schemas.openxmlformats.org/officeDocument/2006/relationships/image" Target="media/image7.png"/><Relationship Id="rId377" Type="http://schemas.openxmlformats.org/officeDocument/2006/relationships/footer" Target="footer318.xml"/><Relationship Id="rId378" Type="http://schemas.openxmlformats.org/officeDocument/2006/relationships/image" Target="media/image7.png"/><Relationship Id="rId379" Type="http://schemas.openxmlformats.org/officeDocument/2006/relationships/image" Target="media/image7.png"/><Relationship Id="rId380" Type="http://schemas.openxmlformats.org/officeDocument/2006/relationships/footer" Target="footer319.xml"/><Relationship Id="rId381" Type="http://schemas.openxmlformats.org/officeDocument/2006/relationships/image" Target="media/image7.png"/><Relationship Id="rId382" Type="http://schemas.openxmlformats.org/officeDocument/2006/relationships/image" Target="media/image7.png"/><Relationship Id="rId383" Type="http://schemas.openxmlformats.org/officeDocument/2006/relationships/footer" Target="footer320.xml"/><Relationship Id="rId384" Type="http://schemas.openxmlformats.org/officeDocument/2006/relationships/footer" Target="footer321.xml"/><Relationship Id="rId385" Type="http://schemas.openxmlformats.org/officeDocument/2006/relationships/footer" Target="footer322.xml"/><Relationship Id="rId386" Type="http://schemas.openxmlformats.org/officeDocument/2006/relationships/footer" Target="footer323.xml"/><Relationship Id="rId387" Type="http://schemas.openxmlformats.org/officeDocument/2006/relationships/footer" Target="footer324.xml"/><Relationship Id="rId388" Type="http://schemas.openxmlformats.org/officeDocument/2006/relationships/footer" Target="footer325.xml"/><Relationship Id="rId389" Type="http://schemas.openxmlformats.org/officeDocument/2006/relationships/footer" Target="footer326.xml"/><Relationship Id="rId390" Type="http://schemas.openxmlformats.org/officeDocument/2006/relationships/footer" Target="footer327.xml"/><Relationship Id="rId391" Type="http://schemas.openxmlformats.org/officeDocument/2006/relationships/footer" Target="footer328.xml"/><Relationship Id="rId392" Type="http://schemas.openxmlformats.org/officeDocument/2006/relationships/footer" Target="footer329.xml"/><Relationship Id="rId393" Type="http://schemas.openxmlformats.org/officeDocument/2006/relationships/footer" Target="footer330.xml"/><Relationship Id="rId394" Type="http://schemas.openxmlformats.org/officeDocument/2006/relationships/footer" Target="footer331.xml"/><Relationship Id="rId395" Type="http://schemas.openxmlformats.org/officeDocument/2006/relationships/footer" Target="footer332.xml"/><Relationship Id="rId396" Type="http://schemas.openxmlformats.org/officeDocument/2006/relationships/footer" Target="footer333.xml"/><Relationship Id="rId397" Type="http://schemas.openxmlformats.org/officeDocument/2006/relationships/footer" Target="footer334.xml"/><Relationship Id="rId398" Type="http://schemas.openxmlformats.org/officeDocument/2006/relationships/footer" Target="footer335.xml"/><Relationship Id="rId399" Type="http://schemas.openxmlformats.org/officeDocument/2006/relationships/footer" Target="footer336.xml"/><Relationship Id="rId400" Type="http://schemas.openxmlformats.org/officeDocument/2006/relationships/footer" Target="footer337.xml"/><Relationship Id="rId401" Type="http://schemas.openxmlformats.org/officeDocument/2006/relationships/footer" Target="footer338.xml"/><Relationship Id="rId402" Type="http://schemas.openxmlformats.org/officeDocument/2006/relationships/footer" Target="footer339.xml"/><Relationship Id="rId403" Type="http://schemas.openxmlformats.org/officeDocument/2006/relationships/footer" Target="footer340.xml"/><Relationship Id="rId404" Type="http://schemas.openxmlformats.org/officeDocument/2006/relationships/footer" Target="footer341.xml"/><Relationship Id="rId405" Type="http://schemas.openxmlformats.org/officeDocument/2006/relationships/footer" Target="footer342.xml"/><Relationship Id="rId406" Type="http://schemas.openxmlformats.org/officeDocument/2006/relationships/footer" Target="footer343.xml"/><Relationship Id="rId407" Type="http://schemas.openxmlformats.org/officeDocument/2006/relationships/footer" Target="footer344.xml"/><Relationship Id="rId408" Type="http://schemas.openxmlformats.org/officeDocument/2006/relationships/footer" Target="footer345.xml"/><Relationship Id="rId409" Type="http://schemas.openxmlformats.org/officeDocument/2006/relationships/footer" Target="footer346.xml"/><Relationship Id="rId410" Type="http://schemas.openxmlformats.org/officeDocument/2006/relationships/footer" Target="footer347.xml"/><Relationship Id="rId411" Type="http://schemas.openxmlformats.org/officeDocument/2006/relationships/footer" Target="footer348.xml"/><Relationship Id="rId412" Type="http://schemas.openxmlformats.org/officeDocument/2006/relationships/footer" Target="footer349.xml"/><Relationship Id="rId413" Type="http://schemas.openxmlformats.org/officeDocument/2006/relationships/footer" Target="footer350.xml"/><Relationship Id="rId414" Type="http://schemas.openxmlformats.org/officeDocument/2006/relationships/footer" Target="footer351.xml"/><Relationship Id="rId415" Type="http://schemas.openxmlformats.org/officeDocument/2006/relationships/footer" Target="footer352.xml"/><Relationship Id="rId416" Type="http://schemas.openxmlformats.org/officeDocument/2006/relationships/footer" Target="footer353.xml"/><Relationship Id="rId417" Type="http://schemas.openxmlformats.org/officeDocument/2006/relationships/footer" Target="footer354.xml"/><Relationship Id="rId418" Type="http://schemas.openxmlformats.org/officeDocument/2006/relationships/footer" Target="footer355.xml"/><Relationship Id="rId419" Type="http://schemas.openxmlformats.org/officeDocument/2006/relationships/footer" Target="footer356.xml"/><Relationship Id="rId420" Type="http://schemas.openxmlformats.org/officeDocument/2006/relationships/footer" Target="footer357.xml"/><Relationship Id="rId421" Type="http://schemas.openxmlformats.org/officeDocument/2006/relationships/footer" Target="footer358.xml"/><Relationship Id="rId422" Type="http://schemas.openxmlformats.org/officeDocument/2006/relationships/footer" Target="footer359.xml"/><Relationship Id="rId423" Type="http://schemas.openxmlformats.org/officeDocument/2006/relationships/footer" Target="footer360.xml"/><Relationship Id="rId424" Type="http://schemas.openxmlformats.org/officeDocument/2006/relationships/footer" Target="footer361.xml"/><Relationship Id="rId425" Type="http://schemas.openxmlformats.org/officeDocument/2006/relationships/footer" Target="footer362.xml"/><Relationship Id="rId426" Type="http://schemas.openxmlformats.org/officeDocument/2006/relationships/footer" Target="footer363.xml"/><Relationship Id="rId427" Type="http://schemas.openxmlformats.org/officeDocument/2006/relationships/footer" Target="footer364.xml"/><Relationship Id="rId428" Type="http://schemas.openxmlformats.org/officeDocument/2006/relationships/footer" Target="footer365.xml"/><Relationship Id="rId429" Type="http://schemas.openxmlformats.org/officeDocument/2006/relationships/footer" Target="footer366.xml"/><Relationship Id="rId430" Type="http://schemas.openxmlformats.org/officeDocument/2006/relationships/footer" Target="footer367.xml"/><Relationship Id="rId431" Type="http://schemas.openxmlformats.org/officeDocument/2006/relationships/footer" Target="footer368.xml"/><Relationship Id="rId432" Type="http://schemas.openxmlformats.org/officeDocument/2006/relationships/footer" Target="footer369.xml"/><Relationship Id="rId433" Type="http://schemas.openxmlformats.org/officeDocument/2006/relationships/footer" Target="footer370.xml"/><Relationship Id="rId434" Type="http://schemas.openxmlformats.org/officeDocument/2006/relationships/footer" Target="footer371.xml"/><Relationship Id="rId435" Type="http://schemas.openxmlformats.org/officeDocument/2006/relationships/footer" Target="footer372.xml"/><Relationship Id="rId436" Type="http://schemas.openxmlformats.org/officeDocument/2006/relationships/footer" Target="footer373.xml"/><Relationship Id="rId437" Type="http://schemas.openxmlformats.org/officeDocument/2006/relationships/footer" Target="footer374.xml"/><Relationship Id="rId438" Type="http://schemas.openxmlformats.org/officeDocument/2006/relationships/footer" Target="footer375.xml"/><Relationship Id="rId439" Type="http://schemas.openxmlformats.org/officeDocument/2006/relationships/footer" Target="footer376.xml"/><Relationship Id="rId440" Type="http://schemas.openxmlformats.org/officeDocument/2006/relationships/footer" Target="footer377.xml"/><Relationship Id="rId441" Type="http://schemas.openxmlformats.org/officeDocument/2006/relationships/footer" Target="footer378.xml"/><Relationship Id="rId442" Type="http://schemas.openxmlformats.org/officeDocument/2006/relationships/footer" Target="footer379.xml"/><Relationship Id="rId443" Type="http://schemas.openxmlformats.org/officeDocument/2006/relationships/footer" Target="footer380.xml"/><Relationship Id="rId444" Type="http://schemas.openxmlformats.org/officeDocument/2006/relationships/footer" Target="footer381.xml"/><Relationship Id="rId445" Type="http://schemas.openxmlformats.org/officeDocument/2006/relationships/footer" Target="footer382.xml"/><Relationship Id="rId446" Type="http://schemas.openxmlformats.org/officeDocument/2006/relationships/footer" Target="footer383.xml"/><Relationship Id="rId447" Type="http://schemas.openxmlformats.org/officeDocument/2006/relationships/footer" Target="footer384.xml"/><Relationship Id="rId448" Type="http://schemas.openxmlformats.org/officeDocument/2006/relationships/footer" Target="footer385.xml"/><Relationship Id="rId449" Type="http://schemas.openxmlformats.org/officeDocument/2006/relationships/footer" Target="footer386.xml"/><Relationship Id="rId450" Type="http://schemas.openxmlformats.org/officeDocument/2006/relationships/footer" Target="footer387.xml"/><Relationship Id="rId451" Type="http://schemas.openxmlformats.org/officeDocument/2006/relationships/footer" Target="footer388.xml"/><Relationship Id="rId452" Type="http://schemas.openxmlformats.org/officeDocument/2006/relationships/footer" Target="footer389.xml"/><Relationship Id="rId453" Type="http://schemas.openxmlformats.org/officeDocument/2006/relationships/footer" Target="footer390.xml"/><Relationship Id="rId454" Type="http://schemas.openxmlformats.org/officeDocument/2006/relationships/footer" Target="footer391.xml"/><Relationship Id="rId455" Type="http://schemas.openxmlformats.org/officeDocument/2006/relationships/footer" Target="footer392.xml"/><Relationship Id="rId456" Type="http://schemas.openxmlformats.org/officeDocument/2006/relationships/footer" Target="footer393.xml"/><Relationship Id="rId457" Type="http://schemas.openxmlformats.org/officeDocument/2006/relationships/footer" Target="footer394.xml"/><Relationship Id="rId458" Type="http://schemas.openxmlformats.org/officeDocument/2006/relationships/footer" Target="footer395.xml"/><Relationship Id="rId459" Type="http://schemas.openxmlformats.org/officeDocument/2006/relationships/footer" Target="footer396.xml"/><Relationship Id="rId460" Type="http://schemas.openxmlformats.org/officeDocument/2006/relationships/footer" Target="footer397.xml"/><Relationship Id="rId461" Type="http://schemas.openxmlformats.org/officeDocument/2006/relationships/footer" Target="footer398.xml"/><Relationship Id="rId462" Type="http://schemas.openxmlformats.org/officeDocument/2006/relationships/footer" Target="footer399.xml"/><Relationship Id="rId463" Type="http://schemas.openxmlformats.org/officeDocument/2006/relationships/footer" Target="footer400.xml"/><Relationship Id="rId464" Type="http://schemas.openxmlformats.org/officeDocument/2006/relationships/footer" Target="footer401.xml"/><Relationship Id="rId465" Type="http://schemas.openxmlformats.org/officeDocument/2006/relationships/footer" Target="footer402.xml"/><Relationship Id="rId466" Type="http://schemas.openxmlformats.org/officeDocument/2006/relationships/footer" Target="footer403.xml"/><Relationship Id="rId467" Type="http://schemas.openxmlformats.org/officeDocument/2006/relationships/footer" Target="footer404.xml"/><Relationship Id="rId468" Type="http://schemas.openxmlformats.org/officeDocument/2006/relationships/footer" Target="footer405.xml"/><Relationship Id="rId469" Type="http://schemas.openxmlformats.org/officeDocument/2006/relationships/footer" Target="footer406.xml"/><Relationship Id="rId470" Type="http://schemas.openxmlformats.org/officeDocument/2006/relationships/footer" Target="footer407.xml"/><Relationship Id="rId471" Type="http://schemas.openxmlformats.org/officeDocument/2006/relationships/footer" Target="footer408.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09.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69387</Words>
  <Characters>332416</Characters>
  <CharactersWithSpaces>399348</CharactersWithSpaces>
  <Paragraphs>2795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2026-08-18T23:11:48Z</dcterms:created>
  <dc:creator>ghaemiyeh.com</dc:creator>
  <dc:description/>
  <dc:language>en-US</dc:language>
  <cp:lastModifiedBy/>
  <dcterms:modified xsi:type="dcterms:W3CDTF">2026-08-19T02:42:02Z</dcterms:modified>
  <cp:revision>1</cp:revision>
  <dc:subject/>
  <dc:title>الحسین الوسیط دراسة تحلیلیة بنیویة لواقعة کربلاء</dc:title>
</cp:coreProperties>
</file>

<file path=docProps/custom.xml><?xml version="1.0" encoding="utf-8"?>
<Properties xmlns="http://schemas.openxmlformats.org/officeDocument/2006/custom-properties" xmlns:vt="http://schemas.openxmlformats.org/officeDocument/2006/docPropsVTypes"/>
</file>