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3.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رهنمای </w:t>
      </w:r>
      <w:r>
        <w:rPr/>
        <w:t>106</w:t>
      </w:r>
      <w:r>
        <w:rPr>
          <w:rtl w:val="true"/>
        </w:rPr>
        <w:t xml:space="preserve"> </w:t>
      </w:r>
      <w:r>
        <w:rPr>
          <w:rtl w:val="true"/>
        </w:rPr>
        <w:t>در جستجوی فدک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44608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44610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44612_774463916">
            <w:r>
              <w:rPr>
                <w:webHidden/>
                <w:rStyle w:val="IndexLink"/>
                <w:rtl w:val="true"/>
              </w:rPr>
              <w:t>در جست و جوی فدک</w:t>
            </w:r>
            <w:r>
              <w:rPr>
                <w:rStyle w:val="IndexLink"/>
                <w:rtl w:val="true"/>
              </w:rPr>
              <w:tab/>
            </w:r>
            <w:r>
              <w:rPr>
                <w:rStyle w:val="IndexLink"/>
              </w:rPr>
              <w:t>8</w:t>
            </w:r>
          </w:hyperlink>
        </w:p>
        <w:p>
          <w:pPr>
            <w:pStyle w:val="Contents2"/>
            <w:tabs>
              <w:tab w:val="clear" w:pos="8743"/>
              <w:tab w:val="right" w:pos="9026" w:leader="dot"/>
            </w:tabs>
            <w:rPr/>
          </w:pPr>
          <w:hyperlink w:anchor="__RefHeading___Toc1244614_774463916">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1244616_774463916">
            <w:r>
              <w:rPr>
                <w:webHidden/>
                <w:rStyle w:val="IndexLink"/>
                <w:rtl w:val="true"/>
              </w:rPr>
              <w:t>فصل اول</w:t>
            </w:r>
            <w:r>
              <w:rPr>
                <w:rStyle w:val="IndexLink"/>
                <w:rtl w:val="true"/>
              </w:rPr>
              <w:t xml:space="preserve">: </w:t>
            </w:r>
            <w:r>
              <w:rPr>
                <w:rStyle w:val="IndexLink"/>
                <w:rtl w:val="true"/>
              </w:rPr>
              <w:t>محدوده و مالکیت آن</w:t>
            </w:r>
            <w:r>
              <w:rPr>
                <w:rStyle w:val="IndexLink"/>
                <w:rtl w:val="true"/>
              </w:rPr>
              <w:tab/>
            </w:r>
            <w:r>
              <w:rPr>
                <w:rStyle w:val="IndexLink"/>
              </w:rPr>
              <w:t>12</w:t>
            </w:r>
          </w:hyperlink>
        </w:p>
        <w:p>
          <w:pPr>
            <w:pStyle w:val="Contents3"/>
            <w:tabs>
              <w:tab w:val="clear" w:pos="8459"/>
              <w:tab w:val="right" w:pos="9026" w:leader="dot"/>
            </w:tabs>
            <w:rPr/>
          </w:pPr>
          <w:hyperlink w:anchor="__RefHeading___Toc1244618_77446391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244620_774463916">
            <w:r>
              <w:rPr>
                <w:webHidden/>
                <w:rStyle w:val="IndexLink"/>
                <w:rtl w:val="true"/>
              </w:rPr>
              <w:t>پنجره</w:t>
            </w:r>
            <w:r>
              <w:rPr>
                <w:rStyle w:val="IndexLink"/>
                <w:rtl w:val="true"/>
              </w:rPr>
              <w:t>:</w:t>
              <w:tab/>
            </w:r>
            <w:r>
              <w:rPr>
                <w:rStyle w:val="IndexLink"/>
              </w:rPr>
              <w:t>15</w:t>
            </w:r>
          </w:hyperlink>
        </w:p>
        <w:p>
          <w:pPr>
            <w:pStyle w:val="Contents3"/>
            <w:tabs>
              <w:tab w:val="clear" w:pos="8459"/>
              <w:tab w:val="right" w:pos="9026" w:leader="dot"/>
            </w:tabs>
            <w:rPr/>
          </w:pPr>
          <w:hyperlink w:anchor="__RefHeading___Toc1244622_774463916">
            <w:r>
              <w:rPr>
                <w:webHidden/>
                <w:rStyle w:val="IndexLink"/>
                <w:rtl w:val="true"/>
              </w:rPr>
              <w:t>خلاصه</w:t>
            </w:r>
            <w:r>
              <w:rPr>
                <w:rStyle w:val="IndexLink"/>
                <w:rtl w:val="true"/>
              </w:rPr>
              <w:tab/>
            </w:r>
            <w:r>
              <w:rPr>
                <w:rStyle w:val="IndexLink"/>
              </w:rPr>
              <w:t>18</w:t>
            </w:r>
          </w:hyperlink>
        </w:p>
        <w:p>
          <w:pPr>
            <w:pStyle w:val="Contents2"/>
            <w:tabs>
              <w:tab w:val="clear" w:pos="8743"/>
              <w:tab w:val="right" w:pos="9026" w:leader="dot"/>
            </w:tabs>
            <w:rPr/>
          </w:pPr>
          <w:hyperlink w:anchor="__RefHeading___Toc1244624_774463916">
            <w:r>
              <w:rPr>
                <w:webHidden/>
                <w:rStyle w:val="IndexLink"/>
                <w:rtl w:val="true"/>
              </w:rPr>
              <w:t xml:space="preserve">فصل دوم چرا فدک در اختیار فاطمه </w:t>
            </w:r>
            <w:r>
              <w:rPr>
                <w:rStyle w:val="IndexLink"/>
                <w:rtl w:val="true"/>
              </w:rPr>
              <w:t>(</w:t>
            </w:r>
            <w:r>
              <w:rPr>
                <w:rStyle w:val="IndexLink"/>
                <w:rtl w:val="true"/>
              </w:rPr>
              <w:t>س</w:t>
            </w:r>
            <w:r>
              <w:rPr>
                <w:rStyle w:val="IndexLink"/>
                <w:rtl w:val="true"/>
              </w:rPr>
              <w:t xml:space="preserve">) </w:t>
            </w:r>
            <w:r>
              <w:rPr>
                <w:rStyle w:val="IndexLink"/>
                <w:rtl w:val="true"/>
              </w:rPr>
              <w:t>قرار گرفت؟</w:t>
            </w:r>
            <w:r>
              <w:rPr>
                <w:rStyle w:val="IndexLink"/>
                <w:rtl w:val="true"/>
              </w:rPr>
              <w:tab/>
            </w:r>
            <w:r>
              <w:rPr>
                <w:rStyle w:val="IndexLink"/>
              </w:rPr>
              <w:t>18</w:t>
            </w:r>
          </w:hyperlink>
        </w:p>
        <w:p>
          <w:pPr>
            <w:pStyle w:val="Contents3"/>
            <w:tabs>
              <w:tab w:val="clear" w:pos="8459"/>
              <w:tab w:val="right" w:pos="9026" w:leader="dot"/>
            </w:tabs>
            <w:rPr/>
          </w:pPr>
          <w:hyperlink w:anchor="__RefHeading___Toc1244626_774463916">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244628_774463916">
            <w:r>
              <w:rPr>
                <w:webHidden/>
                <w:rStyle w:val="IndexLink"/>
                <w:rtl w:val="true"/>
              </w:rPr>
              <w:t>خلاصه</w:t>
            </w:r>
            <w:r>
              <w:rPr>
                <w:rStyle w:val="IndexLink"/>
                <w:rtl w:val="true"/>
              </w:rPr>
              <w:t>:</w:t>
              <w:tab/>
            </w:r>
            <w:r>
              <w:rPr>
                <w:rStyle w:val="IndexLink"/>
              </w:rPr>
              <w:t>22</w:t>
            </w:r>
          </w:hyperlink>
        </w:p>
        <w:p>
          <w:pPr>
            <w:pStyle w:val="Contents2"/>
            <w:tabs>
              <w:tab w:val="clear" w:pos="8743"/>
              <w:tab w:val="right" w:pos="9026" w:leader="dot"/>
            </w:tabs>
            <w:rPr/>
          </w:pPr>
          <w:hyperlink w:anchor="__RefHeading___Toc1244630_774463916">
            <w:r>
              <w:rPr>
                <w:webHidden/>
                <w:rStyle w:val="IndexLink"/>
                <w:rtl w:val="true"/>
              </w:rPr>
              <w:t>فصل سوم</w:t>
            </w:r>
            <w:r>
              <w:rPr>
                <w:rStyle w:val="IndexLink"/>
                <w:rtl w:val="true"/>
              </w:rPr>
              <w:t xml:space="preserve">: </w:t>
            </w:r>
            <w:r>
              <w:rPr>
                <w:rStyle w:val="IndexLink"/>
                <w:rtl w:val="true"/>
              </w:rPr>
              <w:t>غصب فدک، چرا؟</w:t>
            </w:r>
            <w:r>
              <w:rPr>
                <w:rStyle w:val="IndexLink"/>
                <w:rtl w:val="true"/>
              </w:rPr>
              <w:tab/>
            </w:r>
            <w:r>
              <w:rPr>
                <w:rStyle w:val="IndexLink"/>
              </w:rPr>
              <w:t>23</w:t>
            </w:r>
          </w:hyperlink>
        </w:p>
        <w:p>
          <w:pPr>
            <w:pStyle w:val="Contents3"/>
            <w:tabs>
              <w:tab w:val="clear" w:pos="8459"/>
              <w:tab w:val="right" w:pos="9026" w:leader="dot"/>
            </w:tabs>
            <w:rPr/>
          </w:pPr>
          <w:hyperlink w:anchor="__RefHeading___Toc1244632_774463916">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244634_774463916">
            <w:r>
              <w:rPr>
                <w:webHidden/>
                <w:rStyle w:val="IndexLink"/>
                <w:rtl w:val="true"/>
              </w:rPr>
              <w:t>پنجره</w:t>
            </w:r>
            <w:r>
              <w:rPr>
                <w:rStyle w:val="IndexLink"/>
                <w:rtl w:val="true"/>
              </w:rPr>
              <w:t>:</w:t>
              <w:tab/>
            </w:r>
            <w:r>
              <w:rPr>
                <w:rStyle w:val="IndexLink"/>
              </w:rPr>
              <w:t>26</w:t>
            </w:r>
          </w:hyperlink>
        </w:p>
        <w:p>
          <w:pPr>
            <w:pStyle w:val="Contents3"/>
            <w:tabs>
              <w:tab w:val="clear" w:pos="8459"/>
              <w:tab w:val="right" w:pos="9026" w:leader="dot"/>
            </w:tabs>
            <w:rPr/>
          </w:pPr>
          <w:hyperlink w:anchor="__RefHeading___Toc1244636_774463916">
            <w:r>
              <w:rPr>
                <w:webHidden/>
                <w:rStyle w:val="IndexLink"/>
                <w:rtl w:val="true"/>
              </w:rPr>
              <w:t>خلاصه</w:t>
            </w:r>
            <w:r>
              <w:rPr>
                <w:rStyle w:val="IndexLink"/>
                <w:rtl w:val="true"/>
              </w:rPr>
              <w:t>:</w:t>
              <w:tab/>
            </w:r>
            <w:r>
              <w:rPr>
                <w:rStyle w:val="IndexLink"/>
              </w:rPr>
              <w:t>28</w:t>
            </w:r>
          </w:hyperlink>
        </w:p>
        <w:p>
          <w:pPr>
            <w:pStyle w:val="Contents2"/>
            <w:tabs>
              <w:tab w:val="clear" w:pos="8743"/>
              <w:tab w:val="right" w:pos="9026" w:leader="dot"/>
            </w:tabs>
            <w:rPr/>
          </w:pPr>
          <w:hyperlink w:anchor="__RefHeading___Toc1244638_774463916">
            <w:r>
              <w:rPr>
                <w:webHidden/>
                <w:rStyle w:val="IndexLink"/>
                <w:rtl w:val="true"/>
              </w:rPr>
              <w:t>فصل چهارم</w:t>
            </w:r>
            <w:r>
              <w:rPr>
                <w:rStyle w:val="IndexLink"/>
                <w:rtl w:val="true"/>
              </w:rPr>
              <w:t xml:space="preserve">: </w:t>
            </w:r>
            <w:r>
              <w:rPr>
                <w:rStyle w:val="IndexLink"/>
                <w:rtl w:val="true"/>
              </w:rPr>
              <w:t>گام‌های استوار برای احقاق حق</w:t>
            </w:r>
            <w:r>
              <w:rPr>
                <w:rStyle w:val="IndexLink"/>
                <w:rtl w:val="true"/>
              </w:rPr>
              <w:tab/>
            </w:r>
            <w:r>
              <w:rPr>
                <w:rStyle w:val="IndexLink"/>
              </w:rPr>
              <w:t>29</w:t>
            </w:r>
          </w:hyperlink>
        </w:p>
        <w:p>
          <w:pPr>
            <w:pStyle w:val="Contents3"/>
            <w:tabs>
              <w:tab w:val="clear" w:pos="8459"/>
              <w:tab w:val="right" w:pos="9026" w:leader="dot"/>
            </w:tabs>
            <w:rPr/>
          </w:pPr>
          <w:hyperlink w:anchor="__RefHeading___Toc1244640_774463916">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244642_774463916">
            <w:r>
              <w:rPr>
                <w:webHidden/>
                <w:rStyle w:val="IndexLink"/>
                <w:rtl w:val="true"/>
              </w:rPr>
              <w:t>پنجره</w:t>
            </w:r>
            <w:r>
              <w:rPr>
                <w:rStyle w:val="IndexLink"/>
                <w:rtl w:val="true"/>
              </w:rPr>
              <w:t>:</w:t>
              <w:tab/>
            </w:r>
            <w:r>
              <w:rPr>
                <w:rStyle w:val="IndexLink"/>
              </w:rPr>
              <w:t>31</w:t>
            </w:r>
          </w:hyperlink>
        </w:p>
        <w:p>
          <w:pPr>
            <w:pStyle w:val="Contents3"/>
            <w:tabs>
              <w:tab w:val="clear" w:pos="8459"/>
              <w:tab w:val="right" w:pos="9026" w:leader="dot"/>
            </w:tabs>
            <w:rPr/>
          </w:pPr>
          <w:hyperlink w:anchor="__RefHeading___Toc1244644_774463916">
            <w:r>
              <w:rPr>
                <w:webHidden/>
                <w:rStyle w:val="IndexLink"/>
                <w:rtl w:val="true"/>
              </w:rPr>
              <w:t>خلاصه</w:t>
            </w:r>
            <w:r>
              <w:rPr>
                <w:rStyle w:val="IndexLink"/>
                <w:rtl w:val="true"/>
              </w:rPr>
              <w:t>:</w:t>
              <w:tab/>
            </w:r>
            <w:r>
              <w:rPr>
                <w:rStyle w:val="IndexLink"/>
              </w:rPr>
              <w:t>36</w:t>
            </w:r>
          </w:hyperlink>
        </w:p>
        <w:p>
          <w:pPr>
            <w:pStyle w:val="Contents2"/>
            <w:tabs>
              <w:tab w:val="clear" w:pos="8743"/>
              <w:tab w:val="right" w:pos="9026" w:leader="dot"/>
            </w:tabs>
            <w:rPr/>
          </w:pPr>
          <w:hyperlink w:anchor="__RefHeading___Toc1244646_774463916">
            <w:r>
              <w:rPr>
                <w:webHidden/>
                <w:rStyle w:val="IndexLink"/>
                <w:rtl w:val="true"/>
              </w:rPr>
              <w:t>فصل پنجم</w:t>
            </w:r>
            <w:r>
              <w:rPr>
                <w:rStyle w:val="IndexLink"/>
                <w:rtl w:val="true"/>
              </w:rPr>
              <w:t xml:space="preserve">: </w:t>
            </w:r>
            <w:r>
              <w:rPr>
                <w:rStyle w:val="IndexLink"/>
                <w:rtl w:val="true"/>
              </w:rPr>
              <w:t>جعل حدیث برای توجیه غصب فدک</w:t>
            </w:r>
            <w:r>
              <w:rPr>
                <w:rStyle w:val="IndexLink"/>
                <w:rtl w:val="true"/>
              </w:rPr>
              <w:tab/>
            </w:r>
            <w:r>
              <w:rPr>
                <w:rStyle w:val="IndexLink"/>
              </w:rPr>
              <w:t>37</w:t>
            </w:r>
          </w:hyperlink>
        </w:p>
        <w:p>
          <w:pPr>
            <w:pStyle w:val="Contents3"/>
            <w:tabs>
              <w:tab w:val="clear" w:pos="8459"/>
              <w:tab w:val="right" w:pos="9026" w:leader="dot"/>
            </w:tabs>
            <w:rPr/>
          </w:pPr>
          <w:hyperlink w:anchor="__RefHeading___Toc1244648_774463916">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244650_774463916">
            <w:r>
              <w:rPr>
                <w:webHidden/>
                <w:rStyle w:val="IndexLink"/>
                <w:rtl w:val="true"/>
              </w:rPr>
              <w:t>پنجره</w:t>
            </w:r>
            <w:r>
              <w:rPr>
                <w:rStyle w:val="IndexLink"/>
                <w:rtl w:val="true"/>
              </w:rPr>
              <w:t>:</w:t>
              <w:tab/>
            </w:r>
            <w:r>
              <w:rPr>
                <w:rStyle w:val="IndexLink"/>
              </w:rPr>
              <w:t>39</w:t>
            </w:r>
          </w:hyperlink>
        </w:p>
        <w:p>
          <w:pPr>
            <w:pStyle w:val="Contents3"/>
            <w:tabs>
              <w:tab w:val="clear" w:pos="8459"/>
              <w:tab w:val="right" w:pos="9026" w:leader="dot"/>
            </w:tabs>
            <w:rPr/>
          </w:pPr>
          <w:hyperlink w:anchor="__RefHeading___Toc1244652_774463916">
            <w:r>
              <w:rPr>
                <w:webHidden/>
                <w:rStyle w:val="IndexLink"/>
                <w:rtl w:val="true"/>
              </w:rPr>
              <w:t>پنجره</w:t>
            </w:r>
            <w:r>
              <w:rPr>
                <w:rStyle w:val="IndexLink"/>
                <w:rtl w:val="true"/>
              </w:rPr>
              <w:t>:</w:t>
              <w:tab/>
            </w:r>
            <w:r>
              <w:rPr>
                <w:rStyle w:val="IndexLink"/>
              </w:rPr>
              <w:t>41</w:t>
            </w:r>
          </w:hyperlink>
        </w:p>
        <w:p>
          <w:pPr>
            <w:pStyle w:val="Contents3"/>
            <w:tabs>
              <w:tab w:val="clear" w:pos="8459"/>
              <w:tab w:val="right" w:pos="9026" w:leader="dot"/>
            </w:tabs>
            <w:rPr/>
          </w:pPr>
          <w:hyperlink w:anchor="__RefHeading___Toc1244654_774463916">
            <w:r>
              <w:rPr>
                <w:webHidden/>
                <w:rStyle w:val="IndexLink"/>
                <w:rtl w:val="true"/>
              </w:rPr>
              <w:t>خلاصه</w:t>
            </w:r>
            <w:r>
              <w:rPr>
                <w:rStyle w:val="IndexLink"/>
                <w:rtl w:val="true"/>
              </w:rPr>
              <w:t>:</w:t>
              <w:tab/>
            </w:r>
            <w:r>
              <w:rPr>
                <w:rStyle w:val="IndexLink"/>
              </w:rPr>
              <w:t>45</w:t>
            </w:r>
          </w:hyperlink>
        </w:p>
        <w:p>
          <w:pPr>
            <w:pStyle w:val="Contents2"/>
            <w:tabs>
              <w:tab w:val="clear" w:pos="8743"/>
              <w:tab w:val="right" w:pos="9026" w:leader="dot"/>
            </w:tabs>
            <w:rPr/>
          </w:pPr>
          <w:hyperlink w:anchor="__RefHeading___Toc1244656_774463916">
            <w:r>
              <w:rPr>
                <w:webHidden/>
                <w:rStyle w:val="IndexLink"/>
                <w:rtl w:val="true"/>
              </w:rPr>
              <w:t>فصل ششم</w:t>
            </w:r>
            <w:r>
              <w:rPr>
                <w:rStyle w:val="IndexLink"/>
                <w:rtl w:val="true"/>
              </w:rPr>
              <w:t xml:space="preserve">: </w:t>
            </w:r>
            <w:r>
              <w:rPr>
                <w:rStyle w:val="IndexLink"/>
                <w:rtl w:val="true"/>
              </w:rPr>
              <w:t>سرنوشت فدک</w:t>
            </w:r>
            <w:r>
              <w:rPr>
                <w:rStyle w:val="IndexLink"/>
                <w:rtl w:val="true"/>
              </w:rPr>
              <w:tab/>
            </w:r>
            <w:r>
              <w:rPr>
                <w:rStyle w:val="IndexLink"/>
              </w:rPr>
              <w:t>46</w:t>
            </w:r>
          </w:hyperlink>
        </w:p>
        <w:p>
          <w:pPr>
            <w:pStyle w:val="Contents3"/>
            <w:tabs>
              <w:tab w:val="clear" w:pos="8459"/>
              <w:tab w:val="right" w:pos="9026" w:leader="dot"/>
            </w:tabs>
            <w:rPr/>
          </w:pPr>
          <w:hyperlink w:anchor="__RefHeading___Toc1244658_774463916">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244660_774463916">
            <w:r>
              <w:rPr>
                <w:webHidden/>
                <w:rStyle w:val="IndexLink"/>
                <w:rtl w:val="true"/>
              </w:rPr>
              <w:t>پنجره</w:t>
            </w:r>
            <w:r>
              <w:rPr>
                <w:rStyle w:val="IndexLink"/>
                <w:rtl w:val="true"/>
              </w:rPr>
              <w:t>:</w:t>
              <w:tab/>
            </w:r>
            <w:r>
              <w:rPr>
                <w:rStyle w:val="IndexLink"/>
              </w:rPr>
              <w:t>48</w:t>
            </w:r>
          </w:hyperlink>
        </w:p>
        <w:p>
          <w:pPr>
            <w:pStyle w:val="Contents3"/>
            <w:tabs>
              <w:tab w:val="clear" w:pos="8459"/>
              <w:tab w:val="right" w:pos="9026" w:leader="dot"/>
            </w:tabs>
            <w:rPr/>
          </w:pPr>
          <w:hyperlink w:anchor="__RefHeading___Toc1244662_774463916">
            <w:r>
              <w:rPr>
                <w:webHidden/>
                <w:rStyle w:val="IndexLink"/>
                <w:rtl w:val="true"/>
              </w:rPr>
              <w:t>خلاصه</w:t>
            </w:r>
            <w:r>
              <w:rPr>
                <w:rStyle w:val="IndexLink"/>
                <w:rtl w:val="true"/>
              </w:rPr>
              <w:t>:</w:t>
              <w:tab/>
            </w:r>
            <w:r>
              <w:rPr>
                <w:rStyle w:val="IndexLink"/>
              </w:rPr>
              <w:t>51</w:t>
            </w:r>
          </w:hyperlink>
        </w:p>
        <w:p>
          <w:pPr>
            <w:pStyle w:val="Contents2"/>
            <w:tabs>
              <w:tab w:val="clear" w:pos="8743"/>
              <w:tab w:val="right" w:pos="9026" w:leader="dot"/>
            </w:tabs>
            <w:rPr/>
          </w:pPr>
          <w:hyperlink w:anchor="__RefHeading___Toc1244664_774463916">
            <w:r>
              <w:rPr>
                <w:webHidden/>
                <w:rStyle w:val="IndexLink"/>
                <w:rtl w:val="true"/>
              </w:rPr>
              <w:t>فصل هفتم</w:t>
            </w:r>
            <w:r>
              <w:rPr>
                <w:rStyle w:val="IndexLink"/>
                <w:rtl w:val="true"/>
              </w:rPr>
              <w:t xml:space="preserve">: </w:t>
            </w:r>
            <w:r>
              <w:rPr>
                <w:rStyle w:val="IndexLink"/>
                <w:rtl w:val="true"/>
              </w:rPr>
              <w:t>خطبۀ فدکیه و راز تکیه بر فدک</w:t>
            </w:r>
            <w:r>
              <w:rPr>
                <w:rStyle w:val="IndexLink"/>
                <w:rtl w:val="true"/>
              </w:rPr>
              <w:tab/>
            </w:r>
            <w:r>
              <w:rPr>
                <w:rStyle w:val="IndexLink"/>
              </w:rPr>
              <w:t>52</w:t>
            </w:r>
          </w:hyperlink>
        </w:p>
        <w:p>
          <w:pPr>
            <w:pStyle w:val="Contents3"/>
            <w:tabs>
              <w:tab w:val="clear" w:pos="8459"/>
              <w:tab w:val="right" w:pos="9026" w:leader="dot"/>
            </w:tabs>
            <w:rPr/>
          </w:pPr>
          <w:hyperlink w:anchor="__RefHeading___Toc1244666_774463916">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244668_774463916">
            <w:r>
              <w:rPr>
                <w:webHidden/>
                <w:rStyle w:val="IndexLink"/>
                <w:rtl w:val="true"/>
              </w:rPr>
              <w:t>پنجره</w:t>
            </w:r>
            <w:r>
              <w:rPr>
                <w:rStyle w:val="IndexLink"/>
                <w:rtl w:val="true"/>
              </w:rPr>
              <w:t>:</w:t>
              <w:tab/>
            </w:r>
            <w:r>
              <w:rPr>
                <w:rStyle w:val="IndexLink"/>
              </w:rPr>
              <w:t>56</w:t>
            </w:r>
          </w:hyperlink>
        </w:p>
        <w:p>
          <w:pPr>
            <w:pStyle w:val="Contents3"/>
            <w:tabs>
              <w:tab w:val="clear" w:pos="8459"/>
              <w:tab w:val="right" w:pos="9026" w:leader="dot"/>
            </w:tabs>
            <w:rPr/>
          </w:pPr>
          <w:hyperlink w:anchor="__RefHeading___Toc1244670_774463916">
            <w:r>
              <w:rPr>
                <w:webHidden/>
                <w:rStyle w:val="IndexLink"/>
                <w:rtl w:val="true"/>
              </w:rPr>
              <w:t>خلاصه</w:t>
            </w:r>
            <w:r>
              <w:rPr>
                <w:rStyle w:val="IndexLink"/>
                <w:rtl w:val="true"/>
              </w:rPr>
              <w:t>:</w:t>
              <w:tab/>
            </w:r>
            <w:r>
              <w:rPr>
                <w:rStyle w:val="IndexLink"/>
              </w:rPr>
              <w:t>58</w:t>
            </w:r>
          </w:hyperlink>
        </w:p>
        <w:p>
          <w:pPr>
            <w:pStyle w:val="Contents2"/>
            <w:tabs>
              <w:tab w:val="clear" w:pos="8743"/>
              <w:tab w:val="right" w:pos="9026" w:leader="dot"/>
            </w:tabs>
            <w:rPr/>
          </w:pPr>
          <w:hyperlink w:anchor="__RefHeading___Toc1244672_774463916">
            <w:r>
              <w:rPr>
                <w:webHidden/>
                <w:rStyle w:val="IndexLink"/>
                <w:rtl w:val="true"/>
              </w:rPr>
              <w:t>سخن آخر</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95_44641"/>
      <w:bookmarkStart w:id="1" w:name="pg5095_44641"/>
      <w:bookmarkEnd w:id="1"/>
    </w:p>
    <w:p>
      <w:pPr>
        <w:pStyle w:val="Heading2"/>
        <w:numPr>
          <w:ilvl w:val="1"/>
          <w:numId w:val="1"/>
        </w:numPr>
        <w:rPr/>
      </w:pPr>
      <w:bookmarkStart w:id="2" w:name="pg5095_44641"/>
      <w:bookmarkStart w:id="3" w:name="__RefHeading___Toc1244608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محمدامین،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محمدامین پورامینی ؛ تهیه معاونت تبلیغاتی و ارتباطات اسلامی آستان قدس رضوی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 فدک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۳۳۴۶۶۴۷</w:t>
      </w:r>
      <w:bookmarkStart w:id="5" w:name="pg5095_44642"/>
    </w:p>
    <w:p>
      <w:pPr>
        <w:pStyle w:val="Heading2"/>
        <w:numPr>
          <w:ilvl w:val="1"/>
          <w:numId w:val="1"/>
        </w:numPr>
        <w:rPr/>
      </w:pPr>
      <w:bookmarkStart w:id="6" w:name="__RefHeading___Toc1244610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4" o:detectmouseclick="t"/>
                <v:stroke color="#3465a4" joinstyle="round" endcap="flat"/>
                <w10:wrap type="none"/>
              </v:shape>
            </w:pict>
          </mc:Fallback>
        </mc:AlternateContent>
      </w:r>
      <w:bookmarkStart w:id="8" w:name="pg5095_44647"/>
    </w:p>
    <w:p>
      <w:pPr>
        <w:pStyle w:val="Heading2"/>
        <w:numPr>
          <w:ilvl w:val="1"/>
          <w:numId w:val="1"/>
        </w:numPr>
        <w:rPr/>
      </w:pPr>
      <w:bookmarkStart w:id="9" w:name="__RefHeading___Toc1244612_774463916"/>
      <w:bookmarkStart w:id="10" w:name="_Toc3"/>
      <w:bookmarkEnd w:id="8"/>
      <w:bookmarkEnd w:id="9"/>
      <w:r>
        <w:rPr>
          <w:rtl w:val="true"/>
        </w:rPr>
        <w:t>در جست و جوی فدک</w:t>
      </w:r>
      <w:bookmarkEnd w:id="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w:t>
      </w:r>
    </w:p>
    <w:p>
      <w:pPr>
        <w:pStyle w:val="BookText"/>
        <w:rPr/>
      </w:pPr>
      <w:r>
        <w:rPr>
          <w:rFonts w:ascii="IRNazanin" w:hAnsi="IRNazanin" w:eastAsia="IRNazanin"/>
          <w:color w:val="111111"/>
          <w:sz w:val="28"/>
          <w:sz w:val="28"/>
          <w:szCs w:val="28"/>
          <w:rtl w:val="true"/>
          <w:lang w:bidi="fa-IR"/>
        </w:rPr>
        <w:t>در این نوشتار در پی پاسخ به این پرس شهاییم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چیست؟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محدودۀ فدک کجاست؟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تأکید و تکیه بر مسئلۀ فدک چیست؟</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حضرت فاطمۀ زهرا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چیست؟</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غصبک‌نندگان فدک کدام است؟</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کلامی، فقهی این بحث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استمرار این بحث و موج آفرینی دربارۀ آن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 مسئلۀ فدک چیست؟</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1" w:name="pg5095_44649"/>
    </w:p>
    <w:p>
      <w:pPr>
        <w:pStyle w:val="Heading2"/>
        <w:numPr>
          <w:ilvl w:val="1"/>
          <w:numId w:val="1"/>
        </w:numPr>
        <w:rPr/>
      </w:pPr>
      <w:bookmarkStart w:id="12" w:name="__RefHeading___Toc1244614_774463916"/>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برخی، ساده‌اندیشانه گمان می‌کنند فدک فقط باغی بوده است در دست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تصرف و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آنان، این قضیه تمام شده 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بدانند قضیه بسیار عمیق‌تر و فراتر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فدک، بحث از زمین غصب‌شده نیست؛ فدک نماد خلافت حقه و امامت است؛ فدک فراتر از تکه‌ای زمین است؛ فدک آینۀ تمام‌نمای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فدک یعنی غصب خلافت و تهی‌ساختن منبع مالی تشکیلات امامت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تکیۀ فاطمۀ زهرا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فدک، تکیه بر خلافت راستین و روشنگری امت برای یافتن راه سعادت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سعادت تنها در پرتور امامت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مسئلۀ فدک علاوه بر مطالبۀ حق، روشن می‌شود که مدعیان خلافت، به احکام ضروری اسلام نادان‌اند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ماجرا، با ایراد خطبۀ فدکیه، راه آینده ترسیم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امت اسلام در گرو بازگرداندن خلافت به مسیر اصلی و راهی است که خداوند آن را ترسیم کرده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آیا طرح این مسائل مخالف وحدت اسلامی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در جواب می‌گوییم بدون‌شک وحدت امت اسلام ضروری و بدیهی است؛ ولی مقصود از وحدت، دست‌برداشتن از عقاید حق و ترک واکاوی و پژوهش در مسائل کلامی و تاریخی و سیاسی نیست؛ بلکه مقصود این است که در عین اختلافِ دیدگاه و حفظ باورهای درست، با تکیه بر نقاط مشترک فراوانی که با برادران اهل‌سنت داریم، با فهم صحیح از مبانی یکدیگر، در برابر دشمن مشترکی که نه به سنی رحم می‌کند و نه به شیعه، موضعی مشترک و مناسب و همسو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وحدت این است که با شناخت دشمنی که امروز در آمریکا و صهیونیسم جهانی متجلی است، دوست را از دشمن تشخیص دهیم و سلاح خود را به‌سوی دشمن مشترک نشانه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طرح این‌گونه مباحث، در محیطی سالم و علمی، و به دور از اهانت به یکدیگر و به‌منظور کشف حقیقت، اشکالی ندارد</w:t>
      </w:r>
      <w:r>
        <w:rPr>
          <w:rFonts w:eastAsia="IRNazanin" w:cs="IRNazanin"/>
          <w:color w:val="111111"/>
          <w:sz w:val="28"/>
          <w:szCs w:val="28"/>
          <w:rtl w:val="true"/>
          <w:lang w:bidi="fa-IR"/>
        </w:rPr>
        <w:t>.</w:t>
      </w:r>
      <w:bookmarkStart w:id="14" w:name="pg5095_44651"/>
    </w:p>
    <w:p>
      <w:pPr>
        <w:pStyle w:val="Heading2"/>
        <w:numPr>
          <w:ilvl w:val="1"/>
          <w:numId w:val="1"/>
        </w:numPr>
        <w:rPr/>
      </w:pPr>
      <w:bookmarkStart w:id="15" w:name="__RefHeading___Toc1244616_774463916"/>
      <w:bookmarkStart w:id="16" w:name="_Toc5"/>
      <w:bookmarkEnd w:id="14"/>
      <w:bookmarkEnd w:id="15"/>
      <w:r>
        <w:rPr>
          <w:rtl w:val="true"/>
        </w:rPr>
        <w:t>فصل اول</w:t>
      </w:r>
      <w:r>
        <w:rPr>
          <w:rtl w:val="true"/>
        </w:rPr>
        <w:t xml:space="preserve">: </w:t>
      </w:r>
      <w:r>
        <w:rPr>
          <w:rtl w:val="true"/>
        </w:rPr>
        <w:t>محدوده و مالکیت آن</w:t>
      </w:r>
      <w:bookmarkEnd w:id="16"/>
    </w:p>
    <w:p>
      <w:pPr>
        <w:pStyle w:val="Heading3"/>
        <w:numPr>
          <w:ilvl w:val="2"/>
          <w:numId w:val="1"/>
        </w:numPr>
        <w:rPr/>
      </w:pPr>
      <w:bookmarkStart w:id="17" w:name="__RefHeading___Toc1244618_774463916"/>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فدک منطقۀ آبادی واقع در یک‌منزلی خیبر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این منطقه پس از جنگ خیبر، با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صلح بستند و فدک از آنِ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پیمان، یهودیان این منطقه در موضع ضعف قرار گرفتند و دیدند از پسِ جنگ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برنمی‌آیند؛ ازاین‌رو برای حفظ جان خود، از درِ صلح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آنجا در اختیار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به‌دستور خداوند آن را به دخترش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مسئله‌ای فقهی، اگر مسلمانان در جایی بجنگند، غنائم به‌دست‌آمده از آن هم برای ایشان است و آن را بین خود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رویارویی با دشمن به جنگ منجر نمی‌شود؛ مثل اینکه دشمن خود را در موضع ضعف ببیند و برای حفظ جان و منافع و امنیت خود، از جنگ دست بردارد و با مصالحه، از سرزمین خود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که سرزمین، بدون‌جنگ به دست مسلمانان می‌افتد، غنائم بین مسلمانان تقسیم نمی‌شود و در مالکیت عموم مسلمانان نخواهد بود؛ بلکه در ملک شخص رسول خداست و ایشان هرگونه‌که صلاح بداند، در آن تصرف می‌کند</w:t>
      </w:r>
      <w:r>
        <w:rPr>
          <w:rFonts w:eastAsia="IRNazanin" w:cs="IRNazanin"/>
          <w:color w:val="111111"/>
          <w:sz w:val="28"/>
          <w:szCs w:val="28"/>
          <w:rtl w:val="true"/>
          <w:lang w:bidi="fa-IR"/>
        </w:rPr>
        <w:t>.</w:t>
      </w:r>
      <w:bookmarkStart w:id="19" w:name="pg5095_44654"/>
    </w:p>
    <w:p>
      <w:pPr>
        <w:pStyle w:val="BookText"/>
        <w:rPr/>
      </w:pPr>
      <w:bookmarkEnd w:id="19"/>
      <w:r>
        <w:rPr>
          <w:rFonts w:ascii="IRNazanin" w:hAnsi="IRNazanin" w:eastAsia="IRNazanin"/>
          <w:color w:val="111111"/>
          <w:sz w:val="28"/>
          <w:sz w:val="28"/>
          <w:szCs w:val="28"/>
          <w:rtl w:val="true"/>
          <w:lang w:bidi="fa-IR"/>
        </w:rPr>
        <w:t>این مطلب را بزرگان شیعه و سنی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فقیهان اهل‌سنت که تصریح کرده‌اند فدک از آنِ شخص رسول خدا بوده است، ابوبکر کاشانی در کتاب بدائع الصنائع</w:t>
      </w:r>
      <w:r>
        <w:rPr>
          <w:rStyle w:val="FootnoteAnchor"/>
          <w:rtl w:val="true"/>
        </w:rPr>
        <w:footnoteReference w:id="2"/>
      </w:r>
      <w:r>
        <w:rPr>
          <w:rFonts w:ascii="IRNazanin" w:hAnsi="IRNazanin" w:eastAsia="IRNazanin"/>
          <w:color w:val="111111"/>
          <w:sz w:val="28"/>
          <w:sz w:val="28"/>
          <w:szCs w:val="28"/>
          <w:rtl w:val="true"/>
          <w:lang w:bidi="fa-IR"/>
        </w:rPr>
        <w:t>، وسرخسی در کتاب المبسوط</w:t>
      </w:r>
      <w:r>
        <w:rPr>
          <w:rStyle w:val="FootnoteAnchor"/>
          <w:rtl w:val="true"/>
        </w:rPr>
        <w:footnoteReference w:id="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ابن‌ابی‌الحدید معتزلی در شرح نهج البلاغه نقل می‌کند که فدک ملک شخص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مسلمانان در آن هیچ بهره‌ای ندارند؛ چون برای آن، جنگی واقع نشده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همچنین سیوطی نیز در الدر المنثور</w:t>
      </w:r>
      <w:r>
        <w:rPr>
          <w:rStyle w:val="FootnoteAnchor"/>
          <w:rtl w:val="true"/>
        </w:rPr>
        <w:footnoteReference w:id="5"/>
      </w:r>
      <w:r>
        <w:rPr>
          <w:rFonts w:ascii="IRNazanin" w:hAnsi="IRNazanin" w:eastAsia="IRNazanin"/>
          <w:color w:val="111111"/>
          <w:sz w:val="28"/>
          <w:sz w:val="28"/>
          <w:szCs w:val="28"/>
          <w:rtl w:val="true"/>
          <w:lang w:bidi="fa-IR"/>
        </w:rPr>
        <w:t>تصریح می‌کند که فدک به شخص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بوده است؛ چون برای تصاحب آن جنگی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نیز در فتوح البلدان این مطلب را آورده است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0" w:name="__RefHeading___Toc1244620_774463916"/>
      <w:bookmarkStart w:id="21" w:name="_Toc7"/>
      <w:bookmarkEnd w:id="20"/>
      <w:r>
        <w:rPr>
          <w:rtl w:val="true"/>
        </w:rPr>
        <w:t>پنجره</w:t>
      </w:r>
      <w:r>
        <w:rPr>
          <w:rtl w:val="true"/>
        </w:rPr>
        <w:t>:</w:t>
      </w:r>
      <w:bookmarkEnd w:id="21"/>
    </w:p>
    <w:p>
      <w:pPr>
        <w:pStyle w:val="BookText"/>
        <w:rPr/>
      </w:pPr>
      <w:r>
        <w:rPr>
          <w:rFonts w:ascii="IRNazanin" w:hAnsi="IRNazanin" w:eastAsia="IRNazanin"/>
          <w:color w:val="111111"/>
          <w:sz w:val="28"/>
          <w:sz w:val="28"/>
          <w:szCs w:val="28"/>
          <w:rtl w:val="true"/>
          <w:lang w:bidi="fa-IR"/>
        </w:rPr>
        <w:t>ماجرای فدک ریشۀ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جریان، به عقب‌نشینی یهود بنی‌نضیر بر می‌گردد، در سورۀ حشر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أَفاءَ اللَّهُ عَلی رَسُولِهِ مِنْهُمْ فَما أَوْجَفْتُمْ عَلَیهِ مِنْ خَیلٍ وَ لا رِکابٍ وَ لکنَّ اللَّهَ یسَلِّطُ رُسُلَهُ عَلی مَنْ یشاءُ وَ اللَّهُ عَلی کلِّ شَی‌ءٍ قَدیرٌ</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 از دارایی‌شان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p>
    <w:p>
      <w:pPr>
        <w:pStyle w:val="BookText"/>
        <w:rPr/>
      </w:pPr>
      <w:r>
        <w:rPr>
          <w:rFonts w:ascii="IRNazanin" w:hAnsi="IRNazanin" w:eastAsia="IRNazanin"/>
          <w:color w:val="111111"/>
          <w:sz w:val="28"/>
          <w:sz w:val="28"/>
          <w:szCs w:val="28"/>
          <w:rtl w:val="true"/>
          <w:lang w:bidi="fa-IR"/>
        </w:rPr>
        <w:t>خود غنیمت داد، آن نبود که شما با اسب یا شتری بر آن تاخته بودید؛ بلکه خدا پیامبرانش را بر هرکه بخواهد، مسلط می‌سازد و خدا بر هرچیزی قادر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أَوْجَفْتُمْ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داردکه شما مسلمانان برای به‌دست‌آوردن آن به کارزار نرفتید؛ نه اسبی بر آن تاختید و نه شتری برای آن به کار گرفتید و برای کسب آن متحمل زحمتی نشدید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هیبت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شد و ترسی که از ایشان در دل یهودیان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پذیرش مصالحه، دست از جنگ شستند و مناطق خویش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 ملک، به حکم قرآن، ملک شخص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بدین‌گونه، فدک در اختیار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به ملکیت شخص وی درآمده است و مسلمانان را در آن بهره‌ای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مفسران بزرگ شیعه</w:t>
      </w:r>
      <w:r>
        <w:rPr>
          <w:rStyle w:val="FootnoteAnchor"/>
          <w:rtl w:val="true"/>
        </w:rPr>
        <w:footnoteReference w:id="8"/>
      </w:r>
      <w:r>
        <w:rPr>
          <w:rFonts w:ascii="IRNazanin" w:hAnsi="IRNazanin" w:eastAsia="IRNazanin"/>
          <w:color w:val="111111"/>
          <w:sz w:val="28"/>
          <w:sz w:val="28"/>
          <w:szCs w:val="28"/>
          <w:rtl w:val="true"/>
          <w:lang w:bidi="fa-IR"/>
        </w:rPr>
        <w:t>و اهل‌سنت</w:t>
      </w:r>
      <w:r>
        <w:rPr>
          <w:rStyle w:val="FootnoteAnchor"/>
          <w:rtl w:val="true"/>
        </w:rPr>
        <w:footnoteReference w:id="9"/>
      </w:r>
      <w:r>
        <w:rPr>
          <w:rFonts w:ascii="IRNazanin" w:hAnsi="IRNazanin" w:eastAsia="IRNazanin"/>
          <w:color w:val="111111"/>
          <w:sz w:val="28"/>
          <w:sz w:val="28"/>
          <w:szCs w:val="28"/>
          <w:rtl w:val="true"/>
          <w:lang w:bidi="fa-IR"/>
        </w:rPr>
        <w:t>تصریح می‌کنند که چون مسلمانان برای آن زحمتی نکشیدند و شخصیت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شد و با ترسی که خدا از آن حضرت در دل یهودیان بنی‌نضیر نهاد، ایشان خانه‌ها و</w:t>
      </w:r>
    </w:p>
    <w:p>
      <w:pPr>
        <w:pStyle w:val="BookText"/>
        <w:rPr/>
      </w:pPr>
      <w:r>
        <w:rPr>
          <w:rFonts w:ascii="IRNazanin" w:hAnsi="IRNazanin" w:eastAsia="IRNazanin"/>
          <w:color w:val="111111"/>
          <w:sz w:val="28"/>
          <w:sz w:val="28"/>
          <w:szCs w:val="28"/>
          <w:rtl w:val="true"/>
          <w:lang w:bidi="fa-IR"/>
        </w:rPr>
        <w:t xml:space="preserve">املاک خود را وانهادند، و این‌گونه مناطق آزادشده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یعنی چیزی که در آن، بازگشت به‌سوی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انفال است و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ملک شخص او شده است و هرگونه‌که خود بخواهد، در آن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همین است که مسلمانان در آزادسازی آن نقشی نداشته و رنجی تحمل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به‌خلاف غنیمت جنگی است که در کارزار به دست مسلمانان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برای به‌دست‌آورن آن نقش‌آفرینی کرده‌اند و رنج جنگ را به جان خریده‌اند، غنائم جنگی مربوط به خود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فیء معنایی غیر از غنیمت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منطقۀ فدک بزرگ بود و با مدینۀ منوره، به‌اندازۀ دو تا سه روز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اکنون نیز وجود دارد و گفته می‌شود حدود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کیلومتر تا مدینه فاصله دارد</w:t>
      </w:r>
      <w:r>
        <w:rPr>
          <w:rFonts w:eastAsia="IRNazanin" w:cs="IRNazanin"/>
          <w:color w:val="111111"/>
          <w:sz w:val="28"/>
          <w:szCs w:val="28"/>
          <w:rtl w:val="true"/>
          <w:lang w:bidi="fa-IR"/>
        </w:rPr>
        <w:t>.</w:t>
      </w:r>
      <w:bookmarkStart w:id="22" w:name="pg5095_44657"/>
    </w:p>
    <w:p>
      <w:pPr>
        <w:pStyle w:val="Heading3"/>
        <w:numPr>
          <w:ilvl w:val="2"/>
          <w:numId w:val="1"/>
        </w:numPr>
        <w:rPr/>
      </w:pPr>
      <w:bookmarkStart w:id="23" w:name="__RefHeading___Toc1244622_774463916"/>
      <w:bookmarkStart w:id="24" w:name="_Toc8"/>
      <w:bookmarkEnd w:id="22"/>
      <w:bookmarkEnd w:id="23"/>
      <w:r>
        <w:rPr>
          <w:rtl w:val="true"/>
        </w:rPr>
        <w:t>خلاصه</w:t>
      </w:r>
      <w:bookmarkEnd w:id="24"/>
    </w:p>
    <w:p>
      <w:pPr>
        <w:pStyle w:val="BookText"/>
        <w:rPr/>
      </w:pPr>
      <w:r>
        <w:rPr>
          <w:rFonts w:ascii="IRNazanin" w:hAnsi="IRNazanin" w:eastAsia="IRNazanin"/>
          <w:color w:val="111111"/>
          <w:sz w:val="28"/>
          <w:sz w:val="28"/>
          <w:szCs w:val="28"/>
          <w:rtl w:val="true"/>
          <w:lang w:bidi="fa-IR"/>
        </w:rPr>
        <w:t>فدک منطقه ای آباد در یک منزلی خیبر بود در اختیار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خیبر که یهودیان خود را در موضع ضعف دیدند ، از در صلح با رسول خدا صلی الله علیه و آله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حکم قرآنی و مستند فقهی ، هر جایی که بدون جنگ و خون ریزی به دست آید ، در ملکیت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اکنون فدک در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مدینه منوره قرار دارد</w:t>
      </w:r>
      <w:r>
        <w:rPr>
          <w:rFonts w:eastAsia="IRNazanin" w:cs="IRNazanin"/>
          <w:color w:val="111111"/>
          <w:sz w:val="28"/>
          <w:szCs w:val="28"/>
          <w:rtl w:val="true"/>
          <w:lang w:bidi="fa-IR"/>
        </w:rPr>
        <w:t>.</w:t>
      </w:r>
    </w:p>
    <w:p>
      <w:pPr>
        <w:pStyle w:val="Heading2"/>
        <w:numPr>
          <w:ilvl w:val="1"/>
          <w:numId w:val="1"/>
        </w:numPr>
        <w:rPr/>
      </w:pPr>
      <w:bookmarkStart w:id="25" w:name="__RefHeading___Toc1244624_774463916"/>
      <w:bookmarkStart w:id="26" w:name="_Toc9"/>
      <w:bookmarkEnd w:id="25"/>
      <w:r>
        <w:rPr>
          <w:rtl w:val="true"/>
        </w:rPr>
        <w:t xml:space="preserve">فصل دوم چرا فدک در اختیار فاطمه </w:t>
      </w:r>
      <w:r>
        <w:rPr>
          <w:rtl w:val="true"/>
        </w:rPr>
        <w:t>(</w:t>
      </w:r>
      <w:r>
        <w:rPr>
          <w:rtl w:val="true"/>
        </w:rPr>
        <w:t>س</w:t>
      </w:r>
      <w:r>
        <w:rPr>
          <w:rtl w:val="true"/>
        </w:rPr>
        <w:t xml:space="preserve">) </w:t>
      </w:r>
      <w:r>
        <w:rPr>
          <w:rtl w:val="true"/>
        </w:rPr>
        <w:t>قرار گرفت؟</w:t>
      </w:r>
      <w:bookmarkEnd w:id="26"/>
    </w:p>
    <w:p>
      <w:pPr>
        <w:pStyle w:val="Heading3"/>
        <w:numPr>
          <w:ilvl w:val="2"/>
          <w:numId w:val="1"/>
        </w:numPr>
        <w:rPr/>
      </w:pPr>
      <w:bookmarkStart w:id="27" w:name="__RefHeading___Toc1244626_774463916"/>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تصویر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واگذاری فدک به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ریشۀ قرآنی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فدک در ملکیت شخص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این آیۀ شریفه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خویشان خود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دستوری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و نزدیکان پیامبر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و دیگر بستگان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کدام‌یک از خویشان است؟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سؤال کرد مقصود و منظور کیست؟ جبرئیل رفت و پرسید و باز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 را به فاطمه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مطلبی است که شیعه و سنی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که واضح است؛ نزد اهل‌سنت نیز بزرگانی چون ابوالسعود،</w:t>
      </w:r>
      <w:r>
        <w:rPr>
          <w:rStyle w:val="FootnoteAnchor"/>
          <w:rtl w:val="true"/>
        </w:rPr>
        <w:footnoteReference w:id="11"/>
      </w:r>
      <w:r>
        <w:rPr>
          <w:rFonts w:ascii="IRNazanin" w:hAnsi="IRNazanin" w:eastAsia="IRNazanin"/>
          <w:color w:val="111111"/>
          <w:sz w:val="28"/>
          <w:sz w:val="28"/>
          <w:szCs w:val="28"/>
          <w:rtl w:val="true"/>
          <w:lang w:bidi="fa-IR"/>
        </w:rPr>
        <w:t>فخر رازی،</w:t>
      </w:r>
      <w:r>
        <w:rPr>
          <w:rStyle w:val="FootnoteAnchor"/>
          <w:rtl w:val="true"/>
        </w:rPr>
        <w:footnoteReference w:id="12"/>
      </w:r>
      <w:r>
        <w:rPr>
          <w:rFonts w:ascii="IRNazanin" w:hAnsi="IRNazanin" w:eastAsia="IRNazanin"/>
          <w:color w:val="111111"/>
          <w:sz w:val="28"/>
          <w:sz w:val="28"/>
          <w:szCs w:val="28"/>
          <w:rtl w:val="true"/>
          <w:lang w:bidi="fa-IR"/>
        </w:rPr>
        <w:t>زمخشری</w:t>
      </w:r>
      <w:r>
        <w:rPr>
          <w:rStyle w:val="FootnoteAnchor"/>
          <w:rtl w:val="true"/>
        </w:rPr>
        <w:footnoteReference w:id="13"/>
      </w:r>
      <w:r>
        <w:rPr>
          <w:rFonts w:ascii="Amiri" w:hAnsi="Amiri" w:eastAsia="Amiri" w:cs="Amiri"/>
          <w:color w:val="111111"/>
          <w:sz w:val="28"/>
          <w:sz w:val="28"/>
          <w:szCs w:val="28"/>
          <w:rtl w:val="true"/>
          <w:lang w:bidi="ar-SA"/>
        </w:rPr>
        <w:t xml:space="preserve">و جلال‌الدین سیوطی در ذیل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w:t>
      </w:r>
    </w:p>
    <w:p>
      <w:pPr>
        <w:pStyle w:val="BookText"/>
        <w:rPr/>
      </w:pP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آن را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سیوطی شافعی از ابوسعید خدری نقل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فدک را به او داد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همچنین احمدبن‌المهدی حسنی ادریسی</w:t>
      </w:r>
      <w:r>
        <w:rPr>
          <w:rStyle w:val="FootnoteAnchor"/>
          <w:rtl w:val="true"/>
        </w:rPr>
        <w:footnoteReference w:id="17"/>
      </w:r>
      <w:r>
        <w:rPr>
          <w:rFonts w:ascii="IRNazanin" w:hAnsi="IRNazanin" w:eastAsia="IRNazanin"/>
          <w:color w:val="111111"/>
          <w:sz w:val="28"/>
          <w:sz w:val="28"/>
          <w:szCs w:val="28"/>
          <w:rtl w:val="true"/>
          <w:lang w:bidi="fa-IR"/>
        </w:rPr>
        <w:t>آن را در همین باره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در این مطالب که در کتاب‌های همۀ مسلمانان آمده است، علت واگذاری فدک به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درمی‌یابیم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بنابراین،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دستور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فدک را به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به ملکیت آن حضرت درآورد تا در واقع پشتوانۀ مالی و اقتصادی مهمی برای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فدک در در دورۀ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افرادی را وکیل و گماشته و کارگر قرار داد و آنان در آن زمین به کار مشغول شدند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می‌بینیم که ماجرای غصب فدک، کم‌کم رنگ تاریخی و سیاسی و فقهی به خود گرفت</w:t>
      </w:r>
      <w:r>
        <w:rPr>
          <w:rFonts w:eastAsia="IRNazanin" w:cs="IRNazanin"/>
          <w:color w:val="111111"/>
          <w:sz w:val="28"/>
          <w:szCs w:val="28"/>
          <w:rtl w:val="true"/>
          <w:lang w:bidi="fa-IR"/>
        </w:rPr>
        <w:t>.</w:t>
      </w:r>
      <w:bookmarkStart w:id="29" w:name="pg5095_44661"/>
    </w:p>
    <w:p>
      <w:pPr>
        <w:pStyle w:val="Heading3"/>
        <w:numPr>
          <w:ilvl w:val="2"/>
          <w:numId w:val="1"/>
        </w:numPr>
        <w:rPr/>
      </w:pPr>
      <w:bookmarkStart w:id="30" w:name="__RefHeading___Toc1244628_774463916"/>
      <w:bookmarkStart w:id="31" w:name="_Toc11"/>
      <w:bookmarkEnd w:id="29"/>
      <w:bookmarkEnd w:id="30"/>
      <w:r>
        <w:rPr>
          <w:rtl w:val="true"/>
        </w:rPr>
        <w:t>خلاصه</w:t>
      </w:r>
      <w:r>
        <w:rPr>
          <w:rtl w:val="true"/>
        </w:rPr>
        <w:t>:</w:t>
      </w:r>
      <w:bookmarkEnd w:id="3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فدک به ملکیت شخص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یافت فدک را به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و این کار انجام شد</w:t>
      </w:r>
      <w:r>
        <w:rPr>
          <w:rFonts w:eastAsia="IRNazanin" w:cs="IRNazanin"/>
          <w:color w:val="111111"/>
          <w:sz w:val="28"/>
          <w:szCs w:val="28"/>
          <w:rtl w:val="true"/>
          <w:lang w:bidi="fa-IR"/>
        </w:rPr>
        <w:t>.</w:t>
      </w:r>
      <w:bookmarkStart w:id="32" w:name="pg5095_44663"/>
    </w:p>
    <w:p>
      <w:pPr>
        <w:pStyle w:val="Heading2"/>
        <w:numPr>
          <w:ilvl w:val="1"/>
          <w:numId w:val="1"/>
        </w:numPr>
        <w:rPr/>
      </w:pPr>
      <w:bookmarkStart w:id="33" w:name="__RefHeading___Toc1244630_774463916"/>
      <w:bookmarkStart w:id="34" w:name="_Toc12"/>
      <w:bookmarkEnd w:id="32"/>
      <w:bookmarkEnd w:id="33"/>
      <w:r>
        <w:rPr>
          <w:rtl w:val="true"/>
        </w:rPr>
        <w:t>فصل سوم</w:t>
      </w:r>
      <w:r>
        <w:rPr>
          <w:rtl w:val="true"/>
        </w:rPr>
        <w:t xml:space="preserve">: </w:t>
      </w:r>
      <w:r>
        <w:rPr>
          <w:rtl w:val="true"/>
        </w:rPr>
        <w:t>غصب فدک، چرا؟</w:t>
      </w:r>
      <w:bookmarkEnd w:id="34"/>
    </w:p>
    <w:p>
      <w:pPr>
        <w:pStyle w:val="Heading3"/>
        <w:numPr>
          <w:ilvl w:val="2"/>
          <w:numId w:val="1"/>
        </w:numPr>
        <w:rPr/>
      </w:pPr>
      <w:bookmarkStart w:id="35" w:name="__RefHeading___Toc1244632_774463916"/>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تصویر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دنیا رفت و متأسفانه خلافت مسیر اصلی ترسیم‌شدۀ خود را فراموش کرد و کسانی دیگر بر مسند قدرت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ماجرای بسیار تلخ، به‌تدریج مسلمانان را گرفتار و جهان بشریت را از برخورداری کامل این نعمت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ابوحامد غزالی که از بزرگان اهل‌سنت و صاحب کتاب معروف احیاء العلوم است، ریشۀ این انحراف را در دنیاخواهی و ریاست‌طلبی و پیروی از خواسته‌ها و شهوات نفسانی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رسالۀ سر العالمین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عید غدیر، هیجدهم ذی‌الحجه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عمربن‌خطاب آمد و به وی تبریک گفت که ’ای ابوالحسن، تو مولای همه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به‌معنای تسلیم و حکم‌پذیری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براثر ریاست‌طلبی، هوای نفس چیره شد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این، سخن شخصیتی بزرگ از اهل‌سنت است که بحق سخن گفته است و به حق اعتراف کرده و واقعیت را بسیار زیبا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غدیر را عید یاد کرده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آن مقطع تاریخی، وظیفۀ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صبر بود</w:t>
      </w:r>
      <w:bookmarkStart w:id="37" w:name="pg5095_44666"/>
    </w:p>
    <w:p>
      <w:pPr>
        <w:pStyle w:val="BookText"/>
        <w:rPr/>
      </w:pPr>
      <w:bookmarkEnd w:id="3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عجیب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حفظ اصل اسلام بود؛ چون در غیر این صورت، جنگ و فتنه داخلی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جنگی در آن وضعیت خاص تاریخی، موجب ازهم‌گسیختگی جامعۀ نوپای اسلامی می‌شد و تمام زحمات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هنوز اسلام در جان‌های مردم ریشه ندوانده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چون ابوسفیان که پیشنهاد یاری‌رسانی کرده بودند، جواب منفی داد؛ چون نیت شوم و ننگین آن‌ها را می‌دانست</w:t>
      </w:r>
      <w:r>
        <w:rPr>
          <w:rFonts w:eastAsia="IRNazanin" w:cs="IRNazanin"/>
          <w:color w:val="111111"/>
          <w:sz w:val="28"/>
          <w:szCs w:val="28"/>
          <w:rtl w:val="true"/>
          <w:lang w:bidi="fa-IR"/>
        </w:rPr>
        <w:t>.</w:t>
      </w:r>
    </w:p>
    <w:p>
      <w:pPr>
        <w:pStyle w:val="Heading3"/>
        <w:numPr>
          <w:ilvl w:val="2"/>
          <w:numId w:val="1"/>
        </w:numPr>
        <w:rPr/>
      </w:pPr>
      <w:bookmarkStart w:id="38" w:name="__RefHeading___Toc1244634_774463916"/>
      <w:bookmarkStart w:id="39" w:name="_Toc14"/>
      <w:bookmarkEnd w:id="38"/>
      <w:r>
        <w:rPr>
          <w:rtl w:val="true"/>
        </w:rPr>
        <w:t>پنجره</w:t>
      </w:r>
      <w:r>
        <w:rPr>
          <w:rtl w:val="true"/>
        </w:rPr>
        <w:t>:</w:t>
      </w:r>
      <w:bookmarkEnd w:id="39"/>
    </w:p>
    <w:p>
      <w:pPr>
        <w:pStyle w:val="BookText"/>
        <w:rPr/>
      </w:pPr>
      <w:r>
        <w:rPr>
          <w:rFonts w:ascii="IRNazanin" w:hAnsi="IRNazanin" w:eastAsia="IRNazanin"/>
          <w:color w:val="111111"/>
          <w:sz w:val="28"/>
          <w:sz w:val="28"/>
          <w:szCs w:val="28"/>
          <w:rtl w:val="true"/>
          <w:lang w:bidi="fa-IR"/>
        </w:rPr>
        <w:t>گسترش کمّی اسلام در دو سال آخر زندگانی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عام‌الفتح در سال هشتم هجری،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بسیار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ماجراهای دردناک 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کرد؛ چون وظیفه، حفظ این ریشه بود تا به‌مرور زمان، با برخورداری از معارف اصلی، رشد یابد و در این سیر، حق از باطل جدا وتمیز داده شود، و سپس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بر دوش امیرمؤمنان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اگر یاری‌رسانان در همان روزهای اول به وظیفۀ خود عمل می‌کردند، صحنۀ سیاسی‌اجتماعی به‌گونه‌ای دیگر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حضرت چاره‌ای جز صبر و استقامت نداشت؛ آن‌هم چه</w:t>
      </w:r>
    </w:p>
    <w:p>
      <w:pPr>
        <w:pStyle w:val="BookText"/>
        <w:rPr/>
      </w:pPr>
      <w:r>
        <w:rPr>
          <w:rFonts w:ascii="Amiri" w:hAnsi="Amiri" w:eastAsia="Amiri" w:cs="Amiri"/>
          <w:color w:val="111111"/>
          <w:sz w:val="28"/>
          <w:sz w:val="28"/>
          <w:szCs w:val="28"/>
          <w:rtl w:val="true"/>
          <w:lang w:bidi="ar-SA"/>
        </w:rPr>
        <w:t>صبری،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فَصَبَرْتُ وَ فِی الْعَینِ قَذًی وَ فِی الْحَلْقِ شَجاً</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کردم، درحالی‌که استخوان در گلو و خار در چشم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باید صبر می‌کرد تا امروز حقایق، حفظ و منتشر شده و خط علوی که همان خط نبوی است از خط اموی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خلافت غصب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حاکمان به فکر افتادند منبع مالی را نیز قطع کنند تا امامت، بدون پشتوانۀ 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به‌قدری درآمد داشت که جواب‌گوی بسیاری از نیازهای آن دوره بود؛ بنابراین، عالمانه مسیر را کشف کردند و پس از غصب خلافت، فدک را به‌زور 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انگیزۀ اساسی غصب فدک، سیاسی بوده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چگونه فدک را ستاندند و آن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کارگران و گماشتگان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زمین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دستگاه حکومتی بر آن دست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مطالبه و احقاق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کسی‌که میدان‌دار بود،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نقش‌آفرینی آن حضرت حیرت‌آور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چه کرد؟ بازتاب کار بزرگ او تا به کجا بود؟ ابعاد گوناگون زندگانی آن بزرگوار بسیار گسترده و درس‌آموز است</w:t>
      </w:r>
      <w:r>
        <w:rPr>
          <w:rFonts w:eastAsia="IRNazanin" w:cs="IRNazanin"/>
          <w:color w:val="111111"/>
          <w:sz w:val="28"/>
          <w:szCs w:val="28"/>
          <w:rtl w:val="true"/>
          <w:lang w:bidi="fa-IR"/>
        </w:rPr>
        <w:t>.</w:t>
      </w:r>
      <w:r>
        <w:rPr>
          <w:rStyle w:val="FootnoteAnchor"/>
          <w:rtl w:val="true"/>
        </w:rPr>
        <w:footnoteReference w:id="21"/>
      </w:r>
      <w:bookmarkStart w:id="40" w:name="pg5095_44668"/>
    </w:p>
    <w:p>
      <w:pPr>
        <w:pStyle w:val="BookText"/>
        <w:rPr/>
      </w:pPr>
      <w:bookmarkEnd w:id="40"/>
      <w:r>
        <w:rPr>
          <w:rFonts w:ascii="IRNazanin" w:hAnsi="IRNazanin" w:eastAsia="IRNazanin"/>
          <w:color w:val="111111"/>
          <w:sz w:val="28"/>
          <w:sz w:val="28"/>
          <w:szCs w:val="28"/>
          <w:rtl w:val="true"/>
          <w:lang w:bidi="fa-IR"/>
        </w:rPr>
        <w:t>کاری که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حساس تاریخی انجام داد، از عهدۀ هیچ‌کس جز وی برنمی‌آمد</w:t>
      </w:r>
      <w:r>
        <w:rPr>
          <w:rFonts w:eastAsia="IRNazanin" w:cs="IRNazanin"/>
          <w:color w:val="111111"/>
          <w:sz w:val="28"/>
          <w:szCs w:val="28"/>
          <w:rtl w:val="true"/>
          <w:lang w:bidi="fa-IR"/>
        </w:rPr>
        <w:t>.</w:t>
      </w:r>
    </w:p>
    <w:p>
      <w:pPr>
        <w:pStyle w:val="Heading3"/>
        <w:numPr>
          <w:ilvl w:val="2"/>
          <w:numId w:val="1"/>
        </w:numPr>
        <w:rPr/>
      </w:pPr>
      <w:bookmarkStart w:id="41" w:name="__RefHeading___Toc1244636_774463916"/>
      <w:bookmarkStart w:id="42" w:name="_Toc15"/>
      <w:bookmarkEnd w:id="41"/>
      <w:r>
        <w:rPr>
          <w:rtl w:val="true"/>
        </w:rPr>
        <w:t>خلاصه</w:t>
      </w:r>
      <w:r>
        <w:rPr>
          <w:rtl w:val="true"/>
        </w:rPr>
        <w:t>:</w:t>
      </w:r>
      <w:bookmarkEnd w:id="4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غصب خلافت، فدک نیز غصب شد تا امامت حقه در فشار اقتصادی باشد</w:t>
      </w:r>
      <w:r>
        <w:rPr>
          <w:rFonts w:eastAsia="IRNazanin" w:cs="IRNazanin"/>
          <w:color w:val="111111"/>
          <w:sz w:val="28"/>
          <w:szCs w:val="28"/>
          <w:rtl w:val="true"/>
          <w:lang w:bidi="fa-IR"/>
        </w:rPr>
        <w:t>.</w:t>
      </w:r>
      <w:bookmarkStart w:id="43" w:name="pg5095_44669"/>
    </w:p>
    <w:p>
      <w:pPr>
        <w:pStyle w:val="Heading2"/>
        <w:numPr>
          <w:ilvl w:val="1"/>
          <w:numId w:val="1"/>
        </w:numPr>
        <w:rPr/>
      </w:pPr>
      <w:bookmarkStart w:id="44" w:name="__RefHeading___Toc1244638_774463916"/>
      <w:bookmarkStart w:id="45" w:name="_Toc16"/>
      <w:bookmarkEnd w:id="43"/>
      <w:bookmarkEnd w:id="44"/>
      <w:r>
        <w:rPr>
          <w:rtl w:val="true"/>
        </w:rPr>
        <w:t>فصل چهارم</w:t>
      </w:r>
      <w:r>
        <w:rPr>
          <w:rtl w:val="true"/>
        </w:rPr>
        <w:t xml:space="preserve">: </w:t>
      </w:r>
      <w:r>
        <w:rPr>
          <w:rtl w:val="true"/>
        </w:rPr>
        <w:t>گام‌های استوار برای احقاق حق</w:t>
      </w:r>
      <w:bookmarkEnd w:id="45"/>
    </w:p>
    <w:p>
      <w:pPr>
        <w:pStyle w:val="Heading3"/>
        <w:numPr>
          <w:ilvl w:val="2"/>
          <w:numId w:val="1"/>
        </w:numPr>
        <w:rPr/>
      </w:pPr>
      <w:bookmarkStart w:id="46" w:name="__RefHeading___Toc1244640_774463916"/>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تصویر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1"/>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4"/>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55" o:detectmouseclick="t"/>
                <v:stroke color="#3465a4" joinstyle="round" endcap="flat"/>
                <w10:wrap type="none"/>
              </v:shape>
            </w:pict>
          </mc:Fallback>
        </mc:AlternateContent>
      </w:r>
      <w:bookmarkStart w:id="48" w:name="pg5095_44671"/>
    </w:p>
    <w:p>
      <w:pPr>
        <w:pStyle w:val="BookText"/>
        <w:rPr/>
      </w:pPr>
      <w:bookmarkEnd w:id="48"/>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احقاق حق خویش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کار در چند مرحله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 با عنوان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ملک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دعوا کرد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وی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را اصطلاحاً نحله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این مطلب را غصب کنندگان نپذیرفتند،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را با عنوان ارث مجدداً مطالبه کرد</w:t>
      </w:r>
      <w:r>
        <w:rPr>
          <w:rFonts w:eastAsia="IRNazanin" w:cs="IRNazanin"/>
          <w:color w:val="111111"/>
          <w:sz w:val="28"/>
          <w:szCs w:val="28"/>
          <w:rtl w:val="true"/>
          <w:lang w:bidi="fa-IR"/>
        </w:rPr>
        <w:t>.</w:t>
      </w:r>
    </w:p>
    <w:p>
      <w:pPr>
        <w:pStyle w:val="Heading3"/>
        <w:numPr>
          <w:ilvl w:val="2"/>
          <w:numId w:val="1"/>
        </w:numPr>
        <w:rPr/>
      </w:pPr>
      <w:bookmarkStart w:id="49" w:name="__RefHeading___Toc1244642_774463916"/>
      <w:bookmarkStart w:id="50" w:name="_Toc18"/>
      <w:bookmarkEnd w:id="49"/>
      <w:r>
        <w:rPr>
          <w:rtl w:val="true"/>
        </w:rPr>
        <w:t>پنجره</w:t>
      </w:r>
      <w:r>
        <w:rPr>
          <w:rtl w:val="true"/>
        </w:rPr>
        <w:t>:</w:t>
      </w:r>
      <w:bookmarkEnd w:id="50"/>
    </w:p>
    <w:p>
      <w:pPr>
        <w:pStyle w:val="BookText"/>
        <w:rPr/>
      </w:pPr>
      <w:r>
        <w:rPr>
          <w:rFonts w:ascii="IRNazanin" w:hAnsi="IRNazanin" w:eastAsia="IRNazanin"/>
          <w:color w:val="111111"/>
          <w:sz w:val="28"/>
          <w:sz w:val="28"/>
          <w:szCs w:val="28"/>
          <w:rtl w:val="true"/>
          <w:lang w:bidi="fa-IR"/>
        </w:rPr>
        <w:t>چرا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به دو گونه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به‌عنوان هبه و نحله و یک بار به‌عنوان ارث؟ بین این دو تناقض نیست؛ چون وی وقتی مطالبۀ میراث کرد که ادعای مالکیتش به‌عنوان اینکه فدک هبۀ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اوست، پذیرفته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درخواستش را در دو مرحله مطرح کرد؛ نه در یک مرحله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ارث‌بری به‌معنای بقای ملکیت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اموال خویش تا لحظۀ وفاتش است؛ حال‌آنکه</w:t>
      </w:r>
    </w:p>
    <w:p>
      <w:pPr>
        <w:pStyle w:val="BookText"/>
        <w:rPr/>
      </w:pPr>
      <w:r>
        <w:rPr>
          <w:rFonts w:ascii="IRNazanin" w:hAnsi="IRNazanin" w:eastAsia="IRNazanin"/>
          <w:color w:val="111111"/>
          <w:sz w:val="28"/>
          <w:sz w:val="28"/>
          <w:szCs w:val="28"/>
          <w:rtl w:val="true"/>
          <w:lang w:bidi="fa-IR"/>
        </w:rPr>
        <w:t xml:space="preserve">در فرض نحله، قطع ملکیت واهب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اثبات ملکیت موهوبُ‌لها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مطلب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دعوی ارث ازسوی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مرحلۀ دوم و پس از رد ادعای مالکیت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اول، مالکیت خویش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مسئله‌ای شرعی و بلکه عقلی و عرفی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به‌حسب قاعده، انسان مالک چیزی است که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فرد با عنوان ذوالید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کسی‌که ساعتی در دست دارد، نمی‌خواهند دلیلی بر مالک‌بودن خویش بر ساعتش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 دیگری بیاید و ادعا کند که این ساعت از آن اوست، خودِ او باید برای ادعایش دلیل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الْبَینَةُ عَلَی الْمُدَّعِی وَ الْیمِینُ عَلَی الْمُدَّعَی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أنکر</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یعنی ادعا‌کننده باید برای ادعای خویش دلیل و بینه بیاورد و مدعی‌علیه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قسم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همه‌جا پذیرفته‌شده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قضیۀ فدک، این زمین در دسترس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تصرف آن حضرت قرار داشت؛ بنابراین او مدعی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درحال بهره‌برداری</w:t>
      </w:r>
    </w:p>
    <w:p>
      <w:pPr>
        <w:pStyle w:val="BookText"/>
        <w:rPr/>
      </w:pPr>
      <w:r>
        <w:rPr>
          <w:rFonts w:ascii="IRNazanin" w:hAnsi="IRNazanin" w:eastAsia="IRNazanin"/>
          <w:color w:val="111111"/>
          <w:sz w:val="28"/>
          <w:sz w:val="28"/>
          <w:szCs w:val="28"/>
          <w:rtl w:val="true"/>
          <w:lang w:bidi="fa-IR"/>
        </w:rPr>
        <w:t>از زمین بود و کارگرهایش هم مشغول 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نباید از آن حضرت دلیلی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کسی‌که این مالکیت را زیر سؤال برد، مدعی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بینه اقامه کرده و دلیل عرضه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دستگاه حکومتی به‌عکس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کسی‌که آنجا را در تصرف خود داشت، ستاند و غصب کرد و از مالک آن، دلیل و بینه مطالبه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درخواست اقامۀ بینه از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ضروری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فدک را غصب کردند، اگر حکم را نمی‌دانستند که جهل و نادانی خود را اثبات کرده‌اند و آن خود مصیبتی است، اگر هم دانسته عمل کردند، مصیبت بزرگ‌تر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مماشات و برای احقاق حق، ناچار شد دلیل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شاهد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علی‌بن‌ابی‌طالب، امام‌حسن،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بهانه آوردند که گواهی‌دادن اینان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شهادت چهار تن از افرادِ آیۀ تطهیر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شهادت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 چون او شوهر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شهادت به‌نفع اوست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حسنین هم فرزندانش هستند و شهادتشان به‌نفع او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ام‌ایمن هم زن است و شهاتش پذیرفتنی نیست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به‌حکم آیۀ مباهله</w:t>
      </w:r>
      <w:r>
        <w:rPr>
          <w:rStyle w:val="FootnoteAnchor"/>
          <w:rtl w:val="true"/>
        </w:rPr>
        <w:footnoteReference w:id="26"/>
      </w:r>
      <w:r>
        <w:rPr>
          <w:rFonts w:ascii="IRNazanin" w:hAnsi="IRNazanin" w:eastAsia="IRNazanin"/>
          <w:color w:val="111111"/>
          <w:sz w:val="28"/>
          <w:sz w:val="28"/>
          <w:szCs w:val="28"/>
          <w:rtl w:val="true"/>
          <w:lang w:bidi="fa-IR"/>
        </w:rPr>
        <w:t>نفس و جان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کسی است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است و حق با علی</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علی</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جابربن‌عبدالله انصاری</w:t>
      </w:r>
      <w:r>
        <w:rPr>
          <w:rStyle w:val="FootnoteAnchor"/>
          <w:rtl w:val="true"/>
        </w:rPr>
        <w:footnoteReference w:id="29"/>
      </w:r>
      <w:r>
        <w:rPr>
          <w:rFonts w:ascii="IRNazanin" w:hAnsi="IRNazanin" w:eastAsia="IRNazanin"/>
          <w:color w:val="111111"/>
          <w:sz w:val="28"/>
          <w:sz w:val="28"/>
          <w:szCs w:val="28"/>
          <w:rtl w:val="true"/>
          <w:lang w:bidi="fa-IR"/>
        </w:rPr>
        <w:t>و ابوسعید خدری، یاران جلیل‌القدر پیامبر درباره‌اش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دورۀ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راه شناسایی منافقان، وجود بغض و کینۀ ایشان به علی‌بن‌ابی‌طالب بود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آیا کلام چنین کسی کافی نبوده و شهادتش پذیرفتنی نیست؟ از فاطمه درخواست شهود و دلیل کردند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سخنش را نپذیرفتند که عایشه درباره‌اش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راست‌گوتر از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کسی‌که صدیقه است و از اصحاب کسا و از افراد و مصادیق آیۀ تطهیر</w:t>
      </w:r>
      <w:r>
        <w:rPr>
          <w:rStyle w:val="FootnoteAnchor"/>
          <w:rtl w:val="true"/>
        </w:rPr>
        <w:footnoteReference w:id="32"/>
      </w:r>
      <w:r>
        <w:rPr>
          <w:rFonts w:ascii="IRNazanin" w:hAnsi="IRNazanin" w:eastAsia="IRNazanin"/>
          <w:color w:val="111111"/>
          <w:sz w:val="28"/>
          <w:sz w:val="28"/>
          <w:szCs w:val="28"/>
          <w:rtl w:val="true"/>
          <w:lang w:bidi="fa-IR"/>
        </w:rPr>
        <w:t>و از افراد آیۀ مباهله؟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شهادت حسن و حسینی پذیرفته نیست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جوانان بهشت‌اند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طبق روایاتِ همۀ مسلمانان،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ام‌ایمن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اهل بهشت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 از این رو دربارۀ وی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المبشرة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کسی‌که بشارت بهشت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او پذیرفته نیست؟پس غصب کنندگان، راه پذیرفتن شهادت را نیز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بعد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خود را به گونه دیگر مطرح ساخت؛ چون در اینجا مسئلۀ احقاق حق و مبارزه با بدعت در دین و دفاع از حریم امامت و مبارزه با غاصبان و ستمکاران بود؛ نه صرفاً رسیدن به حق مسلم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فدک یعنی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باید به مسئله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تنها قطعه‌ای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مطالبۀ فدک، در واقع اساس خلافت غاصبانه را برای همیشۀ تاریخ زیر سؤال برد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وقتی‌که مالکیت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فدک را نپذیرفتند و شهادت شهود را نیز قبول نکردند، آن حضرت از راهی دیگر وارد صحنه شد و آن، مطالبۀ 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درخواستش را در واقع این‌گونه</w:t>
      </w:r>
      <w:bookmarkStart w:id="51" w:name="pg5095_44676"/>
    </w:p>
    <w:p>
      <w:pPr>
        <w:pStyle w:val="BookText"/>
        <w:rPr/>
      </w:pPr>
      <w:bookmarkEnd w:id="51"/>
      <w:r>
        <w:rPr>
          <w:rFonts w:ascii="IRNazanin" w:hAnsi="IRNazanin" w:eastAsia="IRNazanin"/>
          <w:color w:val="111111"/>
          <w:sz w:val="28"/>
          <w:sz w:val="28"/>
          <w:szCs w:val="28"/>
          <w:rtl w:val="true"/>
          <w:lang w:bidi="fa-IR"/>
        </w:rPr>
        <w:t>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گیریم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را به من نبخشیده است؛ ولی آیا می‌پذیرید که فدک در اصل ملک شخص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هیچ‌کس منکر نشد؛ چون همان‌طورکه گذشت، فدک از جاهایی است که برای آن جنگی واقع نشده است و به‌حکم قرآن، برگشت آن به شخص رسول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این‌چنین است، پس فدک ملک پدر من است و من امروز دختر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باقی‌ماندۀ اویم؛ پس به‌عنوان ارث به من می‌رسد</w:t>
      </w:r>
      <w:r>
        <w:rPr>
          <w:rFonts w:eastAsia="IRNazanin" w:cs="IRNazanin"/>
          <w:color w:val="111111"/>
          <w:sz w:val="28"/>
          <w:szCs w:val="28"/>
          <w:rtl w:val="true"/>
          <w:lang w:bidi="fa-IR"/>
        </w:rPr>
        <w:t>.»</w:t>
      </w:r>
    </w:p>
    <w:p>
      <w:pPr>
        <w:pStyle w:val="Heading3"/>
        <w:numPr>
          <w:ilvl w:val="2"/>
          <w:numId w:val="1"/>
        </w:numPr>
        <w:rPr/>
      </w:pPr>
      <w:bookmarkStart w:id="52" w:name="__RefHeading___Toc1244644_774463916"/>
      <w:bookmarkStart w:id="53" w:name="_Toc19"/>
      <w:bookmarkEnd w:id="52"/>
      <w:r>
        <w:rPr>
          <w:rtl w:val="true"/>
        </w:rPr>
        <w:t>خلاصه</w:t>
      </w:r>
      <w:r>
        <w:rPr>
          <w:rtl w:val="true"/>
        </w:rPr>
        <w:t>:</w:t>
      </w:r>
      <w:bookmarkEnd w:id="5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راه حق خویش را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مالکیت و استمرار آن؛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مطالبۀ فدک به‌عنوان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گام دوم را وقتی برداشت که مسیر اول به نتیجه نرسید</w:t>
      </w:r>
      <w:r>
        <w:rPr>
          <w:rFonts w:eastAsia="IRNazanin" w:cs="IRNazanin"/>
          <w:color w:val="111111"/>
          <w:sz w:val="28"/>
          <w:szCs w:val="28"/>
          <w:rtl w:val="true"/>
          <w:lang w:bidi="fa-IR"/>
        </w:rPr>
        <w:t>.</w:t>
      </w:r>
      <w:bookmarkStart w:id="54" w:name="pg5095_44677"/>
    </w:p>
    <w:p>
      <w:pPr>
        <w:pStyle w:val="Heading2"/>
        <w:numPr>
          <w:ilvl w:val="1"/>
          <w:numId w:val="1"/>
        </w:numPr>
        <w:rPr/>
      </w:pPr>
      <w:bookmarkStart w:id="55" w:name="__RefHeading___Toc1244646_774463916"/>
      <w:bookmarkStart w:id="56" w:name="_Toc20"/>
      <w:bookmarkEnd w:id="54"/>
      <w:bookmarkEnd w:id="55"/>
      <w:r>
        <w:rPr>
          <w:rtl w:val="true"/>
        </w:rPr>
        <w:t>فصل پنجم</w:t>
      </w:r>
      <w:r>
        <w:rPr>
          <w:rtl w:val="true"/>
        </w:rPr>
        <w:t xml:space="preserve">: </w:t>
      </w:r>
      <w:r>
        <w:rPr>
          <w:rtl w:val="true"/>
        </w:rPr>
        <w:t>جعل حدیث برای توجیه غصب فدک</w:t>
      </w:r>
      <w:bookmarkEnd w:id="56"/>
    </w:p>
    <w:p>
      <w:pPr>
        <w:pStyle w:val="Heading3"/>
        <w:numPr>
          <w:ilvl w:val="2"/>
          <w:numId w:val="1"/>
        </w:numPr>
        <w:rPr/>
      </w:pPr>
      <w:bookmarkStart w:id="57" w:name="__RefHeading___Toc1244648_774463916"/>
      <w:bookmarkStart w:id="58" w:name="_Toc21"/>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تصویر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3"/>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67" o:detectmouseclick="t"/>
                <v:stroke color="#3465a4" joinstyle="round" endcap="flat"/>
                <w10:wrap type="none"/>
              </v:shape>
            </w:pict>
          </mc:Fallback>
        </mc:AlternateContent>
      </w:r>
      <w:bookmarkStart w:id="59" w:name="pg5095_44679"/>
    </w:p>
    <w:p>
      <w:pPr>
        <w:pStyle w:val="BookText"/>
        <w:rPr/>
      </w:pPr>
      <w:bookmarkEnd w:id="59"/>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را این‌گونه مطرح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 اگر بمیری، اموالت به چه‌کسی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 از تو ارث می‌برند؛ ولی من از پدرم ارث نمی‌برم؟</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سخن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استدلالی است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قانون ارث، هر فرزندی از پدر خویش ارث می‌برد و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قانون عمومی ارث‌بری استثنا نشده است</w:t>
      </w:r>
      <w:r>
        <w:rPr>
          <w:rFonts w:eastAsia="IRNazanin" w:cs="IRNazanin"/>
          <w:color w:val="111111"/>
          <w:sz w:val="28"/>
          <w:szCs w:val="28"/>
          <w:rtl w:val="true"/>
          <w:lang w:bidi="fa-IR"/>
        </w:rPr>
        <w:t>.</w:t>
      </w:r>
    </w:p>
    <w:p>
      <w:pPr>
        <w:pStyle w:val="Heading3"/>
        <w:numPr>
          <w:ilvl w:val="2"/>
          <w:numId w:val="1"/>
        </w:numPr>
        <w:rPr/>
      </w:pPr>
      <w:bookmarkStart w:id="60" w:name="__RefHeading___Toc1244650_774463916"/>
      <w:bookmarkStart w:id="61" w:name="_Toc22"/>
      <w:bookmarkEnd w:id="60"/>
      <w:r>
        <w:rPr>
          <w:rtl w:val="true"/>
        </w:rPr>
        <w:t>پنجره</w:t>
      </w:r>
      <w:r>
        <w:rPr>
          <w:rtl w:val="true"/>
        </w:rPr>
        <w:t>:</w:t>
      </w:r>
      <w:bookmarkEnd w:id="6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کنندگان فدک پس از اعتراض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جعل حدیث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دختر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ستاندن، حدیثی است که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 مَا تَرَکنَاهُ فَهُوَ صَدَقَةٌ</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یعنی ما پیامبران چیزی را به ارث نمی‌نهیم؛ آنچه از ما باقی می‌ماند، صدقه است و مربوط به عموم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تمسک به حدیث جعلی یادشده، پاسخ‌های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سه پاسخ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ارث نبود؛ بلکه نحلۀ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دورۀ خود به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بود و همان زمان در اختیار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آن را از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ستاندند و به‌خلاف قاعده، خواستار اقامۀ بینه و آوردن شهود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آنان شهادت شهود را نپذیرفتند،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ارث را پیش کشید تا از این راه به حق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تکیه بر این جهت، جهل مدعیان خلافت را به حکم مسلم قرآنی و اسلامی ثابت کرد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طلب بینه و درخواست اقامۀ شهود، بر‌خلاف قواعد مسلم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ثابت است که ید، امارۀ ملکیت است و از ذوالید اقامۀ دلیل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کسی ملکیت آن را ادعا کند، باید با آوردن بینه و شهود، ادعای خود را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طلب بینه و شهود از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نبود؛ ولی حضرت برای مماشات و احقاق حق به آن تن داد</w:t>
      </w:r>
      <w:r>
        <w:rPr>
          <w:rFonts w:eastAsia="IRNazanin" w:cs="IRNazanin"/>
          <w:color w:val="111111"/>
          <w:sz w:val="28"/>
          <w:szCs w:val="28"/>
          <w:rtl w:val="true"/>
          <w:lang w:bidi="fa-IR"/>
        </w:rPr>
        <w:t>.</w:t>
      </w:r>
      <w:bookmarkStart w:id="62" w:name="pg5095_44681"/>
    </w:p>
    <w:p>
      <w:pPr>
        <w:pStyle w:val="Heading3"/>
        <w:numPr>
          <w:ilvl w:val="2"/>
          <w:numId w:val="1"/>
        </w:numPr>
        <w:rPr/>
      </w:pPr>
      <w:bookmarkStart w:id="63" w:name="__RefHeading___Toc1244652_774463916"/>
      <w:bookmarkStart w:id="64" w:name="_Toc23"/>
      <w:bookmarkEnd w:id="62"/>
      <w:bookmarkEnd w:id="63"/>
      <w:r>
        <w:rPr>
          <w:rtl w:val="true"/>
        </w:rPr>
        <w:t>پنجره</w:t>
      </w:r>
      <w:r>
        <w:rPr>
          <w:rtl w:val="true"/>
        </w:rPr>
        <w:t>:</w:t>
      </w:r>
      <w:bookmarkEnd w:id="64"/>
    </w:p>
    <w:p>
      <w:pPr>
        <w:pStyle w:val="BookText"/>
        <w:rPr/>
      </w:pPr>
      <w:r>
        <w:rPr>
          <w:rFonts w:ascii="IRNazanin" w:hAnsi="IRNazanin" w:eastAsia="IRNazanin"/>
          <w:color w:val="111111"/>
          <w:sz w:val="28"/>
          <w:sz w:val="28"/>
          <w:szCs w:val="28"/>
          <w:rtl w:val="true"/>
          <w:lang w:bidi="fa-IR"/>
        </w:rPr>
        <w:t>در تفسیر قمی</w:t>
      </w:r>
      <w:r>
        <w:rPr>
          <w:rStyle w:val="FootnoteAnchor"/>
          <w:rtl w:val="true"/>
        </w:rPr>
        <w:footnoteReference w:id="38"/>
      </w:r>
      <w:r>
        <w:rPr>
          <w:rFonts w:ascii="IRNazanin" w:hAnsi="IRNazanin" w:eastAsia="IRNazanin"/>
          <w:color w:val="111111"/>
          <w:sz w:val="28"/>
          <w:sz w:val="28"/>
          <w:szCs w:val="28"/>
          <w:rtl w:val="true"/>
          <w:lang w:bidi="fa-IR"/>
        </w:rPr>
        <w:t>آمده است که امیرمؤمنان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می‌خواهی به‌خلاف حکم الهی دربارۀ مسلمانان، دربارۀ ما داوری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دست مسلمانان چیزی باشد که به ایشان متعلق است و مالک آن هستند و من ادعای ملکیت آن را بکنم، از چه‌کسی طلب بینه و اقامۀ شهود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قضیه که فدک در اختیار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کسی ادعای ملکیت آن را بکند، چه‌کسی باید اقامۀ بینه کند؟ آیا آن‌کس که زمین در اختیار اوست، باید بینه بیاورد یا اینکه مدعی مالکیت که زمین خارج از تصرف اوست، باید گواهی و شهود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امیرمؤمنان با طرح این سؤال، او را خلع سلاح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خلاف صریح آیۀ قرآنی مبنی‌بر ارث‌گذاشتن پیامبران است و ما وظیفه داریم حدیث مخالف قرآن را به کنار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جعل این حدیث می‌خواستند اصل باطلی را پایه‌ریزی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هیچ مالی را به ارث نمی‌گذارد و هرچه باشد، صدقه است و از آنِ خلافت و این اموال برای فقیران خرج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فاطمۀ</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قرآنی، این مدعا را باطل اعلام کرد؛ چون این حدیث با منطوق صریح و عمومات قرآنی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قاعده و بر طبق حدیث مسلم، وظیفه، رویگردانی از اینگونه احادیث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وافق کتاب الله فخذوه و ما خالف فذروه</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روایاتی که با قرآن موافق است، عمل کنید و آنچه مخالف قرآن است، وانهید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حضرت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أترث أباک و لا أرث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شیئاّ فریاّ</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تو از پدرت ارث می‌بری و من نخواهم برد؟ کار بسیار عجیب و زشتی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حکم خدا، نسبتی ناروا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برای اثبات جعل حدیث، به آیاتی از قرآن تمسک کرد که مفاد همۀ آن‌ها ارث‌بری همۀ فرزندان از پدرانشان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داوود میراث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مِنْ لَدُنْک وَلِیّاً یَرِثُنی وَ یَرِثُ مِنْ آلِ یَعْقُوبَ وَ اجْعَلْهُ رَبِّ رَضِیّاً</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ازجانب خود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ببخش که از من ارث برد و از خاندان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 و او را ای پروردگار من، پسندیده</w:t>
      </w:r>
    </w:p>
    <w:p>
      <w:pPr>
        <w:pStyle w:val="BookText"/>
        <w:rPr/>
      </w:pP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دربارۀ فرزندانتان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پسر، چون سهم دو دختر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حدیث،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معنایی داشته باشد که با آنچه آنان در پی آن بودند، مغایرت دارد، که به هیچ‌وجه به مدعای غاصبان ربطی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منظور در روایات ما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اصلی پیامبران،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شأن پیامبران این نیست که مال‌اندوزی کنند و درهم و دینار به ارث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پیامبران به ارث گذاشته می‌شود،</w:t>
      </w:r>
    </w:p>
    <w:p>
      <w:pPr>
        <w:pStyle w:val="BookText"/>
        <w:rPr/>
      </w:pPr>
      <w:r>
        <w:rPr>
          <w:rFonts w:ascii="IRNazanin" w:hAnsi="IRNazanin" w:eastAsia="IRNazanin"/>
          <w:color w:val="111111"/>
          <w:sz w:val="28"/>
          <w:sz w:val="28"/>
          <w:szCs w:val="28"/>
          <w:rtl w:val="true"/>
          <w:lang w:bidi="fa-IR"/>
        </w:rPr>
        <w:t>علم و مسائل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که این تفسیر به این معنا نیست که هیچ پیامبری هیچ ارث مالی به جای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عمدۀ اشکال در روایت ساختگی به قسمت دوم آن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تَرَکنَاهُ فَهُوَ صَدَقَةٌ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به‌رفع خوانده شود، مفاد آن این خواهد بود که پیامبر هیچ‌چیزی از اموال خود را برای بازماندگان خود به ارث نخواهد گذاشت و تمامی آن‌ها صدقه و متعلق به فقرا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شأن ایشان از شأن مسلمانان عادی کمتر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تمامی مسلمانان جهان اموال خود را گرچه کم باشد، به ارث خواهند نهاد؛ ولی پیامبران این حق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عمومات و اطلاقات آیات قرآنی سازگار نیست؛ بنابراین این ادعا که تمام اموال باقی‌ماندۀ پیامبر صدقه بوده و متعلق به مسلمانان است، دروغی بیش نیست و چون با نص قرآن سازگار نمی‌باشد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مضمون قسمت اول روایت با فهم صحیح مشکلی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کلینی در کافی آورده است که حضرت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حدیثی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الْأَنْبِیاءِ إِنَّ الْأَنْبِیاءَ لَمْ یوَرِّثُوا دِینَاراً وَ لَا دِرْهَماً وَ لَکنْ وَرَّثُوا الْعِلْمَ فَمَنْ أَخَذَ مِنْهُ أَخَذَ بِحَظٍّ وَافِر</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وارثان پیامبران‌اند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درهم و دیناری از خود به ارث نمی‌نهند؛ بلکه دانش را به ارث می‌نهند و هرکس از آن بهره برد، بهرۀ فراوان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روایت این نیست که اگر پیامبری صد درهم و دینار از خود ارث گذارد، فرزندان وی هیچ حقی در آن نداشته باشند؛ بلکه مقصود این است که میراث اصلی پیامبران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 بهره برد، بهرۀ فراوان خواهد برد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روایت در مقام این نیست که بفرماید هیچ پیامبری هیچ ارث مالی از خود به جا نمی‌گذارد؛ بلکه بیان می‌کند که مقام و شأن پیامبر الهی اقتضا می‌کند میراث اصلی به‌جامانده از وی، میراث علمی و معنوی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در اختیار همۀ پیروان او خواهد بود؛ نه اینکه</w:t>
      </w:r>
      <w:bookmarkStart w:id="65" w:name="pg5095_44685"/>
    </w:p>
    <w:p>
      <w:pPr>
        <w:pStyle w:val="BookText"/>
        <w:rPr/>
      </w:pPr>
      <w:bookmarkEnd w:id="65"/>
      <w:r>
        <w:rPr>
          <w:rFonts w:ascii="IRNazanin" w:hAnsi="IRNazanin" w:eastAsia="IRNazanin"/>
          <w:color w:val="111111"/>
          <w:sz w:val="28"/>
          <w:sz w:val="28"/>
          <w:szCs w:val="28"/>
          <w:rtl w:val="true"/>
          <w:lang w:bidi="fa-IR"/>
        </w:rPr>
        <w:t>بخواهد میراث مالی را نفی کند که به‌طور طبیعی هر فردی آن را برای خویشان خود به جا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عمومی معنوی با میراث خصوصی مادی ایشان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اشکالی که در حدیث جعلی است، بیشتر به قسمت دوم آن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قسمت، نفی میراث خصوصی مادی ایشان است</w:t>
      </w:r>
      <w:r>
        <w:rPr>
          <w:rFonts w:eastAsia="IRNazanin" w:cs="IRNazanin"/>
          <w:color w:val="111111"/>
          <w:sz w:val="28"/>
          <w:szCs w:val="28"/>
          <w:rtl w:val="true"/>
          <w:lang w:bidi="fa-IR"/>
        </w:rPr>
        <w:t>.</w:t>
      </w:r>
    </w:p>
    <w:p>
      <w:pPr>
        <w:pStyle w:val="Heading3"/>
        <w:numPr>
          <w:ilvl w:val="2"/>
          <w:numId w:val="1"/>
        </w:numPr>
        <w:rPr/>
      </w:pPr>
      <w:bookmarkStart w:id="66" w:name="__RefHeading___Toc1244654_774463916"/>
      <w:bookmarkStart w:id="67" w:name="_Toc24"/>
      <w:bookmarkEnd w:id="66"/>
      <w:r>
        <w:rPr>
          <w:rtl w:val="true"/>
        </w:rPr>
        <w:t>خلاصه</w:t>
      </w:r>
      <w:r>
        <w:rPr>
          <w:rtl w:val="true"/>
        </w:rPr>
        <w:t>:</w:t>
      </w:r>
      <w:bookmarkEnd w:id="6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 مَا تَرَکنَاهُ فَهُوَ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است؛ چون با حکم صریح قرآن کریم نمی‌سازد و هر حدیثی که با قرآن نسازد، درخور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دیگر مردم، در حکم ارث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تمسک به این حدیث در جای خود نیست؛ چون در واقع فدک را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خود به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بود؛ نه اینکه پس از وی به‌عنوان ارث در اختیار وی قرار گیرد</w:t>
      </w:r>
      <w:r>
        <w:rPr>
          <w:rFonts w:eastAsia="IRNazanin" w:cs="IRNazanin"/>
          <w:color w:val="111111"/>
          <w:sz w:val="28"/>
          <w:szCs w:val="28"/>
          <w:rtl w:val="true"/>
          <w:lang w:bidi="fa-IR"/>
        </w:rPr>
        <w:t>.</w:t>
      </w:r>
      <w:bookmarkStart w:id="68" w:name="pg5095_44687"/>
    </w:p>
    <w:p>
      <w:pPr>
        <w:pStyle w:val="Heading2"/>
        <w:numPr>
          <w:ilvl w:val="1"/>
          <w:numId w:val="1"/>
        </w:numPr>
        <w:rPr/>
      </w:pPr>
      <w:bookmarkStart w:id="69" w:name="__RefHeading___Toc1244656_774463916"/>
      <w:bookmarkStart w:id="70" w:name="_Toc25"/>
      <w:bookmarkEnd w:id="68"/>
      <w:bookmarkEnd w:id="69"/>
      <w:r>
        <w:rPr>
          <w:rtl w:val="true"/>
        </w:rPr>
        <w:t>فصل ششم</w:t>
      </w:r>
      <w:r>
        <w:rPr>
          <w:rtl w:val="true"/>
        </w:rPr>
        <w:t xml:space="preserve">: </w:t>
      </w:r>
      <w:r>
        <w:rPr>
          <w:rtl w:val="true"/>
        </w:rPr>
        <w:t>سرنوشت فدک</w:t>
      </w:r>
      <w:bookmarkEnd w:id="70"/>
    </w:p>
    <w:p>
      <w:pPr>
        <w:pStyle w:val="Heading3"/>
        <w:numPr>
          <w:ilvl w:val="2"/>
          <w:numId w:val="1"/>
        </w:numPr>
        <w:rPr/>
      </w:pPr>
      <w:bookmarkStart w:id="71" w:name="__RefHeading___Toc1244658_774463916"/>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تصویر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0" o:detectmouseclick="t"/>
                <v:stroke color="#3465a4" joinstyle="round" endcap="flat"/>
                <w10:wrap type="none"/>
              </v:shape>
            </w:pict>
          </mc:Fallback>
        </mc:AlternateContent>
      </w:r>
      <w:bookmarkStart w:id="73" w:name="pg5095_44689"/>
    </w:p>
    <w:p>
      <w:pPr>
        <w:pStyle w:val="BookText"/>
        <w:rPr/>
      </w:pPr>
      <w:bookmarkEnd w:id="73"/>
      <w:r>
        <w:rPr>
          <w:rFonts w:ascii="IRNazanin" w:hAnsi="IRNazanin" w:eastAsia="IRNazanin"/>
          <w:color w:val="111111"/>
          <w:sz w:val="28"/>
          <w:sz w:val="28"/>
          <w:szCs w:val="28"/>
          <w:rtl w:val="true"/>
          <w:lang w:bidi="fa-IR"/>
        </w:rPr>
        <w:t>غاصبان فدک، به‌بهانۀ اینکه این ملک از آن مسلمانان است، آن را به‌زور ستاندند؛ ولی سرانجام، فدک به دست چه‌کسانی افتاد؟ آیا مستمندان و فقیران از آن بهره بردند؟ آیا در خدمت مصالح عمومی مردم قرار گرفت؟ پاسخ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ابتدا آن را به سه قسمت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یک‌سوم آن را در اختیار مروان و ثلث دیگر را در اختیار عمرو‌بن‌عثمان قرار دادند و آخرین ثلث را به یزید دادند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آنان در مرتبۀ دیگر، همه را به مروان‌بن‌حکم دادند</w:t>
      </w:r>
      <w:r>
        <w:rPr>
          <w:rFonts w:eastAsia="IRNazanin" w:cs="IRNazanin"/>
          <w:color w:val="111111"/>
          <w:sz w:val="28"/>
          <w:szCs w:val="28"/>
          <w:rtl w:val="true"/>
          <w:lang w:bidi="fa-IR"/>
        </w:rPr>
        <w:t>.</w:t>
      </w:r>
    </w:p>
    <w:p>
      <w:pPr>
        <w:pStyle w:val="Heading3"/>
        <w:numPr>
          <w:ilvl w:val="2"/>
          <w:numId w:val="1"/>
        </w:numPr>
        <w:rPr/>
      </w:pPr>
      <w:bookmarkStart w:id="74" w:name="__RefHeading___Toc1244660_774463916"/>
      <w:bookmarkStart w:id="75" w:name="_Toc27"/>
      <w:bookmarkEnd w:id="74"/>
      <w:r>
        <w:rPr>
          <w:rtl w:val="true"/>
        </w:rPr>
        <w:t>پنجره</w:t>
      </w:r>
      <w:r>
        <w:rPr>
          <w:rtl w:val="true"/>
        </w:rPr>
        <w:t>:</w:t>
      </w:r>
      <w:bookmarkEnd w:id="7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که فدک برای مروان و بنی‌امیه حلال می‌شود و برای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مگر نگفتند که فدک، صدقه است و متعلق به مسلمانان، پس چرا ستمکاران آن را بین خود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فدک برای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برای بنی‌امیه و بنی‌مروان است؟</w:t>
      </w:r>
    </w:p>
    <w:p>
      <w:pPr>
        <w:pStyle w:val="BookText"/>
        <w:rPr/>
      </w:pPr>
      <w:r>
        <w:rPr>
          <w:rFonts w:ascii="IRNazanin" w:hAnsi="IRNazanin" w:eastAsia="IRNazanin"/>
          <w:color w:val="111111"/>
          <w:sz w:val="28"/>
          <w:sz w:val="28"/>
          <w:szCs w:val="28"/>
          <w:rtl w:val="true"/>
          <w:lang w:bidi="fa-IR"/>
        </w:rPr>
        <w:t>به هر حال در یک مرحله همۀ فدک را به مروان‌بن‌حکم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آورده است که فدک را به‌علاوۀ خمس مال آفریقا به مروان‌بن‌حکم دادند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شگفتا، فدک را از دخت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ستاندند و به مروان دادند که رانده‌شدۀ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نه بخششی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نه ارثی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مروان همۀ فدک را به فرزندش داد تا آنگاه که نوبت به عمربن‌عبدالعزیز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از واقعیت غصب آگاه بوده و چه‌بسا مصالح خاص سیاسی هم مدنظرش بود، فدک را به حسن مثنی، فرزند امام‌حسن‌مجتبی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عمربن‌عبدالعزیز اولین کسی است که فدک را به نوادگان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پس از آن، داستان غصب فدک و بازپس‌دادن آن چندین بار تکرار شد تا دورۀ هارون‌الرشید رسید و آن گفت‌وگوی حساس بین امام‌کاظم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هارون‌الرشید دربارۀ تعیین حد و مرز فدک واقع شد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این گفت‌وگو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عباسی خود دانشمند بود و اهل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ستمکار و غاصب بود، ولی اهل فهم و اندیشه و برخوردار از شم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انگیزۀ شکستن ابهت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علمی ترتیب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می‌داد؛ ولی تمامی این مجالس به‌نفع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مجالس، حضرت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 فرا خوانید که به نزدم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فدک از جاهایی است که برای تصرف آن هیچ جنگی درنگرفته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متعلق به شخص من است و مسلمانان در آن هیچ حقی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برای تو و فرزندانت قرار دادم</w:t>
      </w:r>
      <w:r>
        <w:rPr>
          <w:rFonts w:eastAsia="IRNazanin" w:cs="IRNazanin"/>
          <w:color w:val="111111"/>
          <w:sz w:val="28"/>
          <w:szCs w:val="28"/>
          <w:rtl w:val="true"/>
          <w:lang w:bidi="fa-IR"/>
        </w:rPr>
        <w:t>.»</w:t>
      </w:r>
      <w:r>
        <w:rPr>
          <w:rStyle w:val="FootnoteAnchor"/>
          <w:rtl w:val="true"/>
        </w:rPr>
        <w:footnoteReference w:id="5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مأمون عباسی دانشمندان را جمع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شهادت علی‌بن‌ابی‌طالب و حسنین بر ادعای فاطمه را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سخن و شهادت ام ایمن را که به شهادت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بهشتی است،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این‌همه، آیا باز تردیدی دربارۀ مالکیت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راه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مأمون پس از گرفتن اقرار از ایشان، دستور داد که فدک را به فرزندان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گردانند</w:t>
      </w:r>
      <w:r>
        <w:rPr>
          <w:rFonts w:eastAsia="IRNazanin" w:cs="IRNazanin"/>
          <w:color w:val="111111"/>
          <w:sz w:val="28"/>
          <w:szCs w:val="28"/>
          <w:rtl w:val="true"/>
          <w:lang w:bidi="fa-IR"/>
        </w:rPr>
        <w:t>.</w:t>
      </w:r>
      <w:r>
        <w:rPr>
          <w:rStyle w:val="FootnoteAnchor"/>
          <w:rtl w:val="true"/>
        </w:rPr>
        <w:footnoteReference w:id="51"/>
      </w:r>
      <w:bookmarkStart w:id="76" w:name="pg5095_44692"/>
    </w:p>
    <w:p>
      <w:pPr>
        <w:pStyle w:val="Heading3"/>
        <w:numPr>
          <w:ilvl w:val="2"/>
          <w:numId w:val="1"/>
        </w:numPr>
        <w:rPr/>
      </w:pPr>
      <w:bookmarkStart w:id="77" w:name="__RefHeading___Toc1244662_774463916"/>
      <w:bookmarkStart w:id="78" w:name="_Toc28"/>
      <w:bookmarkEnd w:id="76"/>
      <w:bookmarkEnd w:id="77"/>
      <w:r>
        <w:rPr>
          <w:rtl w:val="true"/>
        </w:rPr>
        <w:t>خلاصه</w:t>
      </w:r>
      <w:r>
        <w:rPr>
          <w:rtl w:val="true"/>
        </w:rPr>
        <w:t>:</w:t>
      </w:r>
      <w:bookmarkEnd w:id="78"/>
    </w:p>
    <w:p>
      <w:pPr>
        <w:pStyle w:val="BookText"/>
        <w:rPr/>
      </w:pPr>
      <w:r>
        <w:rPr>
          <w:rFonts w:ascii="IRNazanin" w:hAnsi="IRNazanin" w:eastAsia="IRNazanin"/>
          <w:color w:val="111111"/>
          <w:sz w:val="28"/>
          <w:sz w:val="28"/>
          <w:szCs w:val="28"/>
          <w:rtl w:val="true"/>
          <w:lang w:bidi="fa-IR"/>
        </w:rPr>
        <w:t>فدک را به‌بهانۀ اینکه صدقه و ملک عمومی مسلمانان است، از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به‌زور ستاندند؛ ولی بعدها در اختیار مروان و یزید و بنی‌امیه و بنی‌مروان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فدک برای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حرام است ولی برای مروان و بنی‌مروان و بنی‌امیه حلال؟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کسی‌که فدک را به فرزندان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 عمربن‌عبدالعزیز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نیز بارها فدک غصب شده و پس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نیز با گرفتن اقرار از علما و فقهای دوران خویش، فدک را باز گرداند</w:t>
      </w:r>
      <w:r>
        <w:rPr>
          <w:rFonts w:eastAsia="IRNazanin" w:cs="IRNazanin"/>
          <w:color w:val="111111"/>
          <w:sz w:val="28"/>
          <w:szCs w:val="28"/>
          <w:rtl w:val="true"/>
          <w:lang w:bidi="fa-IR"/>
        </w:rPr>
        <w:t>.</w:t>
      </w:r>
      <w:bookmarkStart w:id="79" w:name="pg5095_44693"/>
    </w:p>
    <w:p>
      <w:pPr>
        <w:pStyle w:val="Heading2"/>
        <w:numPr>
          <w:ilvl w:val="1"/>
          <w:numId w:val="1"/>
        </w:numPr>
        <w:rPr/>
      </w:pPr>
      <w:bookmarkStart w:id="80" w:name="__RefHeading___Toc1244664_774463916"/>
      <w:bookmarkStart w:id="81" w:name="_Toc29"/>
      <w:bookmarkEnd w:id="79"/>
      <w:bookmarkEnd w:id="80"/>
      <w:r>
        <w:rPr>
          <w:rtl w:val="true"/>
        </w:rPr>
        <w:t>فصل هفتم</w:t>
      </w:r>
      <w:r>
        <w:rPr>
          <w:rtl w:val="true"/>
        </w:rPr>
        <w:t xml:space="preserve">: </w:t>
      </w:r>
      <w:r>
        <w:rPr>
          <w:rtl w:val="true"/>
        </w:rPr>
        <w:t>خطبۀ فدکیه و راز تکیه بر فدک</w:t>
      </w:r>
      <w:bookmarkEnd w:id="81"/>
    </w:p>
    <w:p>
      <w:pPr>
        <w:pStyle w:val="Heading3"/>
        <w:numPr>
          <w:ilvl w:val="2"/>
          <w:numId w:val="1"/>
        </w:numPr>
        <w:rPr/>
      </w:pPr>
      <w:bookmarkStart w:id="82" w:name="__RefHeading___Toc1244666_774463916"/>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تصویر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6"/>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خطبۀ فدکیۀ حضرت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دربردارندۀ اصول معرفتی و عقیدتی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با نگاهی ژرف به مسائل گوناگون فقهی و تاریخی و جامعه‌شناسی و با تکیه بر منطق قرآنی و عقلی و تاریخی و با نهایت استواری و دلیری، شیوا و رسا ایراد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میلیون‌ها نسخه از آن، در زبان‌های زنده جهان منتشر شده و کتاب‌ها در شرح آن 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سخنی از آن بانوی اول بشریت، جز این خطبه نداشتیم، برای شناخت ومعرفی آن بزرگوار سندی بس قوی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خطبۀ فدکیه، سخنان حضرت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مهاجر، مبارزۀ منفی مستمر آن حضرت، قهر و سخن‌نگفتن ایشان با ستمگران، گریۀ پیوسته او، ساخت بیت‌الاحزان در بقیع، ابراز ناخشنودی از غاصبان با وصیت به غسل و کفن و دفن شبانه، مخفی نگاه‌داشتن محل قبر او ، همه برای رساندن پیام آن مظلومۀ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اگر آن جرقه ای که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نمی‌بود، سیاست حاکم و قلم‌به‌مزدان مزدور، تمامی آثار جنایت را پاک کرده بودند و وقایع مسلم را وارونه به خورد مردم داده بودند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معلوم می‌شود که زنده‌نگاه‌داشتن ایام فاطمیه از چه اهمیت</w:t>
      </w:r>
    </w:p>
    <w:p>
      <w:pPr>
        <w:pStyle w:val="BookText"/>
        <w:rPr/>
      </w:pPr>
      <w:r>
        <w:rPr>
          <w:rFonts w:ascii="IRNazanin" w:hAnsi="IRNazanin" w:eastAsia="IRNazanin"/>
          <w:color w:val="111111"/>
          <w:sz w:val="28"/>
          <w:sz w:val="28"/>
          <w:szCs w:val="28"/>
          <w:rtl w:val="true"/>
          <w:lang w:bidi="fa-IR"/>
        </w:rPr>
        <w:t>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هدایت را برای همیشۀ تاریخ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روشنگری اوست که با عملکرد و موضع‌گیری تاریخی خود، و با ایجاد سؤال در ذهن پژوهشگران و اندیشوران و مردم، آنان را به بازخوانی و واکاوی این جریان مهم تاریخی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فراتر از تکه‌ای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چندین مطلب دیگر نیز دراین‌زمینه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خانمی بزرگوار برای احقاق حق خویش برخیزد و یک‌تنه در برابر حاکمان قد علم کند و آنان را به چالش اندازد، نفس این کار مایۀ افتخار همۀ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خطبه‌ای رسا و شیوا را در نهایت شیوایی ورسایی ایراد کرد که دربردارندۀ مضامین والای معارف دین، چون توحید و نبوت و امامت و فلسفۀ احکام و مسائل جامعه‌شناسی وسیاسی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دنبالۀ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فدک عنوانی است برای بسیاری از مسائل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فدک یعنی راه تشخیص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آینۀ تمام‌نمای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فدک یعنی غصب خلافت و ایجاد فشار مالی و اقتصادی بر خاندان عترت وطهارت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سخن که فدک در واقع آینۀ امامت غصب‌شده است، گفت‌وگویی است که بین هارون‌الرشید و امام‌کاظم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حد و مرز فدک واقع شده و تاریخ، آن را نقل کرده است</w:t>
      </w:r>
      <w:r>
        <w:rPr>
          <w:rFonts w:eastAsia="IRNazanin" w:cs="IRNazanin"/>
          <w:color w:val="111111"/>
          <w:sz w:val="28"/>
          <w:szCs w:val="28"/>
          <w:rtl w:val="true"/>
          <w:lang w:bidi="fa-IR"/>
        </w:rPr>
        <w:t>.</w:t>
      </w:r>
      <w:bookmarkStart w:id="84" w:name="pg5095_44697"/>
    </w:p>
    <w:p>
      <w:pPr>
        <w:pStyle w:val="Heading3"/>
        <w:numPr>
          <w:ilvl w:val="2"/>
          <w:numId w:val="1"/>
        </w:numPr>
        <w:rPr/>
      </w:pPr>
      <w:bookmarkStart w:id="85" w:name="__RefHeading___Toc1244668_774463916"/>
      <w:bookmarkStart w:id="86" w:name="_Toc31"/>
      <w:bookmarkEnd w:id="84"/>
      <w:bookmarkEnd w:id="85"/>
      <w:r>
        <w:rPr>
          <w:rtl w:val="true"/>
        </w:rPr>
        <w:t>پنجره</w:t>
      </w:r>
      <w:r>
        <w:rPr>
          <w:rtl w:val="true"/>
        </w:rPr>
        <w:t>:</w:t>
      </w:r>
      <w:bookmarkEnd w:id="86"/>
    </w:p>
    <w:p>
      <w:pPr>
        <w:pStyle w:val="BookText"/>
        <w:rPr/>
      </w:pPr>
      <w:r>
        <w:rPr>
          <w:rFonts w:ascii="IRNazanin" w:hAnsi="IRNazanin" w:eastAsia="IRNazanin"/>
          <w:color w:val="111111"/>
          <w:sz w:val="28"/>
          <w:sz w:val="28"/>
          <w:szCs w:val="28"/>
          <w:rtl w:val="true"/>
          <w:lang w:bidi="fa-IR"/>
        </w:rPr>
        <w:t>ابن‌شهرآشوب نقل می‌کند که روزی هارون به حضرت امام‌موسی‌کاظم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محدودۀ فدک را معین کن تا آن را باز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خودشان به‌خوبی می‌دانستند که در این قضیه به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ستمی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معین کنم، نخواهید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مرزبندی آن را به‌گونه‌ای معین ساخت که گسترۀ تمام حکومت پهناور اسلامی آن روز را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حد آن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سمت آن به سمرقند می‌رسد؛ سمت سوم آن به آفریقا می‌رسد؛ سمت آخر آن به ارمینیا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چهرۀ هارون دگرگون و سیاه شد؛ به‌گونه‌ای که غضب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جایی برایم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 و بر جای من بنشین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حضرت امام موسی‌بن‌جعفر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نقشۀ جغرافیایی مملکت پهناور خلافت اسلامی دورۀ هارون عباسی را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گفتم اگر حد آن را معین کنم، نمی‌دهی؟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می‌دانیم که فدکِ بخشیده‌شده به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وسعت</w:t>
      </w:r>
    </w:p>
    <w:p>
      <w:pPr>
        <w:pStyle w:val="BookText"/>
        <w:rPr/>
      </w:pPr>
      <w:r>
        <w:rPr>
          <w:rFonts w:ascii="IRNazanin" w:hAnsi="IRNazanin" w:eastAsia="IRNazanin"/>
          <w:color w:val="111111"/>
          <w:sz w:val="28"/>
          <w:sz w:val="28"/>
          <w:szCs w:val="28"/>
          <w:rtl w:val="true"/>
          <w:lang w:bidi="fa-IR"/>
        </w:rPr>
        <w:t>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امام از این مرزگذاری چیست؟ مقصود همان است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یعنی آینۀ تمام‌نمای امامت و خلافت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یعنی خلافت غصب‌شده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گفت‌وگو بود که هارون کینۀ امام را بیشتر به دل گرفته و تصمیم به قتل امام گرفت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این روایت به‌خوبی روشن می‌سازد که فدک چیست؟ و علت تکیه بر فدک کدام است؟ فدک یعنی سند حقانیت امامت راستین و بطلان جریان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مطالبۀ فدک یعنی مطالبۀ خلافت و حکومت غصب‌شده و به چالش کشاندن کرسی‌نشینان و اثبات اینکه باید این مسند در اختیار اهلش 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راز تکیه بر جریان فدک است؛ وگرنه خود فدک که برای آن بزرگان چیزی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نهج البلاغه، حضرت امیرمؤمنان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استاندار خویش، عثمان‌بن‌حنیف،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زیر این آسمان کبود، فدکی داشتیم که اینان تاب نداشتند در اختیارمان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حضرت این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بَلَی کانَتْ فِی أَیدِینَا فَدَک مِنْ کلِّ مَا أَظَلَّتْهُ السَّمَاءُ فَشَحَّتْ عَلَیهَا نُفُوسُ قَوْمٍ وَ سَخَتْ عَنْهَا نُفُوسُ قَوْمٍ آخَرِینَ وَ نِعْمَ الْحَکمُ اللَّهُ وَ مَا أَصْنَعُ بِفَدَک وَ غَیرِ فَدَک وَ النَّفْسُ مَظَانُّهَا فِی غَدٍ جَدَثٌ تَنْقَطِعُ فِی ظُلْمَتِهِ آثَارُهَا وَ تَغِیبُ أَخْبَارُهَا وَ حُفْرَةٌ لَوْ زِیدَ فِی فُسْحَتِهَا وَ أَوْسَعَتْ یدَا حَافِرِهَا لَأَضْغَطَهَا الْحَجَرُ وَ الْمَدَرُ وَ سَدّ</w:t>
      </w:r>
      <w:bookmarkStart w:id="87" w:name="pg5095_44699"/>
    </w:p>
    <w:p>
      <w:pPr>
        <w:pStyle w:val="BookText"/>
        <w:rPr/>
      </w:pPr>
      <w:bookmarkEnd w:id="87"/>
      <w:r>
        <w:rPr>
          <w:rFonts w:ascii="Amiri" w:hAnsi="Amiri" w:eastAsia="Amiri" w:cs="Amiri"/>
          <w:color w:val="111111"/>
          <w:sz w:val="28"/>
          <w:sz w:val="28"/>
          <w:szCs w:val="28"/>
          <w:rtl w:val="true"/>
          <w:lang w:bidi="ar-SA"/>
        </w:rPr>
        <w:t>فُرَجَهَا التُّرَابُ الْمُتَرَاکمُ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آری، از میان آنچه آسمان بر آن سایه افکنده است، تنها فدک در اختیار ما بود که گروهی بر آن‌هم بخل و حسادت ورزیدند و گروه دیگری آن را سخاوتمندانه رها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دست ما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حاکم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غیرفدک چه کار، درحالی‌که جایگاه فردای هرکس قبر اوست که در تاریکی آن، آثارش محو و اخبارش ناپدید می‌شود؟ قبر حفره‌ای است که هرچه بر وسعت آن افزوده شود و دست حفرکننده بازتر باشد، سرانجام، سنگ و کلوخ آن را پر کرده و جاهای خالی آن را خاک‌های انباشته مسدود می‌کند</w:t>
      </w:r>
      <w:r>
        <w:rPr>
          <w:rFonts w:eastAsia="IRNazanin" w:cs="IRNazanin"/>
          <w:color w:val="111111"/>
          <w:sz w:val="28"/>
          <w:szCs w:val="28"/>
          <w:rtl w:val="true"/>
          <w:lang w:bidi="fa-IR"/>
        </w:rPr>
        <w:t>.</w:t>
      </w:r>
    </w:p>
    <w:p>
      <w:pPr>
        <w:pStyle w:val="Heading3"/>
        <w:numPr>
          <w:ilvl w:val="2"/>
          <w:numId w:val="1"/>
        </w:numPr>
        <w:rPr/>
      </w:pPr>
      <w:bookmarkStart w:id="88" w:name="__RefHeading___Toc1244670_774463916"/>
      <w:bookmarkStart w:id="89" w:name="_Toc32"/>
      <w:bookmarkEnd w:id="88"/>
      <w:r>
        <w:rPr>
          <w:rtl w:val="true"/>
        </w:rPr>
        <w:t>خلاصه</w:t>
      </w:r>
      <w:r>
        <w:rPr>
          <w:rtl w:val="true"/>
        </w:rPr>
        <w:t>:</w:t>
      </w:r>
      <w:bookmarkEnd w:id="8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خطبۀ فدکیۀ حضرت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دربردارندۀ اصول معرفتی و عقیدتی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با نگاهی ژرف به مسائل گوناگون فقهی و تاریخی و جامعه‌شناسی و با تکیه بر منطق قرآنی و عقلی و تاریخی و با نهایت استواری و دلیری، شیوا و رسا ایراد شده است</w:t>
      </w:r>
      <w:r>
        <w:rPr>
          <w:rFonts w:eastAsia="IRNazanin" w:cs="IRNazanin"/>
          <w:color w:val="111111"/>
          <w:sz w:val="28"/>
          <w:szCs w:val="28"/>
          <w:rtl w:val="true"/>
          <w:lang w:bidi="fa-IR"/>
        </w:rPr>
        <w:t>.</w:t>
      </w:r>
      <w:bookmarkStart w:id="90" w:name="pg5095_44700"/>
    </w:p>
    <w:p>
      <w:pPr>
        <w:pStyle w:val="Heading2"/>
        <w:numPr>
          <w:ilvl w:val="1"/>
          <w:numId w:val="1"/>
        </w:numPr>
        <w:rPr/>
      </w:pPr>
      <w:bookmarkStart w:id="91" w:name="__RefHeading___Toc1244672_774463916"/>
      <w:bookmarkStart w:id="92" w:name="_Toc33"/>
      <w:bookmarkEnd w:id="90"/>
      <w:bookmarkEnd w:id="91"/>
      <w:r>
        <w:rPr>
          <w:rtl w:val="true"/>
        </w:rPr>
        <w:t>سخن آخر</w:t>
      </w:r>
      <w:bookmarkEnd w:id="9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طبق آیۀ شریفه</w:t>
      </w:r>
      <w:r>
        <w:rPr>
          <w:rStyle w:val="FootnoteAnchor"/>
          <w:rtl w:val="true"/>
        </w:rPr>
        <w:footnoteReference w:id="55"/>
      </w:r>
      <w:r>
        <w:rPr>
          <w:rFonts w:ascii="IRNazanin" w:hAnsi="IRNazanin" w:eastAsia="IRNazanin"/>
          <w:color w:val="111111"/>
          <w:sz w:val="28"/>
          <w:sz w:val="28"/>
          <w:szCs w:val="28"/>
          <w:rtl w:val="true"/>
          <w:lang w:bidi="fa-IR"/>
        </w:rPr>
        <w:t>و براساس اقرار علمای مسلمان، فیء بوده وبه شخص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داشته است؛ چون مسلمانان برای به‌دست‌آوردن آن زحمتی به جان نخریده و جنگی نکرده بودند، فدک جزء غنائم به شمار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به دستور خداوند، فدک را به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وبزرگانی از اهل سنت، مثل فخر رازی و زمخشری و سیوطی، این مطلب را ذیل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همان زمان در اختیار فاطمۀ زهرا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غصب خلافت، به‌منظور ازبین‌بردن منبع مالی امامت حقه و ایجاد فشار اقتصادی بر خاندان رسالت، فدک را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دادخواهی و مبارزه با ظلم به پا خاست و مسیر خود را از دو راه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مالکیت؛ 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مطالبۀ ارث</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غصب فدک و جواب مثبت‌ندادن به برهان قوی، فاطمه</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منفی پیوسته‌ای را در قالب قهر و خشم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تا دم مرگ آن حضرت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دیگر با حاکمان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بخاری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فوجدت فاطمة علی أبی بکر فلم تکلمه حتی توفیت</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بر ابوبکر خشم گرفت و تا دم مرگ با وی سخنی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عجیب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غسل و کفن و دفن شبانه و رضایت‌ندادن آن حضرت به حضور حاکمان در تشییع پیکرش و نماز بر آن، پیامی بزرگ و رسا برای همیشه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مخفی‌ماندن قبر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قهر و خشم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بهانۀ خواندن نماز بر آن، می‌خواستند این سلاح برّان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خشم و غضب امیرمؤمنان علی‌بن‌ابی‌طالب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مخفی‌ماندن قبر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خواهد کرد تا ذهن حقیقت‌جویان را به‌گونه‌ای به خود مشغول سازد که به واقعیت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اگر جریان فاطمۀ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تعصبی، خوب واکاوی و شکافته شود، مسیر حق از باطل جدا و شناخته می‌شود و جویندگان حق، مسیر صحیح را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02"/>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80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5"/>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سرخسی، المبسوط،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شمارۀ</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شمارۀ</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شمارۀ</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مجمع البیان،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المیزان،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احکام القرآن،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طبری، جامع البیان، 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تفسیر الثعلبی،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تفسیر السمعانی،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تفسیر البغوی،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ابن‌عربی، احکام القرآن،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ابن‌جوزی، زاد المسیر،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تفسیر الآلوسی، ج</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ابی السعود،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البحر المدید،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رسائل الامام الغزالی، رسالۀ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العالمین و کشف ما فی الدارین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دفاع از حریم رسالت، یاور پدر بزرگوار خود در مکه و مدینه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بااینکه خردسال بود، در مسجدالحرام از پدر دفاع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 در جنگ‌های احد و خندق کمک پدر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فقدان پدر، بزرگ‌مدافع حریم ولایت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برجستۀ سیاسی آن حضرت در مقابله با دستگاه حاکم با فراخوانی یاران برای یاری‌رسانی به اول‌مظلوم عالم، علی‌بن‌ابی‌طالب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و پس از غصب فدک پررنگ‌تر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تهذیب الاحکام،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وسائل الشیعة، 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جامع احادیث الشیعة،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صحیح بخاری،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سنن ابن ماجه،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سنن الترمذی،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 تدری فتلک مصیبة، و إن کنت لا تدری فالمصیبة أعظم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حدیث نحن معاشر الانبیاء لا نورث،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علامه‌حلی، نهج الحق،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سیدبن‌طاووس، الطرائف، ص</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مع الحق و الحق مع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منی و أنا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أحمد،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سنن ابن ماجة،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سنن الترمذی،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نسائی، فضائل الصحابه،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مصنف ابن أبی شیبة،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نسائی، السنن الکبری،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مسند أبی یعلی،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طبرانی، المعجم الکبیر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الجامع الصغیر،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کنز العمال،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 الاوسط،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ابن‌عبد البر، الاستذکار،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ابن‌عساکر، تاریخ مدینة دمشق، 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محب‌الدین طبری، ذخائر العقبی،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ابن‌عبد البر، الاستیعاب،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۱۸۹۷</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الحسن و الحسین سیدا شباب أهل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احمد،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سنن ابن ماجه،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سنن ترمذی،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نسائی، فضائل الصحابة،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ذخائر العقبی،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السقیفة و الفدک،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کنز العمال،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صحیح مسلم،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سرخسی، المبسوط،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ریاض المسائل،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ص</w:t>
      </w:r>
      <w:r>
        <w:rPr>
          <w:rFonts w:ascii="IRNazanin" w:hAnsi="IRNazanin" w:eastAsia="IRNazanin"/>
          <w:b w:val="false"/>
          <w:b w:val="false"/>
          <w:bCs w:val="false"/>
          <w:i w:val="false"/>
          <w:i w:val="false"/>
          <w:iCs w:val="false"/>
          <w:color w:val="333333"/>
          <w:sz w:val="20"/>
          <w:sz w:val="20"/>
          <w:szCs w:val="20"/>
        </w:rPr>
        <w:t>۴۵۸</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باب ثواب العالم و المتعلم، حدیث</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۴۳۵</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بحار الانوار، 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نامۀ</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أَفاءَ اللَّهُ عَلی رَسُولِهِ مِنْهُمْ فَما أَوْجَفْتُمْ عَلَیهِ مِنْ خَیلٍ وَ لا رِکابٍ وَ لکنَّ اللَّهَ یسَلِّطُ رُسُلَهُ عَلی مَنْ یشاءُ وَ اللَّهُ عَلی کلِّ شَی‌ءٍ 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آنچه خدا از دارایی‌شان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پیامبر خود غنیمت داد، آن نبود که شما با اسب یا شتری بر آن تاخته بودید؛ بلکه خدا پیامبرانش را بر هرکه بخواهد، مسلط می‌سازد و خدا بر هرچیزی قادر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صحیح مسلم،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footer" Target="footer15.xml"/><Relationship Id="rId35" Type="http://schemas.openxmlformats.org/officeDocument/2006/relationships/image" Target="media/image10.jpeg"/><Relationship Id="rId36" Type="http://schemas.openxmlformats.org/officeDocument/2006/relationships/image" Target="media/image10.jpeg"/><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image" Target="media/image11.jpeg"/><Relationship Id="rId42" Type="http://schemas.openxmlformats.org/officeDocument/2006/relationships/image" Target="media/image11.jpeg"/><Relationship Id="rId43" Type="http://schemas.openxmlformats.org/officeDocument/2006/relationships/footer" Target="footer20.xml"/><Relationship Id="rId44" Type="http://schemas.openxmlformats.org/officeDocument/2006/relationships/image" Target="media/image12.jpeg"/><Relationship Id="rId45" Type="http://schemas.openxmlformats.org/officeDocument/2006/relationships/image" Target="media/image12.jpeg"/><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image" Target="media/image13.jpeg"/><Relationship Id="rId52" Type="http://schemas.openxmlformats.org/officeDocument/2006/relationships/image" Target="media/image13.jpeg"/><Relationship Id="rId53" Type="http://schemas.openxmlformats.org/officeDocument/2006/relationships/footer" Target="footer26.xml"/><Relationship Id="rId54" Type="http://schemas.openxmlformats.org/officeDocument/2006/relationships/image" Target="media/image14.jpeg"/><Relationship Id="rId55" Type="http://schemas.openxmlformats.org/officeDocument/2006/relationships/image" Target="media/image14.jpeg"/><Relationship Id="rId56" Type="http://schemas.openxmlformats.org/officeDocument/2006/relationships/footer" Target="foot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footer" Target="footer30.xml"/><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image" Target="media/image15.jpeg"/><Relationship Id="rId64" Type="http://schemas.openxmlformats.org/officeDocument/2006/relationships/image" Target="media/image15.jpeg"/><Relationship Id="rId65" Type="http://schemas.openxmlformats.org/officeDocument/2006/relationships/footer" Target="footer34.xml"/><Relationship Id="rId66" Type="http://schemas.openxmlformats.org/officeDocument/2006/relationships/image" Target="media/image16.jpeg"/><Relationship Id="rId67" Type="http://schemas.openxmlformats.org/officeDocument/2006/relationships/image" Target="media/image16.jpeg"/><Relationship Id="rId68" Type="http://schemas.openxmlformats.org/officeDocument/2006/relationships/footer" Target="footer35.xml"/><Relationship Id="rId69" Type="http://schemas.openxmlformats.org/officeDocument/2006/relationships/footer" Target="footer36.xml"/><Relationship Id="rId70" Type="http://schemas.openxmlformats.org/officeDocument/2006/relationships/footer" Target="footer37.xml"/><Relationship Id="rId71" Type="http://schemas.openxmlformats.org/officeDocument/2006/relationships/footer" Target="footer38.xml"/><Relationship Id="rId72" Type="http://schemas.openxmlformats.org/officeDocument/2006/relationships/footer" Target="footer39.xml"/><Relationship Id="rId73" Type="http://schemas.openxmlformats.org/officeDocument/2006/relationships/footer" Target="footer40.xml"/><Relationship Id="rId74" Type="http://schemas.openxmlformats.org/officeDocument/2006/relationships/footer" Target="footer41.xml"/><Relationship Id="rId75" Type="http://schemas.openxmlformats.org/officeDocument/2006/relationships/footer" Target="footer42.xml"/><Relationship Id="rId76" Type="http://schemas.openxmlformats.org/officeDocument/2006/relationships/image" Target="media/image17.jpeg"/><Relationship Id="rId77" Type="http://schemas.openxmlformats.org/officeDocument/2006/relationships/image" Target="media/image17.jpeg"/><Relationship Id="rId78" Type="http://schemas.openxmlformats.org/officeDocument/2006/relationships/footer" Target="footer43.xml"/><Relationship Id="rId79" Type="http://schemas.openxmlformats.org/officeDocument/2006/relationships/image" Target="media/image18.jpeg"/><Relationship Id="rId80" Type="http://schemas.openxmlformats.org/officeDocument/2006/relationships/image" Target="media/image18.jpeg"/><Relationship Id="rId81" Type="http://schemas.openxmlformats.org/officeDocument/2006/relationships/footer" Target="footer44.xml"/><Relationship Id="rId82" Type="http://schemas.openxmlformats.org/officeDocument/2006/relationships/footer" Target="footer45.xml"/><Relationship Id="rId83" Type="http://schemas.openxmlformats.org/officeDocument/2006/relationships/footer" Target="footer46.xml"/><Relationship Id="rId84" Type="http://schemas.openxmlformats.org/officeDocument/2006/relationships/footer" Target="footer47.xml"/><Relationship Id="rId85" Type="http://schemas.openxmlformats.org/officeDocument/2006/relationships/footer" Target="footer48.xml"/><Relationship Id="rId86" Type="http://schemas.openxmlformats.org/officeDocument/2006/relationships/image" Target="media/image19.jpeg"/><Relationship Id="rId87" Type="http://schemas.openxmlformats.org/officeDocument/2006/relationships/image" Target="media/image19.jpeg"/><Relationship Id="rId88" Type="http://schemas.openxmlformats.org/officeDocument/2006/relationships/footer" Target="footer49.xml"/><Relationship Id="rId89" Type="http://schemas.openxmlformats.org/officeDocument/2006/relationships/image" Target="media/image20.jpeg"/><Relationship Id="rId90" Type="http://schemas.openxmlformats.org/officeDocument/2006/relationships/image" Target="media/image20.jpeg"/><Relationship Id="rId91" Type="http://schemas.openxmlformats.org/officeDocument/2006/relationships/footer" Target="footer50.xml"/><Relationship Id="rId92" Type="http://schemas.openxmlformats.org/officeDocument/2006/relationships/footer" Target="footer51.xml"/><Relationship Id="rId93" Type="http://schemas.openxmlformats.org/officeDocument/2006/relationships/footer" Target="footer52.xml"/><Relationship Id="rId94" Type="http://schemas.openxmlformats.org/officeDocument/2006/relationships/footer" Target="footer53.xml"/><Relationship Id="rId95" Type="http://schemas.openxmlformats.org/officeDocument/2006/relationships/footer" Target="footer54.xml"/><Relationship Id="rId96" Type="http://schemas.openxmlformats.org/officeDocument/2006/relationships/footer" Target="footer55.xml"/><Relationship Id="rId97" Type="http://schemas.openxmlformats.org/officeDocument/2006/relationships/footer" Target="footer56.xml"/><Relationship Id="rId98" Type="http://schemas.openxmlformats.org/officeDocument/2006/relationships/footer" Target="footer57.xml"/><Relationship Id="rId99" Type="http://schemas.openxmlformats.org/officeDocument/2006/relationships/image" Target="media/image21.jpeg"/><Relationship Id="rId100" Type="http://schemas.openxmlformats.org/officeDocument/2006/relationships/image" Target="media/image21.jpeg"/><Relationship Id="rId101" Type="http://schemas.openxmlformats.org/officeDocument/2006/relationships/footer" Target="footer58.xml"/><Relationship Id="rId102" Type="http://schemas.openxmlformats.org/officeDocument/2006/relationships/image" Target="media/image22.jpeg"/><Relationship Id="rId103" Type="http://schemas.openxmlformats.org/officeDocument/2006/relationships/image" Target="media/image22.jpeg"/><Relationship Id="rId104" Type="http://schemas.openxmlformats.org/officeDocument/2006/relationships/footer" Target="footer59.xml"/><Relationship Id="rId105" Type="http://schemas.openxmlformats.org/officeDocument/2006/relationships/image" Target="media/image23.jpeg"/><Relationship Id="rId106" Type="http://schemas.openxmlformats.org/officeDocument/2006/relationships/image" Target="media/image23.jpeg"/><Relationship Id="rId107" Type="http://schemas.openxmlformats.org/officeDocument/2006/relationships/footer" Target="footer60.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61.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6899</Words>
  <Characters>27448</Characters>
  <CharactersWithSpaces>34050</CharactersWithSpaces>
  <Paragraphs>368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2026-08-18T23:11:03Z</dcterms:created>
  <dc:creator>ghaemiyeh.com</dc:creator>
  <dc:description/>
  <dc:language>en-US</dc:language>
  <cp:lastModifiedBy/>
  <dcterms:modified xsi:type="dcterms:W3CDTF">2026-08-19T02:41:06Z</dcterms:modified>
  <cp:revision>1</cp:revision>
  <dc:subject/>
  <dc:title>رهنمای 106 در جستجوی فدک</dc:title>
</cp:coreProperties>
</file>

<file path=docProps/custom.xml><?xml version="1.0" encoding="utf-8"?>
<Properties xmlns="http://schemas.openxmlformats.org/officeDocument/2006/custom-properties" xmlns:vt="http://schemas.openxmlformats.org/officeDocument/2006/docPropsVTypes"/>
</file>