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رفتار و اندیشه سیاسی علمای امامیه از غیبت کبرا تا حمله ی مغول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729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17299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17301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17303_2035185390">
            <w:r>
              <w:rPr>
                <w:webHidden/>
                <w:rStyle w:val="IndexLink"/>
                <w:rtl w:val="true"/>
              </w:rPr>
              <w:t>مقدمه استاد انصاری بویراحمدی</w:t>
            </w:r>
            <w:r>
              <w:rPr>
                <w:rStyle w:val="IndexLink"/>
                <w:rtl w:val="true"/>
              </w:rPr>
              <w:tab/>
            </w:r>
            <w:r>
              <w:rPr>
                <w:rStyle w:val="IndexLink"/>
              </w:rPr>
              <w:t>15</w:t>
            </w:r>
          </w:hyperlink>
        </w:p>
        <w:p>
          <w:pPr>
            <w:pStyle w:val="Contents2"/>
            <w:tabs>
              <w:tab w:val="clear" w:pos="8743"/>
              <w:tab w:val="right" w:pos="9026" w:leader="dot"/>
            </w:tabs>
            <w:rPr/>
          </w:pPr>
          <w:hyperlink w:anchor="__RefHeading___Toc1717305_2035185390">
            <w:r>
              <w:rPr>
                <w:webHidden/>
                <w:rStyle w:val="IndexLink"/>
                <w:rtl w:val="true"/>
              </w:rPr>
              <w:t>چکیده</w:t>
            </w:r>
            <w:r>
              <w:rPr>
                <w:rStyle w:val="IndexLink"/>
                <w:rtl w:val="true"/>
              </w:rPr>
              <w:tab/>
            </w:r>
            <w:r>
              <w:rPr>
                <w:rStyle w:val="IndexLink"/>
              </w:rPr>
              <w:t>21</w:t>
            </w:r>
          </w:hyperlink>
        </w:p>
        <w:p>
          <w:pPr>
            <w:pStyle w:val="Contents2"/>
            <w:tabs>
              <w:tab w:val="clear" w:pos="8743"/>
              <w:tab w:val="right" w:pos="9026" w:leader="dot"/>
            </w:tabs>
            <w:rPr/>
          </w:pPr>
          <w:hyperlink w:anchor="__RefHeading___Toc1717307_203518539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717309_2035185390">
            <w:r>
              <w:rPr>
                <w:webHidden/>
                <w:rStyle w:val="IndexLink"/>
                <w:rtl w:val="true"/>
              </w:rPr>
              <w:t>فهم شرایط زمانی و مکانی عصر غیبت</w:t>
            </w:r>
            <w:r>
              <w:rPr>
                <w:rStyle w:val="IndexLink"/>
                <w:rtl w:val="true"/>
              </w:rPr>
              <w:tab/>
            </w:r>
            <w:r>
              <w:rPr>
                <w:rStyle w:val="IndexLink"/>
              </w:rPr>
              <w:t>26</w:t>
            </w:r>
          </w:hyperlink>
        </w:p>
        <w:p>
          <w:pPr>
            <w:pStyle w:val="Contents2"/>
            <w:tabs>
              <w:tab w:val="clear" w:pos="8743"/>
              <w:tab w:val="right" w:pos="9026" w:leader="dot"/>
            </w:tabs>
            <w:rPr/>
          </w:pPr>
          <w:hyperlink w:anchor="__RefHeading___Toc1717311_2035185390">
            <w:r>
              <w:rPr>
                <w:webHidden/>
                <w:rStyle w:val="IndexLink"/>
                <w:rtl w:val="true"/>
              </w:rPr>
              <w:t>منابع مورد استفاده</w:t>
            </w:r>
            <w:r>
              <w:rPr>
                <w:rStyle w:val="IndexLink"/>
                <w:rtl w:val="true"/>
              </w:rPr>
              <w:tab/>
            </w:r>
            <w:r>
              <w:rPr>
                <w:rStyle w:val="IndexLink"/>
              </w:rPr>
              <w:t>28</w:t>
            </w:r>
          </w:hyperlink>
        </w:p>
        <w:p>
          <w:pPr>
            <w:pStyle w:val="Contents2"/>
            <w:tabs>
              <w:tab w:val="clear" w:pos="8743"/>
              <w:tab w:val="right" w:pos="9026" w:leader="dot"/>
            </w:tabs>
            <w:rPr/>
          </w:pPr>
          <w:hyperlink w:anchor="__RefHeading___Toc1717313_2035185390">
            <w:r>
              <w:rPr>
                <w:webHidden/>
                <w:rStyle w:val="IndexLink"/>
                <w:rtl w:val="true"/>
              </w:rPr>
              <w:t>توضیح برخی واژه‌های کلیدی</w:t>
            </w:r>
            <w:r>
              <w:rPr>
                <w:rStyle w:val="IndexLink"/>
                <w:rtl w:val="true"/>
              </w:rPr>
              <w:tab/>
            </w:r>
            <w:r>
              <w:rPr>
                <w:rStyle w:val="IndexLink"/>
              </w:rPr>
              <w:t>33</w:t>
            </w:r>
          </w:hyperlink>
        </w:p>
        <w:p>
          <w:pPr>
            <w:pStyle w:val="Contents2"/>
            <w:tabs>
              <w:tab w:val="clear" w:pos="8743"/>
              <w:tab w:val="right" w:pos="9026" w:leader="dot"/>
            </w:tabs>
            <w:rPr/>
          </w:pPr>
          <w:hyperlink w:anchor="__RefHeading___Toc1717315_2035185390">
            <w:r>
              <w:rPr>
                <w:webHidden/>
                <w:rStyle w:val="IndexLink"/>
                <w:rtl w:val="true"/>
              </w:rPr>
              <w:t>«</w:t>
            </w:r>
            <w:r>
              <w:rPr>
                <w:rStyle w:val="IndexLink"/>
                <w:rtl w:val="true"/>
              </w:rPr>
              <w:t>انتظار</w:t>
            </w:r>
            <w:r>
              <w:rPr>
                <w:rStyle w:val="IndexLink"/>
                <w:rtl w:val="true"/>
              </w:rPr>
              <w:t>»</w:t>
              <w:tab/>
            </w:r>
            <w:r>
              <w:rPr>
                <w:rStyle w:val="IndexLink"/>
              </w:rPr>
              <w:t>35</w:t>
            </w:r>
          </w:hyperlink>
        </w:p>
        <w:p>
          <w:pPr>
            <w:pStyle w:val="Contents2"/>
            <w:tabs>
              <w:tab w:val="clear" w:pos="8743"/>
              <w:tab w:val="right" w:pos="9026" w:leader="dot"/>
            </w:tabs>
            <w:rPr/>
          </w:pPr>
          <w:hyperlink w:anchor="__RefHeading___Toc1717317_2035185390">
            <w:r>
              <w:rPr>
                <w:webHidden/>
                <w:rStyle w:val="IndexLink"/>
                <w:rtl w:val="true"/>
              </w:rPr>
              <w:t>نیابت عام</w:t>
            </w:r>
            <w:r>
              <w:rPr>
                <w:rStyle w:val="IndexLink"/>
                <w:rtl w:val="true"/>
              </w:rPr>
              <w:t>:</w:t>
              <w:tab/>
            </w:r>
            <w:r>
              <w:rPr>
                <w:rStyle w:val="IndexLink"/>
              </w:rPr>
              <w:t>35</w:t>
            </w:r>
          </w:hyperlink>
        </w:p>
        <w:p>
          <w:pPr>
            <w:pStyle w:val="Contents2"/>
            <w:tabs>
              <w:tab w:val="clear" w:pos="8743"/>
              <w:tab w:val="right" w:pos="9026" w:leader="dot"/>
            </w:tabs>
            <w:rPr/>
          </w:pPr>
          <w:hyperlink w:anchor="__RefHeading___Toc1717319_2035185390">
            <w:r>
              <w:rPr>
                <w:webHidden/>
                <w:rStyle w:val="IndexLink"/>
                <w:rtl w:val="true"/>
              </w:rPr>
              <w:t>فقها</w:t>
            </w:r>
            <w:r>
              <w:rPr>
                <w:rStyle w:val="IndexLink"/>
                <w:rtl w:val="true"/>
              </w:rPr>
              <w:t>:</w:t>
              <w:tab/>
            </w:r>
            <w:r>
              <w:rPr>
                <w:rStyle w:val="IndexLink"/>
              </w:rPr>
              <w:t>36</w:t>
            </w:r>
          </w:hyperlink>
        </w:p>
        <w:p>
          <w:pPr>
            <w:pStyle w:val="Contents2"/>
            <w:tabs>
              <w:tab w:val="clear" w:pos="8743"/>
              <w:tab w:val="right" w:pos="9026" w:leader="dot"/>
            </w:tabs>
            <w:rPr/>
          </w:pPr>
          <w:hyperlink w:anchor="__RefHeading___Toc1717321_2035185390">
            <w:r>
              <w:rPr>
                <w:webHidden/>
                <w:rStyle w:val="IndexLink"/>
                <w:rtl w:val="true"/>
              </w:rPr>
              <w:t xml:space="preserve">بخش نخست </w:t>
            </w:r>
            <w:r>
              <w:rPr>
                <w:rStyle w:val="IndexLink"/>
                <w:rtl w:val="true"/>
              </w:rPr>
              <w:t xml:space="preserve">: </w:t>
            </w:r>
            <w:r>
              <w:rPr>
                <w:rStyle w:val="IndexLink"/>
                <w:rtl w:val="true"/>
              </w:rPr>
              <w:t>گفتاری در باب روش</w:t>
            </w:r>
            <w:r>
              <w:rPr>
                <w:rStyle w:val="IndexLink"/>
                <w:rtl w:val="true"/>
              </w:rPr>
              <w:tab/>
            </w:r>
            <w:r>
              <w:rPr>
                <w:rStyle w:val="IndexLink"/>
              </w:rPr>
              <w:t>41</w:t>
            </w:r>
          </w:hyperlink>
        </w:p>
        <w:p>
          <w:pPr>
            <w:pStyle w:val="Contents3"/>
            <w:tabs>
              <w:tab w:val="clear" w:pos="8459"/>
              <w:tab w:val="right" w:pos="9026" w:leader="dot"/>
            </w:tabs>
            <w:rPr/>
          </w:pPr>
          <w:hyperlink w:anchor="__RefHeading___Toc1717323_20351853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17325_2035185390">
            <w:r>
              <w:rPr>
                <w:webHidden/>
                <w:rStyle w:val="IndexLink"/>
                <w:rtl w:val="true"/>
              </w:rPr>
              <w:t>هرمنوتیک و جایگاه آن در مباحث روش‌شناسی</w:t>
            </w:r>
            <w:r>
              <w:rPr>
                <w:rStyle w:val="IndexLink"/>
                <w:rtl w:val="true"/>
              </w:rPr>
              <w:tab/>
            </w:r>
            <w:r>
              <w:rPr>
                <w:rStyle w:val="IndexLink"/>
              </w:rPr>
              <w:t>42</w:t>
            </w:r>
          </w:hyperlink>
        </w:p>
        <w:p>
          <w:pPr>
            <w:pStyle w:val="Contents3"/>
            <w:tabs>
              <w:tab w:val="clear" w:pos="8459"/>
              <w:tab w:val="right" w:pos="9026" w:leader="dot"/>
            </w:tabs>
            <w:rPr/>
          </w:pPr>
          <w:hyperlink w:anchor="__RefHeading___Toc1717327_2035185390">
            <w:r>
              <w:rPr>
                <w:webHidden/>
                <w:rStyle w:val="IndexLink"/>
                <w:rtl w:val="true"/>
              </w:rPr>
              <w:t>نحله‌های هرمنوتیک</w:t>
            </w:r>
            <w:r>
              <w:rPr>
                <w:rStyle w:val="IndexLink"/>
                <w:rtl w:val="true"/>
              </w:rPr>
              <w:tab/>
            </w:r>
            <w:r>
              <w:rPr>
                <w:rStyle w:val="IndexLink"/>
              </w:rPr>
              <w:t>44</w:t>
            </w:r>
          </w:hyperlink>
        </w:p>
        <w:p>
          <w:pPr>
            <w:pStyle w:val="Contents3"/>
            <w:tabs>
              <w:tab w:val="clear" w:pos="8459"/>
              <w:tab w:val="right" w:pos="9026" w:leader="dot"/>
            </w:tabs>
            <w:rPr/>
          </w:pPr>
          <w:hyperlink w:anchor="__RefHeading___Toc1717329_2035185390">
            <w:r>
              <w:rPr>
                <w:webHidden/>
                <w:rStyle w:val="IndexLink"/>
                <w:rtl w:val="true"/>
              </w:rPr>
              <w:t>رابطه‌ی زبان و هرمنوتیک</w:t>
            </w:r>
            <w:r>
              <w:rPr>
                <w:rStyle w:val="IndexLink"/>
                <w:rtl w:val="true"/>
              </w:rPr>
              <w:tab/>
            </w:r>
            <w:r>
              <w:rPr>
                <w:rStyle w:val="IndexLink"/>
              </w:rPr>
              <w:t>47</w:t>
            </w:r>
          </w:hyperlink>
        </w:p>
        <w:p>
          <w:pPr>
            <w:pStyle w:val="Contents4"/>
            <w:tabs>
              <w:tab w:val="clear" w:pos="8176"/>
              <w:tab w:val="right" w:pos="9026" w:leader="dot"/>
            </w:tabs>
            <w:rPr/>
          </w:pPr>
          <w:hyperlink w:anchor="__RefHeading___Toc1717331_20351853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717333_2035185390">
            <w:r>
              <w:rPr>
                <w:webHidden/>
                <w:rStyle w:val="IndexLink"/>
                <w:rtl w:val="true"/>
              </w:rPr>
              <w:t>الف</w:t>
            </w:r>
            <w:r>
              <w:rPr>
                <w:rStyle w:val="IndexLink"/>
                <w:rtl w:val="true"/>
              </w:rPr>
              <w:t xml:space="preserve">) </w:t>
            </w:r>
            <w:r>
              <w:rPr>
                <w:rStyle w:val="IndexLink"/>
                <w:rtl w:val="true"/>
              </w:rPr>
              <w:t>زبان به عنوان ابزار و وسیله</w:t>
            </w:r>
            <w:r>
              <w:rPr>
                <w:rStyle w:val="IndexLink"/>
                <w:rtl w:val="true"/>
              </w:rPr>
              <w:tab/>
            </w:r>
            <w:r>
              <w:rPr>
                <w:rStyle w:val="IndexLink"/>
              </w:rPr>
              <w:t>48</w:t>
            </w:r>
          </w:hyperlink>
        </w:p>
        <w:p>
          <w:pPr>
            <w:pStyle w:val="Contents4"/>
            <w:tabs>
              <w:tab w:val="clear" w:pos="8176"/>
              <w:tab w:val="right" w:pos="9026" w:leader="dot"/>
            </w:tabs>
            <w:rPr/>
          </w:pPr>
          <w:hyperlink w:anchor="__RefHeading___Toc1717335_2035185390">
            <w:r>
              <w:rPr>
                <w:webHidden/>
                <w:rStyle w:val="IndexLink"/>
                <w:rtl w:val="true"/>
              </w:rPr>
              <w:t>ب</w:t>
            </w:r>
            <w:r>
              <w:rPr>
                <w:rStyle w:val="IndexLink"/>
                <w:rtl w:val="true"/>
              </w:rPr>
              <w:t xml:space="preserve">) </w:t>
            </w:r>
            <w:r>
              <w:rPr>
                <w:rStyle w:val="IndexLink"/>
                <w:rtl w:val="true"/>
              </w:rPr>
              <w:t>زبان به عنوان هدف و مقصود</w:t>
            </w:r>
            <w:r>
              <w:rPr>
                <w:rStyle w:val="IndexLink"/>
                <w:rtl w:val="true"/>
              </w:rPr>
              <w:tab/>
            </w:r>
            <w:r>
              <w:rPr>
                <w:rStyle w:val="IndexLink"/>
              </w:rPr>
              <w:t>48</w:t>
            </w:r>
          </w:hyperlink>
        </w:p>
        <w:p>
          <w:pPr>
            <w:pStyle w:val="Contents3"/>
            <w:tabs>
              <w:tab w:val="clear" w:pos="8459"/>
              <w:tab w:val="right" w:pos="9026" w:leader="dot"/>
            </w:tabs>
            <w:rPr/>
          </w:pPr>
          <w:hyperlink w:anchor="__RefHeading___Toc1717337_2035185390">
            <w:r>
              <w:rPr>
                <w:webHidden/>
                <w:rStyle w:val="IndexLink"/>
                <w:rtl w:val="true"/>
              </w:rPr>
              <w:t>«</w:t>
            </w:r>
            <w:r>
              <w:rPr>
                <w:rStyle w:val="IndexLink"/>
                <w:rtl w:val="true"/>
              </w:rPr>
              <w:t>هرمنوتیک قصدگرا</w:t>
            </w:r>
            <w:r>
              <w:rPr>
                <w:rStyle w:val="IndexLink"/>
                <w:rtl w:val="true"/>
              </w:rPr>
              <w:t>»</w:t>
              <w:tab/>
            </w:r>
            <w:r>
              <w:rPr>
                <w:rStyle w:val="IndexLink"/>
              </w:rPr>
              <w:t>53</w:t>
            </w:r>
          </w:hyperlink>
        </w:p>
        <w:p>
          <w:pPr>
            <w:pStyle w:val="Contents4"/>
            <w:tabs>
              <w:tab w:val="clear" w:pos="8176"/>
              <w:tab w:val="right" w:pos="9026" w:leader="dot"/>
            </w:tabs>
            <w:rPr/>
          </w:pPr>
          <w:hyperlink w:anchor="__RefHeading___Toc1717339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17341_2035185390">
            <w:r>
              <w:rPr>
                <w:webHidden/>
                <w:rStyle w:val="IndexLink"/>
                <w:rtl w:val="true"/>
              </w:rPr>
              <w:t>نکته‌ها</w:t>
            </w:r>
            <w:r>
              <w:rPr>
                <w:rStyle w:val="IndexLink"/>
                <w:rtl w:val="true"/>
              </w:rPr>
              <w:tab/>
            </w:r>
            <w:r>
              <w:rPr>
                <w:rStyle w:val="IndexLink"/>
              </w:rPr>
              <w:t>57</w:t>
            </w:r>
          </w:hyperlink>
        </w:p>
        <w:p>
          <w:pPr>
            <w:pStyle w:val="Contents4"/>
            <w:tabs>
              <w:tab w:val="clear" w:pos="8176"/>
              <w:tab w:val="right" w:pos="9026" w:leader="dot"/>
            </w:tabs>
            <w:rPr/>
          </w:pPr>
          <w:hyperlink w:anchor="__RefHeading___Toc1717343_2035185390">
            <w:r>
              <w:rPr>
                <w:webHidden/>
                <w:rStyle w:val="IndexLink"/>
                <w:rtl w:val="true"/>
              </w:rPr>
              <w:t>تبلور محیط فکری از نظر اسکینر</w:t>
            </w:r>
            <w:r>
              <w:rPr>
                <w:rStyle w:val="IndexLink"/>
                <w:rtl w:val="true"/>
              </w:rPr>
              <w:tab/>
            </w:r>
            <w:r>
              <w:rPr>
                <w:rStyle w:val="IndexLink"/>
              </w:rPr>
              <w:t>58</w:t>
            </w:r>
          </w:hyperlink>
        </w:p>
        <w:p>
          <w:pPr>
            <w:pStyle w:val="Contents4"/>
            <w:tabs>
              <w:tab w:val="clear" w:pos="8176"/>
              <w:tab w:val="right" w:pos="9026" w:leader="dot"/>
            </w:tabs>
            <w:rPr/>
          </w:pPr>
          <w:hyperlink w:anchor="__RefHeading___Toc1717345_2035185390">
            <w:r>
              <w:rPr>
                <w:webHidden/>
                <w:rStyle w:val="IndexLink"/>
                <w:rtl w:val="true"/>
              </w:rPr>
              <w:t>نتیجه</w:t>
            </w:r>
            <w:r>
              <w:rPr>
                <w:rStyle w:val="IndexLink"/>
                <w:rtl w:val="true"/>
              </w:rPr>
              <w:t>:</w:t>
              <w:tab/>
            </w:r>
            <w:r>
              <w:rPr>
                <w:rStyle w:val="IndexLink"/>
              </w:rPr>
              <w:t>64</w:t>
            </w:r>
          </w:hyperlink>
        </w:p>
        <w:p>
          <w:pPr>
            <w:pStyle w:val="Contents3"/>
            <w:tabs>
              <w:tab w:val="clear" w:pos="8459"/>
              <w:tab w:val="right" w:pos="9026" w:leader="dot"/>
            </w:tabs>
            <w:rPr/>
          </w:pPr>
          <w:hyperlink w:anchor="__RefHeading___Toc1717347_2035185390">
            <w:r>
              <w:rPr>
                <w:webHidden/>
                <w:rStyle w:val="IndexLink"/>
                <w:rtl w:val="true"/>
              </w:rPr>
              <w:t>مراحل روش‌شناسی اسکینر</w:t>
            </w:r>
            <w:r>
              <w:rPr>
                <w:rStyle w:val="IndexLink"/>
                <w:rtl w:val="true"/>
              </w:rPr>
              <w:tab/>
            </w:r>
            <w:r>
              <w:rPr>
                <w:rStyle w:val="IndexLink"/>
              </w:rPr>
              <w:t>64</w:t>
            </w:r>
          </w:hyperlink>
        </w:p>
        <w:p>
          <w:pPr>
            <w:pStyle w:val="Contents4"/>
            <w:tabs>
              <w:tab w:val="clear" w:pos="8176"/>
              <w:tab w:val="right" w:pos="9026" w:leader="dot"/>
            </w:tabs>
            <w:rPr/>
          </w:pPr>
          <w:hyperlink w:anchor="__RefHeading___Toc1717349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717351_2035185390">
            <w:r>
              <w:rPr>
                <w:webHidden/>
                <w:rStyle w:val="IndexLink"/>
                <w:rtl w:val="true"/>
              </w:rPr>
              <w:t>مرحله‌ی نخست</w:t>
            </w:r>
            <w:r>
              <w:rPr>
                <w:rStyle w:val="IndexLink"/>
                <w:rtl w:val="true"/>
              </w:rPr>
              <w:tab/>
            </w:r>
            <w:r>
              <w:rPr>
                <w:rStyle w:val="IndexLink"/>
              </w:rPr>
              <w:t>65</w:t>
            </w:r>
          </w:hyperlink>
        </w:p>
        <w:p>
          <w:pPr>
            <w:pStyle w:val="Contents5"/>
            <w:tabs>
              <w:tab w:val="clear" w:pos="7892"/>
              <w:tab w:val="right" w:pos="9026" w:leader="dot"/>
            </w:tabs>
            <w:rPr/>
          </w:pPr>
          <w:hyperlink w:anchor="__RefHeading___Toc1717353_203518539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17355_2035185390">
            <w:r>
              <w:rPr>
                <w:webHidden/>
                <w:rStyle w:val="IndexLink"/>
                <w:rtl w:val="true"/>
              </w:rPr>
              <w:t>نتیجه مرحله نخست</w:t>
            </w:r>
            <w:r>
              <w:rPr>
                <w:rStyle w:val="IndexLink"/>
                <w:rtl w:val="true"/>
              </w:rPr>
              <w:t>:</w:t>
              <w:tab/>
            </w:r>
            <w:r>
              <w:rPr>
                <w:rStyle w:val="IndexLink"/>
              </w:rPr>
              <w:t>66</w:t>
            </w:r>
          </w:hyperlink>
        </w:p>
        <w:p>
          <w:pPr>
            <w:pStyle w:val="Contents4"/>
            <w:tabs>
              <w:tab w:val="clear" w:pos="8176"/>
              <w:tab w:val="right" w:pos="9026" w:leader="dot"/>
            </w:tabs>
            <w:rPr/>
          </w:pPr>
          <w:hyperlink w:anchor="__RefHeading___Toc1717357_2035185390">
            <w:r>
              <w:rPr>
                <w:webHidden/>
                <w:rStyle w:val="IndexLink"/>
                <w:rtl w:val="true"/>
              </w:rPr>
              <w:t>مرحله‌ی دوم</w:t>
            </w:r>
            <w:r>
              <w:rPr>
                <w:rStyle w:val="IndexLink"/>
                <w:rtl w:val="true"/>
              </w:rPr>
              <w:tab/>
            </w:r>
            <w:r>
              <w:rPr>
                <w:rStyle w:val="IndexLink"/>
              </w:rPr>
              <w:t>67</w:t>
            </w:r>
          </w:hyperlink>
        </w:p>
        <w:p>
          <w:pPr>
            <w:pStyle w:val="Contents4"/>
            <w:tabs>
              <w:tab w:val="clear" w:pos="8176"/>
              <w:tab w:val="right" w:pos="9026" w:leader="dot"/>
            </w:tabs>
            <w:rPr/>
          </w:pPr>
          <w:hyperlink w:anchor="__RefHeading___Toc1717359_2035185390">
            <w:r>
              <w:rPr>
                <w:webHidden/>
                <w:rStyle w:val="IndexLink"/>
                <w:rtl w:val="true"/>
              </w:rPr>
              <w:t>مرحله سوم</w:t>
            </w:r>
            <w:r>
              <w:rPr>
                <w:rStyle w:val="IndexLink"/>
                <w:rtl w:val="true"/>
              </w:rPr>
              <w:t>:</w:t>
              <w:tab/>
            </w:r>
            <w:r>
              <w:rPr>
                <w:rStyle w:val="IndexLink"/>
              </w:rPr>
              <w:t>69</w:t>
            </w:r>
          </w:hyperlink>
        </w:p>
        <w:p>
          <w:pPr>
            <w:pStyle w:val="Contents5"/>
            <w:tabs>
              <w:tab w:val="clear" w:pos="7892"/>
              <w:tab w:val="right" w:pos="9026" w:leader="dot"/>
            </w:tabs>
            <w:rPr/>
          </w:pPr>
          <w:hyperlink w:anchor="__RefHeading___Toc1717361_2035185390">
            <w:r>
              <w:rPr>
                <w:webHidden/>
                <w:rStyle w:val="IndexLink"/>
                <w:rtl w:val="true"/>
              </w:rPr>
              <w:t>توجه به خود ایدئولوژی‌ها</w:t>
            </w:r>
            <w:r>
              <w:rPr>
                <w:rStyle w:val="IndexLink"/>
                <w:rtl w:val="true"/>
              </w:rPr>
              <w:tab/>
            </w:r>
            <w:r>
              <w:rPr>
                <w:rStyle w:val="IndexLink"/>
              </w:rPr>
              <w:t>69</w:t>
            </w:r>
          </w:hyperlink>
        </w:p>
        <w:p>
          <w:pPr>
            <w:pStyle w:val="Contents5"/>
            <w:tabs>
              <w:tab w:val="clear" w:pos="7892"/>
              <w:tab w:val="right" w:pos="9026" w:leader="dot"/>
            </w:tabs>
            <w:rPr/>
          </w:pPr>
          <w:hyperlink w:anchor="__RefHeading___Toc1717363_2035185390">
            <w:r>
              <w:rPr>
                <w:webHidden/>
                <w:rStyle w:val="IndexLink"/>
                <w:rtl w:val="true"/>
              </w:rPr>
              <w:t xml:space="preserve">هنجارهای مرسوم </w:t>
            </w:r>
            <w:r>
              <w:rPr>
                <w:rStyle w:val="IndexLink"/>
                <w:rtl w:val="true"/>
              </w:rPr>
              <w:t xml:space="preserve">- </w:t>
            </w:r>
            <w:r>
              <w:rPr>
                <w:rStyle w:val="IndexLink"/>
                <w:rtl w:val="true"/>
              </w:rPr>
              <w:t xml:space="preserve">مفهوم ایدئولوژی </w:t>
            </w:r>
            <w:r>
              <w:rPr>
                <w:rStyle w:val="IndexLink"/>
                <w:rtl w:val="true"/>
              </w:rPr>
              <w:t xml:space="preserve">- </w:t>
            </w:r>
            <w:r>
              <w:rPr>
                <w:rStyle w:val="IndexLink"/>
                <w:rtl w:val="true"/>
              </w:rPr>
              <w:t>ابزار فهم متن</w:t>
            </w:r>
            <w:r>
              <w:rPr>
                <w:rStyle w:val="IndexLink"/>
                <w:rtl w:val="true"/>
              </w:rPr>
              <w:tab/>
            </w:r>
            <w:r>
              <w:rPr>
                <w:rStyle w:val="IndexLink"/>
              </w:rPr>
              <w:t>69</w:t>
            </w:r>
          </w:hyperlink>
        </w:p>
        <w:p>
          <w:pPr>
            <w:pStyle w:val="Contents5"/>
            <w:tabs>
              <w:tab w:val="clear" w:pos="7892"/>
              <w:tab w:val="right" w:pos="9026" w:leader="dot"/>
            </w:tabs>
            <w:rPr/>
          </w:pPr>
          <w:hyperlink w:anchor="__RefHeading___Toc1717365_2035185390">
            <w:r>
              <w:rPr>
                <w:webHidden/>
                <w:rStyle w:val="IndexLink"/>
                <w:rtl w:val="true"/>
              </w:rPr>
              <w:t xml:space="preserve">متن های کوچک عصر </w:t>
            </w:r>
            <w:r>
              <w:rPr>
                <w:rStyle w:val="IndexLink"/>
                <w:rtl w:val="true"/>
              </w:rPr>
              <w:t xml:space="preserve">- </w:t>
            </w:r>
            <w:r>
              <w:rPr>
                <w:rStyle w:val="IndexLink"/>
                <w:rtl w:val="true"/>
              </w:rPr>
              <w:t>هنجارهای مرسوم</w:t>
            </w:r>
            <w:r>
              <w:rPr>
                <w:rStyle w:val="IndexLink"/>
                <w:rtl w:val="true"/>
              </w:rPr>
              <w:tab/>
            </w:r>
            <w:r>
              <w:rPr>
                <w:rStyle w:val="IndexLink"/>
              </w:rPr>
              <w:t>69</w:t>
            </w:r>
          </w:hyperlink>
        </w:p>
        <w:p>
          <w:pPr>
            <w:pStyle w:val="Contents5"/>
            <w:tabs>
              <w:tab w:val="clear" w:pos="7892"/>
              <w:tab w:val="right" w:pos="9026" w:leader="dot"/>
            </w:tabs>
            <w:rPr/>
          </w:pPr>
          <w:hyperlink w:anchor="__RefHeading___Toc1717367_2035185390">
            <w:r>
              <w:rPr>
                <w:webHidden/>
                <w:rStyle w:val="IndexLink"/>
                <w:rtl w:val="true"/>
              </w:rPr>
              <w:t>نتیجه</w:t>
            </w:r>
            <w:r>
              <w:rPr>
                <w:rStyle w:val="IndexLink"/>
                <w:rtl w:val="true"/>
              </w:rPr>
              <w:t>:</w:t>
              <w:tab/>
            </w:r>
            <w:r>
              <w:rPr>
                <w:rStyle w:val="IndexLink"/>
              </w:rPr>
              <w:t>69</w:t>
            </w:r>
          </w:hyperlink>
        </w:p>
        <w:p>
          <w:pPr>
            <w:pStyle w:val="Contents4"/>
            <w:tabs>
              <w:tab w:val="clear" w:pos="8176"/>
              <w:tab w:val="right" w:pos="9026" w:leader="dot"/>
            </w:tabs>
            <w:rPr/>
          </w:pPr>
          <w:hyperlink w:anchor="__RefHeading___Toc1717369_2035185390">
            <w:r>
              <w:rPr>
                <w:webHidden/>
                <w:rStyle w:val="IndexLink"/>
                <w:rtl w:val="true"/>
              </w:rPr>
              <w:t>مرحله چهارم</w:t>
            </w:r>
            <w:r>
              <w:rPr>
                <w:rStyle w:val="IndexLink"/>
                <w:rtl w:val="true"/>
              </w:rPr>
              <w:t>:</w:t>
              <w:tab/>
            </w:r>
            <w:r>
              <w:rPr>
                <w:rStyle w:val="IndexLink"/>
              </w:rPr>
              <w:t>70</w:t>
            </w:r>
          </w:hyperlink>
        </w:p>
        <w:p>
          <w:pPr>
            <w:pStyle w:val="Contents5"/>
            <w:tabs>
              <w:tab w:val="clear" w:pos="7892"/>
              <w:tab w:val="right" w:pos="9026" w:leader="dot"/>
            </w:tabs>
            <w:rPr/>
          </w:pPr>
          <w:hyperlink w:anchor="__RefHeading___Toc1717371_203518539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717373_2035185390">
            <w:r>
              <w:rPr>
                <w:webHidden/>
                <w:rStyle w:val="IndexLink"/>
                <w:rtl w:val="true"/>
              </w:rPr>
              <w:t>نتیجه</w:t>
            </w:r>
            <w:r>
              <w:rPr>
                <w:rStyle w:val="IndexLink"/>
                <w:rtl w:val="true"/>
              </w:rPr>
              <w:t>:</w:t>
              <w:tab/>
            </w:r>
            <w:r>
              <w:rPr>
                <w:rStyle w:val="IndexLink"/>
              </w:rPr>
              <w:t>70</w:t>
            </w:r>
          </w:hyperlink>
        </w:p>
        <w:p>
          <w:pPr>
            <w:pStyle w:val="Contents5"/>
            <w:tabs>
              <w:tab w:val="clear" w:pos="7892"/>
              <w:tab w:val="right" w:pos="9026" w:leader="dot"/>
            </w:tabs>
            <w:rPr/>
          </w:pPr>
          <w:hyperlink w:anchor="__RefHeading___Toc1717375_2035185390">
            <w:r>
              <w:rPr>
                <w:webHidden/>
                <w:rStyle w:val="IndexLink"/>
                <w:rtl w:val="true"/>
              </w:rPr>
              <w:t>انواع تأثیر در ایدئولوژی</w:t>
            </w:r>
            <w:r>
              <w:rPr>
                <w:rStyle w:val="IndexLink"/>
                <w:rtl w:val="true"/>
              </w:rPr>
              <w:tab/>
            </w:r>
            <w:r>
              <w:rPr>
                <w:rStyle w:val="IndexLink"/>
              </w:rPr>
              <w:t>71</w:t>
            </w:r>
          </w:hyperlink>
        </w:p>
        <w:p>
          <w:pPr>
            <w:pStyle w:val="Contents5"/>
            <w:tabs>
              <w:tab w:val="clear" w:pos="7892"/>
              <w:tab w:val="right" w:pos="9026" w:leader="dot"/>
            </w:tabs>
            <w:rPr/>
          </w:pPr>
          <w:hyperlink w:anchor="__RefHeading___Toc1717377_2035185390">
            <w:r>
              <w:rPr>
                <w:webHidden/>
                <w:rStyle w:val="IndexLink"/>
                <w:rtl w:val="true"/>
              </w:rPr>
              <w:t>ابعاد محدودیت هنجارهای مرسوم</w:t>
            </w:r>
            <w:r>
              <w:rPr>
                <w:rStyle w:val="IndexLink"/>
                <w:rtl w:val="true"/>
              </w:rPr>
              <w:t>:</w:t>
              <w:tab/>
            </w:r>
            <w:r>
              <w:rPr>
                <w:rStyle w:val="IndexLink"/>
              </w:rPr>
              <w:t>71</w:t>
            </w:r>
          </w:hyperlink>
        </w:p>
        <w:p>
          <w:pPr>
            <w:pStyle w:val="Contents5"/>
            <w:tabs>
              <w:tab w:val="clear" w:pos="7892"/>
              <w:tab w:val="right" w:pos="9026" w:leader="dot"/>
            </w:tabs>
            <w:rPr/>
          </w:pPr>
          <w:hyperlink w:anchor="__RefHeading___Toc1717379_2035185390">
            <w:r>
              <w:rPr>
                <w:webHidden/>
                <w:rStyle w:val="IndexLink"/>
                <w:rtl w:val="true"/>
              </w:rPr>
              <w:t>آموزه‌ی لوتر</w:t>
            </w:r>
            <w:r>
              <w:rPr>
                <w:rStyle w:val="IndexLink"/>
                <w:rtl w:val="true"/>
              </w:rPr>
              <w:t>:</w:t>
              <w:tab/>
            </w:r>
            <w:r>
              <w:rPr>
                <w:rStyle w:val="IndexLink"/>
              </w:rPr>
              <w:t>72</w:t>
            </w:r>
          </w:hyperlink>
        </w:p>
        <w:p>
          <w:pPr>
            <w:pStyle w:val="Contents4"/>
            <w:tabs>
              <w:tab w:val="clear" w:pos="8176"/>
              <w:tab w:val="right" w:pos="9026" w:leader="dot"/>
            </w:tabs>
            <w:rPr/>
          </w:pPr>
          <w:hyperlink w:anchor="__RefHeading___Toc1717381_2035185390">
            <w:r>
              <w:rPr>
                <w:webHidden/>
                <w:rStyle w:val="IndexLink"/>
                <w:rtl w:val="true"/>
              </w:rPr>
              <w:t>مرحله‌ی پنجم</w:t>
            </w:r>
            <w:r>
              <w:rPr>
                <w:rStyle w:val="IndexLink"/>
                <w:rtl w:val="true"/>
              </w:rPr>
              <w:t>:</w:t>
              <w:tab/>
            </w:r>
            <w:r>
              <w:rPr>
                <w:rStyle w:val="IndexLink"/>
              </w:rPr>
              <w:t>73</w:t>
            </w:r>
          </w:hyperlink>
        </w:p>
        <w:p>
          <w:pPr>
            <w:pStyle w:val="Contents5"/>
            <w:tabs>
              <w:tab w:val="clear" w:pos="7892"/>
              <w:tab w:val="right" w:pos="9026" w:leader="dot"/>
            </w:tabs>
            <w:rPr/>
          </w:pPr>
          <w:hyperlink w:anchor="__RefHeading___Toc1717383_2035185390">
            <w:r>
              <w:rPr>
                <w:webHidden/>
                <w:rStyle w:val="IndexLink"/>
                <w:rtl w:val="true"/>
              </w:rPr>
              <w:t>چگونگی تبدیل تحول ایدئولوژیک به هنجار مرسوم</w:t>
            </w:r>
            <w:r>
              <w:rPr>
                <w:rStyle w:val="IndexLink"/>
                <w:rtl w:val="true"/>
              </w:rPr>
              <w:t>:</w:t>
              <w:tab/>
            </w:r>
            <w:r>
              <w:rPr>
                <w:rStyle w:val="IndexLink"/>
              </w:rPr>
              <w:t>73</w:t>
            </w:r>
          </w:hyperlink>
        </w:p>
        <w:p>
          <w:pPr>
            <w:pStyle w:val="Contents2"/>
            <w:tabs>
              <w:tab w:val="clear" w:pos="8743"/>
              <w:tab w:val="right" w:pos="9026" w:leader="dot"/>
            </w:tabs>
            <w:rPr/>
          </w:pPr>
          <w:hyperlink w:anchor="__RefHeading___Toc1717385_2035185390">
            <w:r>
              <w:rPr>
                <w:webHidden/>
                <w:rStyle w:val="IndexLink"/>
                <w:rtl w:val="true"/>
              </w:rPr>
              <w:t>بخش دوم</w:t>
            </w:r>
            <w:r>
              <w:rPr>
                <w:rStyle w:val="IndexLink"/>
                <w:rtl w:val="true"/>
              </w:rPr>
              <w:t xml:space="preserve">: </w:t>
            </w:r>
            <w:r>
              <w:rPr>
                <w:rStyle w:val="IndexLink"/>
                <w:rtl w:val="true"/>
              </w:rPr>
              <w:t xml:space="preserve">زمینه‌های عملی، محیطی، سیاسی و اجتماعی امامیه </w:t>
            </w:r>
            <w:r>
              <w:rPr>
                <w:rStyle w:val="IndexLink"/>
                <w:rtl w:val="true"/>
              </w:rPr>
              <w:t>(</w:t>
            </w:r>
            <w:r>
              <w:rPr>
                <w:rStyle w:val="IndexLink"/>
                <w:rtl w:val="true"/>
              </w:rPr>
              <w:t xml:space="preserve">از قرن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3"/>
            <w:tabs>
              <w:tab w:val="clear" w:pos="8459"/>
              <w:tab w:val="right" w:pos="9026" w:leader="dot"/>
            </w:tabs>
            <w:rPr/>
          </w:pPr>
          <w:hyperlink w:anchor="__RefHeading___Toc1717387_203518539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717389_2035185390">
            <w:r>
              <w:rPr>
                <w:webHidden/>
                <w:rStyle w:val="IndexLink"/>
                <w:rtl w:val="true"/>
              </w:rPr>
              <w:t>فصل نخست</w:t>
            </w:r>
            <w:r>
              <w:rPr>
                <w:rStyle w:val="IndexLink"/>
                <w:rtl w:val="true"/>
              </w:rPr>
              <w:t xml:space="preserve">: </w:t>
            </w:r>
            <w:r>
              <w:rPr>
                <w:rStyle w:val="IndexLink"/>
                <w:rtl w:val="true"/>
              </w:rPr>
              <w:t xml:space="preserve">زمینه‌های فرهنگی، سیاسی و اجتماعی بغداد </w:t>
            </w:r>
            <w:r>
              <w:rPr>
                <w:rStyle w:val="IndexLink"/>
                <w:rtl w:val="true"/>
              </w:rPr>
              <w:t>(</w:t>
            </w:r>
            <w:r>
              <w:rPr>
                <w:rStyle w:val="IndexLink"/>
                <w:rtl w:val="true"/>
              </w:rPr>
              <w:t>از غیبت کبرا تا حمله مغول</w:t>
            </w:r>
            <w:r>
              <w:rPr>
                <w:rStyle w:val="IndexLink"/>
                <w:rtl w:val="true"/>
              </w:rPr>
              <w:t>)</w:t>
              <w:tab/>
            </w:r>
            <w:r>
              <w:rPr>
                <w:rStyle w:val="IndexLink"/>
              </w:rPr>
              <w:t>75</w:t>
            </w:r>
          </w:hyperlink>
        </w:p>
        <w:p>
          <w:pPr>
            <w:pStyle w:val="Contents3"/>
            <w:tabs>
              <w:tab w:val="clear" w:pos="8459"/>
              <w:tab w:val="right" w:pos="9026" w:leader="dot"/>
            </w:tabs>
            <w:rPr/>
          </w:pPr>
          <w:hyperlink w:anchor="__RefHeading___Toc1717391_2035185390">
            <w:r>
              <w:rPr>
                <w:webHidden/>
                <w:rStyle w:val="IndexLink"/>
                <w:rtl w:val="true"/>
              </w:rPr>
              <w:t>فصل دوم</w:t>
            </w:r>
            <w:r>
              <w:rPr>
                <w:rStyle w:val="IndexLink"/>
                <w:rtl w:val="true"/>
              </w:rPr>
              <w:t xml:space="preserve">: </w:t>
            </w:r>
            <w:r>
              <w:rPr>
                <w:rStyle w:val="IndexLink"/>
                <w:rtl w:val="true"/>
              </w:rPr>
              <w:t xml:space="preserve">زمینه‌های فرهنگی، سیاسی و اجتماعی شیعیان </w:t>
            </w:r>
            <w:r>
              <w:rPr>
                <w:rStyle w:val="IndexLink"/>
                <w:rtl w:val="true"/>
              </w:rPr>
              <w:t>(</w:t>
            </w:r>
            <w:r>
              <w:rPr>
                <w:rStyle w:val="IndexLink"/>
                <w:rtl w:val="true"/>
              </w:rPr>
              <w:t>از غیبت کبرا تا حمله مغول</w:t>
            </w:r>
            <w:r>
              <w:rPr>
                <w:rStyle w:val="IndexLink"/>
                <w:rtl w:val="true"/>
              </w:rPr>
              <w:t>)</w:t>
              <w:tab/>
            </w:r>
            <w:r>
              <w:rPr>
                <w:rStyle w:val="IndexLink"/>
              </w:rPr>
              <w:t>97</w:t>
            </w:r>
          </w:hyperlink>
        </w:p>
        <w:p>
          <w:pPr>
            <w:pStyle w:val="Contents4"/>
            <w:tabs>
              <w:tab w:val="clear" w:pos="8176"/>
              <w:tab w:val="right" w:pos="9026" w:leader="dot"/>
            </w:tabs>
            <w:rPr/>
          </w:pPr>
          <w:hyperlink w:anchor="__RefHeading___Toc1717393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717395_2035185390">
            <w:r>
              <w:rPr>
                <w:webHidden/>
                <w:rStyle w:val="IndexLink"/>
                <w:rtl w:val="true"/>
              </w:rPr>
              <w:t xml:space="preserve">الف </w:t>
            </w:r>
            <w:r>
              <w:rPr>
                <w:rStyle w:val="IndexLink"/>
                <w:rtl w:val="true"/>
              </w:rPr>
              <w:t xml:space="preserve">- </w:t>
            </w:r>
            <w:r>
              <w:rPr>
                <w:rStyle w:val="IndexLink"/>
                <w:rtl w:val="true"/>
              </w:rPr>
              <w:t>زمینه‌های سیاسی، فرهنگی و اجتماعی شیعیان در دوره غزنویان</w:t>
            </w:r>
            <w:r>
              <w:rPr>
                <w:rStyle w:val="IndexLink"/>
                <w:rtl w:val="true"/>
              </w:rPr>
              <w:tab/>
            </w:r>
            <w:r>
              <w:rPr>
                <w:rStyle w:val="IndexLink"/>
              </w:rPr>
              <w:t>98</w:t>
            </w:r>
          </w:hyperlink>
        </w:p>
        <w:p>
          <w:pPr>
            <w:pStyle w:val="Contents4"/>
            <w:tabs>
              <w:tab w:val="clear" w:pos="8176"/>
              <w:tab w:val="right" w:pos="9026" w:leader="dot"/>
            </w:tabs>
            <w:rPr/>
          </w:pPr>
          <w:hyperlink w:anchor="__RefHeading___Toc1717397_2035185390">
            <w:r>
              <w:rPr>
                <w:webHidden/>
                <w:rStyle w:val="IndexLink"/>
                <w:rtl w:val="true"/>
              </w:rPr>
              <w:t xml:space="preserve">ب </w:t>
            </w:r>
            <w:r>
              <w:rPr>
                <w:rStyle w:val="IndexLink"/>
                <w:rtl w:val="true"/>
              </w:rPr>
              <w:t xml:space="preserve">- </w:t>
            </w:r>
            <w:r>
              <w:rPr>
                <w:rStyle w:val="IndexLink"/>
                <w:rtl w:val="true"/>
              </w:rPr>
              <w:t xml:space="preserve">زمینه‌های فکری </w:t>
            </w:r>
            <w:r>
              <w:rPr>
                <w:rStyle w:val="IndexLink"/>
                <w:rtl w:val="true"/>
              </w:rPr>
              <w:t xml:space="preserve">- </w:t>
            </w:r>
            <w:r>
              <w:rPr>
                <w:rStyle w:val="IndexLink"/>
                <w:rtl w:val="true"/>
              </w:rPr>
              <w:t>مذهبی و سیاسی اجتماعی شیعیان در دوره سلجوقیان</w:t>
            </w:r>
            <w:r>
              <w:rPr>
                <w:rStyle w:val="IndexLink"/>
                <w:rtl w:val="true"/>
              </w:rPr>
              <w:tab/>
            </w:r>
            <w:r>
              <w:rPr>
                <w:rStyle w:val="IndexLink"/>
              </w:rPr>
              <w:t>107</w:t>
            </w:r>
          </w:hyperlink>
        </w:p>
        <w:p>
          <w:pPr>
            <w:pStyle w:val="Contents5"/>
            <w:tabs>
              <w:tab w:val="clear" w:pos="7892"/>
              <w:tab w:val="right" w:pos="9026" w:leader="dot"/>
            </w:tabs>
            <w:rPr/>
          </w:pPr>
          <w:hyperlink w:anchor="__RefHeading___Toc1717399_203518539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717401_2035185390">
            <w:r>
              <w:rPr>
                <w:webHidden/>
                <w:rStyle w:val="IndexLink"/>
                <w:rtl w:val="true"/>
              </w:rPr>
              <w:t>زمینه‌های سیاسی شیعیان در دوره سلجوقیان</w:t>
            </w:r>
            <w:r>
              <w:rPr>
                <w:rStyle w:val="IndexLink"/>
                <w:rtl w:val="true"/>
              </w:rPr>
              <w:tab/>
            </w:r>
            <w:r>
              <w:rPr>
                <w:rStyle w:val="IndexLink"/>
              </w:rPr>
              <w:t>113</w:t>
            </w:r>
          </w:hyperlink>
        </w:p>
        <w:p>
          <w:pPr>
            <w:pStyle w:val="Contents5"/>
            <w:tabs>
              <w:tab w:val="clear" w:pos="7892"/>
              <w:tab w:val="right" w:pos="9026" w:leader="dot"/>
            </w:tabs>
            <w:rPr/>
          </w:pPr>
          <w:hyperlink w:anchor="__RefHeading___Toc1717403_2035185390">
            <w:r>
              <w:rPr>
                <w:webHidden/>
                <w:rStyle w:val="IndexLink"/>
                <w:rtl w:val="true"/>
              </w:rPr>
              <w:t>وضعیت سیاسی شیعیان در دوره خوارزمشاهیان</w:t>
            </w:r>
            <w:r>
              <w:rPr>
                <w:rStyle w:val="IndexLink"/>
                <w:rtl w:val="true"/>
              </w:rPr>
              <w:tab/>
            </w:r>
            <w:r>
              <w:rPr>
                <w:rStyle w:val="IndexLink"/>
              </w:rPr>
              <w:t>119</w:t>
            </w:r>
          </w:hyperlink>
        </w:p>
        <w:p>
          <w:pPr>
            <w:pStyle w:val="Contents3"/>
            <w:tabs>
              <w:tab w:val="clear" w:pos="8459"/>
              <w:tab w:val="right" w:pos="9026" w:leader="dot"/>
            </w:tabs>
            <w:rPr/>
          </w:pPr>
          <w:hyperlink w:anchor="__RefHeading___Toc1717405_2035185390">
            <w:r>
              <w:rPr>
                <w:webHidden/>
                <w:rStyle w:val="IndexLink"/>
                <w:rtl w:val="true"/>
              </w:rPr>
              <w:t>فصل سوم</w:t>
            </w:r>
            <w:r>
              <w:rPr>
                <w:rStyle w:val="IndexLink"/>
                <w:rtl w:val="true"/>
              </w:rPr>
              <w:t xml:space="preserve">: </w:t>
            </w:r>
            <w:r>
              <w:rPr>
                <w:rStyle w:val="IndexLink"/>
                <w:rtl w:val="true"/>
              </w:rPr>
              <w:t>تأثیر غیبت کبرا بر حدود اختیارات فقها و نیابت عام و نهاد وکالت خاص</w:t>
            </w:r>
            <w:r>
              <w:rPr>
                <w:rStyle w:val="IndexLink"/>
                <w:rtl w:val="true"/>
              </w:rPr>
              <w:tab/>
            </w:r>
            <w:r>
              <w:rPr>
                <w:rStyle w:val="IndexLink"/>
              </w:rPr>
              <w:t>125</w:t>
            </w:r>
          </w:hyperlink>
        </w:p>
        <w:p>
          <w:pPr>
            <w:pStyle w:val="Contents4"/>
            <w:tabs>
              <w:tab w:val="clear" w:pos="8176"/>
              <w:tab w:val="right" w:pos="9026" w:leader="dot"/>
            </w:tabs>
            <w:rPr/>
          </w:pPr>
          <w:hyperlink w:anchor="__RefHeading___Toc1717407_203518539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717409_2035185390">
            <w:r>
              <w:rPr>
                <w:webHidden/>
                <w:rStyle w:val="IndexLink"/>
                <w:rtl w:val="true"/>
              </w:rPr>
              <w:t>تأثیر غیبت کبرا بر حدود اختیارات فقها</w:t>
            </w:r>
            <w:r>
              <w:rPr>
                <w:rStyle w:val="IndexLink"/>
                <w:rtl w:val="true"/>
              </w:rPr>
              <w:tab/>
            </w:r>
            <w:r>
              <w:rPr>
                <w:rStyle w:val="IndexLink"/>
              </w:rPr>
              <w:t>126</w:t>
            </w:r>
          </w:hyperlink>
        </w:p>
        <w:p>
          <w:pPr>
            <w:pStyle w:val="Contents4"/>
            <w:tabs>
              <w:tab w:val="clear" w:pos="8176"/>
              <w:tab w:val="right" w:pos="9026" w:leader="dot"/>
            </w:tabs>
            <w:rPr/>
          </w:pPr>
          <w:hyperlink w:anchor="__RefHeading___Toc1717411_2035185390">
            <w:r>
              <w:rPr>
                <w:webHidden/>
                <w:rStyle w:val="IndexLink"/>
                <w:rtl w:val="true"/>
              </w:rPr>
              <w:t xml:space="preserve">سیر تاریخی نهاد وکالت </w:t>
            </w:r>
            <w:r>
              <w:rPr>
                <w:rStyle w:val="IndexLink"/>
                <w:rtl w:val="true"/>
              </w:rPr>
              <w:t>(</w:t>
            </w:r>
            <w:r>
              <w:rPr>
                <w:rStyle w:val="IndexLink"/>
                <w:rtl w:val="true"/>
              </w:rPr>
              <w:t xml:space="preserve">دوران حضور ائمه </w:t>
            </w:r>
            <w:r>
              <w:rPr>
                <w:rStyle w:val="IndexLink"/>
                <w:rtl w:val="true"/>
              </w:rPr>
              <w:t>(</w:t>
            </w:r>
            <w:r>
              <w:rPr>
                <w:rStyle w:val="IndexLink"/>
                <w:rtl w:val="true"/>
              </w:rPr>
              <w:t>ع</w:t>
            </w:r>
            <w:r>
              <w:rPr>
                <w:rStyle w:val="IndexLink"/>
                <w:rtl w:val="true"/>
              </w:rPr>
              <w:t>)</w:t>
              <w:tab/>
            </w:r>
            <w:r>
              <w:rPr>
                <w:rStyle w:val="IndexLink"/>
              </w:rPr>
              <w:t>135</w:t>
            </w:r>
          </w:hyperlink>
        </w:p>
        <w:p>
          <w:pPr>
            <w:pStyle w:val="Contents4"/>
            <w:tabs>
              <w:tab w:val="clear" w:pos="8176"/>
              <w:tab w:val="right" w:pos="9026" w:leader="dot"/>
            </w:tabs>
            <w:rPr/>
          </w:pPr>
          <w:hyperlink w:anchor="__RefHeading___Toc1717413_2035185390">
            <w:r>
              <w:rPr>
                <w:webHidden/>
                <w:rStyle w:val="IndexLink"/>
                <w:rtl w:val="true"/>
              </w:rPr>
              <w:t>نقش نهاد وکالت در سازمان‌دهی اجتماعی امامیه</w:t>
            </w:r>
            <w:r>
              <w:rPr>
                <w:rStyle w:val="IndexLink"/>
                <w:rtl w:val="true"/>
              </w:rPr>
              <w:tab/>
            </w:r>
            <w:r>
              <w:rPr>
                <w:rStyle w:val="IndexLink"/>
              </w:rPr>
              <w:t>142</w:t>
            </w:r>
          </w:hyperlink>
        </w:p>
        <w:p>
          <w:pPr>
            <w:pStyle w:val="Contents2"/>
            <w:tabs>
              <w:tab w:val="clear" w:pos="8743"/>
              <w:tab w:val="right" w:pos="9026" w:leader="dot"/>
            </w:tabs>
            <w:rPr/>
          </w:pPr>
          <w:hyperlink w:anchor="__RefHeading___Toc1717415_2035185390">
            <w:r>
              <w:rPr>
                <w:webHidden/>
                <w:rStyle w:val="IndexLink"/>
                <w:rtl w:val="true"/>
              </w:rPr>
              <w:t>بخش سوم</w:t>
            </w:r>
            <w:r>
              <w:rPr>
                <w:rStyle w:val="IndexLink"/>
                <w:rtl w:val="true"/>
              </w:rPr>
              <w:t>:</w:t>
            </w:r>
            <w:r>
              <w:rPr>
                <w:rStyle w:val="IndexLink"/>
                <w:rtl w:val="true"/>
              </w:rPr>
              <w:t>ایدئولوژی‌های رایج عصر غیبت و رابطه‌ی آن با رفتار سیاسی علما</w:t>
            </w:r>
            <w:r>
              <w:rPr>
                <w:rStyle w:val="IndexLink"/>
                <w:rtl w:val="true"/>
              </w:rPr>
              <w:tab/>
            </w:r>
            <w:r>
              <w:rPr>
                <w:rStyle w:val="IndexLink"/>
              </w:rPr>
              <w:t>146</w:t>
            </w:r>
          </w:hyperlink>
        </w:p>
        <w:p>
          <w:pPr>
            <w:pStyle w:val="Contents3"/>
            <w:tabs>
              <w:tab w:val="clear" w:pos="8459"/>
              <w:tab w:val="right" w:pos="9026" w:leader="dot"/>
            </w:tabs>
            <w:rPr/>
          </w:pPr>
          <w:hyperlink w:anchor="__RefHeading___Toc1717417_203518539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717419_2035185390">
            <w:r>
              <w:rPr>
                <w:webHidden/>
                <w:rStyle w:val="IndexLink"/>
                <w:rtl w:val="true"/>
              </w:rPr>
              <w:t>فصل نخست</w:t>
            </w:r>
            <w:r>
              <w:rPr>
                <w:rStyle w:val="IndexLink"/>
                <w:rtl w:val="true"/>
              </w:rPr>
              <w:t xml:space="preserve">: </w:t>
            </w:r>
            <w:r>
              <w:rPr>
                <w:rStyle w:val="IndexLink"/>
                <w:rtl w:val="true"/>
              </w:rPr>
              <w:t>جریانهای فقهی شیعه</w:t>
            </w:r>
            <w:r>
              <w:rPr>
                <w:rStyle w:val="IndexLink"/>
                <w:rtl w:val="true"/>
              </w:rPr>
              <w:tab/>
            </w:r>
            <w:r>
              <w:rPr>
                <w:rStyle w:val="IndexLink"/>
              </w:rPr>
              <w:t>147</w:t>
            </w:r>
          </w:hyperlink>
        </w:p>
        <w:p>
          <w:pPr>
            <w:pStyle w:val="Contents3"/>
            <w:tabs>
              <w:tab w:val="clear" w:pos="8459"/>
              <w:tab w:val="right" w:pos="9026" w:leader="dot"/>
            </w:tabs>
            <w:rPr/>
          </w:pPr>
          <w:hyperlink w:anchor="__RefHeading___Toc1717421_2035185390">
            <w:r>
              <w:rPr>
                <w:webHidden/>
                <w:rStyle w:val="IndexLink"/>
                <w:rtl w:val="true"/>
              </w:rPr>
              <w:t>فصل دوم</w:t>
            </w:r>
            <w:r>
              <w:rPr>
                <w:rStyle w:val="IndexLink"/>
                <w:rtl w:val="true"/>
              </w:rPr>
              <w:t>: «</w:t>
            </w:r>
            <w:r>
              <w:rPr>
                <w:rStyle w:val="IndexLink"/>
                <w:rtl w:val="true"/>
              </w:rPr>
              <w:t>امامت</w:t>
            </w:r>
            <w:r>
              <w:rPr>
                <w:rStyle w:val="IndexLink"/>
                <w:rtl w:val="true"/>
              </w:rPr>
              <w:t>»</w:t>
            </w:r>
            <w:r>
              <w:rPr>
                <w:rStyle w:val="IndexLink"/>
                <w:rtl w:val="true"/>
              </w:rPr>
              <w:t xml:space="preserve">، </w:t>
            </w:r>
            <w:r>
              <w:rPr>
                <w:rStyle w:val="IndexLink"/>
                <w:rtl w:val="true"/>
              </w:rPr>
              <w:t>«</w:t>
            </w:r>
            <w:r>
              <w:rPr>
                <w:rStyle w:val="IndexLink"/>
                <w:rtl w:val="true"/>
              </w:rPr>
              <w:t>غیبت</w:t>
            </w:r>
            <w:r>
              <w:rPr>
                <w:rStyle w:val="IndexLink"/>
                <w:rtl w:val="true"/>
              </w:rPr>
              <w:t>»</w:t>
            </w:r>
            <w:r>
              <w:rPr>
                <w:rStyle w:val="IndexLink"/>
                <w:rtl w:val="true"/>
              </w:rPr>
              <w:t xml:space="preserve">، </w:t>
            </w:r>
            <w:r>
              <w:rPr>
                <w:rStyle w:val="IndexLink"/>
                <w:rtl w:val="true"/>
              </w:rPr>
              <w:t>«</w:t>
            </w:r>
            <w:r>
              <w:rPr>
                <w:rStyle w:val="IndexLink"/>
                <w:rtl w:val="true"/>
              </w:rPr>
              <w:t>انتظار</w:t>
            </w:r>
            <w:r>
              <w:rPr>
                <w:rStyle w:val="IndexLink"/>
                <w:rtl w:val="true"/>
              </w:rPr>
              <w:t>»</w:t>
              <w:tab/>
            </w:r>
            <w:r>
              <w:rPr>
                <w:rStyle w:val="IndexLink"/>
              </w:rPr>
              <w:t>165</w:t>
            </w:r>
          </w:hyperlink>
        </w:p>
        <w:p>
          <w:pPr>
            <w:pStyle w:val="Contents4"/>
            <w:tabs>
              <w:tab w:val="clear" w:pos="8176"/>
              <w:tab w:val="right" w:pos="9026" w:leader="dot"/>
            </w:tabs>
            <w:rPr/>
          </w:pPr>
          <w:hyperlink w:anchor="__RefHeading___Toc1717423_203518539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717425_2035185390">
            <w:r>
              <w:rPr>
                <w:webHidden/>
                <w:rStyle w:val="IndexLink"/>
                <w:rtl w:val="true"/>
              </w:rPr>
              <w:t>شکل‌گیری نظریه امامت</w:t>
            </w:r>
            <w:r>
              <w:rPr>
                <w:rStyle w:val="IndexLink"/>
                <w:rtl w:val="true"/>
              </w:rPr>
              <w:tab/>
            </w:r>
            <w:r>
              <w:rPr>
                <w:rStyle w:val="IndexLink"/>
              </w:rPr>
              <w:t>166</w:t>
            </w:r>
          </w:hyperlink>
        </w:p>
        <w:p>
          <w:pPr>
            <w:pStyle w:val="Contents4"/>
            <w:tabs>
              <w:tab w:val="clear" w:pos="8176"/>
              <w:tab w:val="right" w:pos="9026" w:leader="dot"/>
            </w:tabs>
            <w:rPr/>
          </w:pPr>
          <w:hyperlink w:anchor="__RefHeading___Toc1717427_2035185390">
            <w:r>
              <w:rPr>
                <w:webHidden/>
                <w:rStyle w:val="IndexLink"/>
                <w:rtl w:val="true"/>
              </w:rPr>
              <w:t xml:space="preserve">نظریه امامت و </w:t>
            </w:r>
            <w:r>
              <w:rPr>
                <w:rStyle w:val="IndexLink"/>
                <w:rtl w:val="true"/>
              </w:rPr>
              <w:t>«</w:t>
            </w:r>
            <w:r>
              <w:rPr>
                <w:rStyle w:val="IndexLink"/>
                <w:rtl w:val="true"/>
              </w:rPr>
              <w:t>قاعده لطف</w:t>
            </w:r>
            <w:r>
              <w:rPr>
                <w:rStyle w:val="IndexLink"/>
                <w:rtl w:val="true"/>
              </w:rPr>
              <w:t>»</w:t>
              <w:tab/>
            </w:r>
            <w:r>
              <w:rPr>
                <w:rStyle w:val="IndexLink"/>
              </w:rPr>
              <w:t>173</w:t>
            </w:r>
          </w:hyperlink>
        </w:p>
        <w:p>
          <w:pPr>
            <w:pStyle w:val="Contents4"/>
            <w:tabs>
              <w:tab w:val="clear" w:pos="8176"/>
              <w:tab w:val="right" w:pos="9026" w:leader="dot"/>
            </w:tabs>
            <w:rPr/>
          </w:pPr>
          <w:hyperlink w:anchor="__RefHeading___Toc1717429_2035185390">
            <w:r>
              <w:rPr>
                <w:webHidden/>
                <w:rStyle w:val="IndexLink"/>
                <w:rtl w:val="true"/>
              </w:rPr>
              <w:t>«</w:t>
            </w:r>
            <w:r>
              <w:rPr>
                <w:rStyle w:val="IndexLink"/>
                <w:rtl w:val="true"/>
              </w:rPr>
              <w:t>غیبت</w:t>
            </w:r>
            <w:r>
              <w:rPr>
                <w:rStyle w:val="IndexLink"/>
                <w:rtl w:val="true"/>
              </w:rPr>
              <w:t xml:space="preserve">» </w:t>
            </w:r>
            <w:r>
              <w:rPr>
                <w:rStyle w:val="IndexLink"/>
                <w:rtl w:val="true"/>
              </w:rPr>
              <w:t xml:space="preserve">و </w:t>
            </w:r>
            <w:r>
              <w:rPr>
                <w:rStyle w:val="IndexLink"/>
                <w:rtl w:val="true"/>
              </w:rPr>
              <w:t>«</w:t>
            </w:r>
            <w:r>
              <w:rPr>
                <w:rStyle w:val="IndexLink"/>
                <w:rtl w:val="true"/>
              </w:rPr>
              <w:t>انتظار</w:t>
            </w:r>
            <w:r>
              <w:rPr>
                <w:rStyle w:val="IndexLink"/>
                <w:rtl w:val="true"/>
              </w:rPr>
              <w:t xml:space="preserve">» </w:t>
            </w:r>
            <w:r>
              <w:rPr>
                <w:rStyle w:val="IndexLink"/>
                <w:rtl w:val="true"/>
              </w:rPr>
              <w:t xml:space="preserve">از دیدگاه علمای امامیه </w:t>
            </w:r>
            <w:r>
              <w:rPr>
                <w:rStyle w:val="IndexLink"/>
                <w:rtl w:val="true"/>
              </w:rPr>
              <w:t>(</w:t>
            </w:r>
            <w:r>
              <w:rPr>
                <w:rStyle w:val="IndexLink"/>
                <w:rtl w:val="true"/>
              </w:rPr>
              <w:t xml:space="preserve">قرن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177</w:t>
            </w:r>
          </w:hyperlink>
        </w:p>
        <w:p>
          <w:pPr>
            <w:pStyle w:val="Contents3"/>
            <w:tabs>
              <w:tab w:val="clear" w:pos="8459"/>
              <w:tab w:val="right" w:pos="9026" w:leader="dot"/>
            </w:tabs>
            <w:rPr/>
          </w:pPr>
          <w:hyperlink w:anchor="__RefHeading___Toc1717431_2035185390">
            <w:r>
              <w:rPr>
                <w:webHidden/>
                <w:rStyle w:val="IndexLink"/>
                <w:rtl w:val="true"/>
              </w:rPr>
              <w:t>فصل سوم</w:t>
            </w:r>
            <w:r>
              <w:rPr>
                <w:rStyle w:val="IndexLink"/>
                <w:rtl w:val="true"/>
              </w:rPr>
              <w:t>: «</w:t>
            </w:r>
            <w:r>
              <w:rPr>
                <w:rStyle w:val="IndexLink"/>
                <w:rtl w:val="true"/>
              </w:rPr>
              <w:t>تقیه</w:t>
            </w:r>
            <w:r>
              <w:rPr>
                <w:rStyle w:val="IndexLink"/>
                <w:rtl w:val="true"/>
              </w:rPr>
              <w:t>»</w:t>
              <w:tab/>
            </w:r>
            <w:r>
              <w:rPr>
                <w:rStyle w:val="IndexLink"/>
              </w:rPr>
              <w:t>186</w:t>
            </w:r>
          </w:hyperlink>
        </w:p>
        <w:p>
          <w:pPr>
            <w:pStyle w:val="Contents4"/>
            <w:tabs>
              <w:tab w:val="clear" w:pos="8176"/>
              <w:tab w:val="right" w:pos="9026" w:leader="dot"/>
            </w:tabs>
            <w:rPr/>
          </w:pPr>
          <w:hyperlink w:anchor="__RefHeading___Toc1717433_203518539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17435_2035185390">
            <w:r>
              <w:rPr>
                <w:webHidden/>
                <w:rStyle w:val="IndexLink"/>
                <w:rtl w:val="true"/>
              </w:rPr>
              <w:t xml:space="preserve">مفهوم لغوی </w:t>
            </w:r>
            <w:r>
              <w:rPr>
                <w:rStyle w:val="IndexLink"/>
                <w:rtl w:val="true"/>
              </w:rPr>
              <w:t>«</w:t>
            </w:r>
            <w:r>
              <w:rPr>
                <w:rStyle w:val="IndexLink"/>
                <w:rtl w:val="true"/>
              </w:rPr>
              <w:t>تقیه</w:t>
            </w:r>
            <w:r>
              <w:rPr>
                <w:rStyle w:val="IndexLink"/>
                <w:rtl w:val="true"/>
              </w:rPr>
              <w:t>»</w:t>
              <w:tab/>
            </w:r>
            <w:r>
              <w:rPr>
                <w:rStyle w:val="IndexLink"/>
              </w:rPr>
              <w:t>187</w:t>
            </w:r>
          </w:hyperlink>
        </w:p>
        <w:p>
          <w:pPr>
            <w:pStyle w:val="Contents4"/>
            <w:tabs>
              <w:tab w:val="clear" w:pos="8176"/>
              <w:tab w:val="right" w:pos="9026" w:leader="dot"/>
            </w:tabs>
            <w:rPr/>
          </w:pPr>
          <w:hyperlink w:anchor="__RefHeading___Toc1717437_2035185390">
            <w:r>
              <w:rPr>
                <w:webHidden/>
                <w:rStyle w:val="IndexLink"/>
                <w:rtl w:val="true"/>
              </w:rPr>
              <w:t xml:space="preserve">معنای اصطلاحی </w:t>
            </w:r>
            <w:r>
              <w:rPr>
                <w:rStyle w:val="IndexLink"/>
                <w:rtl w:val="true"/>
              </w:rPr>
              <w:t>«</w:t>
            </w:r>
            <w:r>
              <w:rPr>
                <w:rStyle w:val="IndexLink"/>
                <w:rtl w:val="true"/>
              </w:rPr>
              <w:t>تقیه</w:t>
            </w:r>
            <w:r>
              <w:rPr>
                <w:rStyle w:val="IndexLink"/>
                <w:rtl w:val="true"/>
              </w:rPr>
              <w:t>»</w:t>
              <w:tab/>
            </w:r>
            <w:r>
              <w:rPr>
                <w:rStyle w:val="IndexLink"/>
              </w:rPr>
              <w:t>188</w:t>
            </w:r>
          </w:hyperlink>
        </w:p>
        <w:p>
          <w:pPr>
            <w:pStyle w:val="Contents4"/>
            <w:tabs>
              <w:tab w:val="clear" w:pos="8176"/>
              <w:tab w:val="right" w:pos="9026" w:leader="dot"/>
            </w:tabs>
            <w:rPr/>
          </w:pPr>
          <w:hyperlink w:anchor="__RefHeading___Toc1717439_2035185390">
            <w:r>
              <w:rPr>
                <w:webHidden/>
                <w:rStyle w:val="IndexLink"/>
                <w:rtl w:val="true"/>
              </w:rPr>
              <w:t xml:space="preserve">نگرش و دیدگاه عالمان شیعه به سیاست </w:t>
            </w:r>
            <w:r>
              <w:rPr>
                <w:rStyle w:val="IndexLink"/>
                <w:rtl w:val="true"/>
              </w:rPr>
              <w:t>«</w:t>
            </w:r>
            <w:r>
              <w:rPr>
                <w:rStyle w:val="IndexLink"/>
                <w:rtl w:val="true"/>
              </w:rPr>
              <w:t>تقیه</w:t>
            </w:r>
            <w:r>
              <w:rPr>
                <w:rStyle w:val="IndexLink"/>
                <w:rtl w:val="true"/>
              </w:rPr>
              <w:t>»</w:t>
              <w:tab/>
            </w:r>
            <w:r>
              <w:rPr>
                <w:rStyle w:val="IndexLink"/>
              </w:rPr>
              <w:t>193</w:t>
            </w:r>
          </w:hyperlink>
        </w:p>
        <w:p>
          <w:pPr>
            <w:pStyle w:val="Contents4"/>
            <w:tabs>
              <w:tab w:val="clear" w:pos="8176"/>
              <w:tab w:val="right" w:pos="9026" w:leader="dot"/>
            </w:tabs>
            <w:rPr/>
          </w:pPr>
          <w:hyperlink w:anchor="__RefHeading___Toc1717441_2035185390">
            <w:r>
              <w:rPr>
                <w:webHidden/>
                <w:rStyle w:val="IndexLink"/>
                <w:rtl w:val="true"/>
              </w:rPr>
              <w:t>«</w:t>
            </w:r>
            <w:r>
              <w:rPr>
                <w:rStyle w:val="IndexLink"/>
                <w:rtl w:val="true"/>
              </w:rPr>
              <w:t>تقیه</w:t>
            </w:r>
            <w:r>
              <w:rPr>
                <w:rStyle w:val="IndexLink"/>
                <w:rtl w:val="true"/>
              </w:rPr>
              <w:t>»</w:t>
            </w:r>
            <w:r>
              <w:rPr>
                <w:rStyle w:val="IndexLink"/>
                <w:rtl w:val="true"/>
              </w:rPr>
              <w:t>؛ ایدئولوژی رایج شیعه در عصر غیبت</w:t>
            </w:r>
            <w:r>
              <w:rPr>
                <w:rStyle w:val="IndexLink"/>
                <w:rtl w:val="true"/>
              </w:rPr>
              <w:tab/>
            </w:r>
            <w:r>
              <w:rPr>
                <w:rStyle w:val="IndexLink"/>
              </w:rPr>
              <w:t>194</w:t>
            </w:r>
          </w:hyperlink>
        </w:p>
        <w:p>
          <w:pPr>
            <w:pStyle w:val="Contents2"/>
            <w:tabs>
              <w:tab w:val="clear" w:pos="8743"/>
              <w:tab w:val="right" w:pos="9026" w:leader="dot"/>
            </w:tabs>
            <w:rPr/>
          </w:pPr>
          <w:hyperlink w:anchor="__RefHeading___Toc1717443_2035185390">
            <w:r>
              <w:rPr>
                <w:webHidden/>
                <w:rStyle w:val="IndexLink"/>
                <w:rtl w:val="true"/>
              </w:rPr>
              <w:t>بخش چهارم</w:t>
            </w:r>
            <w:r>
              <w:rPr>
                <w:rStyle w:val="IndexLink"/>
                <w:rtl w:val="true"/>
              </w:rPr>
              <w:t xml:space="preserve">: </w:t>
            </w:r>
            <w:r>
              <w:rPr>
                <w:rStyle w:val="IndexLink"/>
                <w:rtl w:val="true"/>
              </w:rPr>
              <w:t>رابطه معنا و زمینه در اندیشه سیاسی علمای امامیه</w:t>
            </w:r>
            <w:r>
              <w:rPr>
                <w:rStyle w:val="IndexLink"/>
                <w:rtl w:val="true"/>
              </w:rPr>
              <w:tab/>
            </w:r>
            <w:r>
              <w:rPr>
                <w:rStyle w:val="IndexLink"/>
              </w:rPr>
              <w:t>202</w:t>
            </w:r>
          </w:hyperlink>
        </w:p>
        <w:p>
          <w:pPr>
            <w:pStyle w:val="Contents3"/>
            <w:tabs>
              <w:tab w:val="clear" w:pos="8459"/>
              <w:tab w:val="right" w:pos="9026" w:leader="dot"/>
            </w:tabs>
            <w:rPr/>
          </w:pPr>
          <w:hyperlink w:anchor="__RefHeading___Toc1717445_203518539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717447_2035185390">
            <w:r>
              <w:rPr>
                <w:webHidden/>
                <w:rStyle w:val="IndexLink"/>
                <w:rtl w:val="true"/>
              </w:rPr>
              <w:t>فصل نخست</w:t>
            </w:r>
            <w:r>
              <w:rPr>
                <w:rStyle w:val="IndexLink"/>
                <w:rtl w:val="true"/>
              </w:rPr>
              <w:t xml:space="preserve">: </w:t>
            </w:r>
            <w:r>
              <w:rPr>
                <w:rStyle w:val="IndexLink"/>
                <w:rtl w:val="true"/>
              </w:rPr>
              <w:t>منشأ مشروعیت حکومت و ماهیت آن</w:t>
            </w:r>
            <w:r>
              <w:rPr>
                <w:rStyle w:val="IndexLink"/>
                <w:rtl w:val="true"/>
              </w:rPr>
              <w:tab/>
            </w:r>
            <w:r>
              <w:rPr>
                <w:rStyle w:val="IndexLink"/>
              </w:rPr>
              <w:t>203</w:t>
            </w:r>
          </w:hyperlink>
        </w:p>
        <w:p>
          <w:pPr>
            <w:pStyle w:val="Contents4"/>
            <w:tabs>
              <w:tab w:val="clear" w:pos="8176"/>
              <w:tab w:val="right" w:pos="9026" w:leader="dot"/>
            </w:tabs>
            <w:rPr/>
          </w:pPr>
          <w:hyperlink w:anchor="__RefHeading___Toc1717449_203518539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717451_2035185390">
            <w:r>
              <w:rPr>
                <w:webHidden/>
                <w:rStyle w:val="IndexLink"/>
                <w:rtl w:val="true"/>
              </w:rPr>
              <w:t>منشأ مشروعیت حکومت</w:t>
            </w:r>
            <w:r>
              <w:rPr>
                <w:rStyle w:val="IndexLink"/>
                <w:rtl w:val="true"/>
              </w:rPr>
              <w:tab/>
            </w:r>
            <w:r>
              <w:rPr>
                <w:rStyle w:val="IndexLink"/>
              </w:rPr>
              <w:t>204</w:t>
            </w:r>
          </w:hyperlink>
        </w:p>
        <w:p>
          <w:pPr>
            <w:pStyle w:val="Contents4"/>
            <w:tabs>
              <w:tab w:val="clear" w:pos="8176"/>
              <w:tab w:val="right" w:pos="9026" w:leader="dot"/>
            </w:tabs>
            <w:rPr/>
          </w:pPr>
          <w:hyperlink w:anchor="__RefHeading___Toc1717453_2035185390">
            <w:r>
              <w:rPr>
                <w:webHidden/>
                <w:rStyle w:val="IndexLink"/>
                <w:rtl w:val="true"/>
              </w:rPr>
              <w:t>ماهیت حکومت در اسلام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717455_2035185390">
            <w:r>
              <w:rPr>
                <w:webHidden/>
                <w:rStyle w:val="IndexLink"/>
                <w:rtl w:val="true"/>
              </w:rPr>
              <w:t>حکومت و علمای امامیه</w:t>
            </w:r>
            <w:r>
              <w:rPr>
                <w:rStyle w:val="IndexLink"/>
                <w:rtl w:val="true"/>
              </w:rPr>
              <w:tab/>
            </w:r>
            <w:r>
              <w:rPr>
                <w:rStyle w:val="IndexLink"/>
              </w:rPr>
              <w:t>210</w:t>
            </w:r>
          </w:hyperlink>
        </w:p>
        <w:p>
          <w:pPr>
            <w:pStyle w:val="Contents4"/>
            <w:tabs>
              <w:tab w:val="clear" w:pos="8176"/>
              <w:tab w:val="right" w:pos="9026" w:leader="dot"/>
            </w:tabs>
            <w:rPr/>
          </w:pPr>
          <w:hyperlink w:anchor="__RefHeading___Toc1717457_2035185390">
            <w:r>
              <w:rPr>
                <w:webHidden/>
                <w:rStyle w:val="IndexLink"/>
                <w:rtl w:val="true"/>
              </w:rPr>
              <w:t>وظایف امام در شرایط ظهور</w:t>
            </w:r>
            <w:r>
              <w:rPr>
                <w:rStyle w:val="IndexLink"/>
                <w:rtl w:val="true"/>
              </w:rPr>
              <w:tab/>
            </w:r>
            <w:r>
              <w:rPr>
                <w:rStyle w:val="IndexLink"/>
              </w:rPr>
              <w:t>211</w:t>
            </w:r>
          </w:hyperlink>
        </w:p>
        <w:p>
          <w:pPr>
            <w:pStyle w:val="Contents4"/>
            <w:tabs>
              <w:tab w:val="clear" w:pos="8176"/>
              <w:tab w:val="right" w:pos="9026" w:leader="dot"/>
            </w:tabs>
            <w:rPr/>
          </w:pPr>
          <w:hyperlink w:anchor="__RefHeading___Toc1717459_2035185390">
            <w:r>
              <w:rPr>
                <w:webHidden/>
                <w:rStyle w:val="IndexLink"/>
                <w:rtl w:val="true"/>
              </w:rPr>
              <w:t>همکاری با سلطان جائر، از تحریم تا جواز</w:t>
            </w:r>
            <w:r>
              <w:rPr>
                <w:rStyle w:val="IndexLink"/>
                <w:rtl w:val="true"/>
              </w:rPr>
              <w:tab/>
            </w:r>
            <w:r>
              <w:rPr>
                <w:rStyle w:val="IndexLink"/>
              </w:rPr>
              <w:t>219</w:t>
            </w:r>
          </w:hyperlink>
        </w:p>
        <w:p>
          <w:pPr>
            <w:pStyle w:val="Contents4"/>
            <w:tabs>
              <w:tab w:val="clear" w:pos="8176"/>
              <w:tab w:val="right" w:pos="9026" w:leader="dot"/>
            </w:tabs>
            <w:rPr/>
          </w:pPr>
          <w:hyperlink w:anchor="__RefHeading___Toc1717461_2035185390">
            <w:r>
              <w:rPr>
                <w:webHidden/>
                <w:rStyle w:val="IndexLink"/>
                <w:rtl w:val="true"/>
              </w:rPr>
              <w:t>نتیجه</w:t>
            </w:r>
            <w:r>
              <w:rPr>
                <w:rStyle w:val="IndexLink"/>
                <w:rtl w:val="true"/>
              </w:rPr>
              <w:tab/>
            </w:r>
            <w:r>
              <w:rPr>
                <w:rStyle w:val="IndexLink"/>
              </w:rPr>
              <w:t>224</w:t>
            </w:r>
          </w:hyperlink>
        </w:p>
        <w:p>
          <w:pPr>
            <w:pStyle w:val="Contents4"/>
            <w:tabs>
              <w:tab w:val="clear" w:pos="8176"/>
              <w:tab w:val="right" w:pos="9026" w:leader="dot"/>
            </w:tabs>
            <w:rPr/>
          </w:pPr>
          <w:hyperlink w:anchor="__RefHeading___Toc1717463_2035185390">
            <w:r>
              <w:rPr>
                <w:webHidden/>
                <w:rStyle w:val="IndexLink"/>
                <w:rtl w:val="true"/>
              </w:rPr>
              <w:t>سؤال</w:t>
            </w:r>
            <w:r>
              <w:rPr>
                <w:rStyle w:val="IndexLink"/>
                <w:rtl w:val="true"/>
              </w:rPr>
              <w:tab/>
            </w:r>
            <w:r>
              <w:rPr>
                <w:rStyle w:val="IndexLink"/>
              </w:rPr>
              <w:t>224</w:t>
            </w:r>
          </w:hyperlink>
        </w:p>
        <w:p>
          <w:pPr>
            <w:pStyle w:val="Contents4"/>
            <w:tabs>
              <w:tab w:val="clear" w:pos="8176"/>
              <w:tab w:val="right" w:pos="9026" w:leader="dot"/>
            </w:tabs>
            <w:rPr/>
          </w:pPr>
          <w:hyperlink w:anchor="__RefHeading___Toc1717465_2035185390">
            <w:r>
              <w:rPr>
                <w:webHidden/>
                <w:rStyle w:val="IndexLink"/>
                <w:rtl w:val="true"/>
              </w:rPr>
              <w:t>اصول ارتباط با سلطان جائر</w:t>
            </w:r>
            <w:r>
              <w:rPr>
                <w:rStyle w:val="IndexLink"/>
                <w:rtl w:val="true"/>
              </w:rPr>
              <w:tab/>
            </w:r>
            <w:r>
              <w:rPr>
                <w:rStyle w:val="IndexLink"/>
              </w:rPr>
              <w:t>226</w:t>
            </w:r>
          </w:hyperlink>
        </w:p>
        <w:p>
          <w:pPr>
            <w:pStyle w:val="Contents4"/>
            <w:tabs>
              <w:tab w:val="clear" w:pos="8176"/>
              <w:tab w:val="right" w:pos="9026" w:leader="dot"/>
            </w:tabs>
            <w:rPr/>
          </w:pPr>
          <w:hyperlink w:anchor="__RefHeading___Toc1717467_2035185390">
            <w:r>
              <w:rPr>
                <w:webHidden/>
                <w:rStyle w:val="IndexLink"/>
                <w:rtl w:val="true"/>
              </w:rPr>
              <w:t>چگونگی همکاری با سلطان جائر</w:t>
            </w:r>
            <w:r>
              <w:rPr>
                <w:rStyle w:val="IndexLink"/>
                <w:rtl w:val="true"/>
              </w:rPr>
              <w:tab/>
            </w:r>
            <w:r>
              <w:rPr>
                <w:rStyle w:val="IndexLink"/>
              </w:rPr>
              <w:t>230</w:t>
            </w:r>
          </w:hyperlink>
        </w:p>
        <w:p>
          <w:pPr>
            <w:pStyle w:val="Contents4"/>
            <w:tabs>
              <w:tab w:val="clear" w:pos="8176"/>
              <w:tab w:val="right" w:pos="9026" w:leader="dot"/>
            </w:tabs>
            <w:rPr/>
          </w:pPr>
          <w:hyperlink w:anchor="__RefHeading___Toc1717469_2035185390">
            <w:r>
              <w:rPr>
                <w:webHidden/>
                <w:rStyle w:val="IndexLink"/>
                <w:rtl w:val="true"/>
              </w:rPr>
              <w:t>راه حل شیخ طوسی برای رفع چالش‌ها</w:t>
            </w:r>
            <w:r>
              <w:rPr>
                <w:rStyle w:val="IndexLink"/>
                <w:rtl w:val="true"/>
              </w:rPr>
              <w:tab/>
            </w:r>
            <w:r>
              <w:rPr>
                <w:rStyle w:val="IndexLink"/>
              </w:rPr>
              <w:t>232</w:t>
            </w:r>
          </w:hyperlink>
        </w:p>
        <w:p>
          <w:pPr>
            <w:pStyle w:val="Contents3"/>
            <w:tabs>
              <w:tab w:val="clear" w:pos="8459"/>
              <w:tab w:val="right" w:pos="9026" w:leader="dot"/>
            </w:tabs>
            <w:rPr/>
          </w:pPr>
          <w:hyperlink w:anchor="__RefHeading___Toc1717471_2035185390">
            <w:r>
              <w:rPr>
                <w:webHidden/>
                <w:rStyle w:val="IndexLink"/>
                <w:rtl w:val="true"/>
              </w:rPr>
              <w:t>فصل دوم</w:t>
            </w:r>
            <w:r>
              <w:rPr>
                <w:rStyle w:val="IndexLink"/>
                <w:rtl w:val="true"/>
              </w:rPr>
              <w:t xml:space="preserve">: </w:t>
            </w:r>
            <w:r>
              <w:rPr>
                <w:rStyle w:val="IndexLink"/>
                <w:rtl w:val="true"/>
              </w:rPr>
              <w:t>سیر تحول احکام حکومتی در عصر غیبت</w:t>
            </w:r>
            <w:r>
              <w:rPr>
                <w:rStyle w:val="IndexLink"/>
                <w:rtl w:val="true"/>
              </w:rPr>
              <w:tab/>
            </w:r>
            <w:r>
              <w:rPr>
                <w:rStyle w:val="IndexLink"/>
              </w:rPr>
              <w:t>238</w:t>
            </w:r>
          </w:hyperlink>
        </w:p>
        <w:p>
          <w:pPr>
            <w:pStyle w:val="Contents4"/>
            <w:tabs>
              <w:tab w:val="clear" w:pos="8176"/>
              <w:tab w:val="right" w:pos="9026" w:leader="dot"/>
            </w:tabs>
            <w:rPr/>
          </w:pPr>
          <w:hyperlink w:anchor="__RefHeading___Toc1717473_203518539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717475_2035185390">
            <w:r>
              <w:rPr>
                <w:webHidden/>
                <w:rStyle w:val="IndexLink"/>
                <w:rtl w:val="true"/>
              </w:rPr>
              <w:t>امر به معروف و نهی از منکر</w:t>
            </w:r>
            <w:r>
              <w:rPr>
                <w:rStyle w:val="IndexLink"/>
                <w:rtl w:val="true"/>
              </w:rPr>
              <w:tab/>
            </w:r>
            <w:r>
              <w:rPr>
                <w:rStyle w:val="IndexLink"/>
              </w:rPr>
              <w:t>239</w:t>
            </w:r>
          </w:hyperlink>
        </w:p>
        <w:p>
          <w:pPr>
            <w:pStyle w:val="Contents4"/>
            <w:tabs>
              <w:tab w:val="clear" w:pos="8176"/>
              <w:tab w:val="right" w:pos="9026" w:leader="dot"/>
            </w:tabs>
            <w:rPr/>
          </w:pPr>
          <w:hyperlink w:anchor="__RefHeading___Toc1717477_2035185390">
            <w:r>
              <w:rPr>
                <w:webHidden/>
                <w:rStyle w:val="IndexLink"/>
                <w:rtl w:val="true"/>
              </w:rPr>
              <w:t>اقامه حدود</w:t>
            </w:r>
            <w:r>
              <w:rPr>
                <w:rStyle w:val="IndexLink"/>
                <w:rtl w:val="true"/>
              </w:rPr>
              <w:tab/>
            </w:r>
            <w:r>
              <w:rPr>
                <w:rStyle w:val="IndexLink"/>
              </w:rPr>
              <w:t>246</w:t>
            </w:r>
          </w:hyperlink>
        </w:p>
        <w:p>
          <w:pPr>
            <w:pStyle w:val="Contents4"/>
            <w:tabs>
              <w:tab w:val="clear" w:pos="8176"/>
              <w:tab w:val="right" w:pos="9026" w:leader="dot"/>
            </w:tabs>
            <w:rPr/>
          </w:pPr>
          <w:hyperlink w:anchor="__RefHeading___Toc1717479_2035185390">
            <w:r>
              <w:rPr>
                <w:webHidden/>
                <w:rStyle w:val="IndexLink"/>
                <w:rtl w:val="true"/>
              </w:rPr>
              <w:t>نماز جمعه</w:t>
            </w:r>
            <w:r>
              <w:rPr>
                <w:rStyle w:val="IndexLink"/>
                <w:rtl w:val="true"/>
              </w:rPr>
              <w:tab/>
            </w:r>
            <w:r>
              <w:rPr>
                <w:rStyle w:val="IndexLink"/>
              </w:rPr>
              <w:t>253</w:t>
            </w:r>
          </w:hyperlink>
        </w:p>
        <w:p>
          <w:pPr>
            <w:pStyle w:val="Contents4"/>
            <w:tabs>
              <w:tab w:val="clear" w:pos="8176"/>
              <w:tab w:val="right" w:pos="9026" w:leader="dot"/>
            </w:tabs>
            <w:rPr/>
          </w:pPr>
          <w:hyperlink w:anchor="__RefHeading___Toc1717481_2035185390">
            <w:r>
              <w:rPr>
                <w:webHidden/>
                <w:rStyle w:val="IndexLink"/>
                <w:rtl w:val="true"/>
              </w:rPr>
              <w:t>خمس و زکات</w:t>
            </w:r>
            <w:r>
              <w:rPr>
                <w:rStyle w:val="IndexLink"/>
                <w:rtl w:val="true"/>
              </w:rPr>
              <w:tab/>
            </w:r>
            <w:r>
              <w:rPr>
                <w:rStyle w:val="IndexLink"/>
              </w:rPr>
              <w:t>262</w:t>
            </w:r>
          </w:hyperlink>
        </w:p>
        <w:p>
          <w:pPr>
            <w:pStyle w:val="Contents4"/>
            <w:tabs>
              <w:tab w:val="clear" w:pos="8176"/>
              <w:tab w:val="right" w:pos="9026" w:leader="dot"/>
            </w:tabs>
            <w:rPr/>
          </w:pPr>
          <w:hyperlink w:anchor="__RefHeading___Toc1717483_2035185390">
            <w:r>
              <w:rPr>
                <w:webHidden/>
                <w:rStyle w:val="IndexLink"/>
                <w:rtl w:val="true"/>
              </w:rPr>
              <w:t>قضاوت</w:t>
            </w:r>
            <w:r>
              <w:rPr>
                <w:rStyle w:val="IndexLink"/>
                <w:rtl w:val="true"/>
              </w:rPr>
              <w:tab/>
            </w:r>
            <w:r>
              <w:rPr>
                <w:rStyle w:val="IndexLink"/>
              </w:rPr>
              <w:t>269</w:t>
            </w:r>
          </w:hyperlink>
        </w:p>
        <w:p>
          <w:pPr>
            <w:pStyle w:val="Contents4"/>
            <w:tabs>
              <w:tab w:val="clear" w:pos="8176"/>
              <w:tab w:val="right" w:pos="9026" w:leader="dot"/>
            </w:tabs>
            <w:rPr/>
          </w:pPr>
          <w:hyperlink w:anchor="__RefHeading___Toc1717485_2035185390">
            <w:r>
              <w:rPr>
                <w:webHidden/>
                <w:rStyle w:val="IndexLink"/>
                <w:rtl w:val="true"/>
              </w:rPr>
              <w:t>نتیجه‌گیری</w:t>
            </w:r>
            <w:r>
              <w:rPr>
                <w:rStyle w:val="IndexLink"/>
                <w:rtl w:val="true"/>
              </w:rPr>
              <w:tab/>
            </w:r>
            <w:r>
              <w:rPr>
                <w:rStyle w:val="IndexLink"/>
              </w:rPr>
              <w:t>277</w:t>
            </w:r>
          </w:hyperlink>
        </w:p>
        <w:p>
          <w:pPr>
            <w:pStyle w:val="Contents4"/>
            <w:tabs>
              <w:tab w:val="clear" w:pos="8176"/>
              <w:tab w:val="right" w:pos="9026" w:leader="dot"/>
            </w:tabs>
            <w:rPr/>
          </w:pPr>
          <w:hyperlink w:anchor="__RefHeading___Toc1717487_2035185390">
            <w:r>
              <w:rPr>
                <w:webHidden/>
                <w:rStyle w:val="IndexLink"/>
                <w:rtl w:val="true"/>
              </w:rPr>
              <w:t>نخست</w:t>
            </w:r>
            <w:r>
              <w:rPr>
                <w:rStyle w:val="IndexLink"/>
                <w:rtl w:val="true"/>
              </w:rPr>
              <w:t xml:space="preserve">: </w:t>
            </w:r>
            <w:r>
              <w:rPr>
                <w:rStyle w:val="IndexLink"/>
                <w:rtl w:val="true"/>
              </w:rPr>
              <w:t>پیامدهای آن بر اندیشه سیاسی شیعیان</w:t>
            </w:r>
            <w:r>
              <w:rPr>
                <w:rStyle w:val="IndexLink"/>
                <w:rtl w:val="true"/>
              </w:rPr>
              <w:tab/>
            </w:r>
            <w:r>
              <w:rPr>
                <w:rStyle w:val="IndexLink"/>
              </w:rPr>
              <w:t>280</w:t>
            </w:r>
          </w:hyperlink>
        </w:p>
        <w:p>
          <w:pPr>
            <w:pStyle w:val="Contents4"/>
            <w:tabs>
              <w:tab w:val="clear" w:pos="8176"/>
              <w:tab w:val="right" w:pos="9026" w:leader="dot"/>
            </w:tabs>
            <w:rPr/>
          </w:pPr>
          <w:hyperlink w:anchor="__RefHeading___Toc1717489_2035185390">
            <w:r>
              <w:rPr>
                <w:webHidden/>
                <w:rStyle w:val="IndexLink"/>
                <w:rtl w:val="true"/>
              </w:rPr>
              <w:t>دوم</w:t>
            </w:r>
            <w:r>
              <w:rPr>
                <w:rStyle w:val="IndexLink"/>
                <w:rtl w:val="true"/>
              </w:rPr>
              <w:t xml:space="preserve">: </w:t>
            </w:r>
            <w:r>
              <w:rPr>
                <w:rStyle w:val="IndexLink"/>
                <w:rtl w:val="true"/>
              </w:rPr>
              <w:t xml:space="preserve">تأثیرات سیاسی </w:t>
            </w:r>
            <w:r>
              <w:rPr>
                <w:rStyle w:val="IndexLink"/>
                <w:rtl w:val="true"/>
              </w:rPr>
              <w:t xml:space="preserve">- </w:t>
            </w:r>
            <w:r>
              <w:rPr>
                <w:rStyle w:val="IndexLink"/>
                <w:rtl w:val="true"/>
              </w:rPr>
              <w:t>اجتماعی دو تفکر فوق الذکر</w:t>
            </w:r>
            <w:r>
              <w:rPr>
                <w:rStyle w:val="IndexLink"/>
                <w:rtl w:val="true"/>
              </w:rPr>
              <w:t>:</w:t>
              <w:tab/>
            </w:r>
            <w:r>
              <w:rPr>
                <w:rStyle w:val="IndexLink"/>
              </w:rPr>
              <w:t>281</w:t>
            </w:r>
          </w:hyperlink>
        </w:p>
        <w:p>
          <w:pPr>
            <w:pStyle w:val="Contents2"/>
            <w:tabs>
              <w:tab w:val="clear" w:pos="8743"/>
              <w:tab w:val="right" w:pos="9026" w:leader="dot"/>
            </w:tabs>
            <w:rPr/>
          </w:pPr>
          <w:hyperlink w:anchor="__RefHeading___Toc1717491_2035185390">
            <w:r>
              <w:rPr>
                <w:webHidden/>
                <w:rStyle w:val="IndexLink"/>
                <w:rtl w:val="true"/>
              </w:rPr>
              <w:t>فهرست منابع</w:t>
            </w:r>
            <w:r>
              <w:rPr>
                <w:rStyle w:val="IndexLink"/>
                <w:rtl w:val="true"/>
              </w:rPr>
              <w:tab/>
            </w:r>
            <w:r>
              <w:rPr>
                <w:rStyle w:val="IndexLink"/>
              </w:rPr>
              <w:t>283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0_43995"/>
      <w:bookmarkStart w:id="1" w:name="pg4760_43995"/>
      <w:bookmarkEnd w:id="1"/>
    </w:p>
    <w:p>
      <w:pPr>
        <w:pStyle w:val="Heading2"/>
        <w:numPr>
          <w:ilvl w:val="1"/>
          <w:numId w:val="1"/>
        </w:numPr>
        <w:rPr/>
      </w:pPr>
      <w:bookmarkStart w:id="2" w:name="pg4760_43995"/>
      <w:bookmarkStart w:id="3" w:name="__RefHeading___Toc171729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زینب،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رفتار و اندیشه سیاسی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کبرا تا حمله ی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ابراهیمی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۲۴۰۴۳۳۰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7299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رفتار و اندیشه علمای امامیه</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زینب ابراهیمی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بخشیزاده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احسانی تیرگر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4740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 پلاک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شیعه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دارد</w:t>
      </w:r>
      <w:bookmarkStart w:id="7" w:name="pg4760_43999"/>
    </w:p>
    <w:p>
      <w:pPr>
        <w:pStyle w:val="Heading2"/>
        <w:numPr>
          <w:ilvl w:val="1"/>
          <w:numId w:val="1"/>
        </w:numPr>
        <w:rPr/>
      </w:pPr>
      <w:bookmarkStart w:id="8" w:name="__RefHeading___Toc1717301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فهم شرایط زمانی و مکانی عصر غیبت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منابع مورد استفاده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توضیح برخی واژه‌های کلیدی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گفتاری در باب روش</w:t>
      </w:r>
    </w:p>
    <w:p>
      <w:pPr>
        <w:pStyle w:val="BookText"/>
        <w:rPr/>
      </w:pPr>
      <w:r>
        <w:rPr>
          <w:rFonts w:ascii="IRNazanin" w:hAnsi="IRNazanin" w:eastAsia="IRNazanin"/>
          <w:color w:val="111111"/>
          <w:sz w:val="28"/>
          <w:sz w:val="28"/>
          <w:szCs w:val="28"/>
          <w:rtl w:val="true"/>
          <w:lang w:bidi="fa-IR"/>
        </w:rPr>
        <w:t xml:space="preserve">هرمنوتیک و جایگاه آن در مباحث روش‌شناسی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نحله‌های هرمنوتیک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رابطه‌ی زبان و هرمنوتیک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عنوان ابزار و وسیله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عنوان هدف و مقصود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قصدگرا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محیط فکری و فرهنگی در هرمنوتیک قصدگرا؛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مراحل روش‌شناسی اسکینر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مرحله‌ی نخست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نتیجه مرحله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مرحله‌ی دوم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انواع تأثیر در ایدئولوژی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سرکوب کنندگی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تولیدکنندگی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ابعاد محدودیت هنجارهای مرسوم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ایدئولوژیک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سیاسی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آموزه‌ی لوتر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مرحله‌ی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زمینه‌های عملی، محیطی، سیاسی و اجتماعی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فرهنگی، سیاسی و اجتماعی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کبرا تا حمله مغول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زمینه‌های فرهنگی، سیاسی و اجتماعی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کبرا تا حمله مغول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سیاسی، فرهنگی و اجتماعی شیعیان در دوره غزنویان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سیاسی اجتماعی شیعیان در دوره سلجوقیان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زمینه‌های سیاسی شیعیان در دوره سلجوقیان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وضعیت سیاسی شیعیان در دوره خوارزمشاهیان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غیبت کبرا بر حدود اختیارات فقها و نیابت عام و نهاد وکالت خاص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تأثیر غیبت کبرا بر حدود اختیارات فقها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سیر تاریخی نهاد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حضور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نقش نهاد وکالت در سازمان‌دهی اجتماعی امامیه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ایدئولوژی‌های رایج عصر غیبت و رابطه‌ی آن با رفتار سیاسی علما</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جریانهای فقهی شیعه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شکل‌گیری نظریه امامت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نظریه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نگرش و دیدگاه عالمان شیعه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ایدئولوژی رایج شیعه در عصر غیبت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رابطه معنا و زمینه در اندیشه سیاسی علمای امامیه</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مشروعیت حکومت و ماهیت آن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منشأ مشروعیت حکومت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ماهیت حکومت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حکومت و علمای امامیه </w:t>
      </w:r>
      <w:r>
        <w:rPr>
          <w:rFonts w:eastAsia="IRNazanin" w:cs="IRNazanin"/>
          <w:color w:val="111111"/>
          <w:sz w:val="28"/>
          <w:szCs w:val="28"/>
          <w:lang w:bidi="fa-IR"/>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امام در شرایط ظهور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همکاری با سلطان جائر، از تحریم تا جواز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اصول ارتباط با سلطان جائر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چگونگی همکاری با سلطان جائر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راه حل شیخ طوسی برای رفع چالش‌ها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تحول احکام حکومتی در عصر غیبت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اقامه حدود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آن بر اندیشه سیاسی شیعیان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 تفکر فوق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299</w:t>
      </w:r>
      <w:bookmarkStart w:id="10" w:name="pg4760_44005"/>
    </w:p>
    <w:p>
      <w:pPr>
        <w:pStyle w:val="Heading2"/>
        <w:numPr>
          <w:ilvl w:val="1"/>
          <w:numId w:val="1"/>
        </w:numPr>
        <w:rPr/>
      </w:pPr>
      <w:bookmarkStart w:id="11" w:name="__RefHeading___Toc1717303_20351853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 الله علیه بمعرفة اهل بیتی و ولایتهم فقد جمع الله له الخیر کله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بر او منت گذاشته تا معرفت و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عنایت کند، تمام خوبی‌ها را برای او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رفتار و اندیشه سیاسی علمای امامیه،</w:t>
      </w:r>
      <w:r>
        <w:rPr>
          <w:rStyle w:val="FootnoteAnchor"/>
          <w:rtl w:val="true"/>
        </w:rPr>
        <w:footnoteReference w:id="3"/>
      </w:r>
      <w:r>
        <w:rPr>
          <w:rFonts w:ascii="IRNazanin" w:hAnsi="IRNazanin" w:eastAsia="IRNazanin"/>
          <w:color w:val="111111"/>
          <w:sz w:val="28"/>
          <w:sz w:val="28"/>
          <w:szCs w:val="28"/>
          <w:rtl w:val="true"/>
          <w:lang w:bidi="fa-IR"/>
        </w:rPr>
        <w:t>برگرفته از آیات قرآن کریم و سیره و سخنان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تفسیری و احادیث شیعی نقش و اهمیت عظیمی را در تکوین فکر و اندیشه علمای تشیع در دوران غیبت کبری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عالمان مکتب تشیع، با تفسیر و تبیین سخنان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استخراج آموزه‌های اسلام و معارف ناب آن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آموزه‌های اسلامی و تدوین سیرة عملی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الگو و راهگشای امت اسلام در عمل به شریعت و انجام عبادات و تکالیف شرعی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هم در علوم مختلف باطنی و هم در علوم مربوط به مشکلات دنیوی، از زندگی روزمره گرفته تا عمق حقیقت مسائل پیچیده فردی و اجتماعی، همه را علمای امامیه استنباط و در اختیار امت اسلام بخصوص پیروان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فکری و اندیشه علمای امامیه در تمامی جهات نظام هستی اعم از نظام عبادی، اخلاقی و تربیتی، بهداشتی و غذایی، ورزشی و تفریحی، لباس و مسکن، نظام حقوقی و قضایی، تجاری و اقتصادی، فرهنگی و دینی، سیاسی و حکومتی، فردی و اجتماعی، آموزشی و پرورشی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آنها برنامه و الگویی عملی و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برنامه و الگویی که بر اساس نگرش اسلامی، جایگاه و منزلت هر کدام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پس از غیبت کبرای امام زمان، از اصول، ارزشها و احکام دین اسلامی پاسداری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تفقه در دین به استنباط احکام شرعی پرداخته، برخی دیگر با ابزارهای عقلانی و استدلالی، فلسفی، کلامی و جدلی و گروهی نیز با ایفای نقش در عرصة تبلیغ دین، احکام نورانی مکتب را در نسلهای مختلف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مقابل بدعتها و خرافات مبارزه با کفر و طاغوت را سر لوحة وظایف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با نشر و گسترش علم و فرهنگ به حفظ و حراست از علوم قران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عقلی و نقلی و تألیف کتب در موضوعات مختلف و تأسیس کتابخانه‌ها پرداخته و و از این طریق پاسبان و مدافع اسلام ناب محمدی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علمای امامیه در حفظ و انتقال فرهنگ الاهی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کلیدی بوده که همواره آن را حفظ و به نسلهای بعدی منتقل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در مبانی فکری و اندیشه سیاسی علمای امامیه نیز پیوسته، ارزشهای اصیل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اندیشه علمای شیعه از جایگاه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عصر غیبت با قدرت معنوی حاصل از سیر و سلوک الاهی با تقویت دین محوری، دین مداری معنویت جامعه شیعی را تقویت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شالوده فرهنگ و تمدن شیعه اعم از فقه، کلام، تفسیر، فلسفه، عرفان، سیاست و حکومت و در حقیقت همه معارف شیعی حتی علوم طبیعی و تجربی، با الهام از دیدگاه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راهبرد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اندیشه علمای امامیه در عصر غیبت برای هویت دهی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انسجام بخشی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چهار</w:t>
      </w:r>
    </w:p>
    <w:p>
      <w:pPr>
        <w:pStyle w:val="BookText"/>
        <w:rPr/>
      </w:pPr>
      <w:r>
        <w:rPr>
          <w:rFonts w:ascii="IRNazanin" w:hAnsi="IRNazanin" w:eastAsia="IRNazanin"/>
          <w:color w:val="111111"/>
          <w:sz w:val="28"/>
          <w:sz w:val="28"/>
          <w:szCs w:val="28"/>
          <w:rtl w:val="true"/>
          <w:lang w:bidi="fa-IR"/>
        </w:rPr>
        <w:t>پایه و راهکار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استوار است که عبارتند 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به مقدسات و حقایق اسلامی اعم از تاریخی و اعتقادی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نمودن اهداف با عنایت به دور نمای مطلوب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ابزار و امکانات بالفعل و بالقوه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و ارائه نظام مهندسی علمی و دیدگاه برتر جهت رسیدن به بهترین شیوة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یک از این چهار راهکار اساسی را به اجمال و فهرست وار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مقدسات و حقایق اسلامی و طرد منحرفین پیوسته مهمترین راهبردهای فکری علمای امامیه بوده که برگرفته از مبانی فکری و علمی امامان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راهبردها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ربط وثیق و پیوندی مقدس میان مکتب تشیع و اصل رسالت الاهی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مثل شجرة أنا اصلها و علیٌ فرعها و الحسن والحسین ثمرتها و الشیعة ورقها فأبی أن یخرج من الطیب الاّ الطیّب</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مانند درختی است که خودم تنه آن هستم، علی شاخه آن است و حسن و حسین میوه آن بوده و شیعیان ما برگ‌های آن درخت می‌باشند، خداوند بنا ندارد که شاخه‌های پاکیزه را جز از ریشه‌های پاکیزه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ربط وثیق و وابستگی و انتساب شیعیان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فجبل طینة شیعتنا من نضج طینتنا فقلوبهم تحنّ الینا و قلوبنا تعطف علیهم تعطف الوالد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 خمیر مایه شیعه هما است که اهل بیت بدان منصوب هستند، به طوری که سرشت دلهای آنها به سوی ما کشش دارد و دل‌های ما بر آنها مهربان است مانند محبت پدر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علمای امامیه از ولایت و ولایت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مبانی فکری و اندیشه سیاسی علمای امامیه به تأسی از اهل بیت، برائت و بیزاری از جریانهای انحرافی و نفی انتساب به افکار التقاطی وغلو آمیز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 نمودن اهداف و انگیزه‌های مکتبی؛ تفکر راهبردی برای تحقق اهداف مورد نظر به بررسی تناسب میان امکان عقلی و امکان عینی در عمل پرداخته و به منظور مشخص نمودن</w:t>
      </w:r>
    </w:p>
    <w:p>
      <w:pPr>
        <w:pStyle w:val="BookText"/>
        <w:rPr/>
      </w:pPr>
      <w:r>
        <w:rPr>
          <w:rFonts w:ascii="IRNazanin" w:hAnsi="IRNazanin" w:eastAsia="IRNazanin"/>
          <w:color w:val="111111"/>
          <w:sz w:val="28"/>
          <w:sz w:val="28"/>
          <w:szCs w:val="28"/>
          <w:rtl w:val="true"/>
          <w:lang w:bidi="fa-IR"/>
        </w:rPr>
        <w:t>اهداف کوتاه مدت و بلند مدت، به ارائه راهبرد و راهکارهای لازم با تکیه بر اعتقادات و باورهایی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برای رسیدن به حکومت عادلانه و مدینه فاضلة مهدوی، هویت و انسجام بخشی به نگرش و آموزة اسلامی انتظار و ا همیت و ضرورت آن برای تداوم امامت از عصر غیبت تا عصر ظهور، نشان از مشخص نمودن هدف و انگیزه‌ای الاهی و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اهداف علمای امامیه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و تعهد مسلمین به دستورات و فرامین قرآن، سیره و سنت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تثبیت ایمان و عقیده در دل و جان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وابستگی و همبستگی میان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دینی اعم از موضوعات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گذاری آینده‌ای امیدوار، در پرتو انتظار فرج، کما انیکه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ابزار و امکانات بالفعل و بالقوه با عنایت به زمان و مکان استفاده از آنها ؛</w:t>
      </w:r>
    </w:p>
    <w:p>
      <w:pPr>
        <w:pStyle w:val="BookText"/>
        <w:rPr/>
      </w:pPr>
      <w:r>
        <w:rPr>
          <w:rFonts w:ascii="IRNazanin" w:hAnsi="IRNazanin" w:eastAsia="IRNazanin"/>
          <w:color w:val="111111"/>
          <w:sz w:val="28"/>
          <w:sz w:val="28"/>
          <w:szCs w:val="28"/>
          <w:rtl w:val="true"/>
          <w:lang w:bidi="fa-IR"/>
        </w:rPr>
        <w:t>برخی مبانی رفتار و اندیشه سیاسی علمای امامیه از جهت شناخت و استفاده از ابرازها و امکانات با هدف تقویت و انسجام جامعة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راهبردی از تقیه به عنوان مهمترین ابزار امنیتی در مقابل تهدیدات فرا روی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حضور در دستگاه حکومتی به منظور حمایت و پشتیبانی از شیعیان از یک طرف و از طرف دیگر کشف و افشای اهداف و دفع خطرات احتمالی دستگاه حکومتی برای شیعیان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و مجامع دینی و فرهنگی جهت استفاده صحیح و تحکیم و تقویت اصول و اعتقادات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امامیه با تقویت و تحکیم مساجد و محافل دینی پایگاه و جایگاهی عظیم برای فراگیری آموزه‌ها و احکام اسلامی و گسترش اندیشه سیاسی شیعه در جامعه پدید آوردند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موازنه و استنباط احکام شرعی مخصوص تکالیف مالی و حقوق شرعی واجب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بررسی آیات و روایات مربوط به زکات و خمس و نهادینه نمودن آن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و حوزه‌های علوم دینی که مهمترین اهداف آن تربیت مبلغ و همچنین مجتهدان و دانشمندانی در تمام زمینه‌های علوم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کلان علمای شیعه در رسیدن به اهداف اسلامی از سه طریق، عقلی، نقلی و فرهنگی کاربرد مؤثری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حوزه‌های علمیه بر سه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دین ؛ ابلاغ صحیح دین ؛و اجرای احکام اسلام، بر مبنای انجام و عمل صحیح دینی، پایه‌گذاری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حوزه‌ها ویژگی‌هایی داشته که به اختصار عبارتند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جاذبة معنوی و اخلاص و تقوای الاهی حاکم بر حوزه‌های علمیة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از مراکز قدرت اعم از مدیریتی، آموزشی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و متقابل مردم و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در مقابل تحصیل اقشار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محدودیت زمانی برای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آزادانه استاد و 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علمی و گسترة وسیع علوم حوزوی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فقه و اصول، علم درایه و رجال منطق، فلسفه، کلام، علوم قرآن و تفسیر، تاریخ، اخلاق و عرفان، ریاضیات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نظام مهندسی علمی و دیدگاه برتر جهت رسیدن به بهترین شیوة اجرای اسلام</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مطهرش که بنیان گذاران نظام فکر و اندیشه اصیل اسلامی هستند، جهت صیانت و استمرار از عظمت اسلام و مسلمین مواردی چند را توصیه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نظام مرجعیت دینی توسط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غیبت اصل ولایت فقیه عهده دار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نیابت عام فقهاء از سوی امام زمان آنجا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فرجعوا فیها الی رواة حدیثنا فإنهم حجتی علیکم و انا حجة الله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آنچه برای شما روی می‌دهد، به راویان احادیث ما مراجعه کنید، که آنان حجت من بر شما بوده و من حجت خدا بر آنان می‌باشم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 شایسته در اسوه بودن شیعیان به گونه‌ای که در رفتارهای فردی و اجتماعی</w:t>
      </w:r>
    </w:p>
    <w:p>
      <w:pPr>
        <w:pStyle w:val="BookText"/>
        <w:rPr/>
      </w:pPr>
      <w:r>
        <w:rPr>
          <w:rFonts w:ascii="IRNazanin" w:hAnsi="IRNazanin" w:eastAsia="IRNazanin"/>
          <w:color w:val="111111"/>
          <w:sz w:val="28"/>
          <w:sz w:val="28"/>
          <w:szCs w:val="28"/>
          <w:rtl w:val="true"/>
          <w:lang w:bidi="fa-IR"/>
        </w:rPr>
        <w:t>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اهل الورع و الاجتهاد و اهل الوفاء و الامانة و اهل الزهد و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القائمون باللُیل الصائمون بالنهار یزکّون اموالهم و یحجون البیت و یجتنبون کل محرّم</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پرهیزگاری و سخت کوشی، وفا و امانتداری، پارسایی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هر شبانه روز پنجاه و یک رکعت نماز می‌خوانند، آنان نمازگذاران شب و روزه داران روزند، شیعیان ما کسانی هستند که زکات اموال خود را پرداخته، حج خانه خدا را بجا آورده و از هر</w:t>
      </w:r>
    </w:p>
    <w:p>
      <w:pPr>
        <w:pStyle w:val="BookText"/>
        <w:rPr/>
      </w:pPr>
      <w:r>
        <w:rPr>
          <w:rFonts w:ascii="IRNazanin" w:hAnsi="IRNazanin" w:eastAsia="IRNazanin"/>
          <w:color w:val="111111"/>
          <w:sz w:val="28"/>
          <w:sz w:val="28"/>
          <w:szCs w:val="28"/>
          <w:rtl w:val="true"/>
          <w:lang w:bidi="fa-IR"/>
        </w:rPr>
        <w:t>حرامی دوری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دانش و توسعه علوم و فنون و حفظ و گسترش قرآن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همه جانبه برای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راهبردهای علمی و فرهنگی از جمله نخبه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عنایت به مطالب ذکر شده می‌توان ادعا نمود که مهمترین مبانی رفتار و اندیشه سیاسی علمای امامیه بر محورهای تقیه، انتظار و نیابت عام فقهای امامیه از سوی امام دوازدهم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کتاب گران سنگ و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رفتار و اندیشه سیاسی 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محقق توانمند، اندیشمند فرزانه، مؤلف محترمه سرکار خانم زینب ابراهیمی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بانویی که پژواک بافندگی فکر و تراوش خامة پاک وی همچون بانگ قلم‌های دانشمندان، در آسمان علم و معرفت عالمان شیعه، طنین انداز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ینفع الله بها الناس جزاها الله عن الاسلام اجراً و دامت توفیقاتها و السلام علیکم و علی جمیع اخواننا المؤمنین بولایة علی بن ابیطالب فی اقطار العالم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مجمع جهانی شیعه شناسی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760_44011"/>
    </w:p>
    <w:p>
      <w:pPr>
        <w:pStyle w:val="Heading2"/>
        <w:numPr>
          <w:ilvl w:val="1"/>
          <w:numId w:val="1"/>
        </w:numPr>
        <w:rPr/>
      </w:pPr>
      <w:bookmarkStart w:id="14" w:name="__RefHeading___Toc1717305_2035185390"/>
      <w:bookmarkStart w:id="15" w:name="_Toc5"/>
      <w:bookmarkEnd w:id="13"/>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غیبت کبرا جامعه امامیه را با بحرانهای عمیق و جدّی مواجه ساخت که مهمترین آن عدم دسترسی همگان به رهبری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حضور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رهنمودهای آنها حقیقت خالص و بیانگر واقع شریعت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اجتهاد و استدلالهای عقلانی و بشری در بستر مباحث دینی باقی نمی‌گذاشت، اما با وقوع غیبت کبرا، عقاید و اندیشه‌های دینی در تعامل با شرایط زمانی و مکانی و به اصطلاح دنیوی کوشید تا با تکیه بر میراث متون دینی پیش از غیبت، راه خود را به سوی صعود عقل بشری</w:t>
      </w:r>
    </w:p>
    <w:p>
      <w:pPr>
        <w:pStyle w:val="BookText"/>
        <w:rPr/>
      </w:pPr>
      <w:r>
        <w:rPr>
          <w:rFonts w:ascii="IRNazanin" w:hAnsi="IRNazanin" w:eastAsia="IRNazanin"/>
          <w:color w:val="111111"/>
          <w:sz w:val="28"/>
          <w:sz w:val="28"/>
          <w:szCs w:val="28"/>
          <w:rtl w:val="true"/>
          <w:lang w:bidi="fa-IR"/>
        </w:rPr>
        <w:t>و راه یافتن به درکِ وحی باز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عالمان پس از غیبت یا همان محدّثان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پیش از غیبت به تفسیری دست یافتند که قلمرو دیدگاه امامیه را در عرصه‌های سیاسی محدود می‌کرد و امامیه را تا ظهور امام دوازدهم شیعیان از ورود در تعاملهای سیاسی، بر 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غیبت کبرا، بویژه برپایی حکومت شیعی آل بویه و آغاز جریان فلسفی و عقلی در جهان اسلام، تغییرهای ریشه‌ای و بنیادینی در اندیشه علمای امامیه پدید آمد که از آن به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از علمای امامیه، محدّثان و 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درون مذهبی و برون مذهبی رفتارها و کنش‌های سیاسی برخاسته از اندیشه‌های سیاسی خود رابروز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و مهم در این پژوهش چیستی و چرایی مبانی رفتار و اندیشه سیاسی علمای امامیه از غیبت کبرا تا حمله مغول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فرضیه‌ای که در پاسخ به سؤال مذکور قابل طرح است، این است که مبانی رفتار و اندیشه سیاسی علما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از سوی امام دوازدهم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روش‌شناسی اسکینر، ابتدا زمینه‌های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از علما بررسی شده و سپس به ایدئولوژی‌های رایج و زبانی دو طیف مورد بحث پرداخته و نقش آن‌ها را در تولید معانی جدید از مفاهیم مطروحه بازگو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خصوص زمینه‌های ایدئولوژیک و زبانی علمای اهل حدیث متعلق به گرایش فقه حدیثی و علمای طرفدار فقه اجتهادی متعلق به مکتب اصولی و خرد گرایی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کاملاً متفاوت است؛ گرایش نخست انتظار ظهور را به زیستن در تقیه و انزوای سیاسی تفسیر می‌کرد و گرایش دوم با اقرار به وجوب وجود نظام سیاسی در جامعه و تعاملات ناگزیر شیعیان با حکومتها کوشید حیات سیاسی شیعه را با واقعیت‌ها منطبق ساخته و نه تنها حکومت غیر معصوم را به رسمیت بشناسد بلکه به جواز همکاری با آن نیز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مجموعه زمینه‌های عملی و ایدئولوژیک و نقش آنها در فرآیند تولید معنا به طور مفصل در فصول آتی مورد بررسی قرار گرفته است</w:t>
      </w:r>
      <w:r>
        <w:rPr>
          <w:rFonts w:eastAsia="IRNazanin" w:cs="IRNazanin"/>
          <w:color w:val="111111"/>
          <w:sz w:val="28"/>
          <w:szCs w:val="28"/>
          <w:rtl w:val="true"/>
          <w:lang w:bidi="fa-IR"/>
        </w:rPr>
        <w:t>.</w:t>
      </w:r>
      <w:bookmarkStart w:id="16" w:name="pg4760_44017"/>
    </w:p>
    <w:p>
      <w:pPr>
        <w:pStyle w:val="Heading2"/>
        <w:numPr>
          <w:ilvl w:val="1"/>
          <w:numId w:val="1"/>
        </w:numPr>
        <w:rPr/>
      </w:pPr>
      <w:bookmarkStart w:id="17" w:name="__RefHeading___Toc1717307_2035185390"/>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پس از غیببت کبرا علمای امامیه با استناد به احادیث و روایات منقول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توقیعات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رهبری دینی جامعه‌ی امامیه را وظیفه خویش محسوب کردند که براساس نیابت عام از سوی امام دوازدهم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فاصله‌ی زمانی این پژوهش که برهه‌ی غیبت کبرا تا حمله‌ی مغول را در بر می‌گیرد، مبانی رفتارهای سیاسی علما بر اساس عنصر تعیین 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خصیصه‌ی عمده‌ی این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انتظار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اما نحوه‌ی استنباط علما از خود مسأله‌ی غیبت و فروعات ناشی از این امر، رابطه‌ی مستقیم و انکارناپذیری با زمینه‌های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زمینه‌های ایدئولوژیکی و زبانی دارد که معناهای متفاوتی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دوران سلطه‌ی سیاسی حاکمان بویه‌ای بر خلفای عباسی، عالمان شیعی فرصتی برای توجه جدی به دانش‌های دینی به ویژه فقه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رابطه‌ی اجتناب‌ناپذیر علمای این دوره با حاکمیت، علاوه بر گسترش و رشد این دانش به تناسب خصلت‌های سرزمینی، منجر به رشد عقلانیت دینی و ورود آن به عرصه‌های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جامعه‌ی آن 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اصلی در این اثر چگونگی و چرایی اندیشه‌ها و عمل‌کردهای سیاسی علمای امامیه</w:t>
      </w:r>
    </w:p>
    <w:p>
      <w:pPr>
        <w:pStyle w:val="BookText"/>
        <w:rPr/>
      </w:pPr>
      <w:r>
        <w:rPr>
          <w:rFonts w:ascii="IRNazanin" w:hAnsi="IRNazanin" w:eastAsia="IRNazanin"/>
          <w:color w:val="111111"/>
          <w:sz w:val="28"/>
          <w:sz w:val="28"/>
          <w:szCs w:val="28"/>
          <w:rtl w:val="true"/>
          <w:lang w:bidi="fa-IR"/>
        </w:rPr>
        <w:t>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زمینه‌های محیطی و سیاسی و اجتماعی چه بحرانهایی را آفریدند و این زمینه‌ها به همراه زمینه‌های زبانی و ایدئولوژیکی چه معناهایی را در خصوص غیبت و مسائل ناشی از آن در اندیشه‌ی علمای این دوره پروراند، از مباحث محوری کتاب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بررسی اینکه رفتارها و تفکرات و دیدگاه‌های سیاسی علما برخاسته از چه وضعیتی بوده و خودِ اوضاع تا چه میزان در اتخاذ رفتارها مؤثر بوده، از مهمترین فصول کتاب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عمده‌ترین بحران‌های این دوره می‌توان به خلأ رهبری، سرنوشت احکام حکومتی در عصر غیبت، چگونگی تعامل با سلاطین، محدوده‌ی اختیارات فقها در عصر غیبت و مسائل مستحدثه اشاره کرد</w:t>
      </w:r>
      <w:r>
        <w:rPr>
          <w:rFonts w:eastAsia="IRNazanin" w:cs="IRNazanin"/>
          <w:color w:val="111111"/>
          <w:sz w:val="28"/>
          <w:szCs w:val="28"/>
          <w:rtl w:val="true"/>
          <w:lang w:bidi="fa-IR"/>
        </w:rPr>
        <w:t>.</w:t>
      </w:r>
      <w:bookmarkStart w:id="19" w:name="pg4760_44019"/>
    </w:p>
    <w:p>
      <w:pPr>
        <w:pStyle w:val="Heading2"/>
        <w:numPr>
          <w:ilvl w:val="1"/>
          <w:numId w:val="1"/>
        </w:numPr>
        <w:rPr/>
      </w:pPr>
      <w:bookmarkStart w:id="20" w:name="__RefHeading___Toc1717309_2035185390"/>
      <w:bookmarkStart w:id="21" w:name="_Toc7"/>
      <w:bookmarkEnd w:id="19"/>
      <w:bookmarkEnd w:id="20"/>
      <w:r>
        <w:rPr>
          <w:rtl w:val="true"/>
        </w:rPr>
        <w:t>فهم شرایط زمانی و مکانی عصر غیبت</w:t>
      </w:r>
      <w:bookmarkEnd w:id="21"/>
    </w:p>
    <w:p>
      <w:pPr>
        <w:pStyle w:val="BookText"/>
        <w:rPr/>
      </w:pPr>
      <w:r>
        <w:rPr>
          <w:rFonts w:ascii="IRNazanin" w:hAnsi="IRNazanin" w:eastAsia="IRNazanin"/>
          <w:color w:val="111111"/>
          <w:sz w:val="28"/>
          <w:sz w:val="28"/>
          <w:szCs w:val="28"/>
          <w:rtl w:val="true"/>
          <w:lang w:bidi="fa-IR"/>
        </w:rPr>
        <w:t>فاصله‌ی زمانی غیبت کبرا تا حمله‌ی مغول یکی از اساسی‌ترین دوران حیات فکری، سیاسی و اجتماعی شیعیان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با غیبت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جامعه شیعه با بحران‌ها و چالشهای جدی چه در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چه عقیدتی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بخش بزرگی از آثار به جا مانده از علما و دانشمندان امامیه به مسأله‌ی غیبت و خلأ رهبری در جامعه امامیه اختصاص یافت، بلکه طرح بلاتکلیفی و حیرت و حتی ارتداد بسیاری از شیعیان بازگو کننده وخامت اوضاع شیعیان در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شناخت و فهم وضعیت زمانی و مکانی فوق، نحوه‌ی برخورد و راه کارهای علما در آن اوضاع خاص از اهمیت ویژه‌ای برخوردار است؛ به خصوص آن که آراء و</w:t>
      </w:r>
    </w:p>
    <w:p>
      <w:pPr>
        <w:pStyle w:val="BookText"/>
        <w:rPr/>
      </w:pPr>
      <w:r>
        <w:rPr>
          <w:rFonts w:ascii="IRNazanin" w:hAnsi="IRNazanin" w:eastAsia="IRNazanin"/>
          <w:color w:val="111111"/>
          <w:sz w:val="28"/>
          <w:sz w:val="28"/>
          <w:szCs w:val="28"/>
          <w:rtl w:val="true"/>
          <w:lang w:bidi="fa-IR"/>
        </w:rPr>
        <w:t>نظریات سیاسی علمای دوره‌های بعد ملهم از اندیشه‌های سیاسی علمای این دوره است و به عبارت دیگر آراء علما و اندیشمندان این عصر بستر رشد و و نمو اندیشه‌های پس از این دوره محسوب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مقایسه فقه سیاسی شیعه در دوران حضور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فقه سیاسی شیعه پس از غیبت واقعیات بسیاری را بر ما مکشوف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آیا فقه سیاسی شیعه به طور کامل تابع شرایط زمان و مکان بوده و فقه هر دوره مختص آن دوره است؟ با وجود آنکه علی رغم متفاوت بودن شرایط زمان و مکان در هر دوره، فقه سیاسی شیعه دارای شاکله و محورهای اصلی و خاصی است که تنها تغییرات وضعیت، راه کارهای متفاوتی را ارائه می‌نماید و بن‌مایه‌های آن تغییرناپذیر است، آیا با این وجود، فقه هر دو مختص</w:t>
      </w:r>
    </w:p>
    <w:p>
      <w:pPr>
        <w:pStyle w:val="BookText"/>
        <w:rPr/>
      </w:pPr>
      <w:r>
        <w:rPr>
          <w:rFonts w:ascii="IRNazanin" w:hAnsi="IRNazanin" w:eastAsia="IRNazanin"/>
          <w:color w:val="111111"/>
          <w:sz w:val="28"/>
          <w:sz w:val="28"/>
          <w:szCs w:val="28"/>
          <w:rtl w:val="true"/>
          <w:lang w:bidi="fa-IR"/>
        </w:rPr>
        <w:t>همان دوره است؟</w:t>
      </w:r>
    </w:p>
    <w:p>
      <w:pPr>
        <w:pStyle w:val="BookText"/>
        <w:rPr/>
      </w:pPr>
      <w:r>
        <w:rPr>
          <w:rFonts w:ascii="IRNazanin" w:hAnsi="IRNazanin" w:eastAsia="IRNazanin"/>
          <w:color w:val="111111"/>
          <w:sz w:val="28"/>
          <w:sz w:val="28"/>
          <w:szCs w:val="28"/>
          <w:rtl w:val="true"/>
          <w:lang w:bidi="fa-IR"/>
        </w:rPr>
        <w:t>بحث دیگر مشخص نمودن علل تنوع و گوناگونی آراء علمای امامیه با وجود یکسان بودن متون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امامیه هرگونه اجتهاد و نواندیشی را در دین مردود دانسته و برخی در نظر گرفتن وضعیت زمان و مکان را در استخراج احکام لازم و ضروری و غفلت از آن را واپس‌گرایی و تحجر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سهم وضعیت زمان و مکان را در فهم متون دینی به کلی نادیده 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 که بررسی عملکرد علمای امامیه به عنوان رهبران مذهبی جامعه‌ی امامیه در عصر غیبت و اینکه آنان در برخورد با مشکلاتی از قبیل فقدان امام معصوم، تعامل با سلاطین و محدوده‌ی اختیارات خویش بر چه اساسی عمل کردند؟ و چه دیدگاهی نسبت به احکام حکومتی در عصر</w:t>
      </w:r>
      <w:bookmarkStart w:id="22" w:name="pg4760_44021"/>
    </w:p>
    <w:p>
      <w:pPr>
        <w:pStyle w:val="BookText"/>
        <w:rPr/>
      </w:pPr>
      <w:bookmarkEnd w:id="22"/>
      <w:r>
        <w:rPr>
          <w:rFonts w:ascii="IRNazanin" w:hAnsi="IRNazanin" w:eastAsia="IRNazanin"/>
          <w:color w:val="111111"/>
          <w:sz w:val="28"/>
          <w:sz w:val="28"/>
          <w:szCs w:val="28"/>
          <w:rtl w:val="true"/>
          <w:lang w:bidi="fa-IR"/>
        </w:rPr>
        <w:t>غیبت داشتند؟ از مسائل بسیار مهمی است که جای پژوهش و تحقیق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شناخت جریان‌های فکری اصولی و اهل حدیث و اینکه کدام جریان در کنترل و پاسخگویی به نیازهای فکری، سیاسی و اجتماعی موفق‌تر بوده‌اند؛ از دیگر موارد مورد بررسی در این کتاب است</w:t>
      </w:r>
      <w:r>
        <w:rPr>
          <w:rFonts w:eastAsia="IRNazanin" w:cs="IRNazanin"/>
          <w:color w:val="111111"/>
          <w:sz w:val="28"/>
          <w:szCs w:val="28"/>
          <w:rtl w:val="true"/>
          <w:lang w:bidi="fa-IR"/>
        </w:rPr>
        <w:t>.</w:t>
      </w:r>
    </w:p>
    <w:p>
      <w:pPr>
        <w:pStyle w:val="Heading2"/>
        <w:numPr>
          <w:ilvl w:val="1"/>
          <w:numId w:val="1"/>
        </w:numPr>
        <w:rPr/>
      </w:pPr>
      <w:bookmarkStart w:id="23" w:name="__RefHeading___Toc1717311_2035185390"/>
      <w:bookmarkStart w:id="24" w:name="_Toc8"/>
      <w:bookmarkEnd w:id="23"/>
      <w:r>
        <w:rPr>
          <w:rtl w:val="true"/>
        </w:rPr>
        <w:t>منابع مورد استفاده</w:t>
      </w:r>
      <w:bookmarkEnd w:id="24"/>
    </w:p>
    <w:p>
      <w:pPr>
        <w:pStyle w:val="BookText"/>
        <w:rPr/>
      </w:pPr>
      <w:r>
        <w:rPr>
          <w:rFonts w:ascii="IRNazanin" w:hAnsi="IRNazanin" w:eastAsia="IRNazanin"/>
          <w:color w:val="111111"/>
          <w:sz w:val="28"/>
          <w:sz w:val="28"/>
          <w:szCs w:val="28"/>
          <w:rtl w:val="true"/>
          <w:lang w:bidi="fa-IR"/>
        </w:rPr>
        <w:t>در خصوص عملکرد سیاسی علمای امامیه در عصر غیبت پژوهشهایی انجام شده که معمولاً نقش عنصر زمان و مکان و حوادث و رخدادها و تأثیرات آن بر اندیشه‌ها و آرای سیاسی یا کمرنگ است یا اصلاً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به طور جامع به این موضوع پرداخته باشد و مستقیما به آراء و اندیشه‌های سیاسی علما بپردازد، تا حدی که نگارنده اطلاع دارد،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منابع و کتب موجود در این زمینه را می‌توان به دو دسته عمده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دست اول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پژوهشی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کتب دست اول، کتبی است که به وسیله‌ی علما و فقهای دوره مورد بحث یا مورخانی که شرح حال اندیشمندان را در آثار خود</w:t>
      </w:r>
    </w:p>
    <w:p>
      <w:pPr>
        <w:pStyle w:val="BookText"/>
        <w:rPr/>
      </w:pPr>
      <w:r>
        <w:rPr>
          <w:rFonts w:ascii="IRNazanin" w:hAnsi="IRNazanin" w:eastAsia="IRNazanin"/>
          <w:color w:val="111111"/>
          <w:sz w:val="28"/>
          <w:sz w:val="28"/>
          <w:szCs w:val="28"/>
          <w:rtl w:val="true"/>
          <w:lang w:bidi="fa-IR"/>
        </w:rPr>
        <w:t>آورده‌اند،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اطلاعات مهم و ارزشمندی را درباره عملکرد آنان در اختیار پژوهشگر می‌گذارد که می‌توان با تجزیه و تحلیل احکام و فتاوا به مسائل و مشکلات و نحوه نگرش علمای این دوره به رویدادها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از این منابع با مشکلات چندی نیز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فاقدتجزیه و تحلیلهای نظری و فلسفی است و کنار هم قرار دادن اطلاعات جزیی به دست آمده از این منابع و ارائه طیفهای کلی مختص هر کدام کار نسبتا دشواری است و چه بسا به دلیل معاصر بودن یا یکنواخت بودن فتاوا و احکام مذکور ناگزیر به بررسی آرای و اندیشه‌های آنان به طور گزینشی بوده و در هر دوره به شاخصه‌ها و شخصیت‌های محوری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آثار از داوری‌های جانبدارانه و احساسی نیز به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سیاستنامه خواجه نظام الملک علی رغم آن که اطلاعات با ارزشی را از فضای سیاسی آن روز در اختیار پژوهشگر می‌گذارد، در عین حال مملو از اتهامات و اهانتها و اظهارات مغرضانه‌ای است که وی بر شیعیان روا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هجو و تحریف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 به وسیله‌ی مورخان شیعه یا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وجود اسناد متعارض و متضاد نیز نمایاندن واقعیت را سخت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پیش فرض‌ها یا جهت‌گیری‌های فکری محقق نیز مزید بر علت است و جدایی مطلق سوژه از ابژه آن چنان که دکارت و پوزیتیویست‌ها معتقدند، امری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دست اول مورد استفاده در این پژوهش به لحاظ آن که موضوع کتاب دارای ابعاد گوناگون است شامل کتب تاریخی، فقهی، حدیثی، فلسفی و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پژوهشی نیز شامل کتابهایی می‌شود که بعد از حمله مغول تاکنون نوشته شده است و اغلب به طور جسته گریخته به آرای و اندیشه‌های سیاسی محدوده زمانی مورد نظر،از زوایای مختلف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منابع به لحاظ فراوانی، مایه خرسندی است اما یک بعدی بودن تحقیقات انجام شده، مثلاً صرفا فقهی یا سیاسی بودن آن و نیز تکرار موضوعاتی که بارها در کتب گوناگون مورد بحث قرار گرفته، تا حدودی ملال آور است و بسیاری از منابع بدون بررسی اوضاع زمان و مکان و در نظر گرفتن ایدئولوژی‌های مرسوم هر دوره، یا سیر تحولات اندیشه‌ای، صرفاً به طرح آرای سیاسی بر اساس مقاصد خویش به طور فهرست وار پرداخته‌اند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کتاب حاضر که بر اساس روش هرمنوتیکی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مورد بحث را مورد بررسی قرار داده به لحاظ چند بعدی بودن موضوع و به ویژه در نظر گرفتن اوضاع</w:t>
      </w:r>
    </w:p>
    <w:p>
      <w:pPr>
        <w:pStyle w:val="BookText"/>
        <w:rPr/>
      </w:pPr>
      <w:r>
        <w:rPr>
          <w:rFonts w:ascii="IRNazanin" w:hAnsi="IRNazanin" w:eastAsia="IRNazanin"/>
          <w:color w:val="111111"/>
          <w:sz w:val="28"/>
          <w:sz w:val="28"/>
          <w:szCs w:val="28"/>
          <w:rtl w:val="true"/>
          <w:lang w:bidi="fa-IR"/>
        </w:rPr>
        <w:t>خاص زمانی و مکانی با پژوهش‌های انجام شده،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منابع دست اول که حاوی اطلاعات خام و اولیه بوده و بیشترین حجم کتب استفاده شده را تشکیل می‌دهد، کتاب حاضر از کتب پژوهشی نیز که در موضوعات مشابه انجام شده،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کتاب‌ها، امامیه و سیاست در نخستین سده‌های غیبت به قلم محمد کریمی زنجانی اصل است، که نگارنده در تدوین بخشهایی از کتاب بدان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با عنوان تأثیر غیبت کبرا بر حدود اختیارات فقها و نیز کنش‌های سیاسی خواجه نصیر 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السلطه فی الفقه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توفیق السیف نیز از منابع پژوهشی مورد استفاده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سه بخش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الدوله و السلطهْ السیاسیهْ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نظریهْ السلطهْ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 النظری لدور الامهْ فی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اگر چه به تحلیل نظریه‌های سلطه و نظام‌های سیاسی در فقه شیعه می‌پردازد و هدف نهایی وی ارائه نظریه‌ای نو درباره نظام سیاسی مطلوب برای</w:t>
      </w:r>
    </w:p>
    <w:p>
      <w:pPr>
        <w:pStyle w:val="BookText"/>
        <w:rPr/>
      </w:pPr>
      <w:r>
        <w:rPr>
          <w:rFonts w:ascii="IRNazanin" w:hAnsi="IRNazanin" w:eastAsia="IRNazanin"/>
          <w:color w:val="111111"/>
          <w:sz w:val="28"/>
          <w:sz w:val="28"/>
          <w:szCs w:val="28"/>
          <w:rtl w:val="true"/>
          <w:lang w:bidi="fa-IR"/>
        </w:rPr>
        <w:t>جامعه شیعیان در عصر غیبت است، بخشهایی از آن همچون منشأ مشروعیت حکومت و سیر تحولات دیدگاههای تاریخی علما درباره حکومت و نظام سیاسی مشروع، مورد استفاده در تدوین کتاب حاضر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اثر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فرآیند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حسین مدرسی طباطبایی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چهار بخش با عناوین زیر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حقوق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مفهوم امامت در بعد سیاسی و اجتماعی</w:t>
      </w:r>
    </w:p>
    <w:p>
      <w:pPr>
        <w:pStyle w:val="BookText"/>
        <w:rPr/>
      </w:pPr>
      <w:r>
        <w:rPr>
          <w:rFonts w:ascii="IRNazanin" w:hAnsi="IRNazanin" w:eastAsia="IRNazanin"/>
          <w:color w:val="111111"/>
          <w:sz w:val="28"/>
          <w:sz w:val="28"/>
          <w:szCs w:val="28"/>
          <w:rtl w:val="true"/>
          <w:lang w:bidi="fa-IR"/>
        </w:rPr>
        <w:t>در این بخش دیدگاه عامه شیعیان امامیه درباره جایگاه امامت و انتظارات ناشی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تقصیر و راه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مفهوم امامت در بعد علمی و معنوی این بخش رویکرد شیعیان را نسبت به مقام و منصب امامت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راه غلو در پیش گرفته و جنبه‌های فوق طبیعی و فوق بشری برای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می‌کردند و گروهی که مقام والای امامت را در حد وظیفه‌ای عادی و معمولی تلقی کرده، شخصیت امام را بسیار کمتر از آنچه هست، جلوه می‌دهند و بالأخره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به جایگاه و اهمیت امامت و امام، آنگونه که هست و باید اشراف دارند</w:t>
      </w:r>
      <w:r>
        <w:rPr>
          <w:rFonts w:eastAsia="IRNazanin" w:cs="IRNazanin"/>
          <w:color w:val="111111"/>
          <w:sz w:val="28"/>
          <w:szCs w:val="28"/>
          <w:rtl w:val="true"/>
          <w:lang w:bidi="fa-IR"/>
        </w:rPr>
        <w:t>.</w:t>
      </w:r>
      <w:bookmarkStart w:id="25" w:name="pg4760_44026"/>
    </w:p>
    <w:p>
      <w:pPr>
        <w:pStyle w:val="BookText"/>
        <w:rPr/>
      </w:pPr>
      <w:bookmarkEnd w:id="25"/>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رهبری و نقش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راویان را در رهبری جامعه امامیه و جلوگیری از انحراف و پراکندگی عقیدتی شیعیان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بخش چهارم مناظرات کلامی و نقش متکلمان در دفاع از آموزه‌ها و عقاید دینی تشیع بررسی می‌شود، که پژوهش حاضر از بخش نخست و بخش سوم استفاده شایانی برده است</w:t>
      </w:r>
      <w:r>
        <w:rPr>
          <w:rFonts w:eastAsia="IRNazanin" w:cs="IRNazanin"/>
          <w:color w:val="111111"/>
          <w:sz w:val="28"/>
          <w:szCs w:val="28"/>
          <w:rtl w:val="true"/>
          <w:lang w:bidi="fa-IR"/>
        </w:rPr>
        <w:t>.</w:t>
      </w:r>
    </w:p>
    <w:p>
      <w:pPr>
        <w:pStyle w:val="Heading2"/>
        <w:numPr>
          <w:ilvl w:val="1"/>
          <w:numId w:val="1"/>
        </w:numPr>
        <w:rPr/>
      </w:pPr>
      <w:bookmarkStart w:id="26" w:name="__RefHeading___Toc1717313_2035185390"/>
      <w:bookmarkStart w:id="27" w:name="_Toc9"/>
      <w:bookmarkEnd w:id="26"/>
      <w:r>
        <w:rPr>
          <w:rtl w:val="true"/>
        </w:rPr>
        <w:t>توضیح برخی واژه‌های کلیدی</w:t>
      </w:r>
      <w:bookmarkEnd w:id="27"/>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از شیعیان اطلاق می‌شود که معتقدند پس از رحلت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دو فرزند او از فاطمه زهرا امام حسن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 و سپس امامت به فرزندان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شخصیت پس از امام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زین العابدین علی بن الحسین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و پس از او هر امامی از سوی امام پیش از خود تعیین و معرفی می‌شد و به امام دوازدهم، مهدی قائم ختم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مقطعی از زمان اطلاق می‌شود که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علنی در جامعه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زمان غیبت دوازدهمین امام شیعیان رایج شده و تا امروز متداول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واو آن به تاء تبدیل شده و اصل آن وقیّه بوده و هم ریشه با لغت تقواست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اصطلاحی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نمودن حق از دیگران با اظهار خلاف آن است به منظور مصلحتی که مهم‌تر از مصلحت اظهار آن باشد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پنج قسم، واجب، مستحب، مکروه، حرام و مباح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معتقدات کلامی و فقهی شیعه و عملکردهای تاریخی آن برای حفظ موجودیتش در برابر اکثریت غیر شیعه واکثریت غیر مسلمان بوده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پس از غیبت تقیه را فریضه‌ای واجب بر مسلمانان دانسته‌اند؛ مادامی که تحت حکومت جور به سر می‌برند</w:t>
      </w:r>
      <w:r>
        <w:rPr>
          <w:rFonts w:eastAsia="IRNazanin" w:cs="IRNazanin"/>
          <w:color w:val="111111"/>
          <w:sz w:val="28"/>
          <w:szCs w:val="28"/>
          <w:rtl w:val="true"/>
          <w:lang w:bidi="fa-IR"/>
        </w:rPr>
        <w:t>.</w:t>
      </w:r>
      <w:bookmarkStart w:id="28" w:name="pg4760_44028"/>
    </w:p>
    <w:p>
      <w:pPr>
        <w:pStyle w:val="Heading2"/>
        <w:numPr>
          <w:ilvl w:val="1"/>
          <w:numId w:val="1"/>
        </w:numPr>
        <w:rPr/>
      </w:pPr>
      <w:bookmarkStart w:id="29" w:name="__RefHeading___Toc1717315_2035185390"/>
      <w:bookmarkStart w:id="30" w:name="_Toc10"/>
      <w:bookmarkEnd w:id="28"/>
      <w:bookmarkEnd w:id="29"/>
      <w:r>
        <w:rPr>
          <w:rtl w:val="true"/>
        </w:rPr>
        <w:t>«</w:t>
      </w:r>
      <w:r>
        <w:rPr>
          <w:rtl w:val="true"/>
        </w:rPr>
        <w:t>انتظار</w:t>
      </w:r>
      <w:r>
        <w:rPr>
          <w:rtl w:val="true"/>
        </w:rPr>
        <w:t>»</w:t>
      </w:r>
      <w:bookmarkEnd w:id="30"/>
    </w:p>
    <w:p>
      <w:pPr>
        <w:pStyle w:val="BookText"/>
        <w:rPr/>
      </w:pPr>
      <w:r>
        <w:rPr>
          <w:rFonts w:ascii="IRNazanin" w:hAnsi="IRNazanin" w:eastAsia="IRNazanin"/>
          <w:color w:val="111111"/>
          <w:sz w:val="28"/>
          <w:sz w:val="28"/>
          <w:szCs w:val="28"/>
          <w:rtl w:val="true"/>
          <w:lang w:bidi="fa-IR"/>
        </w:rPr>
        <w:t>انتظار از ایدئولوژی‌های رایج عصر غیبت به شمار می‌رود که بر اساس آن شیعیان معتقدند دوازدهمین امام پس از غیبت کبری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ظهور کرده و جهان را در حالی که از ظلم و جور پر شده است، مملو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زاییده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امامت وجودِ امام معصوم تعیین شده از سوی خداوند را ضروری می‌داند تا هدایت ابنای بشر استمرار یافته و هدف از بعثت انبیا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این نظریه دخالت نکردن مردم در تعیین امام و غیر مشروع دانستن هر نوع حکومت غیر معصوم و یا بدون اذن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برداشت و استنباط متکلمان و فقهای اولیه نسبت به حکومت در عصر غیبت و انتظار فرج تا خروج امام غایب معطوف به میراث حدیثی قبل از غیبت است</w:t>
      </w:r>
      <w:r>
        <w:rPr>
          <w:rFonts w:eastAsia="IRNazanin" w:cs="IRNazanin"/>
          <w:color w:val="111111"/>
          <w:sz w:val="28"/>
          <w:szCs w:val="28"/>
          <w:rtl w:val="true"/>
          <w:lang w:bidi="fa-IR"/>
        </w:rPr>
        <w:t>.</w:t>
      </w:r>
    </w:p>
    <w:p>
      <w:pPr>
        <w:pStyle w:val="Heading2"/>
        <w:numPr>
          <w:ilvl w:val="1"/>
          <w:numId w:val="1"/>
        </w:numPr>
        <w:rPr/>
      </w:pPr>
      <w:bookmarkStart w:id="31" w:name="__RefHeading___Toc1717317_2035185390"/>
      <w:bookmarkStart w:id="32" w:name="_Toc11"/>
      <w:bookmarkEnd w:id="31"/>
      <w:r>
        <w:rPr>
          <w:rtl w:val="true"/>
        </w:rPr>
        <w:t>نیابت عام</w:t>
      </w:r>
      <w:r>
        <w:rPr>
          <w:rtl w:val="true"/>
        </w:rPr>
        <w:t>:</w:t>
      </w:r>
      <w:bookmarkEnd w:id="32"/>
    </w:p>
    <w:p>
      <w:pPr>
        <w:pStyle w:val="BookText"/>
        <w:rPr/>
      </w:pPr>
      <w:r>
        <w:rPr>
          <w:rFonts w:ascii="IRNazanin" w:hAnsi="IRNazanin" w:eastAsia="IRNazanin"/>
          <w:color w:val="111111"/>
          <w:sz w:val="28"/>
          <w:sz w:val="28"/>
          <w:szCs w:val="28"/>
          <w:rtl w:val="true"/>
          <w:lang w:bidi="fa-IR"/>
        </w:rPr>
        <w:t>دوازدهمین امام شیعیان دارای دو غیبت بوده است که متکلمان شیعه از آن به غیبت صغرا و کبرا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صغرا امامت و رهبری امام دوازدهم بر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شیعه توسط چهار نایب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w:t>
      </w:r>
      <w:bookmarkStart w:id="33" w:name="pg4760_44029"/>
    </w:p>
    <w:p>
      <w:pPr>
        <w:pStyle w:val="BookText"/>
        <w:rPr/>
      </w:pPr>
      <w:bookmarkEnd w:id="33"/>
      <w:r>
        <w:rPr>
          <w:rFonts w:ascii="IRNazanin" w:hAnsi="IRNazanin" w:eastAsia="IRNazanin"/>
          <w:color w:val="111111"/>
          <w:sz w:val="28"/>
          <w:sz w:val="28"/>
          <w:szCs w:val="28"/>
          <w:rtl w:val="true"/>
          <w:lang w:bidi="fa-IR"/>
        </w:rPr>
        <w:t>کبرا فقهای شیعه با استناد به کارآمدی نهاد وکالت و نیابت و وجود روایاتی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دوازدهم مبنی بر رجوع عامه شیعیان به دانشمندانِ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زعامت و رهبری جامعه امامیه را در عصر غیبت از آنِ فقها دانستند، که از آن به نیابت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نیابت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Heading2"/>
        <w:numPr>
          <w:ilvl w:val="1"/>
          <w:numId w:val="1"/>
        </w:numPr>
        <w:rPr/>
      </w:pPr>
      <w:bookmarkStart w:id="34" w:name="__RefHeading___Toc1717319_2035185390"/>
      <w:bookmarkStart w:id="35" w:name="_Toc12"/>
      <w:bookmarkEnd w:id="34"/>
      <w:r>
        <w:rPr>
          <w:rtl w:val="true"/>
        </w:rPr>
        <w:t>فقها</w:t>
      </w:r>
      <w:r>
        <w:rPr>
          <w:rtl w:val="true"/>
        </w:rPr>
        <w:t>:</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جمع کلمه فقیه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شکافتن و پیروزی اشتقاق یافته،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فهم وادراک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فقیه یعنی کسی که بصیرتی ژرف نسبت به مجموعه دین دارد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اصلی فقیه علم به احکام شرعی فقهی که از طریق ادله تفصیلی به دست آمده، نیست</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بصیرت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نظر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لحاظ گردآوری اطلاعات و داده‌ها به صورت کتابخانه‌ای و اسنادی است و به لحاظ نوع روش پژوهش به صورت توصیفی و تحلیلی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موضوع کتاب حاضر بررسی مبانی اندیشه سیاسی علمای امامیه است، خواه ناخواه می‌بایست روشی برای تجزیه وتحلیل داده‌ها به کار گرفته شود که به این موضوع اختصاص داشته باشد؛ یعنی رویکردی اندیشه‌شناسانه داشته باشد و چون روش هرمنوتیک قصدی اسکینر در عرصه‌ی اندیشه‌شناسی و به ویژه بررسی آراء اندیشمندان بیش از روشهای دیگر متداول است، بنابراین نگارنده از میان نحله‌های گوناگون هرمنوتیک، هرمنوتیک روشی از نوع قصدگرا را که کاربرد بیشتری دارد،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ترکیبی از گرایشهای زمینه محور و متن محور در نظریه‌های هرمنوتیک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مطالعه‌ی مهمترین اثر اسکینر در زمینه مباحث روش‌شناسی یعنی کتاب ماکیاولی که نتیجه‌ی اندوخته‌های علمی اوست چنین استنباط می‌شود که روش وی متشکل از پنج مرحله در پاسخ به پنج سؤال زیر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نوشتن یک متن نسبت به متون دیگر که زمینه ایدئولوژیک را تشکیل می‌دهد چگونه برخورد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نوشتن متن نسبت به کنش سیاسی موجود چه کاری انجام داده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نقد و تحول ایدئولوژی‌ها چگونه باید بررسی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ایدئولوژی سیاسی و کنش سیاسی وجود دارد؟ و این رابطه چه تأثیری بر رفتار سیاسی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اندیشه‌ها و کنش‌های سیاسی در ترویج بهنجارسازی و تحول ایدئولوژیک نقش دارند؟</w:t>
      </w:r>
    </w:p>
    <w:p>
      <w:pPr>
        <w:pStyle w:val="BookText"/>
        <w:rPr/>
      </w:pPr>
      <w:r>
        <w:rPr>
          <w:rFonts w:ascii="IRNazanin" w:hAnsi="IRNazanin" w:eastAsia="IRNazanin"/>
          <w:color w:val="111111"/>
          <w:sz w:val="28"/>
          <w:sz w:val="28"/>
          <w:szCs w:val="28"/>
          <w:rtl w:val="true"/>
          <w:lang w:bidi="fa-IR"/>
        </w:rPr>
        <w:t>بر اساس روش هرمنوتیک اسکینر، فهم اندیشه علما منوط به بازشناسی آثار و بازسازی فضای فکری و محیطی بغداد و ایران و جریانهای فکری و ایدئولوژی‌های رایج معاصر و ماقبل دوره‌ی مورد مطالعه است و تا جهانی را که اندیشه‌های علمای این دوره در آن شکل گرفته بازسازی نکنیم، نمی‌توان به دیدگاه‌ها و اندیشه‌های سیاسی آنان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یک مقدمه، چهار بخش و نتیجه‌گیری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در باب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مجموعه مباحث اش به تشریح چهارچوب نظری و تطبیق آن با موضوع کتاب می‌پردازد و با نگاهی روش شناسانه موضوع تحقیق را بررسی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توجه به ماهیت اندیشه شناختی موضوع، مناسب دیده شد تا از</w:t>
      </w:r>
    </w:p>
    <w:p>
      <w:pPr>
        <w:pStyle w:val="BookText"/>
        <w:rPr/>
      </w:pPr>
      <w:r>
        <w:rPr>
          <w:rFonts w:ascii="IRNazanin" w:hAnsi="IRNazanin" w:eastAsia="IRNazanin"/>
          <w:color w:val="111111"/>
          <w:sz w:val="28"/>
          <w:sz w:val="28"/>
          <w:szCs w:val="28"/>
          <w:rtl w:val="true"/>
          <w:lang w:bidi="fa-IR"/>
        </w:rPr>
        <w:t>روشهای تفهمی و هرمنوتیکی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انتخاب هرمنوتیک قصد گرای اسکینر، کتاب بر اساس ابعاد مختلف روش‌شناسی وی موردبررسی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با توجه به مباحث روشی اسکینر، به ارائه زمینه‌های محیطی، سیاسی و اجتماعی‌ای پرداخته شده که خواه ناخواه بر اندیشه‌های علمای امامیه تأثیر 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که ارتباط تنگاتنگی با فصل دوم دارد به زمینه‌های ایدئولوژیکی و زبانی توجه شده است؛ زیرا این زمینه‌ها تأثیر فراوانی بر شکل‌گیری اندیشه سیاسی علما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بخش دوم که حالت عینی و عملی دارد و بخش سوم که مباحث آن ذهنی است، رابطه‌ای منطقی و منسجم پدیدار است که حالت تعیین کنندگی و تأثیر کنندگی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قابلیتی که در روش اسکینر نهفته است والبته تعیین کنندگی که مدنظر است از نوع دیالکتیکی است نه از نوع موجبتی و تعیین بخشی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پژوهش به فضای معنایی می‌پردازد که علمای امامیه در برخورد با مفاهیم مطروحه در جامعه دینی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w:t>
      </w:r>
    </w:p>
    <w:p>
      <w:pPr>
        <w:pStyle w:val="BookText"/>
        <w:rPr/>
      </w:pPr>
      <w:r>
        <w:rPr>
          <w:rFonts w:ascii="IRNazanin" w:hAnsi="IRNazanin" w:eastAsia="IRNazanin"/>
          <w:color w:val="111111"/>
          <w:sz w:val="28"/>
          <w:sz w:val="28"/>
          <w:szCs w:val="28"/>
          <w:rtl w:val="true"/>
          <w:lang w:bidi="fa-IR"/>
        </w:rPr>
        <w:t>بودند و منجر به فرآیند تولید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معانی‌ای همچون حکومت، دولت، سلطان جابر و سلطان عادل، احکام حکومتی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نیز خلاصه و نتیجه‌گیری از آنچه طی فصول قبل بدان پرداخته شده، مطرح شده است</w:t>
      </w:r>
      <w:r>
        <w:rPr>
          <w:rFonts w:eastAsia="IRNazanin" w:cs="IRNazanin"/>
          <w:color w:val="111111"/>
          <w:sz w:val="28"/>
          <w:szCs w:val="28"/>
          <w:rtl w:val="true"/>
          <w:lang w:bidi="fa-IR"/>
        </w:rPr>
        <w:t>.</w:t>
      </w:r>
      <w:bookmarkStart w:id="36" w:name="pg4760_44035"/>
    </w:p>
    <w:p>
      <w:pPr>
        <w:pStyle w:val="Heading2"/>
        <w:numPr>
          <w:ilvl w:val="1"/>
          <w:numId w:val="1"/>
        </w:numPr>
        <w:rPr/>
      </w:pPr>
      <w:bookmarkStart w:id="37" w:name="__RefHeading___Toc1717321_2035185390"/>
      <w:bookmarkStart w:id="38" w:name="_Toc13"/>
      <w:bookmarkEnd w:id="36"/>
      <w:bookmarkEnd w:id="37"/>
      <w:r>
        <w:rPr>
          <w:rtl w:val="true"/>
        </w:rPr>
        <w:t xml:space="preserve">بخش نخست </w:t>
      </w:r>
      <w:r>
        <w:rPr>
          <w:rtl w:val="true"/>
        </w:rPr>
        <w:t xml:space="preserve">: </w:t>
      </w:r>
      <w:r>
        <w:rPr>
          <w:rtl w:val="true"/>
        </w:rPr>
        <w:t>گفتاری در باب روش</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717323_2035185390"/>
      <w:bookmarkStart w:id="40" w:name="_Toc14"/>
      <w:bookmarkEnd w:id="39"/>
      <w:r>
        <w:rPr>
          <w:rtl w:val="true"/>
        </w:rPr>
        <w:t>اشاره</w:t>
      </w:r>
      <w:bookmarkStart w:id="41" w:name="pg4760_44037"/>
      <w:bookmarkEnd w:id="40"/>
    </w:p>
    <w:p>
      <w:pPr>
        <w:pStyle w:val="Heading3"/>
        <w:numPr>
          <w:ilvl w:val="2"/>
          <w:numId w:val="1"/>
        </w:numPr>
        <w:rPr/>
      </w:pPr>
      <w:bookmarkStart w:id="42" w:name="__RefHeading___Toc1717325_2035185390"/>
      <w:bookmarkStart w:id="43" w:name="_Toc15"/>
      <w:bookmarkEnd w:id="41"/>
      <w:bookmarkEnd w:id="42"/>
      <w:r>
        <w:rPr>
          <w:rtl w:val="true"/>
        </w:rPr>
        <w:t>هرمنوتیک و جایگاه آن در مباحث روش‌شناسی</w:t>
      </w:r>
      <w:bookmarkEnd w:id="43"/>
    </w:p>
    <w:p>
      <w:pPr>
        <w:pStyle w:val="BookText"/>
        <w:rPr/>
      </w:pPr>
      <w:r>
        <w:rPr>
          <w:rFonts w:ascii="IRNazanin" w:hAnsi="IRNazanin" w:eastAsia="IRNazanin"/>
          <w:color w:val="111111"/>
          <w:sz w:val="28"/>
          <w:sz w:val="28"/>
          <w:szCs w:val="28"/>
          <w:rtl w:val="true"/>
          <w:lang w:bidi="fa-IR"/>
        </w:rPr>
        <w:t>جریان هرمنوتیک در مباحث روش‌شناسی از شیوع و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کتاب این شیوه به کار گرفته شد؛ اما پیش از کاربرد این روش لازم است به معرفی هرمنوتیک و نحله‌های مختلف آن اشاره شود و در پایان شیوه‌ای که از میان نحله‌های گوناگون انتخاب شده، معین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ریشه‌ی هرمنوتیک از فعل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هرمنیویین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تأویل کردن و صورت اسمی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هرمینیا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مشترک این کلمات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ازخدایان یونان باستان است که وظیفه‌ی ابلاغ پیام را از جهان دیگر بر عهده داشت و خود نیز به تأویل پیام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مارتین هایدگر از بزرگترین فیلسوفان معاصر، فلسفه به منزله‌ی علم هرمنوتیک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می‌داند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هرمنوتیک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وجه نخست هرمنوتیک برگرفته از پیام شفاهی هرمس، با توجه به حالتها و قرینهها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قدرت پیام شفاهی تأیید شده، و نوشتن را تنها وسیله‌ای برای یاری رساندن به حافظه‌ی نویسنده می‌داند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 با عمل ذهنی و ساخت اصول و گزاره‌ها و تعیین صدق و کذب آنها همراه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سوم به اعتقاد گادامر، برخورد میان دو جهان متفاوت یعنی جهان مفسر و جهان خواننده است</w:t>
      </w:r>
      <w:r>
        <w:rPr>
          <w:rFonts w:eastAsia="IRNazanin" w:cs="IRNazanin"/>
          <w:color w:val="111111"/>
          <w:sz w:val="28"/>
          <w:szCs w:val="28"/>
          <w:rtl w:val="true"/>
          <w:lang w:bidi="fa-IR"/>
        </w:rPr>
        <w:t>.</w:t>
      </w:r>
      <w:bookmarkStart w:id="44" w:name="pg4760_44039"/>
    </w:p>
    <w:p>
      <w:pPr>
        <w:pStyle w:val="Heading3"/>
        <w:numPr>
          <w:ilvl w:val="2"/>
          <w:numId w:val="1"/>
        </w:numPr>
        <w:rPr/>
      </w:pPr>
      <w:bookmarkStart w:id="45" w:name="__RefHeading___Toc1717327_2035185390"/>
      <w:bookmarkStart w:id="46" w:name="_Toc16"/>
      <w:bookmarkEnd w:id="44"/>
      <w:bookmarkEnd w:id="45"/>
      <w:r>
        <w:rPr>
          <w:rtl w:val="true"/>
        </w:rPr>
        <w:t>نحله‌های هرمنوتیک</w:t>
      </w:r>
      <w:bookmarkEnd w:id="46"/>
    </w:p>
    <w:p>
      <w:pPr>
        <w:pStyle w:val="BookText"/>
        <w:rPr/>
      </w:pPr>
      <w:r>
        <w:rPr>
          <w:rFonts w:ascii="IRNazanin" w:hAnsi="IRNazanin" w:eastAsia="IRNazanin"/>
          <w:color w:val="111111"/>
          <w:sz w:val="28"/>
          <w:sz w:val="28"/>
          <w:szCs w:val="28"/>
          <w:rtl w:val="true"/>
          <w:lang w:bidi="fa-IR"/>
        </w:rPr>
        <w:t xml:space="preserve">در یک تقسیم‌بندی جامع، نحله‌های هرمنوتیک و جایگاه هرمنوتیک قصدگرا را در میان انواع هرمنوتیک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رساله‌ی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مارتین هایدگر و گئورگ گادامر؛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محور؛ امیلیوبتی، هیرش، اسکینر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محور؛ بارت، دیلتای، پل ریکور، امبرتواکو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مفسرمحور؛ گادامر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هابرماس، هانا آرنت، دالمایر و ژان لوک ننسی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هابرماس، کارل آتواپل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هرمنوتیک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فردریش نیچه، فروید و کارل مارکس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گادامر و پل ریکور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هرمنوتیک رهایی‌بخش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شریعتی و راسل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برخی از اندیشمندان را نمی‌توان به یک نحله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طبقه‌بندیهای هرمنوتیک به هرمنوتیک روشی از نوع قصدگرا تعلق دارد و از میان صاحبان این اندیشه، اسکینر نمونه‌ای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صاحبان این روش به طور خلاصه به آراء اسکینر، شلایرماخر و کالینگوود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اندیشمندان هرمنوتیک را روشی برای تحلیل پدیده‌ها و شناخت امور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اسکینر از این جهت حائز اهمیت است که از هرمنوتیک به عنوان روشی برای تفسیر و فهم اندیشه‌های سیاسی کمک می‌گیرد که البته از طرف برخی از فلاسفه بزرگ به ویژه اصحاب هرمنوتیک فلسفی همچون هایدگر و گادامر مورد انتقاد شدید قرار گرفته است؛ زیرا اینان با هر نوع هرمنوتیک به عنوان روش، مخالفت ورزیده و این نوع نگرش را ناشی از مفروضات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آن هم برگرفته از علوم طبیعی است که بر هرمنوتیک روشی سیطره یافته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فی</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سؤال بحث خویش را آغاز می‌کند که</w:t>
      </w:r>
    </w:p>
    <w:p>
      <w:pPr>
        <w:pStyle w:val="BookText"/>
        <w:rPr/>
      </w:pPr>
      <w:r>
        <w:rPr>
          <w:rFonts w:ascii="IRNazanin" w:hAnsi="IRNazanin" w:eastAsia="IRNazanin"/>
          <w:color w:val="111111"/>
          <w:sz w:val="28"/>
          <w:sz w:val="28"/>
          <w:szCs w:val="28"/>
          <w:rtl w:val="true"/>
          <w:lang w:bidi="fa-IR"/>
        </w:rPr>
        <w:t>آیا معنای رفتار دیگران همان است که خود مد نظر دارند؟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از این سؤال،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اساسی‌ترین سؤال در علوم انسانی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طبیعی حرکات بیولوژیک غیرآگاهانه و بدون قصد و نیت قبلی است، حال آنکه در علوم انسانی قصد و آگاهی فردِ عامل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فهم انگیزه‌ی فرد، بایستی قصد و نیت مؤلف را بازسازی کنیم تا معنا برای ما آشکار شود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معروف‌ترین روایت ما از قصدگرایی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گرایش است که براساس آن فرد با گفتن جمله‌ای قصد دارد تأثیر معینی بر مخاطبش بگذارد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اسکینر در قصدگرایان تعدیل و تصحیح طیف‌های مختلف هرمنوتیک روشی است که به وسیله‌ی کالینگوود و شلایرماخر مطرح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قصدگرایان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معنای رفتار دیگران همان است که خود آنان آن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هرمنوتیک گادامری به این سؤال سلبی و منفی است</w:t>
      </w:r>
      <w:r>
        <w:rPr>
          <w:rFonts w:eastAsia="IRNazanin" w:cs="IRNazanin"/>
          <w:color w:val="111111"/>
          <w:sz w:val="28"/>
          <w:szCs w:val="28"/>
          <w:rtl w:val="true"/>
          <w:lang w:bidi="fa-IR"/>
        </w:rPr>
        <w:t>.</w:t>
      </w:r>
      <w:bookmarkStart w:id="47" w:name="pg4760_44042"/>
    </w:p>
    <w:p>
      <w:pPr>
        <w:pStyle w:val="BookText"/>
        <w:rPr/>
      </w:pPr>
      <w:bookmarkEnd w:id="47"/>
      <w:r>
        <w:rPr>
          <w:rFonts w:ascii="IRNazanin" w:hAnsi="IRNazanin" w:eastAsia="IRNazanin"/>
          <w:color w:val="111111"/>
          <w:sz w:val="28"/>
          <w:sz w:val="28"/>
          <w:szCs w:val="28"/>
          <w:rtl w:val="true"/>
          <w:lang w:bidi="fa-IR"/>
        </w:rPr>
        <w:t xml:space="preserve">به نظر برایان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قصدگرایان عنایت چندانی بدان نداشته و کانون توجه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مؤلف معطوف داشته‌اند، حال</w:t>
      </w:r>
    </w:p>
    <w:p>
      <w:pPr>
        <w:pStyle w:val="BookText"/>
        <w:rPr/>
      </w:pPr>
      <w:r>
        <w:rPr>
          <w:rFonts w:ascii="IRNazanin" w:hAnsi="IRNazanin" w:eastAsia="IRNazanin"/>
          <w:color w:val="111111"/>
          <w:sz w:val="28"/>
          <w:sz w:val="28"/>
          <w:szCs w:val="28"/>
          <w:rtl w:val="true"/>
          <w:lang w:bidi="fa-IR"/>
        </w:rPr>
        <w:t xml:space="preserve">آنکه شالوده‌ی بحث گادامر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گادامر فیلسوف شهیر آلمانی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روش</w:t>
      </w:r>
      <w:r>
        <w:rPr>
          <w:rFonts w:eastAsia="IRNazanin" w:cs="IRNazanin"/>
          <w:color w:val="111111"/>
          <w:sz w:val="28"/>
          <w:szCs w:val="28"/>
          <w:rtl w:val="true"/>
          <w:lang w:bidi="fa-IR"/>
        </w:rPr>
        <w:t>»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مروری انتقادی بر زیباشناسی جدید و نظریه فهم تاریخی، هرمنوتیکی بر هستی‌شناسی زبان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رابطه‌ی بین حقیقت و روش را که از راه دیالکتیک به دست می‌آید،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مفسران، معناهای متفاوتی را استخراج می‌کنند و همواره تولید معنا به دیالکتیک و رابطه‌ی دو عامل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هرمنوتیک بحث زبان بسیار اهمیت دارد و اسکینر به عنوان اندیشمندی هرمنوتیکی بدان مقوله بسیار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پرداختن به رابطه بین هرمنوتیک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3"/>
        <w:numPr>
          <w:ilvl w:val="2"/>
          <w:numId w:val="1"/>
        </w:numPr>
        <w:rPr/>
      </w:pPr>
      <w:bookmarkStart w:id="48" w:name="__RefHeading___Toc1717329_2035185390"/>
      <w:bookmarkStart w:id="49" w:name="_Toc17"/>
      <w:bookmarkEnd w:id="48"/>
      <w:r>
        <w:rPr>
          <w:rtl w:val="true"/>
        </w:rPr>
        <w:t>رابطه‌ی زبان و هرمنوتیک</w:t>
      </w:r>
      <w:bookmarkEnd w:id="49"/>
    </w:p>
    <w:p>
      <w:pPr>
        <w:pStyle w:val="Heading4"/>
        <w:numPr>
          <w:ilvl w:val="3"/>
          <w:numId w:val="1"/>
        </w:numPr>
        <w:rPr/>
      </w:pPr>
      <w:bookmarkStart w:id="50" w:name="__RefHeading___Toc1717331_203518539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مباحث مربوط به زبان از اساسی‌ترین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مقولاتی است که در رویکردهای هرمنوتیکی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جیمزتالی بحث‌های زبانی اسکینر را متأثر از ویتگنشتاین می‌داند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52" w:name="pg4760_44043"/>
    </w:p>
    <w:p>
      <w:pPr>
        <w:pStyle w:val="BookText"/>
        <w:rPr/>
      </w:pPr>
      <w:bookmarkEnd w:id="52"/>
      <w:r>
        <w:rPr>
          <w:rFonts w:ascii="IRNazanin" w:hAnsi="IRNazanin" w:eastAsia="IRNazanin"/>
          <w:color w:val="111111"/>
          <w:sz w:val="28"/>
          <w:sz w:val="28"/>
          <w:szCs w:val="28"/>
          <w:rtl w:val="true"/>
          <w:lang w:bidi="fa-IR"/>
        </w:rPr>
        <w:t>در خصوص زبان دو رویکرد مهم زیر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53" w:name="__RefHeading___Toc1717333_2035185390"/>
      <w:bookmarkStart w:id="54" w:name="_Toc19"/>
      <w:bookmarkEnd w:id="53"/>
      <w:r>
        <w:rPr>
          <w:rtl w:val="true"/>
        </w:rPr>
        <w:t>الف</w:t>
      </w:r>
      <w:r>
        <w:rPr>
          <w:rtl w:val="true"/>
        </w:rPr>
        <w:t xml:space="preserve">) </w:t>
      </w:r>
      <w:r>
        <w:rPr>
          <w:rtl w:val="true"/>
        </w:rPr>
        <w:t>زبان به عنوان ابزار و وسیله</w:t>
      </w:r>
      <w:bookmarkEnd w:id="54"/>
    </w:p>
    <w:p>
      <w:pPr>
        <w:pStyle w:val="BookText"/>
        <w:rPr/>
      </w:pPr>
      <w:r>
        <w:rPr>
          <w:rFonts w:ascii="IRNazanin" w:hAnsi="IRNazanin" w:eastAsia="IRNazanin"/>
          <w:color w:val="111111"/>
          <w:sz w:val="28"/>
          <w:sz w:val="28"/>
          <w:szCs w:val="28"/>
          <w:rtl w:val="true"/>
          <w:lang w:bidi="fa-IR"/>
        </w:rPr>
        <w:t>اندیشمندان این جریان زبان را وسیله‌ای برای بیان افکار و عقاید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افلاطون، ارسطو، اگوستین، اکویناس، دکارت، کانت و هگل از این دسته‌اند</w:t>
      </w:r>
      <w:r>
        <w:rPr>
          <w:rFonts w:eastAsia="IRNazanin" w:cs="IRNazanin"/>
          <w:color w:val="111111"/>
          <w:sz w:val="28"/>
          <w:szCs w:val="28"/>
          <w:rtl w:val="true"/>
          <w:lang w:bidi="fa-IR"/>
        </w:rPr>
        <w:t>.</w:t>
      </w:r>
    </w:p>
    <w:p>
      <w:pPr>
        <w:pStyle w:val="Heading4"/>
        <w:numPr>
          <w:ilvl w:val="3"/>
          <w:numId w:val="1"/>
        </w:numPr>
        <w:rPr/>
      </w:pPr>
      <w:bookmarkStart w:id="55" w:name="__RefHeading___Toc1717335_2035185390"/>
      <w:bookmarkStart w:id="56" w:name="_Toc20"/>
      <w:bookmarkEnd w:id="55"/>
      <w:r>
        <w:rPr>
          <w:rtl w:val="true"/>
        </w:rPr>
        <w:t>ب</w:t>
      </w:r>
      <w:r>
        <w:rPr>
          <w:rtl w:val="true"/>
        </w:rPr>
        <w:t xml:space="preserve">) </w:t>
      </w:r>
      <w:r>
        <w:rPr>
          <w:rtl w:val="true"/>
        </w:rPr>
        <w:t>زبان به عنوان هدف و مقصود</w:t>
      </w:r>
      <w:bookmarkEnd w:id="56"/>
    </w:p>
    <w:p>
      <w:pPr>
        <w:pStyle w:val="BookText"/>
        <w:rPr/>
      </w:pPr>
      <w:r>
        <w:rPr>
          <w:rFonts w:ascii="IRNazanin" w:hAnsi="IRNazanin" w:eastAsia="IRNazanin"/>
          <w:color w:val="111111"/>
          <w:sz w:val="28"/>
          <w:sz w:val="28"/>
          <w:szCs w:val="28"/>
          <w:rtl w:val="true"/>
          <w:lang w:bidi="fa-IR"/>
        </w:rPr>
        <w:t>درباره‌ی اندیشمندان نحله دوم می‌بایست</w:t>
      </w:r>
    </w:p>
    <w:p>
      <w:pPr>
        <w:pStyle w:val="BookText"/>
        <w:rPr/>
      </w:pPr>
      <w:r>
        <w:rPr>
          <w:rFonts w:ascii="IRNazanin" w:hAnsi="IRNazanin" w:eastAsia="IRNazanin"/>
          <w:color w:val="111111"/>
          <w:sz w:val="28"/>
          <w:sz w:val="28"/>
          <w:szCs w:val="28"/>
          <w:rtl w:val="true"/>
          <w:lang w:bidi="fa-IR"/>
        </w:rPr>
        <w:t>گزینشی عمل کنیم؛ زیرا مباحث این نحله مباحث جدیدی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ناقدان برجسته تفکر نخست هایدگر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لودویگ 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فکری وی منجر به انتشار رساله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رساله آراءِ اساتیدخود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فرگه و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اصلی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سرشت کلی بازنمایی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 اندیشه و زبان، منشأ ضرورت منطقی و ماهیت قضایای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گزاره‌ها و زبان وسیله‌ای است که به واسطه‌ی آن جهان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ساختارعالمِ واقع، تعیین کننده ساختار کلام و زبان و صورت کلی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در پاسخ به اینکه زبان چگونه جهان را به نمایش در می‌آورد،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جهان را به تصویر می‌کشد؛ همانند نقشه یا اوزالید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قضایا تصاویر جهانند</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این مرحله فکری یک کل‌گرا محسوب می‌شده که به دنبال یافتن حلقه‌های اتصال زبان‌ها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فکری او و نیز کج‌فهمی درباره‌ی اثر نخست او منجر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فلسفی</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طی آن</w:t>
      </w:r>
    </w:p>
    <w:p>
      <w:pPr>
        <w:pStyle w:val="BookText"/>
        <w:rPr/>
      </w:pPr>
      <w:r>
        <w:rPr>
          <w:rFonts w:ascii="IRNazanin" w:hAnsi="IRNazanin" w:eastAsia="IRNazanin"/>
          <w:color w:val="111111"/>
          <w:sz w:val="28"/>
          <w:sz w:val="28"/>
          <w:szCs w:val="28"/>
          <w:rtl w:val="true"/>
          <w:lang w:bidi="fa-IR"/>
        </w:rPr>
        <w:t>به مخالفت با اندیشه‌های سابق خود پرداخت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اسکینر از این بخش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در این مرحله از کلی‌گویی کناره گرفته، در پی یافتن ساختاری واحد بین زبان‌ها</w:t>
      </w:r>
    </w:p>
    <w:p>
      <w:pPr>
        <w:pStyle w:val="BookText"/>
        <w:rPr/>
      </w:pPr>
      <w:r>
        <w:rPr>
          <w:rFonts w:ascii="IRNazanin" w:hAnsi="IRNazanin" w:eastAsia="IRNazanin"/>
          <w:color w:val="111111"/>
          <w:sz w:val="28"/>
          <w:sz w:val="28"/>
          <w:szCs w:val="28"/>
          <w:rtl w:val="true"/>
          <w:lang w:bidi="fa-IR"/>
        </w:rPr>
        <w:t>نبود؛ بلکه در صدد یافتن نسبت یا رابطه‌ی زبان‌ها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بازی‌ها از این حیث که بازی هستند مشابه همدیگرند؛ اما در ماهیت و محتوا با هم متفاوتند و هر کدام باید در بستر و محیط و جهان خود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ویتگنشتاین در پژوهش‌های فلسفی خود کارکردهای متنوع و متعددی برای زبان در نظر گرفت؛ کارکردهایی چون فرمان‌ها، پرسش‌ها، خواهش‌ها و حتی زبان علوم طبیعی از دیدگاه وی زبان امری متصلب، سخت و محصور</w:t>
      </w:r>
    </w:p>
    <w:p>
      <w:pPr>
        <w:pStyle w:val="BookText"/>
        <w:rPr/>
      </w:pPr>
      <w:r>
        <w:rPr>
          <w:rFonts w:ascii="IRNazanin" w:hAnsi="IRNazanin" w:eastAsia="IRNazanin"/>
          <w:color w:val="111111"/>
          <w:sz w:val="28"/>
          <w:sz w:val="28"/>
          <w:szCs w:val="28"/>
          <w:rtl w:val="true"/>
          <w:lang w:bidi="fa-IR"/>
        </w:rPr>
        <w:t xml:space="preserve">در خود نیست که تنها جهان واقعی را بیان می‌کند؛ بلکه زبان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ذهنیتی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اثر تعامل و تبادل اجتماعی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درتضاد با دیدگاهی است که دکارت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ویتگنشتاین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زبان واقعیت را می‌سازد و ما با آن می‌اندیشیم و اصول و قواعد تفکر را آن به ما القا می‌کند نه امری ذهنی و فارغ از زبان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ما مفهوم بازنمایی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اساسی است؛ چون این مفهوم، شکل بیان و بینش ما را نسبت به هستی معلوم می‌کند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ویتگنشتاین زبان اصالت دارد و این زبان است که اندیشه را می‌سازد نه بالعکس و اندیشه تابعی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این دیدگاه که ابتدا درباره‌ی واقعیت عینی می‌اندیشیم سپس آن را می‌شناسیم و در قالب زبان بیان می‌کنیم،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شناخت گرایان رابطه‌ی بین زبان و واقعیت رابطه‌ای درونی است؛ یعنی اینکه با مقولات زبان به واقعیت عینی شکل می‌دهیم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 که از دیدگاه ویتگنشتاین هر واژه‌ای دارای معانی گوناگونی است که با قرار دادن در بستر و زمینه‌ی خاص، معنایش را بر ما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اسکینر نیز بر این اعتقاد است که در اندیشه‌ی ماکیاول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و احوال زمانه و زمینه خاصی که ماکیاول در آن زیست می‌کند، معنا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مارتین هایدگر نیز در مهمترین اثرش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زبان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دو دوره‌ی مهم فکری وی خارج از مباحث این پژوهش است و آنچه برای ما اهمیت دارد، مباحث مربوط به زبان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هایدگر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پس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دکارت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می‌اندیشم پس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وقتی انسان چشم خود رامی‌گشاید در</w:t>
      </w:r>
    </w:p>
    <w:p>
      <w:pPr>
        <w:pStyle w:val="BookText"/>
        <w:rPr/>
      </w:pPr>
      <w:r>
        <w:rPr>
          <w:rFonts w:ascii="IRNazanin" w:hAnsi="IRNazanin" w:eastAsia="IRNazanin"/>
          <w:color w:val="111111"/>
          <w:sz w:val="28"/>
          <w:sz w:val="28"/>
          <w:szCs w:val="28"/>
          <w:rtl w:val="true"/>
          <w:lang w:bidi="fa-IR"/>
        </w:rPr>
        <w:t>مواجهه با هستی، تاریخ، سنت،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موقعیت‌مند، زمانمند و مکان‌مند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مستقل از شنونده و روحیه او مطرح نیست؛ معنا امری بیگانه برای مخاطب نیست که فقط تلاش کند تا آن را بفهمد، او می‌تواند معنا را بسازد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هایدگر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سوای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زبان در آثار متأخر هایدگر تا بدانجاست که در واپسین دوره‌های فکری وی زبان را اندیشه می‌خواند و در پاسخ به این پرسش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اندیشه خوانده می‌شود؟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زمانی که انسان بیان می‌کند، می‌اندیشد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به منظور روشن ساختن دیدگاهی است که اسکینر نسبت به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مهم دیگر اسکینر توجه به قصد و نیت مؤلف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 قصدگرا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آن خواهیم پرداخت</w:t>
      </w:r>
      <w:r>
        <w:rPr>
          <w:rFonts w:eastAsia="IRNazanin" w:cs="IRNazanin"/>
          <w:color w:val="111111"/>
          <w:sz w:val="28"/>
          <w:szCs w:val="28"/>
          <w:rtl w:val="true"/>
          <w:lang w:bidi="fa-IR"/>
        </w:rPr>
        <w:t>.</w:t>
      </w:r>
      <w:bookmarkStart w:id="57" w:name="pg4760_44048"/>
    </w:p>
    <w:p>
      <w:pPr>
        <w:pStyle w:val="Heading3"/>
        <w:numPr>
          <w:ilvl w:val="2"/>
          <w:numId w:val="1"/>
        </w:numPr>
        <w:rPr/>
      </w:pPr>
      <w:bookmarkStart w:id="58" w:name="__RefHeading___Toc1717337_2035185390"/>
      <w:bookmarkStart w:id="59" w:name="_Toc21"/>
      <w:bookmarkEnd w:id="57"/>
      <w:bookmarkEnd w:id="58"/>
      <w:r>
        <w:rPr>
          <w:rtl w:val="true"/>
        </w:rPr>
        <w:t>«</w:t>
      </w:r>
      <w:r>
        <w:rPr>
          <w:rtl w:val="true"/>
        </w:rPr>
        <w:t>هرمنوتیک قصدگرا</w:t>
      </w:r>
      <w:r>
        <w:rPr>
          <w:rtl w:val="true"/>
        </w:rPr>
        <w:t>»</w:t>
      </w:r>
      <w:bookmarkEnd w:id="59"/>
    </w:p>
    <w:p>
      <w:pPr>
        <w:pStyle w:val="Heading4"/>
        <w:numPr>
          <w:ilvl w:val="3"/>
          <w:numId w:val="1"/>
        </w:numPr>
        <w:rPr/>
      </w:pPr>
      <w:bookmarkStart w:id="60" w:name="__RefHeading___Toc1717339_2035185390"/>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میان اندیشمندان قصدگرا نیز طیف‌های مختلفی وجود دارد و متفکران این جریان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 تنها به بررسی اجمالی آرای سه تن از اندیشمندان</w:t>
      </w:r>
    </w:p>
    <w:p>
      <w:pPr>
        <w:pStyle w:val="BookText"/>
        <w:rPr/>
      </w:pPr>
      <w:r>
        <w:rPr>
          <w:rFonts w:ascii="IRNazanin" w:hAnsi="IRNazanin" w:eastAsia="IRNazanin"/>
          <w:color w:val="111111"/>
          <w:sz w:val="28"/>
          <w:sz w:val="28"/>
          <w:szCs w:val="28"/>
          <w:rtl w:val="true"/>
          <w:lang w:bidi="fa-IR"/>
        </w:rPr>
        <w:t>قصدگرا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متفکر مورد بحث شلایر ماخر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نگاهی روش‌شناسانه و ابزاری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کشف معنای نهانی و غایی و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وی معنای غایی وجود دارد و ما باید به کمک ابزار و روش هرمنوتیک، آن معنا را پیدا کنیم و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دربارة علم هرمنوتیک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هرمنوتیک دقیقاً به همان شیوه عمل می‌کند که کودک معنای کلمه‌ای تازه را درک می‌کند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شلایرماخر در آن است که علم هرمنوتیک را در مقام فن یا صناعت فهم ترتیب می‌دهد که با این وسیله می‌توان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دینی و چه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فهم در مقام فن عبارتست از دوباره تجربه کردن اعمال ذهنی مؤلف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یا مؤلف، جمله‌ای می‌سازد و شنونده در ساختارهای آن جمله و آن تفکر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مرکب از دوسویه‌ی در هم‌کنش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وسیع‌تر لفظ، حیات روانی مؤلف بر همه چیز محیط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شلایرماخر از قصدگرایان شاخص برای تأویل متن دو راه زیر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دستوری؛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فنی</w:t>
      </w:r>
    </w:p>
    <w:p>
      <w:pPr>
        <w:pStyle w:val="BookText"/>
        <w:rPr/>
      </w:pPr>
      <w:r>
        <w:rPr>
          <w:rFonts w:ascii="IRNazanin" w:hAnsi="IRNazanin" w:eastAsia="IRNazanin"/>
          <w:color w:val="111111"/>
          <w:sz w:val="28"/>
          <w:sz w:val="28"/>
          <w:szCs w:val="28"/>
          <w:rtl w:val="true"/>
          <w:lang w:bidi="fa-IR"/>
        </w:rPr>
        <w:t>در تأویل دستوری قواعد دستوری به شکل زبانی، مورد توجه قرار می‌گیرد و در تأویل فنی با درک زبان و أفق تاریخی و ذهن مؤلف، می‌توان نیت و قصد او را بازسازی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پژوهش حاضر رویکردی اندیشه‌شناسانه دارد و جریان هرمنوتیک در زمینه مباحث روش‌شناسی، بیش از روشهای دیگر متداول است، از</w:t>
      </w:r>
    </w:p>
    <w:p>
      <w:pPr>
        <w:pStyle w:val="BookText"/>
        <w:rPr/>
      </w:pPr>
      <w:r>
        <w:rPr>
          <w:rFonts w:ascii="IRNazanin" w:hAnsi="IRNazanin" w:eastAsia="IRNazanin"/>
          <w:color w:val="111111"/>
          <w:sz w:val="28"/>
          <w:sz w:val="28"/>
          <w:szCs w:val="28"/>
          <w:rtl w:val="true"/>
          <w:lang w:bidi="fa-IR"/>
        </w:rPr>
        <w:t>میان نحله‌های گوناگون هرمنوتیک، هرمنوتیک روشی از نوع قصدگرا را که در بررسی اندیشه‌های سیاسی کاربرد بیشتری دارد،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دستاوردها و اندوخته‌های علمی خود را درباره روش‌شناسی و متدلوژی در کتابش با عنوان ماکیاولی به کار برده است؛ به همین دلیل برای درک بهتر مباحث</w:t>
      </w:r>
    </w:p>
    <w:p>
      <w:pPr>
        <w:pStyle w:val="BookText"/>
        <w:rPr/>
      </w:pPr>
      <w:r>
        <w:rPr>
          <w:rFonts w:ascii="IRNazanin" w:hAnsi="IRNazanin" w:eastAsia="IRNazanin"/>
          <w:color w:val="111111"/>
          <w:sz w:val="28"/>
          <w:sz w:val="28"/>
          <w:szCs w:val="28"/>
          <w:rtl w:val="true"/>
          <w:lang w:bidi="fa-IR"/>
        </w:rPr>
        <w:t>روش شناسی اسکینر به بررسی این کتاب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ماکیاولی از انتشارات دانشگاه اکسفورد در سال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اسکینر نتیجه‌ی مباحث روش‌شناسی خود را در آن به اجرا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چهار فصل و با عناوین زیر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ماکیاولی در مقام دیپلمات؛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رایزن شهریاران؛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 آزادی؛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نگارنده‌ی تاریخ فلورانس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محتوای کتاب بر می‌آید، اسکینر توجه خاصی به زمینه‌های فرهنگی، اجتماعی و محیطی دارد و معتقد است این زمینه‌ها در شکل‌گیری و تأثیر بر اندیشه‌ی ماکیاولی نقش مهمی 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ماکیاول را نماد کاملی از تفکراومانیستی عصر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بخش عمده‌ای از کتاب ماکیاولی را به شرح و توضیح معنایی اختصاص داده</w:t>
      </w:r>
    </w:p>
    <w:p>
      <w:pPr>
        <w:pStyle w:val="BookText"/>
        <w:rPr/>
      </w:pPr>
      <w:r>
        <w:rPr>
          <w:rFonts w:ascii="IRNazanin" w:hAnsi="IRNazanin" w:eastAsia="IRNazanin"/>
          <w:color w:val="111111"/>
          <w:sz w:val="28"/>
          <w:sz w:val="28"/>
          <w:szCs w:val="28"/>
          <w:rtl w:val="true"/>
          <w:lang w:bidi="fa-IR"/>
        </w:rPr>
        <w:t xml:space="preserve">که ماکیاولی از واژه‌ی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تمام کاری را که در صدد انجام آن است در مقدمه کتاب آورده است، به ویژه آنجا که وی فهم نظریه و اندیشه‌ی ماکیاول را منوط به بازشناسی آثار و بازسازی فضای فکری و محیطی ایتالیا و فلسفه‌های قبل از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من این است که برای فهم نظریه‌ها و تعالیم ماکیاولی باید مشکلاتی را از لابه لای غبار زمان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و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نوشته‌هایش در باره‌ی فلسفه‌ی سیاسی، خویشتن را با آن‌ها مواجه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برای رسیدن به چنین دیدگاهی باید محیطی را که این آثار در آن تصنیف شده بازآفرینی کنیم؛ یعنی محیط فکری فلسفه یونان و روم و فلسفه رنسانس و نیز محیط سیاسی زندگی در دولت شهرهای ایتالیا در اوایل سده‌ی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بازگرداندن ماکیاولی به جهانی که اندیشه‌های وی در آن شکل گرفته، خواهیم توانست کم کم قدر حمله‌ی</w:t>
      </w:r>
      <w:bookmarkStart w:id="62" w:name="pg4760_44052"/>
    </w:p>
    <w:p>
      <w:pPr>
        <w:pStyle w:val="BookText"/>
        <w:rPr/>
      </w:pPr>
      <w:bookmarkEnd w:id="62"/>
      <w:r>
        <w:rPr>
          <w:rFonts w:ascii="IRNazanin" w:hAnsi="IRNazanin" w:eastAsia="IRNazanin"/>
          <w:color w:val="111111"/>
          <w:sz w:val="28"/>
          <w:sz w:val="28"/>
          <w:szCs w:val="28"/>
          <w:rtl w:val="true"/>
          <w:lang w:bidi="fa-IR"/>
        </w:rPr>
        <w:t>فوق العاده بدیع و بی‌سابقه او را به اصول مسلم و</w:t>
      </w:r>
    </w:p>
    <w:p>
      <w:pPr>
        <w:pStyle w:val="BookText"/>
        <w:rPr/>
      </w:pPr>
      <w:r>
        <w:rPr>
          <w:rFonts w:ascii="IRNazanin" w:hAnsi="IRNazanin" w:eastAsia="IRNazanin"/>
          <w:color w:val="111111"/>
          <w:sz w:val="28"/>
          <w:sz w:val="28"/>
          <w:szCs w:val="28"/>
          <w:rtl w:val="true"/>
          <w:lang w:bidi="fa-IR"/>
        </w:rPr>
        <w:t>متداول اخلاق در آن روزگار بدانیم و به ارزش آن‌ها پی ببریم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717341_2035185390"/>
      <w:bookmarkStart w:id="64" w:name="_Toc23"/>
      <w:bookmarkEnd w:id="63"/>
      <w:r>
        <w:rPr>
          <w:rtl w:val="true"/>
        </w:rPr>
        <w:t>نکته‌ها</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ماکیاولی برای اسکینر امری حیاتی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فهم نظریه‌های ماکیاولی، بازسازی فضا و زمانی است که او در آن می‌زیسته و شناسایی مشکلات عصر او که به قول اسکینر در دو کتاب شهریار</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گفتارها</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محیطی که این آثار در آن تصنیف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از نظر اسکینر بر دو گونه زیربوده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محیط فکری و فرهنگی در هرمنوتیک قصدگرا؛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محیط سیاسی و اجتماعی در هرمنوتیک قصدگرا</w:t>
      </w:r>
      <w:bookmarkStart w:id="65" w:name="pg4760_44053"/>
    </w:p>
    <w:p>
      <w:pPr>
        <w:pStyle w:val="Heading4"/>
        <w:numPr>
          <w:ilvl w:val="3"/>
          <w:numId w:val="1"/>
        </w:numPr>
        <w:rPr/>
      </w:pPr>
      <w:bookmarkStart w:id="66" w:name="__RefHeading___Toc1717343_2035185390"/>
      <w:bookmarkStart w:id="67" w:name="_Toc24"/>
      <w:bookmarkEnd w:id="65"/>
      <w:bookmarkEnd w:id="66"/>
      <w:r>
        <w:rPr>
          <w:rtl w:val="true"/>
        </w:rPr>
        <w:t>تبلور محیط فکری از نظر اسکینر</w:t>
      </w:r>
      <w:bookmarkEnd w:id="67"/>
    </w:p>
    <w:p>
      <w:pPr>
        <w:pStyle w:val="BookText"/>
        <w:rPr/>
      </w:pPr>
      <w:r>
        <w:rPr>
          <w:rFonts w:ascii="IRNazanin" w:hAnsi="IRNazanin" w:eastAsia="IRNazanin"/>
          <w:color w:val="111111"/>
          <w:sz w:val="28"/>
          <w:sz w:val="28"/>
          <w:szCs w:val="28"/>
          <w:rtl w:val="true"/>
          <w:lang w:bidi="fa-IR"/>
        </w:rPr>
        <w:t xml:space="preserve">فلسفه یونان و روم، فلسفه‌ی رنسانس و ایدئولوژی‌ها و مکاتبی چون اومانیزم است و زندگی در دولت شهرهای ایتالیا در اوایل سده‌ی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مصداق محیط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به زمینه‌های خانوادگی و روان‌شناسی، گروه هم سالان، تأثیر اساتید و شخصیت‌های تأثیرگذار در محتوای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اندیشه علمای وابسته به بازشناسی آثار و بازسازی فضای فکری و محیطی بغداد و ایران و جریانهای فکری و ایدئولوژی‌های رایج معاصر و ما قبل از دوره مورد نظر نیز این گونهاند و بدون بازسازی فضای فکری عالمان نمیتوانیم فهم صحیحی از اندیشه‌های سیاسی آنان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دو گونه محیط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فکری و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فکری رایج امامیه مانند اصولیان و اهل حدیث، مباحث امامت و غیبت، جریانهای غالب فکری اهل تسنن و دیدگاه علمای امامیه دربارة رهبری جامعه امامیه و چگونگی اجرای احکام به ویژه احکام حکومتی از مهمترین دغدغه‌های فکری و فرهنگی این عصر به شمار می‌آید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سیاسی و اجتماعی بغداد که مرکز خلافت جهان اسلام بود و نیز</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بغداد و نیز ایران که بخش مهمی از سرزمین‌های شرقی جهان اسلام راتشکیل می‌داد و همچنین توجه به پایگاه اجتماعی و پیشینه‌ی خانوادگی عالمان این عصر از مباحث محوری محیط سیاسی و اجتماعی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منظور بازآفرینی اندیشه‌های سیاسی و عملکردهای عالمان امامیه، ابتدا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مفاهیم محوری و کلیدی اندیشه‌ی علمای امامیه ارزیابی می‌کنیم سپس این مفاهیم بنیادی را در زمینه‌ی زبانی قرار داده، به شیوه‌ی به کارگیری این واژه‌ها با توجه به زمینه‌های فکری و سیاسی و اجتماعی توجه خواهیم کرد؛ همچنان که اسکینر در مباحث مربوط به زبان معتقد است که به طور کلی هر مفهومی در بستر خاص و مورد استعمال آن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اساسی دیگر قصد و نیت کلی عالمان</w:t>
      </w:r>
    </w:p>
    <w:p>
      <w:pPr>
        <w:pStyle w:val="BookText"/>
        <w:rPr/>
      </w:pPr>
      <w:r>
        <w:rPr>
          <w:rFonts w:ascii="IRNazanin" w:hAnsi="IRNazanin" w:eastAsia="IRNazanin"/>
          <w:color w:val="111111"/>
          <w:sz w:val="28"/>
          <w:sz w:val="28"/>
          <w:szCs w:val="28"/>
          <w:rtl w:val="true"/>
          <w:lang w:bidi="fa-IR"/>
        </w:rPr>
        <w:t>از طرح مفاهیم و معانی مورد نظر است که به اعتقاد نگارنده به منظور حفظ انسجام جامعه‌ی امامیه از چنددستگی، طرح و نحوه‌ی اجرای فرامین دینی و احکام حکومتی در عصر غیبت، جلوگیری از نفوذ عقاید دیگر فرق اسلامی و تداوم حیات فکری و سیاسی و اجتماعی امامیه در عصر غیبت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به طرح ایدئولوژی‌های رایج و مکاتب فکری اهل تسنن و تقابل آن با آراءِ اندیشمندان شیعی و تأثیر آن بر اندیشه‌های سیاسی علما و تقابل</w:t>
      </w:r>
    </w:p>
    <w:p>
      <w:pPr>
        <w:pStyle w:val="BookText"/>
        <w:rPr/>
      </w:pPr>
      <w:r>
        <w:rPr>
          <w:rFonts w:ascii="IRNazanin" w:hAnsi="IRNazanin" w:eastAsia="IRNazanin"/>
          <w:color w:val="111111"/>
          <w:sz w:val="28"/>
          <w:sz w:val="28"/>
          <w:szCs w:val="28"/>
          <w:rtl w:val="true"/>
          <w:lang w:bidi="fa-IR"/>
        </w:rPr>
        <w:t>با آراء اهل تسنن، و غلبه‌ی مذهب فقهی حنفی در عصر سلجوقیان و سرکوب معتزلیان و اهل تصوف که جریانهای عقل‌گرایانه‌ی جهان اسلام را تشکیل می‌دادند و دغدغه‌های فکری جهان تسنن مانند رابطه‌ی بین خلافت و سلطنت و همکاری میان خلیفه و سلطان،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در بخش دیگری از کتاب ماکیاولی به زمینه‌های اومانیستی در فضای فکری ایتالیا و فلورانس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ایتالیای آن روز تفکرات اومانیستی آن چنان شایع بود که داوطلبان برای دیپلمات شدن می‌بایست مدرکی معتبر دال بر مهارت در یکی از رشته‌های علوم انسانی ارائه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در روش شناسی خود به اومانیسم رایجی که ماکیاول متأثر از آن بود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بازسازی فضای فکری و محیطی ایتالیا قبل از تولد ماکیاول می‌پردازد و بحث خود را با توجه به زندگی شخصی و خانوادگی او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اسکینر مهم است که پدر ماکیاولی چه کاره بوده، از چه خانواده و جایگاه و موقعیت اقتصادی و اجتماعی برخوردار بوده و حتی مشرب فکری پدر ماکیاول را نیز در نظرداشته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ماکیاولی نه ثروتمند بود و نه از اشراف درجه اول؛ امّا با عالی‌ترین محافل اومانیستی شهر ارتباط</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برناردو، پدر ماکیاول، حقوق‌دان بود و از این راه امرار معاش می‌کرد و در عین حال سخت اهل ادب و علوم انسانی 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برناردو، ماکیاولی را به فراگیری زبان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محافل اومانیستی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 و سرپرستی علمی او را به اومانیست‌های بزرگ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تقلیدی بود که اومانیست‌ها به تبعیت از شاهکاری نثر قدیم لاتین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به تأثیر شخصیت‌های با نفوذ، اوضاع و احوال ایتالیا و محیط خارج از آن یعنی دربار فرانسه اشاره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مشاهدات ماکیاولی از اوضاع و احوال نابسامان و اسف بار ایتالیا به ویژه فلورانس در مأموریت‌های دیپلماتیک ماکیاول و نیز تأثیری که از محیط خارج از ایتالیا، یعنی دربار فرانسه ایجاد شده است، برای اسکینر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ماکیاولی در این زمان با اشخاص صاحب نفوذی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دوک بزرگ، یولوسیوس، پاپ جدید و ماکسیمیلیان امپراطور روم حشر و نشر داشته است که هر کدام به نوعی در شکل‌گیری و تکوین اندیشه‌ی سیاسی او نقش برجسته‌ای ایفا کرده‌اند و نیز از تأثیرهای ژرف خاندان مدیچی‌ها بر ماکیاولی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اسکینر در بررسی ماکیاولی بدان می‌پردازد در واقع در تأثیر درونی سازی و دیالکتیک فرد و جامعه در شکل‌گیری هویت وشخصیت و به تبع آن اندیشه فرد و در نتیجه معنابخشی به مفاهیم جهان و اصطلاحات نقش کلیدی و محوری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رساله‌ی حاضر نیز نمی‌توان از تأثیر اساتید و افراد با نفوذ و مکاتبی مانند اصول گرایی، نقل گرایی که اندیشمند از آن بهره می‌گیرد، غافل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اسکینر، بخش بعدی کتاب خود را با طرح بازسازی فضا و محیط فلورانس و اقدامات خانواده مدیچی‌ها آغاز کرده و با موشکافی عمیق در صدد تبیین اوضاع و احوال سیاسی، اجتماعی و فرهنگی ایتالیا و به ویژه فلورانس است تا بدین گونه اندیشه‌های ماکیاولی را که برگرفته از آن وضعیت است، بازگو و در حقیقت این مطلب را بیان کند که به قول هگل هر اندیشمندی محصول زمانه خود و به نوعی ترجمان مسائل عصر خود است؛ البته نه بدان معنا که دامنه‌ی اندیشه‌ی متفکران تنها محصور و محدود به زمینه محیطی و زمانه اوست؛ بلکه مقصود توجه به زمینه‌های خاص زمانی و محیطی اندیشمند است و از این جهت و در این راستا بازسازی اوضاع و احوال محیطی و سیاسی و اجتماعی بغداد که بیشتر علمای امامیه در این مکان مستقر بودند و نیز اوضاع و احوال سیاسی و فکری شیعیان و دغدغه‌های آنان</w:t>
      </w:r>
    </w:p>
    <w:p>
      <w:pPr>
        <w:pStyle w:val="BookText"/>
        <w:rPr/>
      </w:pPr>
      <w:r>
        <w:rPr>
          <w:rFonts w:ascii="IRNazanin" w:hAnsi="IRNazanin" w:eastAsia="IRNazanin"/>
          <w:color w:val="111111"/>
          <w:sz w:val="28"/>
          <w:sz w:val="28"/>
          <w:szCs w:val="28"/>
          <w:rtl w:val="true"/>
          <w:lang w:bidi="fa-IR"/>
        </w:rPr>
        <w:t>و نیز اوضاع موطن و زادگاه هر عالم نقش بسزایی برای فهم درست و مناسب از دیدگاه‌ها و اندیشه‌های سیاسی و مذهبی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دیگر اسکینر در بارة ماکیاول توجه به کلید واژه‌های موردنظر ماکیاول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معنای واژه‌ها و مفاهیم را نه به صورت جوهری و ذاتی بلکه در استعمال و کاربردشان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اسکینر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را با توجه به اندیشه‌های اومانیستی روم باستان می‌آورد وآن را نه امر مذموم، بلکه به عنوان امری که هدایت ایزدی را به دنبال دارد،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ماکیاولی تسلیم تقدیر شدن پذیرفتنی نیست، ولی به هر حال بخت را واقعیتی انکارناپذیر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مهم و محوری دیگری که اسکینر تعابیر و معناهای بسیاری را از زبان ماکیاولی مطرح می‌کند،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انقلاب ماکیاولی در اندرز نامه نگاری برای شهریاران به تعریف جدید او از مفهوم محوری ویرتو باز می‌گردد که نام آن رشته از صفاتی است که شهریار را قادر می‌سازد با بخت اتحاد کرده و به کسب شرف، افتخار و نام بلند مفتخر نشود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68" w:name="pg4760_44059"/>
    </w:p>
    <w:p>
      <w:pPr>
        <w:pStyle w:val="BookText"/>
        <w:rPr/>
      </w:pPr>
      <w:bookmarkEnd w:id="68"/>
      <w:r>
        <w:rPr>
          <w:rFonts w:ascii="IRNazanin" w:hAnsi="IRNazanin" w:eastAsia="IRNazanin"/>
          <w:color w:val="111111"/>
          <w:sz w:val="28"/>
          <w:sz w:val="28"/>
          <w:szCs w:val="28"/>
          <w:rtl w:val="true"/>
          <w:lang w:bidi="fa-IR"/>
        </w:rPr>
        <w:t xml:space="preserve">البته اسکینر در کتابهای دیگرش همچون شهریار و گفتارها معانی وسیع و گسترده‌تری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شهریار صفت ویرتو را ویژه فرمانروایان و نخبگان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گفتارها این صفت را به شهروندان نیز تسری می‌دهد و برای بنای شهری با عظمت، داشتن این صفت را برای تمام شهروندان لازم می‌داند</w:t>
      </w:r>
      <w:r>
        <w:rPr>
          <w:rFonts w:eastAsia="IRNazanin" w:cs="IRNazanin"/>
          <w:color w:val="111111"/>
          <w:sz w:val="28"/>
          <w:szCs w:val="28"/>
          <w:rtl w:val="true"/>
          <w:lang w:bidi="fa-IR"/>
        </w:rPr>
        <w:t>.</w:t>
      </w:r>
    </w:p>
    <w:p>
      <w:pPr>
        <w:pStyle w:val="Heading4"/>
        <w:numPr>
          <w:ilvl w:val="3"/>
          <w:numId w:val="1"/>
        </w:numPr>
        <w:rPr/>
      </w:pPr>
      <w:bookmarkStart w:id="69" w:name="__RefHeading___Toc1717345_2035185390"/>
      <w:bookmarkStart w:id="70" w:name="_Toc25"/>
      <w:bookmarkEnd w:id="69"/>
      <w:r>
        <w:rPr>
          <w:rtl w:val="true"/>
        </w:rPr>
        <w:t>نتیجه</w:t>
      </w:r>
      <w:r>
        <w:rPr>
          <w:rtl w:val="true"/>
        </w:rPr>
        <w:t>:</w:t>
      </w:r>
      <w:bookmarkEnd w:id="70"/>
    </w:p>
    <w:p>
      <w:pPr>
        <w:pStyle w:val="BookText"/>
        <w:rPr/>
      </w:pPr>
      <w:r>
        <w:rPr>
          <w:rFonts w:ascii="IRNazanin" w:hAnsi="IRNazanin" w:eastAsia="IRNazanin"/>
          <w:color w:val="111111"/>
          <w:sz w:val="28"/>
          <w:sz w:val="28"/>
          <w:szCs w:val="28"/>
          <w:rtl w:val="true"/>
          <w:lang w:bidi="fa-IR"/>
        </w:rPr>
        <w:t>برای فهم و درک اندیشه‌ی سیاسی علمای امامیه و نیز تفهیم رابطه بین معنا و زمینه در اندیشه‌ی علما، روش هرمنوتیکی و معناکاوانه را به کار می‌بریم که می‌توان</w:t>
      </w:r>
    </w:p>
    <w:p>
      <w:pPr>
        <w:pStyle w:val="BookText"/>
        <w:rPr/>
      </w:pPr>
      <w:r>
        <w:rPr>
          <w:rFonts w:ascii="IRNazanin" w:hAnsi="IRNazanin" w:eastAsia="IRNazanin"/>
          <w:color w:val="111111"/>
          <w:sz w:val="28"/>
          <w:sz w:val="28"/>
          <w:szCs w:val="28"/>
          <w:rtl w:val="true"/>
          <w:lang w:bidi="fa-IR"/>
        </w:rPr>
        <w:t>این مباحث را در پنج مرحله زیر بیان کرد</w:t>
      </w:r>
      <w:r>
        <w:rPr>
          <w:rFonts w:eastAsia="IRNazanin" w:cs="IRNazanin"/>
          <w:color w:val="111111"/>
          <w:sz w:val="28"/>
          <w:szCs w:val="28"/>
          <w:rtl w:val="true"/>
          <w:lang w:bidi="fa-IR"/>
        </w:rPr>
        <w:t>:</w:t>
      </w:r>
    </w:p>
    <w:p>
      <w:pPr>
        <w:pStyle w:val="Heading3"/>
        <w:numPr>
          <w:ilvl w:val="2"/>
          <w:numId w:val="1"/>
        </w:numPr>
        <w:rPr/>
      </w:pPr>
      <w:bookmarkStart w:id="71" w:name="__RefHeading___Toc1717347_2035185390"/>
      <w:bookmarkStart w:id="72" w:name="_Toc26"/>
      <w:bookmarkEnd w:id="71"/>
      <w:r>
        <w:rPr>
          <w:rtl w:val="true"/>
        </w:rPr>
        <w:t>مراحل روش‌شناسی اسکینر</w:t>
      </w:r>
      <w:bookmarkEnd w:id="72"/>
    </w:p>
    <w:p>
      <w:pPr>
        <w:pStyle w:val="Heading4"/>
        <w:numPr>
          <w:ilvl w:val="3"/>
          <w:numId w:val="1"/>
        </w:numPr>
        <w:rPr/>
      </w:pPr>
      <w:bookmarkStart w:id="73" w:name="__RefHeading___Toc1717349_203518539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روش هرمنوتیک اسکینری که در عرصه‌ی اندیشه‌شناسی کاربرد بیشتری دارد، ترکیبی از گرایشهای زمینه محور و متن محور در نظریه‌های هرمنوتیک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متشکل از پنج مرحله در پاسخ به پنج سؤال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نوشتن یک متن نسبت به متون دیگر که زمینه ایدئولوژیک را تشکیل می‌دهد، چه کاری انجام داده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نوشتن متن نسبت به کنش سیاسی موجود چه کاری انجام داده است؟</w:t>
      </w:r>
      <w:bookmarkStart w:id="75" w:name="pg4760_44060"/>
    </w:p>
    <w:p>
      <w:pPr>
        <w:pStyle w:val="BookText"/>
        <w:rPr/>
      </w:pPr>
      <w:bookmarkEnd w:id="7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ایدئولوژی‌ها، نقد و تحول آنها چگونه باید بررسی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ایدئولوژی سیاسی و کنش سیاسی وجود دارد و این رابطه چه تأثیری در رفتار سیاسی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اندیشه‌ها و کنش‌های سیاسی درترویج و به هنجارسازی، تحول ایدئولوژیک نقش دارند؟</w:t>
      </w:r>
    </w:p>
    <w:p>
      <w:pPr>
        <w:pStyle w:val="BookText"/>
        <w:rPr/>
      </w:pPr>
      <w:r>
        <w:rPr>
          <w:rFonts w:ascii="IRNazanin" w:hAnsi="IRNazanin" w:eastAsia="IRNazanin"/>
          <w:color w:val="111111"/>
          <w:sz w:val="28"/>
          <w:sz w:val="28"/>
          <w:szCs w:val="28"/>
          <w:rtl w:val="true"/>
          <w:lang w:bidi="fa-IR"/>
        </w:rPr>
        <w:t>پنج مرحله‌ی تشکیل دهنده‌ی تحلیل یک موضوع در پاسخ به پنج سؤال فوق الذکر، به قرار ذیل است</w:t>
      </w:r>
      <w:r>
        <w:rPr>
          <w:rFonts w:eastAsia="IRNazanin" w:cs="IRNazanin"/>
          <w:color w:val="111111"/>
          <w:sz w:val="28"/>
          <w:szCs w:val="28"/>
          <w:rtl w:val="true"/>
          <w:lang w:bidi="fa-IR"/>
        </w:rPr>
        <w:t>:</w:t>
      </w:r>
    </w:p>
    <w:p>
      <w:pPr>
        <w:pStyle w:val="Heading4"/>
        <w:numPr>
          <w:ilvl w:val="3"/>
          <w:numId w:val="1"/>
        </w:numPr>
        <w:rPr/>
      </w:pPr>
      <w:bookmarkStart w:id="76" w:name="__RefHeading___Toc1717351_2035185390"/>
      <w:bookmarkStart w:id="77" w:name="_Toc28"/>
      <w:bookmarkEnd w:id="76"/>
      <w:r>
        <w:rPr>
          <w:rtl w:val="true"/>
        </w:rPr>
        <w:t>مرحله‌ی نخست</w:t>
      </w:r>
      <w:bookmarkEnd w:id="77"/>
    </w:p>
    <w:p>
      <w:pPr>
        <w:pStyle w:val="Heading5"/>
        <w:numPr>
          <w:ilvl w:val="4"/>
          <w:numId w:val="1"/>
        </w:numPr>
        <w:rPr/>
      </w:pPr>
      <w:bookmarkStart w:id="78" w:name="__RefHeading___Toc1717353_2035185390"/>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هر سخن و نوشتاری دارای دو کنش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گفتاری یا گزاره‌ای که همان معنای مطابقی کلام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نویسنده قصد می‌کند، که آن عبارت است از معنای غیرگفتاری کلام و فهم این مسئله که چرا نوشته است؟</w:t>
      </w:r>
    </w:p>
    <w:p>
      <w:pPr>
        <w:pStyle w:val="BookText"/>
        <w:rPr/>
      </w:pPr>
      <w:r>
        <w:rPr>
          <w:rFonts w:ascii="IRNazanin" w:hAnsi="IRNazanin" w:eastAsia="IRNazanin"/>
          <w:color w:val="111111"/>
          <w:sz w:val="28"/>
          <w:sz w:val="28"/>
          <w:szCs w:val="28"/>
          <w:rtl w:val="true"/>
          <w:lang w:bidi="fa-IR"/>
        </w:rPr>
        <w:t>مثلاً یکی از اندرزهای ماکیاولی این است که شهریاران باید یاد بگیرند در چه زمانی فضیلت‌مند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کنش نخست بر آنیم که مفهوم و دلالت</w:t>
      </w:r>
    </w:p>
    <w:p>
      <w:pPr>
        <w:pStyle w:val="BookText"/>
        <w:rPr/>
      </w:pPr>
      <w:r>
        <w:rPr>
          <w:rFonts w:ascii="IRNazanin" w:hAnsi="IRNazanin" w:eastAsia="IRNazanin"/>
          <w:color w:val="111111"/>
          <w:sz w:val="28"/>
          <w:sz w:val="28"/>
          <w:szCs w:val="28"/>
          <w:rtl w:val="true"/>
          <w:lang w:bidi="fa-IR"/>
        </w:rPr>
        <w:t>واژه و معنای مطابقی این سخن را دریابیم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کنش دوم سعی داریم دریابیم چرا ماکیاولی چنین نوشته است و قصد او از این سخن چه بوده است؟</w:t>
      </w:r>
      <w:bookmarkStart w:id="80" w:name="pg4760_44061"/>
    </w:p>
    <w:p>
      <w:pPr>
        <w:pStyle w:val="BookText"/>
        <w:rPr/>
      </w:pPr>
      <w:bookmarkEnd w:id="80"/>
      <w:r>
        <w:rPr>
          <w:rFonts w:ascii="IRNazanin" w:hAnsi="IRNazanin" w:eastAsia="IRNazanin"/>
          <w:color w:val="111111"/>
          <w:sz w:val="28"/>
          <w:sz w:val="28"/>
          <w:szCs w:val="28"/>
          <w:rtl w:val="true"/>
          <w:lang w:bidi="fa-IR"/>
        </w:rPr>
        <w:t>برای پاسخ دادن به این دو پرسش باید متن را در زمینه‌ی زبان‌شناسی یا ایدئولوژیک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قرار دادن متن در مجموعه‌ای از متون رایج آن زمان درباره‌ی همان موضوع یا موضوعات مشابه یا مشترک در شماری از هنجارهای 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مورد اندرز ماکیاولی به شهریاران برای فهم گزاره ماکیاولی فهم زمینه خاص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آثاری است که به ارائه‌ی اندرز به شاه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هنجارهای مرسومی که در این نوشته حاکم است،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هنجارهای مرسوم معاصر ماکیاولی اندرزنامه‌ها بوده است که همواره شاه را به عمل فضیلت‌مندانه پند می‌داده‌اند؛ سپس با قرائت اندرز ماکیاولی در پرتو هنجار مرسوم پی می‌بریم که آنچه او در طرح گزاره‌ی خویش قصد کرده، چیست؟ آیا به چالش کشیدن یک امر معمول و مرسوم اخلاقیِ پذیرفته شده، بوده است؟</w:t>
      </w:r>
    </w:p>
    <w:p>
      <w:pPr>
        <w:pStyle w:val="BookText"/>
        <w:rPr/>
      </w:pPr>
      <w:r>
        <w:rPr>
          <w:rFonts w:ascii="IRNazanin" w:hAnsi="IRNazanin" w:eastAsia="IRNazanin"/>
          <w:color w:val="111111"/>
          <w:sz w:val="28"/>
          <w:sz w:val="28"/>
          <w:szCs w:val="28"/>
          <w:rtl w:val="true"/>
          <w:lang w:bidi="fa-IR"/>
        </w:rPr>
        <w:t>با این روش می‌توان فهمید که مؤلف چه میزان از هنجارهای مرسوم را پذیرفته یا رد کرده یا به چالش کشانده است؟</w:t>
      </w:r>
    </w:p>
    <w:p>
      <w:pPr>
        <w:pStyle w:val="Heading5"/>
        <w:numPr>
          <w:ilvl w:val="4"/>
          <w:numId w:val="1"/>
        </w:numPr>
        <w:rPr/>
      </w:pPr>
      <w:bookmarkStart w:id="81" w:name="__RefHeading___Toc1717355_2035185390"/>
      <w:bookmarkStart w:id="82" w:name="_Toc30"/>
      <w:bookmarkEnd w:id="81"/>
      <w:r>
        <w:rPr>
          <w:rtl w:val="true"/>
        </w:rPr>
        <w:t>نتیجه مرحله نخست</w:t>
      </w:r>
      <w:r>
        <w:rPr>
          <w:rtl w:val="true"/>
        </w:rPr>
        <w:t>:</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متن به عنوان عمل ایدئولوژیک بررسی و مطالعه می‌شود</w:t>
      </w:r>
      <w:r>
        <w:rPr>
          <w:rFonts w:eastAsia="IRNazanin" w:cs="IRNazanin"/>
          <w:color w:val="111111"/>
          <w:sz w:val="28"/>
          <w:szCs w:val="28"/>
          <w:rtl w:val="true"/>
          <w:lang w:bidi="fa-IR"/>
        </w:rPr>
        <w:t>.</w:t>
      </w:r>
      <w:bookmarkStart w:id="83" w:name="pg4760_44062"/>
    </w:p>
    <w:p>
      <w:pPr>
        <w:pStyle w:val="BookText"/>
        <w:rPr/>
      </w:pPr>
      <w:bookmarkEnd w:id="83"/>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بین نکتههای ایدئولوژیک متن که به هنجارهای مرسوم در دسترس مربوط می‌شوند و نکته های ایدئولوژیک مؤلف هنگام نوشتن متن تمایز قایل شد؛ زیرا ممکن است هنجارهای نوشتاری زمان مؤلف با</w:t>
      </w:r>
    </w:p>
    <w:p>
      <w:pPr>
        <w:pStyle w:val="BookText"/>
        <w:rPr/>
      </w:pPr>
      <w:r>
        <w:rPr>
          <w:rFonts w:ascii="IRNazanin" w:hAnsi="IRNazanin" w:eastAsia="IRNazanin"/>
          <w:color w:val="111111"/>
          <w:sz w:val="28"/>
          <w:sz w:val="28"/>
          <w:szCs w:val="28"/>
          <w:rtl w:val="true"/>
          <w:lang w:bidi="fa-IR"/>
        </w:rPr>
        <w:t>هنجارهای امروزی هم‌خوانی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هنجارها را در زمان مؤلف بررسی کرد</w:t>
      </w:r>
      <w:r>
        <w:rPr>
          <w:rFonts w:eastAsia="IRNazanin" w:cs="IRNazanin"/>
          <w:color w:val="111111"/>
          <w:sz w:val="28"/>
          <w:szCs w:val="28"/>
          <w:rtl w:val="true"/>
          <w:lang w:bidi="fa-IR"/>
        </w:rPr>
        <w:t>.</w:t>
      </w:r>
    </w:p>
    <w:p>
      <w:pPr>
        <w:pStyle w:val="Heading4"/>
        <w:numPr>
          <w:ilvl w:val="3"/>
          <w:numId w:val="1"/>
        </w:numPr>
        <w:rPr/>
      </w:pPr>
      <w:bookmarkStart w:id="84" w:name="__RefHeading___Toc1717357_2035185390"/>
      <w:bookmarkStart w:id="85" w:name="_Toc31"/>
      <w:bookmarkEnd w:id="84"/>
      <w:r>
        <w:rPr>
          <w:rtl w:val="true"/>
        </w:rPr>
        <w:t>مرحله‌ی دوم</w:t>
      </w:r>
      <w:bookmarkEnd w:id="85"/>
    </w:p>
    <w:p>
      <w:pPr>
        <w:pStyle w:val="BookText"/>
        <w:rPr/>
      </w:pPr>
      <w:r>
        <w:rPr>
          <w:rFonts w:ascii="IRNazanin" w:hAnsi="IRNazanin" w:eastAsia="IRNazanin"/>
          <w:color w:val="111111"/>
          <w:sz w:val="28"/>
          <w:sz w:val="28"/>
          <w:szCs w:val="28"/>
          <w:rtl w:val="true"/>
          <w:lang w:bidi="fa-IR"/>
        </w:rPr>
        <w:t>خصیصه‌ی عمل ایدئولوژیک به عنوان یک عمل سیاسی بررسی می‌شود، یعنی اینکه مؤلف هنگام تصرف در هنجارهای مرسوم ایدئولوژیکی چه کاری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ماکیاولی چه نکته‌ای در به چالش کشیدن و رد گزاره‌ی اندرز سیاسی مد نظر داشته است؟ برای پاسخگویی به این پرسش می‌بایست متن را در زمینه‌ی عملی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ماکیاولی زمینه‌ی عملی عبارت است از فروپاشی جمهوری فلورانس در سال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میلادی و اختلاف با کشورهایی مثل فرانسه و اسپانیا و پاپ مستقر در 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 دادن متن در زمینه‌ی عملی،گزاره ماکیاولی را می‌توان چنین تعریف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کشور، خشونت و نیرنگ بر خلاف اندرزنامه‌های مرسوم</w:t>
      </w:r>
    </w:p>
    <w:p>
      <w:pPr>
        <w:pStyle w:val="BookText"/>
        <w:rPr/>
      </w:pPr>
      <w:r>
        <w:rPr>
          <w:rFonts w:ascii="IRNazanin" w:hAnsi="IRNazanin" w:eastAsia="IRNazanin"/>
          <w:color w:val="111111"/>
          <w:sz w:val="28"/>
          <w:sz w:val="28"/>
          <w:szCs w:val="28"/>
          <w:rtl w:val="true"/>
          <w:lang w:bidi="fa-IR"/>
        </w:rPr>
        <w:t>ضروری است و برخوردهای فضیلت‌مندانه به طور همیشگی ناموجّه و نامشروع جلوه می‌نماید؛ زیرا مانع کارِ او هنجارهای مرسومی است که تمامی فعالیتهای ناشایست شاهانه را محکوم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او ضرورت داشت تا با آن به چالش پرداخته، نظریههای سیاسی خود را مطرح سازد و آن نیز مستلزم آن بود که شهریار را به ارتکاب طیفی از فعالیتهای ناشایست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از نظر سیاسی با تصرف در هنجارهای مرسوم ایدئولوژیک انجام می‌داد، تلاشی برای توجیه و در نتیجه مشروع ساختن فعالیتهای سیاسی نامناسب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مرحله‌ی دوم به مقایسه‌ی چگونگی</w:t>
      </w:r>
    </w:p>
    <w:p>
      <w:pPr>
        <w:pStyle w:val="BookText"/>
        <w:rPr/>
      </w:pPr>
      <w:r>
        <w:rPr>
          <w:rFonts w:ascii="IRNazanin" w:hAnsi="IRNazanin" w:eastAsia="IRNazanin"/>
          <w:color w:val="111111"/>
          <w:sz w:val="28"/>
          <w:sz w:val="28"/>
          <w:szCs w:val="28"/>
          <w:rtl w:val="true"/>
          <w:lang w:bidi="fa-IR"/>
        </w:rPr>
        <w:t>تلقی یک کنش سیاسی توسط هنجارهای مرسوم یک ایدئولوژی با چگونگی بازتوصیف آن از طریق تصرف در این هنجارها در متن مربوط است؛ یعنی تلقی‌ای که از عمل سیاسی داریم وابسته به آن است که هنجارها را در مرحله‌ی نخست چگونه توصیف و در آن تصرف کرده‌ایم؟ هر کدام واکنش خاص خود را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کنش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انهدام 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ایدئولوژی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نافضیلت‌مند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هنجار تصرف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عمل سیاسی فضیلت مندانه به نافضیلت‌مندانه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کنش سیاسی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دروغ گفتن شهریار برای حفظ کشور</w:t>
      </w:r>
      <w:r>
        <w:rPr>
          <w:rFonts w:eastAsia="IRNazanin" w:cs="IRNazanin"/>
          <w:color w:val="111111"/>
          <w:sz w:val="28"/>
          <w:szCs w:val="28"/>
          <w:rtl w:val="true"/>
          <w:lang w:bidi="fa-IR"/>
        </w:rPr>
        <w:t>)</w:t>
      </w:r>
      <w:bookmarkStart w:id="86" w:name="pg4760_44064"/>
    </w:p>
    <w:p>
      <w:pPr>
        <w:pStyle w:val="Heading4"/>
        <w:numPr>
          <w:ilvl w:val="3"/>
          <w:numId w:val="1"/>
        </w:numPr>
        <w:rPr/>
      </w:pPr>
      <w:bookmarkStart w:id="87" w:name="__RefHeading___Toc1717359_2035185390"/>
      <w:bookmarkStart w:id="88" w:name="_Toc32"/>
      <w:bookmarkEnd w:id="86"/>
      <w:bookmarkEnd w:id="87"/>
      <w:r>
        <w:rPr>
          <w:rtl w:val="true"/>
        </w:rPr>
        <w:t>مرحله سوم</w:t>
      </w:r>
      <w:r>
        <w:rPr>
          <w:rtl w:val="true"/>
        </w:rPr>
        <w:t>:</w:t>
      </w:r>
      <w:bookmarkEnd w:id="88"/>
    </w:p>
    <w:p>
      <w:pPr>
        <w:pStyle w:val="Heading5"/>
        <w:numPr>
          <w:ilvl w:val="4"/>
          <w:numId w:val="1"/>
        </w:numPr>
        <w:rPr/>
      </w:pPr>
      <w:bookmarkStart w:id="89" w:name="__RefHeading___Toc1717361_2035185390"/>
      <w:bookmarkStart w:id="90" w:name="_Toc33"/>
      <w:bookmarkEnd w:id="89"/>
      <w:r>
        <w:rPr>
          <w:rtl w:val="true"/>
        </w:rPr>
        <w:t>توجه به خود ایدئولوژی‌ها</w:t>
      </w:r>
      <w:bookmarkEnd w:id="90"/>
    </w:p>
    <w:p>
      <w:pPr>
        <w:pStyle w:val="BookText"/>
        <w:rPr/>
      </w:pPr>
      <w:r>
        <w:rPr>
          <w:rFonts w:ascii="IRNazanin" w:hAnsi="IRNazanin" w:eastAsia="IRNazanin"/>
          <w:color w:val="111111"/>
          <w:sz w:val="28"/>
          <w:sz w:val="28"/>
          <w:szCs w:val="28"/>
          <w:rtl w:val="true"/>
          <w:lang w:bidi="fa-IR"/>
        </w:rPr>
        <w:t>هنجارهای مرسوم، تشکیل دهنده‌ی مفهوم ایدئولوژی است و مفهوم ایدئولوژی ابزار</w:t>
      </w:r>
    </w:p>
    <w:p>
      <w:pPr>
        <w:pStyle w:val="BookText"/>
        <w:rPr/>
      </w:pPr>
      <w:r>
        <w:rPr>
          <w:rFonts w:ascii="IRNazanin" w:hAnsi="IRNazanin" w:eastAsia="IRNazanin"/>
          <w:color w:val="111111"/>
          <w:sz w:val="28"/>
          <w:sz w:val="28"/>
          <w:szCs w:val="28"/>
          <w:rtl w:val="true"/>
          <w:lang w:bidi="fa-IR"/>
        </w:rPr>
        <w:t>فهم متن است</w:t>
      </w:r>
      <w:r>
        <w:rPr>
          <w:rFonts w:eastAsia="IRNazanin" w:cs="IRNazanin"/>
          <w:color w:val="111111"/>
          <w:sz w:val="28"/>
          <w:szCs w:val="28"/>
          <w:rtl w:val="true"/>
          <w:lang w:bidi="fa-IR"/>
        </w:rPr>
        <w:t>.</w:t>
      </w:r>
    </w:p>
    <w:p>
      <w:pPr>
        <w:pStyle w:val="Heading5"/>
        <w:numPr>
          <w:ilvl w:val="4"/>
          <w:numId w:val="1"/>
        </w:numPr>
        <w:rPr/>
      </w:pPr>
      <w:bookmarkStart w:id="91" w:name="__RefHeading___Toc1717363_2035185390"/>
      <w:bookmarkStart w:id="92" w:name="_Toc34"/>
      <w:bookmarkEnd w:id="91"/>
      <w:r>
        <w:rPr>
          <w:rtl w:val="true"/>
        </w:rPr>
        <w:t xml:space="preserve">هنجارهای مرسوم </w:t>
      </w:r>
      <w:r>
        <w:rPr>
          <w:rtl w:val="true"/>
        </w:rPr>
        <w:t xml:space="preserve">- </w:t>
      </w:r>
      <w:r>
        <w:rPr>
          <w:rtl w:val="true"/>
        </w:rPr>
        <w:t xml:space="preserve">مفهوم ایدئولوژی </w:t>
      </w:r>
      <w:r>
        <w:rPr>
          <w:rtl w:val="true"/>
        </w:rPr>
        <w:t xml:space="preserve">- </w:t>
      </w:r>
      <w:r>
        <w:rPr>
          <w:rtl w:val="true"/>
        </w:rPr>
        <w:t>ابزار فهم متن</w:t>
      </w:r>
      <w:bookmarkEnd w:id="92"/>
    </w:p>
    <w:p>
      <w:pPr>
        <w:pStyle w:val="BookText"/>
        <w:rPr/>
      </w:pPr>
      <w:r>
        <w:rPr>
          <w:rFonts w:ascii="IRNazanin" w:hAnsi="IRNazanin" w:eastAsia="IRNazanin"/>
          <w:color w:val="111111"/>
          <w:sz w:val="28"/>
          <w:sz w:val="28"/>
          <w:szCs w:val="28"/>
          <w:rtl w:val="true"/>
          <w:lang w:bidi="fa-IR"/>
        </w:rPr>
        <w:t>برای فهم ایدئولوژها باید متنهای کوچک آن عصر را پژوهش کرد تا هنجارهای مرسوم، سازنده و کنترل کننده‌ی ایدئولوژی‌های حاکم و روابط درونی آنها شناسایی شود</w:t>
      </w:r>
      <w:r>
        <w:rPr>
          <w:rFonts w:eastAsia="IRNazanin" w:cs="IRNazanin"/>
          <w:color w:val="111111"/>
          <w:sz w:val="28"/>
          <w:szCs w:val="28"/>
          <w:rtl w:val="true"/>
          <w:lang w:bidi="fa-IR"/>
        </w:rPr>
        <w:t>.</w:t>
      </w:r>
    </w:p>
    <w:p>
      <w:pPr>
        <w:pStyle w:val="Heading5"/>
        <w:numPr>
          <w:ilvl w:val="4"/>
          <w:numId w:val="1"/>
        </w:numPr>
        <w:rPr/>
      </w:pPr>
      <w:bookmarkStart w:id="93" w:name="__RefHeading___Toc1717365_2035185390"/>
      <w:bookmarkStart w:id="94" w:name="_Toc35"/>
      <w:bookmarkEnd w:id="93"/>
      <w:r>
        <w:rPr>
          <w:rtl w:val="true"/>
        </w:rPr>
        <w:t xml:space="preserve">متن های کوچک عصر </w:t>
      </w:r>
      <w:r>
        <w:rPr>
          <w:rtl w:val="true"/>
        </w:rPr>
        <w:t xml:space="preserve">- </w:t>
      </w:r>
      <w:r>
        <w:rPr>
          <w:rtl w:val="true"/>
        </w:rPr>
        <w:t>هنجارهای مرسوم</w:t>
      </w:r>
      <w:bookmarkEnd w:id="94"/>
    </w:p>
    <w:p>
      <w:pPr>
        <w:pStyle w:val="BookText"/>
        <w:rPr/>
      </w:pPr>
      <w:r>
        <w:rPr>
          <w:rFonts w:ascii="IRNazanin" w:hAnsi="IRNazanin" w:eastAsia="IRNazanin"/>
          <w:color w:val="111111"/>
          <w:sz w:val="28"/>
          <w:sz w:val="28"/>
          <w:szCs w:val="28"/>
          <w:rtl w:val="true"/>
          <w:lang w:bidi="fa-IR"/>
        </w:rPr>
        <w:t>اما پیروان هگل به جای متنهای کوچک به متون کلاسیک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کلاسیک تجلی خودآگاهی یا ذهنیتهای یک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اسکینر متون بزرگ، بدترین راهنمای شناخت یک دوره‌اند؛ زیرا بیشتر آنها کلاسیک هستند و پدیده‌های رایج عصر را به چالش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بیشتر به نقد می‌پردازند تا واقعیت‌ها و بیشتر آرمان‌گرا هستند و به رخدادها می‌پردازند</w:t>
      </w:r>
      <w:r>
        <w:rPr>
          <w:rFonts w:eastAsia="IRNazanin" w:cs="IRNazanin"/>
          <w:color w:val="111111"/>
          <w:sz w:val="28"/>
          <w:szCs w:val="28"/>
          <w:rtl w:val="true"/>
          <w:lang w:bidi="fa-IR"/>
        </w:rPr>
        <w:t>.</w:t>
      </w:r>
    </w:p>
    <w:p>
      <w:pPr>
        <w:pStyle w:val="Heading5"/>
        <w:numPr>
          <w:ilvl w:val="4"/>
          <w:numId w:val="1"/>
        </w:numPr>
        <w:rPr/>
      </w:pPr>
      <w:bookmarkStart w:id="95" w:name="__RefHeading___Toc1717367_2035185390"/>
      <w:bookmarkStart w:id="96" w:name="_Toc36"/>
      <w:bookmarkEnd w:id="95"/>
      <w:r>
        <w:rPr>
          <w:rtl w:val="true"/>
        </w:rPr>
        <w:t>نتیجه</w:t>
      </w:r>
      <w:r>
        <w:rPr>
          <w:rtl w:val="true"/>
        </w:rPr>
        <w:t>:</w:t>
      </w:r>
      <w:bookmarkEnd w:id="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ایدئولوژیها ارزیابی واقعیتهای زبان‌شناختی کوچک و فراموش شده در کنار متون کلاسیک مؤثرتر است</w:t>
      </w:r>
      <w:r>
        <w:rPr>
          <w:rFonts w:eastAsia="IRNazanin" w:cs="IRNazanin"/>
          <w:color w:val="111111"/>
          <w:sz w:val="28"/>
          <w:szCs w:val="28"/>
          <w:rtl w:val="true"/>
          <w:lang w:bidi="fa-IR"/>
        </w:rPr>
        <w:t>.</w:t>
      </w:r>
      <w:bookmarkStart w:id="97" w:name="pg4760_44065"/>
    </w:p>
    <w:p>
      <w:pPr>
        <w:pStyle w:val="Heading4"/>
        <w:numPr>
          <w:ilvl w:val="3"/>
          <w:numId w:val="1"/>
        </w:numPr>
        <w:rPr/>
      </w:pPr>
      <w:bookmarkStart w:id="98" w:name="__RefHeading___Toc1717369_2035185390"/>
      <w:bookmarkStart w:id="99" w:name="_Toc37"/>
      <w:bookmarkEnd w:id="97"/>
      <w:bookmarkEnd w:id="98"/>
      <w:r>
        <w:rPr>
          <w:rtl w:val="true"/>
        </w:rPr>
        <w:t>مرحله چهارم</w:t>
      </w:r>
      <w:r>
        <w:rPr>
          <w:rtl w:val="true"/>
        </w:rPr>
        <w:t>:</w:t>
      </w:r>
      <w:bookmarkEnd w:id="99"/>
    </w:p>
    <w:p>
      <w:pPr>
        <w:pStyle w:val="Heading5"/>
        <w:numPr>
          <w:ilvl w:val="4"/>
          <w:numId w:val="1"/>
        </w:numPr>
        <w:rPr/>
      </w:pPr>
      <w:bookmarkStart w:id="100" w:name="__RefHeading___Toc1717371_203518539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همانگونه که مرحله‌ی دوم درباره‌ی روشن کردن ارتباط اندیشه و کنش سیاسی در مورد متنی خاص بود، مرحله چهارم نیز درباره‌ی روشن کردن ارتباط اندیشه سیاسی و ایدئولوژی در مورد متنی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سیاسی مانند دموکراسی کارآمد، دیکتاتوری، جرم‌گرا، تقیه،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بین اذهانی تجویزی‌اند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ساخته‌ی ذهن انسان و اعتبار بین انسانهاست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معنی که هم معیار کاربرد و دلالت این واژگان و هم بعد ارزش‌گذاری آنها را مشخص می‌کند و تجویزی به این دلیل که در ضمن توصیف ارزش‌گذاری نیز می‌کنند که بُعدارزش‌گذاری می‌تواند مثبت یا منفی، ستایش‌آمیز یا نکوهش‌آمیز باشد</w:t>
      </w:r>
      <w:r>
        <w:rPr>
          <w:rFonts w:eastAsia="IRNazanin" w:cs="IRNazanin"/>
          <w:color w:val="111111"/>
          <w:sz w:val="28"/>
          <w:szCs w:val="28"/>
          <w:rtl w:val="true"/>
          <w:lang w:bidi="fa-IR"/>
        </w:rPr>
        <w:t>.</w:t>
      </w:r>
    </w:p>
    <w:p>
      <w:pPr>
        <w:pStyle w:val="Heading5"/>
        <w:numPr>
          <w:ilvl w:val="4"/>
          <w:numId w:val="1"/>
        </w:numPr>
        <w:rPr/>
      </w:pPr>
      <w:bookmarkStart w:id="102" w:name="__RefHeading___Toc1717373_2035185390"/>
      <w:bookmarkStart w:id="103" w:name="_Toc39"/>
      <w:bookmarkEnd w:id="102"/>
      <w:r>
        <w:rPr>
          <w:rtl w:val="true"/>
        </w:rPr>
        <w:t>نتیجه</w:t>
      </w:r>
      <w:r>
        <w:rPr>
          <w:rtl w:val="true"/>
        </w:rPr>
        <w:t>:</w:t>
      </w:r>
      <w:bookmarkEnd w:id="103"/>
    </w:p>
    <w:p>
      <w:pPr>
        <w:pStyle w:val="BookText"/>
        <w:rPr/>
      </w:pPr>
      <w:r>
        <w:rPr>
          <w:rFonts w:ascii="IRNazanin" w:hAnsi="IRNazanin" w:eastAsia="IRNazanin"/>
          <w:color w:val="111111"/>
          <w:sz w:val="28"/>
          <w:sz w:val="28"/>
          <w:szCs w:val="28"/>
          <w:rtl w:val="true"/>
          <w:lang w:bidi="fa-IR"/>
        </w:rPr>
        <w:t>واژگان سیاسی در کاربرد رایج خود، کنش سیاسی را توصیف و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ایدئولوژی‌های سیاسی به کنش اجتماعی مشروعیت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نظریه‌های سیاسی را می‌توان به عنوان توجیهاتی برای تغییر یا تقویت هنجارهای مرسوم و حاکم در کاربرد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معنا یا بار ارزشی اصطلاحات یک ایدئولوژی مثلاً تقیه یا امامت بدین سان به ارزیابی مجدد وضعیت سیاسی می‌انجامد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نظریه‌های سیاسی درباره‌ی بحرانهای مشروعیت در زمانه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104" w:name="pg4760_44066"/>
    </w:p>
    <w:p>
      <w:pPr>
        <w:pStyle w:val="BookText"/>
        <w:rPr/>
      </w:pPr>
      <w:bookmarkEnd w:id="104"/>
      <w:r>
        <w:rPr>
          <w:rFonts w:ascii="IRNazanin" w:hAnsi="IRNazanin" w:eastAsia="IRNazanin"/>
          <w:color w:val="111111"/>
          <w:sz w:val="28"/>
          <w:sz w:val="28"/>
          <w:szCs w:val="28"/>
          <w:rtl w:val="true"/>
          <w:lang w:bidi="fa-IR"/>
        </w:rPr>
        <w:t>بحرانها معلول روابط سیاسی در حال دگرگونی و تابع نظریه‌ی نظریه پردازان نیست؛ زیرا زبانی که آن نظریه‌ها در آن نوشته شده‌اند، وظیفه توصیف ماهوی روابط سیاسی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عنوان عامل عِلّی بر رفتاری که در صدد مشروعیت بخشی به آن است، دارای دو نوع تأثیر زیر است</w:t>
      </w:r>
      <w:r>
        <w:rPr>
          <w:rFonts w:eastAsia="IRNazanin" w:cs="IRNazanin"/>
          <w:color w:val="111111"/>
          <w:sz w:val="28"/>
          <w:szCs w:val="28"/>
          <w:rtl w:val="true"/>
          <w:lang w:bidi="fa-IR"/>
        </w:rPr>
        <w:t>:</w:t>
      </w:r>
    </w:p>
    <w:p>
      <w:pPr>
        <w:pStyle w:val="Heading5"/>
        <w:numPr>
          <w:ilvl w:val="4"/>
          <w:numId w:val="1"/>
        </w:numPr>
        <w:rPr/>
      </w:pPr>
      <w:bookmarkStart w:id="105" w:name="__RefHeading___Toc1717375_2035185390"/>
      <w:bookmarkStart w:id="106" w:name="_Toc40"/>
      <w:bookmarkEnd w:id="105"/>
      <w:r>
        <w:rPr>
          <w:rtl w:val="true"/>
        </w:rPr>
        <w:t>انواع تأثیر در ایدئولوژی</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سرکوب کنندگی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تولیدکنندگی</w:t>
      </w:r>
    </w:p>
    <w:p>
      <w:pPr>
        <w:pStyle w:val="BookText"/>
        <w:rPr/>
      </w:pPr>
      <w:r>
        <w:rPr>
          <w:rFonts w:ascii="IRNazanin" w:hAnsi="IRNazanin" w:eastAsia="IRNazanin"/>
          <w:color w:val="111111"/>
          <w:sz w:val="28"/>
          <w:sz w:val="28"/>
          <w:szCs w:val="28"/>
          <w:rtl w:val="true"/>
          <w:lang w:bidi="fa-IR"/>
        </w:rPr>
        <w:t>در نوع نخست؛ تصرف بی‌حساب در هنجارهای مرسوم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نمی‌توانند برای مشروعیت بخشی به هر عمل نامعمولی به کار گرفته شوند</w:t>
      </w:r>
      <w:r>
        <w:rPr>
          <w:rFonts w:eastAsia="IRNazanin" w:cs="IRNazanin"/>
          <w:color w:val="111111"/>
          <w:sz w:val="28"/>
          <w:szCs w:val="28"/>
          <w:rtl w:val="true"/>
          <w:lang w:bidi="fa-IR"/>
        </w:rPr>
        <w:t>.</w:t>
      </w:r>
    </w:p>
    <w:p>
      <w:pPr>
        <w:pStyle w:val="Heading5"/>
        <w:numPr>
          <w:ilvl w:val="4"/>
          <w:numId w:val="1"/>
        </w:numPr>
        <w:rPr/>
      </w:pPr>
      <w:bookmarkStart w:id="107" w:name="__RefHeading___Toc1717377_2035185390"/>
      <w:bookmarkStart w:id="108" w:name="_Toc41"/>
      <w:bookmarkEnd w:id="107"/>
      <w:r>
        <w:rPr>
          <w:rtl w:val="true"/>
        </w:rPr>
        <w:t>ابعاد محدودیت هنجارهای مرسوم</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ایدئولوژیک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سیاسی</w:t>
      </w:r>
    </w:p>
    <w:p>
      <w:pPr>
        <w:pStyle w:val="BookText"/>
        <w:rPr/>
      </w:pPr>
      <w:r>
        <w:rPr>
          <w:rFonts w:ascii="IRNazanin" w:hAnsi="IRNazanin" w:eastAsia="IRNazanin"/>
          <w:color w:val="111111"/>
          <w:sz w:val="28"/>
          <w:sz w:val="28"/>
          <w:szCs w:val="28"/>
          <w:rtl w:val="true"/>
          <w:lang w:bidi="fa-IR"/>
        </w:rPr>
        <w:t>بُعد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گسترش هنجارهای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مرسوم ایدئولوژیک مستلزم توجیه یا بازسازی تحول پذیرفته شده است مانند مثال ماکیاولی که توجیه او عدم عمل فضیلت از شهریار که تغییر بخشی از ایدئولوژی است</w:t>
      </w:r>
      <w:r>
        <w:rPr>
          <w:rFonts w:eastAsia="IRNazanin" w:cs="IRNazanin"/>
          <w:color w:val="111111"/>
          <w:sz w:val="28"/>
          <w:szCs w:val="28"/>
          <w:rtl w:val="true"/>
          <w:lang w:bidi="fa-IR"/>
        </w:rPr>
        <w:t>.</w:t>
      </w:r>
      <w:bookmarkStart w:id="109" w:name="pg4760_44067"/>
    </w:p>
    <w:p>
      <w:pPr>
        <w:pStyle w:val="BookText"/>
        <w:rPr/>
      </w:pPr>
      <w:bookmarkEnd w:id="109"/>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محدودیت، گستره‌ی محدودیتی است که ایدئولوژی بر رفتار سیاسی ایجاد می‌کند که در صدد مشروعیت‌بخشی به آن است؛ مانند استفاده شهریاران آلمان از آموزه‌ی لوتر</w:t>
      </w:r>
      <w:r>
        <w:rPr>
          <w:rFonts w:eastAsia="IRNazanin" w:cs="IRNazanin"/>
          <w:color w:val="111111"/>
          <w:sz w:val="28"/>
          <w:szCs w:val="28"/>
          <w:rtl w:val="true"/>
          <w:lang w:bidi="fa-IR"/>
        </w:rPr>
        <w:t>.</w:t>
      </w:r>
    </w:p>
    <w:p>
      <w:pPr>
        <w:pStyle w:val="Heading5"/>
        <w:numPr>
          <w:ilvl w:val="4"/>
          <w:numId w:val="1"/>
        </w:numPr>
        <w:rPr/>
      </w:pPr>
      <w:bookmarkStart w:id="110" w:name="__RefHeading___Toc1717379_2035185390"/>
      <w:bookmarkStart w:id="111" w:name="_Toc42"/>
      <w:bookmarkEnd w:id="110"/>
      <w:r>
        <w:rPr>
          <w:rtl w:val="true"/>
        </w:rPr>
        <w:t>آموزه‌ی لوتر</w:t>
      </w:r>
      <w:r>
        <w:rPr>
          <w:rtl w:val="true"/>
        </w:rPr>
        <w:t>:</w:t>
      </w:r>
      <w:bookmarkEnd w:id="111"/>
    </w:p>
    <w:p>
      <w:pPr>
        <w:pStyle w:val="BookText"/>
        <w:rPr/>
      </w:pPr>
      <w:r>
        <w:rPr>
          <w:rFonts w:ascii="IRNazanin" w:hAnsi="IRNazanin" w:eastAsia="IRNazanin"/>
          <w:color w:val="111111"/>
          <w:sz w:val="28"/>
          <w:sz w:val="28"/>
          <w:szCs w:val="28"/>
          <w:rtl w:val="true"/>
          <w:lang w:bidi="fa-IR"/>
        </w:rPr>
        <w:t>کلیسا نهادی با قلمرو قدرت خاص و منبعی برای برخورداری از اموال دنیوی گسترده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آموزه شهریاران آلمان برای هدف خود یعنی مشروعیت‌بخشی به مقاومت در برابر قدرت و ثروت پاپ به عنوان ابزار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دیگر اشاعه‌ی ایدئولوژی عامل مولد</w:t>
      </w:r>
    </w:p>
    <w:p>
      <w:pPr>
        <w:pStyle w:val="BookText"/>
        <w:rPr/>
      </w:pPr>
      <w:r>
        <w:rPr>
          <w:rFonts w:ascii="IRNazanin" w:hAnsi="IRNazanin" w:eastAsia="IRNazanin"/>
          <w:color w:val="111111"/>
          <w:sz w:val="28"/>
          <w:sz w:val="28"/>
          <w:szCs w:val="28"/>
          <w:rtl w:val="true"/>
          <w:lang w:bidi="fa-IR"/>
        </w:rPr>
        <w:t>است نه ابزار سرکوب که موجب دگرگونیهایی در خودآگاهی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فرضیه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هنجار مرسوم موجب تغییر در باورها و نظریه‌های اجتماعی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مرسوم ساختن یک تغییر، موجب تغییر در فهم و آگاهی اجتماعی می‌شود؛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موفقیت‌آمیز باارزش یک اصطلاح موجب تغییر در ارزش و نگرش‌های اجتماعی می‌شود</w:t>
      </w:r>
      <w:r>
        <w:rPr>
          <w:rFonts w:eastAsia="IRNazanin" w:cs="IRNazanin"/>
          <w:color w:val="111111"/>
          <w:sz w:val="28"/>
          <w:szCs w:val="28"/>
          <w:rtl w:val="true"/>
          <w:lang w:bidi="fa-IR"/>
        </w:rPr>
        <w:t>.</w:t>
      </w:r>
      <w:bookmarkStart w:id="112" w:name="pg4760_44068"/>
    </w:p>
    <w:p>
      <w:pPr>
        <w:pStyle w:val="Heading4"/>
        <w:numPr>
          <w:ilvl w:val="3"/>
          <w:numId w:val="1"/>
        </w:numPr>
        <w:rPr/>
      </w:pPr>
      <w:bookmarkStart w:id="113" w:name="__RefHeading___Toc1717381_2035185390"/>
      <w:bookmarkStart w:id="114" w:name="_Toc43"/>
      <w:bookmarkEnd w:id="112"/>
      <w:bookmarkEnd w:id="113"/>
      <w:r>
        <w:rPr>
          <w:rtl w:val="true"/>
        </w:rPr>
        <w:t>مرحله‌ی پنجم</w:t>
      </w:r>
      <w:r>
        <w:rPr>
          <w:rtl w:val="true"/>
        </w:rPr>
        <w:t>:</w:t>
      </w:r>
      <w:bookmarkEnd w:id="114"/>
    </w:p>
    <w:p>
      <w:pPr>
        <w:pStyle w:val="Heading5"/>
        <w:numPr>
          <w:ilvl w:val="4"/>
          <w:numId w:val="1"/>
        </w:numPr>
        <w:rPr/>
      </w:pPr>
      <w:bookmarkStart w:id="115" w:name="__RefHeading___Toc1717383_2035185390"/>
      <w:bookmarkStart w:id="116" w:name="_Toc44"/>
      <w:bookmarkEnd w:id="115"/>
      <w:r>
        <w:rPr>
          <w:rtl w:val="true"/>
        </w:rPr>
        <w:t>چگونگی تبدیل تحول ایدئولوژیک به هنجار مرسوم</w:t>
      </w:r>
      <w:r>
        <w:rPr>
          <w:rtl w:val="true"/>
        </w:rPr>
        <w:t>:</w:t>
      </w:r>
      <w:bookmarkEnd w:id="116"/>
    </w:p>
    <w:p>
      <w:pPr>
        <w:pStyle w:val="BookText"/>
        <w:rPr/>
      </w:pPr>
      <w:r>
        <w:rPr>
          <w:rFonts w:ascii="IRNazanin" w:hAnsi="IRNazanin" w:eastAsia="IRNazanin"/>
          <w:color w:val="111111"/>
          <w:sz w:val="28"/>
          <w:sz w:val="28"/>
          <w:szCs w:val="28"/>
          <w:rtl w:val="true"/>
          <w:lang w:bidi="fa-IR"/>
        </w:rPr>
        <w:t>وی دو خط مشی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ایدئولوژیک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ایدئولوژیک گسترش نوآوری مفهومی تا حدودی محصول چگونگی تطبیق آن مفهوم با مکاتب فکری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گسترش لوتریسم با اخذ عناصر همسویی از اومانیستها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توانایی ایدئولوگ‌ها در کنترل ابزارهای ترویج افکار مثل دانشگاه‌ها، مراکز علمی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هر چند برای تأثیرگذاری بر قشر خاصی مثل دانشجویان و اهل علم مؤثر است؛ اما توانایی تحول در عرصه‌های عملی و عمومی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تحول کلان در اندیشه و عمل، چینش ناپایدار روابط قدرت است که زمینه عملی را تشکیل می‌دهد و مناقشات ایدئولوژیک نمود آن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زمینه‌ی عملی مقدم و زیربناست و زمینه ایدئولوژیک هر چند روبناست، نقش وتأثیر مهمی بر زیربنا دارد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17" w:name="pg4760_44069"/>
    </w:p>
    <w:p>
      <w:pPr>
        <w:pStyle w:val="Heading2"/>
        <w:numPr>
          <w:ilvl w:val="1"/>
          <w:numId w:val="1"/>
        </w:numPr>
        <w:rPr/>
      </w:pPr>
      <w:bookmarkStart w:id="118" w:name="__RefHeading___Toc1717385_2035185390"/>
      <w:bookmarkStart w:id="119" w:name="_Toc45"/>
      <w:bookmarkEnd w:id="117"/>
      <w:bookmarkEnd w:id="118"/>
      <w:r>
        <w:rPr>
          <w:rtl w:val="true"/>
        </w:rPr>
        <w:t>بخش دوم</w:t>
      </w:r>
      <w:r>
        <w:rPr>
          <w:rtl w:val="true"/>
        </w:rPr>
        <w:t xml:space="preserve">: </w:t>
      </w:r>
      <w:r>
        <w:rPr>
          <w:rtl w:val="true"/>
        </w:rPr>
        <w:t xml:space="preserve">زمینه‌های عملی، محیطی، سیاسی و اجتماعی امامیه </w:t>
      </w:r>
      <w:r>
        <w:rPr>
          <w:rtl w:val="true"/>
        </w:rPr>
        <w:t>(</w:t>
      </w:r>
      <w:r>
        <w:rPr>
          <w:rtl w:val="true"/>
        </w:rPr>
        <w:t xml:space="preserve">از قرن </w:t>
      </w:r>
      <w:r>
        <w:rPr/>
        <w:t>4</w:t>
      </w:r>
      <w:r>
        <w:rPr>
          <w:rtl w:val="true"/>
        </w:rPr>
        <w:t xml:space="preserve"> </w:t>
      </w:r>
      <w:r>
        <w:rPr>
          <w:rtl w:val="true"/>
        </w:rPr>
        <w:t xml:space="preserve">تا </w:t>
      </w:r>
      <w:r>
        <w:rPr/>
        <w:t>7</w:t>
      </w:r>
      <w:r>
        <w:rPr>
          <w:rtl w:val="true"/>
        </w:rPr>
        <w:t xml:space="preserve"> </w:t>
      </w:r>
      <w:r>
        <w:rPr>
          <w:rtl w:val="true"/>
        </w:rPr>
        <w:t>ه</w:t>
      </w:r>
      <w:r>
        <w:rPr>
          <w:rtl w:val="true"/>
        </w:rPr>
        <w:t xml:space="preserve">-. </w:t>
      </w:r>
      <w:r>
        <w:rPr>
          <w:rtl w:val="true"/>
        </w:rPr>
        <w:t>ق</w:t>
      </w:r>
      <w:r>
        <w:rPr>
          <w:rtl w:val="true"/>
        </w:rPr>
        <w:t>)</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717387_2035185390"/>
      <w:bookmarkStart w:id="121" w:name="_Toc46"/>
      <w:bookmarkEnd w:id="120"/>
      <w:r>
        <w:rPr>
          <w:rtl w:val="true"/>
        </w:rPr>
        <w:t>اشاره</w:t>
      </w:r>
      <w:bookmarkStart w:id="122" w:name="pg4760_44073"/>
      <w:bookmarkEnd w:id="121"/>
    </w:p>
    <w:p>
      <w:pPr>
        <w:pStyle w:val="Heading3"/>
        <w:numPr>
          <w:ilvl w:val="2"/>
          <w:numId w:val="1"/>
        </w:numPr>
        <w:rPr/>
      </w:pPr>
      <w:bookmarkStart w:id="123" w:name="__RefHeading___Toc1717389_2035185390"/>
      <w:bookmarkStart w:id="124" w:name="_Toc47"/>
      <w:bookmarkEnd w:id="122"/>
      <w:bookmarkEnd w:id="123"/>
      <w:r>
        <w:rPr>
          <w:rtl w:val="true"/>
        </w:rPr>
        <w:t>فصل نخست</w:t>
      </w:r>
      <w:r>
        <w:rPr>
          <w:rtl w:val="true"/>
        </w:rPr>
        <w:t xml:space="preserve">: </w:t>
      </w:r>
      <w:r>
        <w:rPr>
          <w:rtl w:val="true"/>
        </w:rPr>
        <w:t xml:space="preserve">زمینه‌های فرهنگی، سیاسی و اجتماعی بغداد </w:t>
      </w:r>
      <w:r>
        <w:rPr>
          <w:rtl w:val="true"/>
        </w:rPr>
        <w:t>(</w:t>
      </w:r>
      <w:r>
        <w:rPr>
          <w:rtl w:val="true"/>
        </w:rPr>
        <w:t>از غیبت کبرا تا حمله مغول</w:t>
      </w:r>
      <w:r>
        <w:rPr>
          <w:rtl w:val="true"/>
        </w:rPr>
        <w:t>)</w:t>
      </w:r>
      <w:bookmarkEnd w:id="124"/>
    </w:p>
    <w:p>
      <w:pPr>
        <w:pStyle w:val="BookText"/>
        <w:rPr/>
      </w:pPr>
      <w:r>
        <w:rPr>
          <w:rFonts w:ascii="IRNazanin" w:hAnsi="IRNazanin" w:eastAsia="IRNazanin"/>
          <w:color w:val="111111"/>
          <w:sz w:val="28"/>
          <w:sz w:val="28"/>
          <w:szCs w:val="28"/>
          <w:rtl w:val="true"/>
          <w:lang w:bidi="fa-IR"/>
        </w:rPr>
        <w:t xml:space="preserve">بغداد از آغاز تأسیس </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ثقل جهان اسلام و بزرگترین پایگاه علمی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فقها و علمای مذاهب اسلامی همچون ابوحنیفه، شافعی، احمدبن حنبل، داوود ظاهری،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بخشی از عمر خویش را در بغداد سپری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سوم هجری خلافت عباسی از اوج اقتدار سیاسی فرود آمد و پس از یک دوران شکوفایی به تدریج رو به افول نهاد، اما همچنان به عنوان مرکز ثقل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جهان اسلام مطرح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قدرتهای سیاسی محلی پرچم استقلال را در سرزمین‌های اسلامی بر افراشتند که مهمترین آن، به قدرت رسیدن آل بویه بود؛ اما علی رغم آنکه توان برچیدن خلافت عباسی را دارا بود، تنها ملاحظات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آنان را به ابقای خلافت ناگزیر ساخت تا آنجا که جز نمادی مذهبی، قدرتی برای</w:t>
      </w:r>
    </w:p>
    <w:p>
      <w:pPr>
        <w:pStyle w:val="BookText"/>
        <w:rPr/>
      </w:pPr>
      <w:r>
        <w:rPr>
          <w:rFonts w:ascii="IRNazanin" w:hAnsi="IRNazanin" w:eastAsia="IRNazanin"/>
          <w:color w:val="111111"/>
          <w:sz w:val="28"/>
          <w:sz w:val="28"/>
          <w:szCs w:val="28"/>
          <w:rtl w:val="true"/>
          <w:lang w:bidi="fa-IR"/>
        </w:rPr>
        <w:t>خلیفه باقی نماند،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عضدالدوله که در سال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ضمیمه قلمرو خود نمود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حکومت یکصد و سیزده ساله آل بویه پنج خلیفه به ظاهر قدرت را در دست داشتند؛ المستکفی بالله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المطیع لله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الطائع لله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القادر باللّه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بامرالله که این فرد تا ورود سلجوقیان بر صحنه سیاست، بر مسند خلافت تکیه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خلیفه نخست یکی پس از دیگری از مقام خود خلع شدند و تنها چهارمین خلیفه یعنی القادر در هنگام خلافت در گذشت و پسرش القائم جانشین او 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امیران بویه‌ای، از نظر مذهبی هیچگونه تعهدی نسبت به خلیفه‌ی عباسی نداشتند و قدرت او را قانونی نمی‌شمردند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دایره</w:t>
      </w:r>
    </w:p>
    <w:p>
      <w:pPr>
        <w:pStyle w:val="BookText"/>
        <w:rPr/>
      </w:pPr>
      <w:r>
        <w:rPr>
          <w:rFonts w:ascii="IRNazanin" w:hAnsi="IRNazanin" w:eastAsia="IRNazanin"/>
          <w:color w:val="111111"/>
          <w:sz w:val="28"/>
          <w:sz w:val="28"/>
          <w:szCs w:val="28"/>
          <w:rtl w:val="true"/>
          <w:lang w:bidi="fa-IR"/>
        </w:rPr>
        <w:t>اختیارات و نفوذ سیاسی او را تنها به داشتن یک منشی برای اداره املاک و رسیدگی به حساب او محدود کردند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بر کنار نکردن خلفای عباسی آن بود که جمعیت بغداد و به طور کلّی عراق و همچنین سپاهیان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نظامهای ملازم پیاده نظام 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سنّی مذهب بودند و آل بویه از احترام گسترده مردم نسبت به مرجعیت خلیفه در عراق و جهان اسلام، برای مشروعیت بخشیدن به قدرت خویش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اجازه‌ی رسمی حکومت را از خلیفه گرفتند و خود را محافظان خلیفه‌ای قلمداد کردند که تنها بازیچه‌ای در دستشان بود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برای کنار نکردن خلیفه عباسی به نفع یک علوی بر حق، آن بود که چنین عملی قدرت خود آل بویه را تنّزل می‌داد و آنان را به تبعیت از خلیفه‌ای علوی وادار می‌ساخت؛ به همین علت معزالدوله که در ابتدا تصمیم داشت یک علوی زیدی را به خلافت برساند، از این اقدام منصرف شد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امرای آل بویه، همچون معزالدوله، رکن الدوله و عضدالدوله مدعیان علوی را توقیف می‌کردند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تصور آل بویه از قدرت، حکومتی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بود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خود را بر سکّه ضرب و در خطبه‌ی نماز جمعه پس از نام خلیفه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خلیفه تنها مرجعیت روحانی انتصابهای دینی سنیّان بغداد را عهده دار بود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ظاهری انتقال قدرت از خلیفه به امیر، به شکل تمرکز نظارت و مدیریت سیاسی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التأسیس بغداد و بر 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بحران هجوم سربازان روم شرقی به شمال بین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النهرین که بغداد را در معرض تهدید حمله خود قرار داد، به خوبی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بر طبق شریعت اهل سنّت وظیفه دفاع و جهاد مسلمانان را بر عهده داشت به دلیل ضعف مالی که حتی تکافوی نیازهای خود خلیفه را هم نمی‌کرد نتوانست به بختیار که از وی برای مقابله با رومیان تأمین هزینه جهاد را درخواست کرده بود، کمک چندانی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تهیه این هزینه ناچار به فروش لباسها و سایر داراییهای شخصی خود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ابوالفضل شیرازی وزیر به منظور تأمین هزینه‌های جنگ بر اهل ذمه مالیاتهای سنگین وضع کرد و به ضبط اموال مسلمانان دولتمند پرداخت و جاسوسانی</w:t>
      </w:r>
    </w:p>
    <w:p>
      <w:pPr>
        <w:pStyle w:val="BookText"/>
        <w:rPr/>
      </w:pPr>
      <w:r>
        <w:rPr>
          <w:rFonts w:ascii="IRNazanin" w:hAnsi="IRNazanin" w:eastAsia="IRNazanin"/>
          <w:color w:val="111111"/>
          <w:sz w:val="28"/>
          <w:sz w:val="28"/>
          <w:szCs w:val="28"/>
          <w:rtl w:val="true"/>
          <w:lang w:bidi="fa-IR"/>
        </w:rPr>
        <w:t>را برای کشف دفینه‌ها گسیل کرد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قدرت میان امیر و خلیفه به معنای جدایی کامل امور دینی از دنیوی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بر این بود که امیر با اتّکا به قدرت الهی و با اجازه‌ی خلیفه حکومت می‌کند و خلیفه از وظایف غیر دینی کاملاً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شعار ایران قدیم درباره سلطنت، یعنی الهی بودن منشأ حکومت دنیوی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سلطنت همزادند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دوره به تحقق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قدرت راه را برای نظامی که بعدها ترکان سلجوقی ادامه دهنده آن بودند، هموار ساخت و بدین وسیله امیر، شاه یا سلطان فرمانروای مطلق و خلیفه به مقامی تشریفاتی تبدیل شد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در نیمه‌ی قرن چهارم و اوایل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قدرت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اعلای رشد خود رسید؛ اما موجودیتی کاملاً یکپارچه نیافته بود؛ بلکه حالت شهری مرکزی داشت که از محله‌هایی نامتجانس با گرایش‌های</w:t>
      </w:r>
    </w:p>
    <w:p>
      <w:pPr>
        <w:pStyle w:val="BookText"/>
        <w:rPr/>
      </w:pPr>
      <w:r>
        <w:rPr>
          <w:rFonts w:ascii="IRNazanin" w:hAnsi="IRNazanin" w:eastAsia="IRNazanin"/>
          <w:color w:val="111111"/>
          <w:sz w:val="28"/>
          <w:sz w:val="28"/>
          <w:szCs w:val="28"/>
          <w:rtl w:val="true"/>
          <w:lang w:bidi="fa-IR"/>
        </w:rPr>
        <w:t>مذهبی و قومی متفاوت تشکیل شده بود و گذشته از کشمکشهای قومی و مذهبی، باز حالتی مجزا داشت و هر محله دارای بازارهای فنون و کسب و کار مخصوص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کرمر، لاسنر جمعیت بغداد را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تعیین کرده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آل بویه برای بغداد عصر شکوفایی فرهنگی و در عین حال زمان تنزل اقتصادی و ناآرامی‌های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حاکمان بغداد با بن‌بست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تأمین خوارک و آذوقه، وسایل بهداشت و آبرسانی، نوسازی شهر و مرمت و نگهداری سدها و از دیگر سو منازعات اجتماعی و مذهبی، نیاز به مبالغ هنگفت و مهارتهای مدبرانه فوق العاده داشت که می‌بایست با وضع مالیاتهای سنگین و مصادره اموال تأمین می‌شد؛ اما اوضاع نابسامان کشاورزی و بحرانهای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وصول مالیات می‌شد و در نتیجه حل مشکلات اقتصادی و اجتماعی این شهر لاینحل ماند تا آنجا که حاکمان بویه برای پرداخت مستمری سپاهیان ناگزیر به اعطای امتیاز زمینها و حقوق مالیاتی به جای پرداخت پول شدند و چون واگذاری این اقطاعات موقتی بود،مالکان آن انگیزه چندانی برای</w:t>
      </w:r>
    </w:p>
    <w:p>
      <w:pPr>
        <w:pStyle w:val="BookText"/>
        <w:rPr/>
      </w:pPr>
      <w:r>
        <w:rPr>
          <w:rFonts w:ascii="IRNazanin" w:hAnsi="IRNazanin" w:eastAsia="IRNazanin"/>
          <w:color w:val="111111"/>
          <w:sz w:val="28"/>
          <w:sz w:val="28"/>
          <w:szCs w:val="28"/>
          <w:rtl w:val="true"/>
          <w:lang w:bidi="fa-IR"/>
        </w:rPr>
        <w:t>زراعت زمین و حفظ نظام آبیاری آن نداشتند و حکومت مرکزی نیز که قادر به کنترل نواحی واگذار شده نبود، به تدریج فئودالیسم شرقی به وجود آمد، که عواقبی فاجعه‌آمیز در دراز مدّت بر اقتصاد خاورمیانه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اشراف فئودال به عنوان یک طبقه حاکم جانشین طبقه‌ی متوسط و زمین داران غیر نظامی شد و به فقر و خشم طبقات متوسط و پایین اجتماع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عواقب زیانبار نظام اقطاع داری را به خوبی توصیف کرده است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خسارات جبران ناپذیری که غفلت از نظام آبیاری در اقطاعات بر کشاورزی وارد کرد، عواقبی چون کمبود مواد غذایی و کاهش در آمد را در پی داشت و بغداد برای تأمین بیشتر مایحتاج خود نیازمند و متکی به واردات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نیز بر اثر راهزنیها و باجهای گزافی که امیرنشینها دریافت می‌کردند، قطع جاده‌های تدارکاتی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مختل شد و در اواخر این دوران و در نتیجه تغییر مسیر بخش عمده‌ی تجارت خاور دور فاطمیان از خلیج فارس به دریای سرخ، تجارت در امیرنشینهای آل بویه بسیار آسیب</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دینار در عراق و جنوب غربی ایران از نیمه‌ی قرن چهارم نشانه‌ای دیگراز تنزل اقتصادی بود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منازعات فرقه‌ای میان شیعیان و سنیان و برخوردهای خشونت بار میان سربازان ترک سنی و دیلمیان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آشفتگی‌های شهر بغداد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سلطان محمود غزنوی در شرق ایران و احیای اصول حنابله در بغداد توسط القادر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تا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سیاسی تشیع متوقف گردید و بار دیگر دوران برتری اهل سنت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غزنویان با تشیع در هر شکل و صورتی عناد داشتند و در دوران این سلسله کتابخانه‌ها به آتش کشیده شد و شخصیت‌های علمی و دینی، شکنجه، تبعید یا بردار کشیده شدند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بزرگ ری در سال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سلطان محمود غزنوی به آتش کشیده شد و معتزله به خراسان تبعید و اصحاب باطنی به دار آویخته شدند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عباسی و محمود غزنوی برای سرکوب مخالفان یا ضبط اموال ثروتمندان از حربه‌ی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جانبداری سامانیان و غزنویان از مذهب تسنن علاوه بر زمینه‌های تربیتی نوعی رقابت با دولت شیعی مذهب آل بویه بود که با تهدید نهاد خلافت، توان بالقوه‌ای برای</w:t>
      </w:r>
    </w:p>
    <w:p>
      <w:pPr>
        <w:pStyle w:val="BookText"/>
        <w:rPr/>
      </w:pPr>
      <w:r>
        <w:rPr>
          <w:rFonts w:ascii="IRNazanin" w:hAnsi="IRNazanin" w:eastAsia="IRNazanin"/>
          <w:color w:val="111111"/>
          <w:sz w:val="28"/>
          <w:sz w:val="28"/>
          <w:szCs w:val="28"/>
          <w:rtl w:val="true"/>
          <w:lang w:bidi="fa-IR"/>
        </w:rPr>
        <w:t>برچیدن نظام خلافت و نیز چیرگی بر امرای محلی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سامانیان و غزنویان، سادات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زیدی یا امامی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چشمگیری برخوردار بودند و در هر شهر نقیب خود را داشتند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گاه مناصب عالی در دولت سامانی داشتند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آنان به دلیل دخالت نکردن در جریانهای سیاسی بود که معلول سنی مذهب بودن أمرای خراسان از طاهریان تاغزنویان بود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امامی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مدعی امامت رسمی در جامعه بود و نه تشکیلات مخفی برای مبارزه با حکومت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برخورداری از تسامح سلاطین غزنوی در خراسان زندگی آرامی داشتند، اما در ری غزنویان با هر نوع اندیشه عقلی و شیعی مخالفت شدید ورزیدند و پیروان آنان را به قتل رساندند یا آواره کردند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طغرل بیگ، نخستین سلطان سلجوقی، بر سلطان مسعودغزنوی، سلسله سلجوقیان روند قدرت‌گیری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بیگ بر خلاف جو سنی‌گری موجود، اهل اعتزال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برگزیدن ابونصر الکندری معروف به عمید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 غالی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منصب وزارت و نیز محفاظت مردم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طغرل بیگ هنگام ورود به بغداد در برابر هجوم سنیان برگرفته از اندیشه اعتزالی طغرل بیک است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گزارشها نمی‌تواند بیانگر گرایشهای شیعی طغرل یا عمیدالملک</w:t>
      </w:r>
    </w:p>
    <w:p>
      <w:pPr>
        <w:pStyle w:val="BookText"/>
        <w:rPr/>
      </w:pPr>
      <w:r>
        <w:rPr>
          <w:rFonts w:ascii="IRNazanin" w:hAnsi="IRNazanin" w:eastAsia="IRNazanin"/>
          <w:color w:val="111111"/>
          <w:sz w:val="28"/>
          <w:sz w:val="28"/>
          <w:szCs w:val="28"/>
          <w:rtl w:val="true"/>
          <w:lang w:bidi="fa-IR"/>
        </w:rPr>
        <w:t>باشد؛ زیرا به گفته ابن خلدون عمید الملک برای لعن روافض و اشاعره از طغرل اجازه گرفت و دستور داد آنان را بر منابر خراسان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قدرت‌گیری سلجوقیان، اوضاع در دارالخلافه بسیار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در نتیجه انتقال پایتخت از تونس به قاهره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سرزمین‌های اسلامی پیشرفت کردند و برخی از امرای دیار بکر و نقاط دیگر الجزیره تبعیت از خلیفه فاطمی را پذیرفته بودند که خطری جدی برای خلافت بغداد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جنگ قدرت میان سلجوقیان و آل بویه بالا گرفت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به بهانه زیارت خانة خدا و اصلاح راه مکه و براندازی خلیفه فاطمی از ری عازم همدان شد و هنگام رسیدن به جلگه عراق عرب به سوی بغداد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دارالخلافه هنوز خطبه به نام ملک رحیم دیلمی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رحیم برای مقابله با طغرل که با خلیفه همداستان شده بود تاآل بویه را براندازند، از واسط عازم بغداد شد اما از آنجا که ابوالحارث ارسلان باسیری، رئیس لشکریان ترک که تمامی اختیارات بغداد در دست او بود و از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مستنصر خلیفه فاطمی پیوسته بود، در رویارویی با طغرل ناکام ماند و بدین ترتیب تسلط آل بویه بر بغداد خاتمه یافت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باسیری از غیبت طغرل در بغداد استفاده کرد و به بغداد تاخت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فاطمی خطبه خواند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یکسال اقامت در بغداد، سرانجام به وسیله‌ی طغرل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طغرل در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آلب ارسلان و ملکشاه تا اواخر قرن پنجم هجری به عنوان قدرتمندترین حکام مستقل کشور اسلامی سلطنت کردند که تقریباً تمامی منطقه اسلامی جز مصر و شمال آفریقا را زیر سلطه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سلجوقیان خلافت و سلطنت به صورت دو نهاد مجزا از هم که خلیفه مسئولیت فعالیتهای مذهبی و سلطان امور دنیوی را در اختیار داشت،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اهداف همکاری این دو نهاد با هم، رهایی خلیفه از زیر سلطه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سلجوقیان بر حیثیت و اعتبار نهاد خلافت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از آن رو که در رأس نهاد مذهبی قرار داشتند، مورد احترام سلاطین سلجوقی قرار می‌گرفتند و این احترام با ارسال مبالغ هنگفتی پول و هدایا ابراز می‌شد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 خود به انتخاب وزرا مبادرت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نهاد وزارت زیر نظر خلیفه قدرت گرفت و وزیر خلیفه همانند وزیر سلطان مأمور متنفذی گردید و حتی مانند سلطان بعضی از اختیارات قانونی و شرعی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حفظ روابط حسنه میان خلیفه و سلطان به وزیر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سلاطین سلجوقی برای انتصاب نمایندگان خود به این مقام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موازنه قدرت میان خلیفه و سلطان در زمان آلب ارسلان بیشتر به دلیل سیاست سازش کارانه نظام الملک و نیز حاضر نبودن سلطان دربغداد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نوعی سلطه بر وزیر خلیفه اعمال می‌شد و پیوندهای خانوادگی بین خلیفه و سلطان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تنشهایی از همان آغاز بین خلیفه و سلطان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سلاطین بزرگ سلجوقی به خلیفه تا زمان مرگ ملکشاه در </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 و خلیفه جز اداره خود بغداد هیچگونه قدرت عرفی و دنیایی در امپراتوری سلجوقی نداشت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مرگ محمدبن ملکشاه، سلاطین سجلوقی گرفتار نزاعهای خانگی</w:t>
      </w:r>
    </w:p>
    <w:p>
      <w:pPr>
        <w:pStyle w:val="BookText"/>
        <w:rPr/>
      </w:pPr>
      <w:r>
        <w:rPr>
          <w:rFonts w:ascii="IRNazanin" w:hAnsi="IRNazanin" w:eastAsia="IRNazanin"/>
          <w:color w:val="111111"/>
          <w:sz w:val="28"/>
          <w:sz w:val="28"/>
          <w:szCs w:val="28"/>
          <w:rtl w:val="true"/>
          <w:lang w:bidi="fa-IR"/>
        </w:rPr>
        <w:t>بر سر تصاحب قدرت شدند و خلیفه در صدد تسلط و دخالت در منازعات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تلاش خلیفه برای کسب قدرت عرفی در عراق یک نبرد ساده نبود، بلکه اوضاع با ورود و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و مزیدیهای شیعی مذهب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صدد سلطه بر بغداد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محمود بن محمد در بغداد ابتدا به وسیله عمویش سلطان سنجر و سپس برادرش مسعود مورد تهدید قرار گرفت؛ ولی او با غلبه بر آنان مالک الرقاب بغداد اعلام شد و نام و نشانش در خطبه و سکه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تاریخ خلافت مبدأ سنت مهمی شد؛ چرا که برای نخستین بار و بدون اینکه سلطان بغداد را تصرف کند به چنین توفیقی دست یافت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محمود تلاشهایی از سوی وی برای دخالت در امور خلیفه انجام گرفت؛ اما با مرگش در سال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مسترشد بود که از نزاع بین داوود بن محمود و برادرش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کرده و مدعیان سیادت بر عراق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سلجوقی عراق با خلیفه درگیر شدند و با قرارداد صلح مبنی بر دخالت نکردن خلیفه در منازعات و پرداخت خراج به مسعود خاتمه یافت؛ اما خلیفه از پذیرش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نیز با توصیه علی بن تیرداد زینبی وزیر سابق مسترشد،</w:t>
      </w:r>
    </w:p>
    <w:p>
      <w:pPr>
        <w:pStyle w:val="BookText"/>
        <w:rPr/>
      </w:pPr>
      <w:r>
        <w:rPr>
          <w:rFonts w:ascii="IRNazanin" w:hAnsi="IRNazanin" w:eastAsia="IRNazanin"/>
          <w:color w:val="111111"/>
          <w:sz w:val="28"/>
          <w:sz w:val="28"/>
          <w:szCs w:val="28"/>
          <w:rtl w:val="true"/>
          <w:lang w:bidi="fa-IR"/>
        </w:rPr>
        <w:t>به عزل مستر شد و جانشینی مقتفی فتوا داد و مقتفی خلیفه منتخب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سلطان مسعود در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سلطان سنجر به دست بیابانگردان غزنه، مقتفی موضع مستقلی در پیش گرفت و تمام املاک و ثروتی که به وسیله‌ی حامیان سلطان اخذ شده بود به وسیله وزیرش ابن هبیره به صورت اقطاع میان هوداران خلیفه تقسیم و ابی هبیره به دلیل تدابیر نظامی علیه امرای سلجوقی، لقب امیرالامراء دریافت کرد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مقتفی اقداماتی نظیر انتخاب غلامان زبده‌ی ارضی و بیزانسی، محکم کردن برج و باروی شهر بغداد و تعبیه خندقهایی در اطراف آن، راه اندازی نظام جاسوسی و اطلاعاتی و سامان بخشیدن به تشکیلات دیوانی ایالات متبوعه، در صدد احیای سلطه دنیایی خود برآمد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مرگ سلطان سنجر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این شرط که عراق از آنِ خلیفه و خراسان از آنِ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نامش را در خطبه و سکه ذکر کرد و ردای حکومت دریافت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این زمان آن قدر بر اوضاع مسلّط شده بود که ملکشاه بن محمود</w:t>
      </w:r>
    </w:p>
    <w:p>
      <w:pPr>
        <w:pStyle w:val="BookText"/>
        <w:rPr/>
      </w:pPr>
      <w:r>
        <w:rPr>
          <w:rFonts w:ascii="IRNazanin" w:hAnsi="IRNazanin" w:eastAsia="IRNazanin"/>
          <w:color w:val="111111"/>
          <w:sz w:val="28"/>
          <w:sz w:val="28"/>
          <w:szCs w:val="28"/>
          <w:rtl w:val="true"/>
          <w:lang w:bidi="fa-IR"/>
        </w:rPr>
        <w:t xml:space="preserve">را که به جای سلیمان ادعای سلطنت می‌کرد، مسموم کرد و سلیمان را نیز در سال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 و وی در زندان جان سپرد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سلاطین سلجوقی با مرگ سلیمان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بن طغرل سعی کرد نامش در خطبه بغداد ذکر شود، اما پیک او از بغداد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سلطان سلجوقی در بغداد با خلیفه درگیر شد اما الناصر او را شکست داد و توانست قلمرو کوچکی ایجاد نماید تا با حق حاکمیت مذهبی که به مددشمشیر به وجود آمده بود، مخالف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سلطه خلیفه به کلی در ایران از بین رفت و حکام کرمان هیچ رابطه سیاسی با خلیفه نداشتند و خراسان هم از نظر سیاسی از خلافت جدا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سلجوقیان اعطای منصب به حاکم منسوخ شد و از خلیفه نیز به عنوان یک نهاد رسمی تمکین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پذیرش و تأیید مرجعیت عالی مذهبی این واقعیت را پنهان ساخت که خلافت تاریخی به صورت یک مرجعیت دنیایی و عزمی در آمده که به وسیله نیروی نظامی حمایت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بررسی اوضاع سیاسی، فرهنگی و اجتماعی بغداد، به مروری کوتاه بر روابط میان خلفا و خوارزمشاهیان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سلطان سنجر، وی یکی از امرای ترک دربارش را به نام انوشتگین به خوارزم فرستاد و حکومت خوارزمشاهیان به وسیله‌ی وی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امیرخوارزم برای رسیدن به حکومتی مستقل از سلجوقیان، توانست به کمک ختائیان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حدفاصل ماوراء النهر و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را شکست دهد و در صدد گرفتن فرمان مستقلی از خلیفه مقتفی برآید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 ارسلان فرزند اتسز، علی رغم افزودن مناطق خراسان چون دهستان و گرگان، نتوانست به استقلال برسد؛ اما در زمان علاء الدین 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ایل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آخرین شاه سلجوقی به وسیله‌ی وی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پس از انقراض این سلسله، عراق عجم وخراسان ضمیمه قلمرو تکش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موافقت خلیفه را برای واگذاری قلمرو سابق سلجوقیان جلب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براندازی دولت غوریان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علاء الدین محمد، دولت خوارزمشاهیان به بزرگترین دولت دنیای اسلام تبدیل شد که قلمرو آن از شرق</w:t>
      </w:r>
    </w:p>
    <w:p>
      <w:pPr>
        <w:pStyle w:val="BookText"/>
        <w:rPr/>
      </w:pPr>
      <w:r>
        <w:rPr>
          <w:rFonts w:ascii="IRNazanin" w:hAnsi="IRNazanin" w:eastAsia="IRNazanin"/>
          <w:color w:val="111111"/>
          <w:sz w:val="28"/>
          <w:sz w:val="28"/>
          <w:szCs w:val="28"/>
          <w:rtl w:val="true"/>
          <w:lang w:bidi="fa-IR"/>
        </w:rPr>
        <w:t>به هند و از غرب به عراق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دولت خوارزمشاهیان در سال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مغول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منکبری علی رغم شایستگی‌هایش نتوانست در برابر مغولان بایستد و سرانجام در </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فردی کرد کشته شد و سلسله خوارزمشاهیان منقرض شد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حکومت خوارزمشاهیان همچنان که گفته شد، آنان در صدد کسب مشروعیت ازخلفای عباسی بودند که به دلیل سلطه سلجوقیان بر نهاد خلافت، خلیفه نتوانست به خواست آنان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انقراض سلجوقیان با به قدرت رسیدن الناصر لدین الله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عباسی، وی کوشید اداره سرزمینهای تحت سلطه سلاجقه را خود عهده دار شود؛ اما درگیریهای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خوارزمشاهیان و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انجامید؛ زیرا هیچ کدام قادر به شکست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نخستین حمله مغول به مناطق مسلمان نشین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سقوط بغداد در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 خلیفه به قدرت رسیدند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 نخستین خلیفه همچنان که گفته شد، فردی مقتدر و دور اندیش و در صدد بازگرداندن اقتدار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فزونی و قوت شیعیان و</w:t>
      </w:r>
    </w:p>
    <w:p>
      <w:pPr>
        <w:pStyle w:val="BookText"/>
        <w:rPr/>
      </w:pPr>
      <w:r>
        <w:rPr>
          <w:rFonts w:ascii="IRNazanin" w:hAnsi="IRNazanin" w:eastAsia="IRNazanin"/>
          <w:color w:val="111111"/>
          <w:sz w:val="28"/>
          <w:sz w:val="28"/>
          <w:szCs w:val="28"/>
          <w:rtl w:val="true"/>
          <w:lang w:bidi="fa-IR"/>
        </w:rPr>
        <w:t>صوفیان، برای تقویت موضع خود نه تنها فردی امامی مذهب به نام سید نصرالدین علوی رازی مازندرانی را به وزارت برگزید؛ بلکه خود نیز گرایش‌های امامی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این خلیفه از چنگیز برای فتح ماوراء النهر دعوت کرده یا خیر، تردید وجود دارد، اما آنچه مسلم است این که مغولان قصد تسخیر جهان اسلام به ویژه مرکز آن، بغداد را داشتند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خود را قدم به قدم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اختلاف میان خوارزمشاهیان و خلافت بغداد به خوبی استفاده کردند؛ الناصر در پاسخ درخواست کمک جلال الدین خوارزمشاه از وی، نه تنها او را یاری نکرد، بلکه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هزار مرد جنگی را</w:t>
      </w:r>
    </w:p>
    <w:p>
      <w:pPr>
        <w:pStyle w:val="BookText"/>
        <w:rPr/>
      </w:pPr>
      <w:r>
        <w:rPr>
          <w:rFonts w:ascii="IRNazanin" w:hAnsi="IRNazanin" w:eastAsia="IRNazanin"/>
          <w:color w:val="111111"/>
          <w:sz w:val="28"/>
          <w:sz w:val="28"/>
          <w:szCs w:val="28"/>
          <w:rtl w:val="true"/>
          <w:lang w:bidi="fa-IR"/>
        </w:rPr>
        <w:t>برای رویارویی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حالی که الناصر سخت گرفتار آشوب مغولان و خوارزمشاهیان بود، در گذشت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فرزندش الظاهر یکسال بر تخت نشست و پس از آن مستنصر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وی تلاشهای موفقیت‌آمیزی برای وحدت میان خلیفه و سلطان صورت گرفت اما با کشته شدن جلال الدین اوضاع ایران آشفته و راه برای نفوذ مغولان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مغولان در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فتح بغداد به شمال عراق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جهاد علما و شرکت فعال مردم در جنگ،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مغولان انجامید، اما با به قدرت رسیدن مستعصم آخرین خلیفه عباسی که منابع تاریخی او را به بی‌کفایتی و اشتغال به لهو و لعب توصیف کرده‌اند، اوضاع بغداد نابسامان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اختلافهای داخلی بود که درمرکز خلافت میان دستگاه اداری و نظامی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با کفایت مستعصم، مؤید الدین 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امامی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خصومت شدید مجاهدالدین دواتدار بود که در رأس دستگاه نظامی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فضای علمی بغداد، حتی در میان اهل سنت، فضایی کاملاً شیعی بود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دواتدار کوشید تا با حمایت ترکان متعصب مستعصم را خلع و پسر ارشدش ابوبکر را به خلافت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دستور حمله نظامیان را به محله شیعه نشین کرخ صادر می‌کرد و برای بدنام کردن وزیر، نامه‌هایی از قول وی به مغولان می‌نوشت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میان وزیر شیعی با فرمانده سنی باعث شد تا بعدها منابع تاریخی شیعیان رامتهم به دست داشتن در براندازی خلافت کنند</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 افتادن عباسیان معلول ضعف و نابسامانی‌های ساختار سیاسی خلافت و تحولات اجتماعی طولانی بود که در سرزمین‌های اسلامی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هولاکوخان در ربیع الثانی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همدان طی نامه‌ای به خلیفه او را به دلیل کمک نکردن در فتح قلعه اسماعیلیان ملامت کرد و در ادامه اظهار داشت که در صورت تسلیم وزیر و دواتدار به او، بغداد از حمله مغولان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اطاعت خود را نشان دهی ما را واجب نباشد کینه ورزیدن، و ولایت و لشکر و رعیت او بماند واگر پند نشنود و سرخفاف و جدل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سرخشم به بغداد لشکر کشم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خان مغول پس از رساندن پیغام خان به خلیفه در هنگام بازگشت مورد اهانت مردم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خلیفه به نصایح وزیر تن نداد و زیر فشار دواتدار پاسخ تندی به وزیرنوشت که پیشنهاد فرستادن اموال برای مغولان را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مغول ضمن حرکت به سوی بغداد بار دیگر خلیفه را به اطاعت از خویش فرا خواند اما خلیفه باز هم در فرستادن وزیر و دواتدار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محاصره مغولان بود که خلیفه خود به وخامت اوضاع پی برد و در صدد برآوردن خواستهای خان مغول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 اظهار داشت شرط فرستادن وزیر در همدان بود نه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احتمال قتل و غارت بسیار وسیع از سوی مغولان اقدامهای برادران جوینی و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مشاوران هلاکوخان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خان مغول فرمانی را مبتنی بر درامان بودن قضات و دانشمندان و علویان و کسانی که با مغولان نجنگند، صادر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 صفر سال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سه فرزندش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اهل شهر و سربازان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نیز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کشته شد و بدین ترتیب سقوط بغداد و انحلال خلافت بزرگترین حادثه تاریخ اسلام در قرون میانه به وقوع پیوست</w:t>
      </w:r>
      <w:r>
        <w:rPr>
          <w:rFonts w:eastAsia="IRNazanin" w:cs="IRNazanin"/>
          <w:color w:val="111111"/>
          <w:sz w:val="28"/>
          <w:szCs w:val="28"/>
          <w:rtl w:val="true"/>
          <w:lang w:bidi="fa-IR"/>
        </w:rPr>
        <w:t>.</w:t>
      </w:r>
      <w:bookmarkStart w:id="125" w:name="pg4760_44095"/>
    </w:p>
    <w:p>
      <w:pPr>
        <w:pStyle w:val="Heading3"/>
        <w:numPr>
          <w:ilvl w:val="2"/>
          <w:numId w:val="1"/>
        </w:numPr>
        <w:rPr/>
      </w:pPr>
      <w:bookmarkStart w:id="126" w:name="__RefHeading___Toc1717391_2035185390"/>
      <w:bookmarkStart w:id="127" w:name="_Toc48"/>
      <w:bookmarkEnd w:id="125"/>
      <w:bookmarkEnd w:id="126"/>
      <w:r>
        <w:rPr>
          <w:rtl w:val="true"/>
        </w:rPr>
        <w:t>فصل دوم</w:t>
      </w:r>
      <w:r>
        <w:rPr>
          <w:rtl w:val="true"/>
        </w:rPr>
        <w:t xml:space="preserve">: </w:t>
      </w:r>
      <w:r>
        <w:rPr>
          <w:rtl w:val="true"/>
        </w:rPr>
        <w:t xml:space="preserve">زمینه‌های فرهنگی، سیاسی و اجتماعی شیعیان </w:t>
      </w:r>
      <w:r>
        <w:rPr>
          <w:rtl w:val="true"/>
        </w:rPr>
        <w:t>(</w:t>
      </w:r>
      <w:r>
        <w:rPr>
          <w:rtl w:val="true"/>
        </w:rPr>
        <w:t>از غیبت کبرا تا حمله مغول</w:t>
      </w:r>
      <w:r>
        <w:rPr>
          <w:rtl w:val="true"/>
        </w:rPr>
        <w:t>)</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717393_2035185390"/>
      <w:bookmarkStart w:id="129" w:name="_Toc49"/>
      <w:bookmarkEnd w:id="128"/>
      <w:r>
        <w:rPr>
          <w:rtl w:val="true"/>
        </w:rPr>
        <w:t>اشاره</w:t>
      </w:r>
      <w:bookmarkStart w:id="130" w:name="pg4760_44097"/>
      <w:bookmarkEnd w:id="129"/>
    </w:p>
    <w:p>
      <w:pPr>
        <w:pStyle w:val="Heading4"/>
        <w:numPr>
          <w:ilvl w:val="3"/>
          <w:numId w:val="1"/>
        </w:numPr>
        <w:rPr/>
      </w:pPr>
      <w:bookmarkStart w:id="131" w:name="__RefHeading___Toc1717395_2035185390"/>
      <w:bookmarkStart w:id="132" w:name="_Toc50"/>
      <w:bookmarkEnd w:id="130"/>
      <w:bookmarkEnd w:id="131"/>
      <w:r>
        <w:rPr>
          <w:rtl w:val="true"/>
        </w:rPr>
        <w:t xml:space="preserve">الف </w:t>
      </w:r>
      <w:r>
        <w:rPr>
          <w:rtl w:val="true"/>
        </w:rPr>
        <w:t xml:space="preserve">- </w:t>
      </w:r>
      <w:r>
        <w:rPr>
          <w:rtl w:val="true"/>
        </w:rPr>
        <w:t>زمینه‌های سیاسی، فرهنگی و اجتماعی شیعیان در دوره غزنویان</w:t>
      </w:r>
      <w:bookmarkEnd w:id="132"/>
    </w:p>
    <w:p>
      <w:pPr>
        <w:pStyle w:val="BookText"/>
        <w:rPr/>
      </w:pPr>
      <w:r>
        <w:rPr>
          <w:rFonts w:ascii="IRNazanin" w:hAnsi="IRNazanin" w:eastAsia="IRNazanin"/>
          <w:color w:val="111111"/>
          <w:sz w:val="28"/>
          <w:sz w:val="28"/>
          <w:szCs w:val="28"/>
          <w:rtl w:val="true"/>
          <w:lang w:bidi="fa-IR"/>
        </w:rPr>
        <w:t>از آن زمان که خلافت به بنی امیه رسید، تحریف مبانی عقیدتی مسلمانان به ویژه شیعیان که پیوسته وامدار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محور کار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رشد و گسترش قلمرو اسلامی و اختلاط عقاید و آموزه‌های دیگر ادیان با آموزه‌های اسلامی و دامن زدن حکام به این امر که به کم رنگ کردن فرهنگ اصیل و متعالی اسلام و در نتیجه بقای بیشتر خلافت آنان می‌انجامید، تحریفها و جعل روایات و احادیث نیز شدت 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گستردگی مناطق اسلامی و دسترسی نداشتن همه آنان به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یک سو و جو فشار و اختناق حکام از سوی دیگر باعث شد تا بیشتر باورهای دینی و مذهبی مردم هم راستا و هم سو با تبلیغات مذهبی حکام قرار گیرد و آن قرائتی از اسلام مورد پذیرش توده مردم قرار گیرد که مورد تأیید سلطان و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بهترین راه برای مقابله با آن، اهتمام امامان شیعه اثنی عشری به تربیت انسانها بر اساس آموزه‌های اسلام ذاتی بود تا بدین وسیله روح حقیقی اسلام از پس پرده اوهام و خرافات و تبلیغات کذب، خویشتن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شهادت حسین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هر گونه قیام و مبارزه مسلحانه یا حتی تأیید این گونه قیامها خودداری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عقیدتی شیعه به طور رسمی و علنی از زمان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شد؛ زیرا در این زمان سلطه بنی‌امیه از میان رفته بود و عباسیان با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از حب خاندان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خراسان قدرت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ناچار بودند با تظاهر به دوستی خاندان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تحکیم پایه‌های حکومتی بپردازند که بر پایه این شعارها، بنیان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سفاح، حسن بن حسن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ارج می‌نهاد و حمایت مالی می‌کرد و حتی برای از بین بردن بازماندگان بنی امیه، به اعمال آنان در حق خاندان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استناد می‌کردند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فاصله زمانی که دوران ضعف خلافت بنی امیه و تلاش بنی عباس برای استقرار و تثبیت قدرت سیاسی است، امام محمدباقر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امام‌جعفرصادق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تدریس و مباحثه و مناظره درباره مسائل فکری و فرهنگی شیعه پرداختند و با تربیت شیعیانی چون هشام بن حکم، هشام بن سالم، حمران بن اعین و ابان بن تغلب به گسترش و رواج اندیشه‌ها و آموزه‌های اسلام اصیل در برابر اسلام تاریخی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تا زمان غیبت دوازدهمین امام شیعیان، ائمه با وجود فشار و اختناق روز افزون، بیشترین فعالیت خویش را در این مسیر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غیبت صغرا نیز امام معصوم در توقیعات خویش هیچ اشاره‌ای به</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عصر خویش ندارد و از همه مهمتر اینکه، سفرای امام از شرکت توده‌های امامیه در فعالیتهای قرامطه و اسماعیلیان جلوگیری کردند و با تأکید بر روایاتی که امامیه را از شرکت در هرگونه قیامی تا پیش از قیام قائم بر حذر می‌داشت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وظیفه شخص قائم در تشکیل حکومت اسلامی،</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گسترش و تداوم کمی و کیفی فعالیتهای شیعیان اثنی عشری را ممکن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امامیه در اتخاذ چنین سیاستی آن زمان آشکار می‌شود که دیگر گروه‌های شیعه یا به کلی از میان رفتند یا در سطحی نازل‌تر از امامیه به حیات خود ادامه دادند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امامی در طول دو و نیم قرن حضور کم و بیش فعالانه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 و عقاید آنان در عرصه‌های مختلف فقهی و کلامی و سیاسی و اجتماعی متحول و به تدریج کامل شده بود و کمتر دچار نوسان شد و در مسیری روشن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غیبت کبرای دوازدهمین امام شیعیان و آغاز دوران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و تا حدودی بلاتکلیفی دامنگیر شیعیان گردید و توازن و تعادل جامعه امامیه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مشخص نبودکه رهبری و امامت شیعه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چگونه اعمال خواهد شد و وظایف شیعیان در چنین وضعیتی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شیعیان که جز افراد معین و محدود که معصومند، هر حاکم دیگری غاصب حق معصوم و ذاتا جائر و ظالم است و نیز روایاتی که شیعیان</w:t>
      </w:r>
    </w:p>
    <w:p>
      <w:pPr>
        <w:pStyle w:val="BookText"/>
        <w:rPr/>
      </w:pPr>
      <w:r>
        <w:rPr>
          <w:rFonts w:ascii="IRNazanin" w:hAnsi="IRNazanin" w:eastAsia="IRNazanin"/>
          <w:color w:val="111111"/>
          <w:sz w:val="28"/>
          <w:sz w:val="28"/>
          <w:szCs w:val="28"/>
          <w:rtl w:val="true"/>
          <w:lang w:bidi="fa-IR"/>
        </w:rPr>
        <w:t>را از یاری و همکاری با سلاطین جائر بر حذر می‌داشت و متخلف از آن را مشمول عذاب الهی قرار می‌داد، جامعه امامیه را در حیرت و بلاتکلیفی قرار داده بود، حتی خود غیبت نیز واکنشهای متفاوتی را در میان شیعیان موجب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توجه به تاریخ تولد امام و طول دوره غیبت صغرا،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برابر با درگذشت امام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می‌دانستند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علمای امامیه نیز با این نظر هم 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نوبختی غیبت امام را برابر با طول دوره زندگی یک انسان عادی می‌دانست و به رحلت امام در دوره‌ی غیبت و جانشینی پسرش معتقد بود و از این طریق امامت تا زمان ظهور امام تداوم می‌یافت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حملات شدید معتزله و زیدیه به غیبت آن حضرت، راویان امامیه را به نگارش آثار روایی 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اشخاصی چون ابن ابی زینب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عناوین دیگری قریب به</w:t>
      </w:r>
    </w:p>
    <w:p>
      <w:pPr>
        <w:pStyle w:val="BookText"/>
        <w:rPr/>
      </w:pPr>
      <w:r>
        <w:rPr>
          <w:rFonts w:ascii="IRNazanin" w:hAnsi="IRNazanin" w:eastAsia="IRNazanin"/>
          <w:color w:val="111111"/>
          <w:sz w:val="28"/>
          <w:sz w:val="28"/>
          <w:szCs w:val="28"/>
          <w:rtl w:val="true"/>
          <w:lang w:bidi="fa-IR"/>
        </w:rPr>
        <w:t>همین مضمون نگاشتند و با طرح مباحث کلامی و استدلالی دربارة غیبت و فلسفه و دلایل آن، کوشیدند از یک سو حضور معصوم را ثابت کنند و از سوی دیگر هر حکومت غیر معصوم را نامشروع قلمداد نمایند و این اطمینان را در میان مردم به وجود آورند که سرانجام امام دوازدهم ظهور خواهد کرد و حکومت عدل الهی را در سطح جهان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تلاشها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به اصلی عقیدتی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امامیّه تا زمان حضور معصوم از ستیزه‌گری و رویارویی مستقیم با حاکمان و خلفای عباسی که از دیرباز مظهر غصب و جور بودند،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برآمدن دولت شیعی مذهب آل بویه، پس از دوران فشار و اختناق خلفای عباسی مورد اقبال عالمان شیعی قرار گرفت و از موقعیت به وجود آمده برای رشد کمی و کیفی آموزه‌های فرهنگی و عقیدتی خویش و گسترش آن در جامعه بهره برداری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پیش از آل بویه نیز حرکت امامیه در راستای خط اعتدالی مبارزات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دوران امامت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شده بود تا امامیه از آن مایه نفوذ سیاسی و اجتماعی برخوردار باشد که سران آل بویه که ابتدا زیدی مذهب</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تشیع دوازده امامی</w:t>
      </w:r>
    </w:p>
    <w:p>
      <w:pPr>
        <w:pStyle w:val="BookText"/>
        <w:rPr/>
      </w:pPr>
      <w:r>
        <w:rPr>
          <w:rFonts w:ascii="IRNazanin" w:hAnsi="IRNazanin" w:eastAsia="IRNazanin"/>
          <w:color w:val="111111"/>
          <w:sz w:val="28"/>
          <w:sz w:val="28"/>
          <w:szCs w:val="28"/>
          <w:rtl w:val="true"/>
          <w:lang w:bidi="fa-IR"/>
        </w:rPr>
        <w:t>روی آورند و بتوانند در مقابل جامعه‌ی سنی مذهب بغداد قد علم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ورود آل بویه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رافضی‌ها زیاد شده بود؛ لذا خلیفه ذمه‌ی خویش را از هر کس که صحابه را به بدی یاد کند، برداشته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شیعیان در مسجد براثا،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 تا برای فرو نشاندن شورش حنابله دستور تخریب آن را درسال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آل بویه توانستند بلافاصله پس از روی کار آمدن، فعالیتهای خویش را برای ترویج شعائر دینی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عاشورا در بغداد از سوی معزالدوله رسماً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زمان جمعیت شیعه به حدی بود که اهل سنت نتوانستند مانع انجام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آل بویه ناچار بودند مصالح سیاسی خویش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تسامح مذهبی آنان نه تنها برای حفظ قدرت خویش، بلکه برای مصون ماندن بغداد از آشوبهایی بود که ویرانیها و آثار مخرب بسیاری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عضدالدوله</w:t>
      </w:r>
    </w:p>
    <w:p>
      <w:pPr>
        <w:pStyle w:val="BookText"/>
        <w:rPr/>
      </w:pPr>
      <w:r>
        <w:rPr>
          <w:rFonts w:ascii="IRNazanin" w:hAnsi="IRNazanin" w:eastAsia="IRNazanin"/>
          <w:color w:val="111111"/>
          <w:sz w:val="28"/>
          <w:sz w:val="28"/>
          <w:szCs w:val="28"/>
          <w:rtl w:val="true"/>
          <w:lang w:bidi="fa-IR"/>
        </w:rPr>
        <w:t>برای فرو نشاندن درگیریها، وعاظ شیعه و سنی را از بیان عقایدشان منع کرد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عالمان شیعه با برخورداری از آزادی نسبی احادیث و عقاید خود را در قالب کتابها و رساله‌ها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فقه شیعه نسبت به سایر علوم دینی رشد چشمگیرتری داشت؛ زیرا در این دوره با شروع غیبت کبرا و دسترسی نداشتن عموم به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تکاپوی جدیدی از سوی فقهای شیعه برای یافتن احکام الهی و تبیین و بیان وظایف مکلفان آغاز شد که زمینه ساز ظهور سه جریان اهل حدیث، اهل قیاس و اهل اجتهاد گردید که در فصول آتی بررسی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غزنویان در شرق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مذهب تسنن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جدی در راه گسترش و رشد تشیع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دولت سامانی منشعب شده و با تشیع به هر شکل و صورتی مخالف بودند و به مبارزه برخاستند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باسورث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امامی که از وجود امام حاضر مهجور بودند و تشکیلات مخفی برای مبارزه با غزنویان نداشتند، از آزادی بیشتری نسبت به سایر فرق شیعه برخوردار بودند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بیشتری در تاریخ شیعه در این دوره می‌توان دریافت که شیعیان زیدی و امامی در خراسان از نفوذ چشمگیری برخوردار بودند و در هر شهر نقیب خود را داشتند؛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ری، در جریان سرنگون کردن آل بویه</w:t>
      </w:r>
      <w:bookmarkStart w:id="133" w:name="pg4760_44106"/>
    </w:p>
    <w:p>
      <w:pPr>
        <w:pStyle w:val="BookText"/>
        <w:rPr/>
      </w:pPr>
      <w:bookmarkEnd w:id="133"/>
      <w:r>
        <w:rPr>
          <w:rFonts w:ascii="IRNazanin" w:hAnsi="IRNazanin" w:eastAsia="IRNazanin"/>
          <w:color w:val="111111"/>
          <w:sz w:val="28"/>
          <w:sz w:val="28"/>
          <w:szCs w:val="28"/>
          <w:rtl w:val="true"/>
          <w:lang w:bidi="fa-IR"/>
        </w:rPr>
        <w:t>با هر نوع اندیشه عقلی و شیعی مخالفت ورزیدند و پیروان آنان را به قتل رسانده یا آواره کردند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کتابخانه ری را سوزاندند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تمامی خاندانی که تحت حاکمیت خلفای عباسی بودند و خلفا آنان را به رسمیت شناخته بودند، از مذهب خلفای وقت پیروی کرده، به مبارزه و سرکوب گروه‌های مذهب مخالف می‌پرداختند، به ویژه فرقه‌ها یا گروههایی که موجودیت سیاسی خلیفه یا سلطان را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شیعیان اسماعیلی که در اندیشه مسلّط شدن بر جهان اسلام بودند، بیش از دیگر گروه‌های شیعه هدف حملات غزنویان بودند و حتی دیگر مخالفان غزنویان با</w:t>
      </w:r>
    </w:p>
    <w:p>
      <w:pPr>
        <w:pStyle w:val="BookText"/>
        <w:rPr/>
      </w:pPr>
      <w:r>
        <w:rPr>
          <w:rFonts w:ascii="IRNazanin" w:hAnsi="IRNazanin" w:eastAsia="IRNazanin"/>
          <w:color w:val="111111"/>
          <w:sz w:val="28"/>
          <w:sz w:val="28"/>
          <w:szCs w:val="28"/>
          <w:rtl w:val="true"/>
          <w:lang w:bidi="fa-IR"/>
        </w:rPr>
        <w:t>اتهام قرمطی بودن از صحنه حذف می‌شدند و نیز اموال ثروتمندان را با همین افترا ضبط و مصادره می‌کردند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1717397_2035185390"/>
      <w:bookmarkStart w:id="135" w:name="_Toc51"/>
      <w:bookmarkEnd w:id="134"/>
      <w:r>
        <w:rPr>
          <w:rtl w:val="true"/>
        </w:rPr>
        <w:t xml:space="preserve">ب </w:t>
      </w:r>
      <w:r>
        <w:rPr>
          <w:rtl w:val="true"/>
        </w:rPr>
        <w:t xml:space="preserve">- </w:t>
      </w:r>
      <w:r>
        <w:rPr>
          <w:rtl w:val="true"/>
        </w:rPr>
        <w:t xml:space="preserve">زمینه‌های فکری </w:t>
      </w:r>
      <w:r>
        <w:rPr>
          <w:rtl w:val="true"/>
        </w:rPr>
        <w:t xml:space="preserve">- </w:t>
      </w:r>
      <w:r>
        <w:rPr>
          <w:rtl w:val="true"/>
        </w:rPr>
        <w:t>مذهبی و سیاسی اجتماعی شیعیان در دوره سلجوقیان</w:t>
      </w:r>
      <w:bookmarkEnd w:id="135"/>
    </w:p>
    <w:p>
      <w:pPr>
        <w:pStyle w:val="Heading5"/>
        <w:numPr>
          <w:ilvl w:val="4"/>
          <w:numId w:val="1"/>
        </w:numPr>
        <w:rPr/>
      </w:pPr>
      <w:bookmarkStart w:id="136" w:name="__RefHeading___Toc1717399_2035185390"/>
      <w:bookmarkStart w:id="137" w:name="_Toc52"/>
      <w:bookmarkEnd w:id="136"/>
      <w:r>
        <w:rPr>
          <w:rtl w:val="true"/>
        </w:rPr>
        <w:t>اشاره</w:t>
      </w:r>
      <w:bookmarkEnd w:id="13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شیعیان قوی‌ترین گروه اصولی و فرهنگی دنیای اسلام</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سلجوقیان با برافتادن خاندان آل بویه، شیعیان پشتوانه سیاسی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کوشیدند تا از هرگونه درگیری با حاکمیت یا دیگر فرق اسلامی بپرهیزند؛ زیرا در اقلیت به سر می‌بردند و در صورت جدال و ستیز متضرر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شیوه مبارزه منفی یعنی تربیت عناصر ورزیده فرهنگی و نفوذ در ساختار دولت سلجوقی در سطوح بالای حاکمیت حضور خود را به اثبات رسانده و به عنوان نیروی مذهبی برتر در جامعه، هویت مذهبی و فرهنگی خویش را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بررسی وضعیت سیاسی شیعیان این عصر مطرح شد، تا زمان ملکشاه سلجوقی که نظام الملک بر مسند وزارت بود، تمامی فرق شیعه در مضیقه و تنگنا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تعصبها و نزاعهای فرقه‌ای نیز در قرن چهارم و پنجم به اوج خود رسیده بود و از این رهگذر علما و بزرگان بسیاری قربانی این نزاعها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حاکم نیز با فقه شافعی و حنبلی بود و این ناشی از تأسیس مدارس نظامیه به وسیله‌ی نظام الملک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تا هم</w:t>
      </w:r>
    </w:p>
    <w:p>
      <w:pPr>
        <w:pStyle w:val="BookText"/>
        <w:rPr/>
      </w:pPr>
      <w:r>
        <w:rPr>
          <w:rFonts w:ascii="IRNazanin" w:hAnsi="IRNazanin" w:eastAsia="IRNazanin"/>
          <w:color w:val="111111"/>
          <w:sz w:val="28"/>
          <w:sz w:val="28"/>
          <w:szCs w:val="28"/>
          <w:rtl w:val="true"/>
          <w:lang w:bidi="fa-IR"/>
        </w:rPr>
        <w:t xml:space="preserve">با رقیب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خویش، فاطمیان مصر، مقابله کنند و هم نیروی لازم را برای نظام دیوان سالاری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گیریهای خواجه بر شیعیان و تسلّط فکری مدارس نظامیه بر اذهان، توان نمود علنی عقاید و اندیشه‌های شیعی را در این زمان از امامیه گرفته بود و به همین دلیل در این دوره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اما با مرگ خواجه و به وزارت رسیدن تاج الملک ابوالغنایم و تأسیس و رواج مدارس تاجیه که در تقابل با مدارس نظامیه بود، رشد و گسترش تشیع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شیعیان</w:t>
      </w:r>
    </w:p>
    <w:p>
      <w:pPr>
        <w:pStyle w:val="BookText"/>
        <w:rPr/>
      </w:pPr>
      <w:r>
        <w:rPr>
          <w:rFonts w:ascii="IRNazanin" w:hAnsi="IRNazanin" w:eastAsia="IRNazanin"/>
          <w:color w:val="111111"/>
          <w:sz w:val="28"/>
          <w:sz w:val="28"/>
          <w:szCs w:val="28"/>
          <w:rtl w:val="true"/>
          <w:lang w:bidi="fa-IR"/>
        </w:rPr>
        <w:t>نه تنها در دربار سلاجقه؛ بلکه حتی در دستگاه عباسی نیز به وزارت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هبة اللّه محمدبن‌علی وزیر المستظهر</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الدین انوشیروان خالد کاشانی وزیر المسترشد شدند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برکیارق جانشین ملکشاه اختلافها و درگیریها میان شیعه و سنی همچنان ادامه داشت و از آنجا که در بغداد و دستگاه حاکمیت غلبه با نیروی ترکِ سنی مذهب بود، شیعیان همواره در معرض تهدید و شکنجه و</w:t>
      </w:r>
    </w:p>
    <w:p>
      <w:pPr>
        <w:pStyle w:val="BookText"/>
        <w:rPr/>
      </w:pPr>
      <w:r>
        <w:rPr>
          <w:rFonts w:ascii="IRNazanin" w:hAnsi="IRNazanin" w:eastAsia="IRNazanin"/>
          <w:color w:val="111111"/>
          <w:sz w:val="28"/>
          <w:sz w:val="28"/>
          <w:szCs w:val="28"/>
          <w:rtl w:val="true"/>
          <w:lang w:bidi="fa-IR"/>
        </w:rPr>
        <w:t>قتل قرار داشتند؛ دبیر نقیب بغداد، طراد بن محمد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الملک ابوالفضل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سلطان برکیارق که به دست سپاهیانِ سلطان و بی اذن و در حضور وی، به قتل رسیدند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مجد الملک بر مذهب تشیع بود و اقدامات بسیاری برای تأمین حقوق از دست رفته سادات و علویون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محمد بن ملکشاه جانشین برکیارق، که پسر نظام الملک وزیر بود علی رغم میل باطنی وی، حضور شیعیان در درباراجتناب‌ناپذیر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ترکان در این دوره تمایلات شیعی داشتند و با شیعیان همراه شده بودند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بررسی حوادث دوران سلطان محمد چنین بر می‌آید که وی نظر مساعدی نسبت به شیعیان امامی داشته و در مناظره‌های علمی و جنگهایش با اسماعیلیان که با او سخت در نزاع بودند، از شیعیان امامی استفاده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نزدیکی شیعیان به ترکان که به تدریج در قرن پنجم و ششم پدید آمد،</w:t>
      </w:r>
    </w:p>
    <w:p>
      <w:pPr>
        <w:pStyle w:val="BookText"/>
        <w:rPr/>
      </w:pPr>
      <w:r>
        <w:rPr>
          <w:rFonts w:ascii="IRNazanin" w:hAnsi="IRNazanin" w:eastAsia="IRNazanin"/>
          <w:color w:val="111111"/>
          <w:sz w:val="28"/>
          <w:sz w:val="28"/>
          <w:szCs w:val="28"/>
          <w:rtl w:val="true"/>
          <w:lang w:bidi="fa-IR"/>
        </w:rPr>
        <w:t>موجب شد تا بسیاری از ترکان به تشیع روی آورده و دست مناقب خوانان را آزاد گذارند و از سر اعتقاد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داران آنان را نیکو دارند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نمادهای قدرت‌گیری شیعیان در قرن پنجم هجری راه اندازی جریان مناقب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مناقبیان از زمان به قدرت رسیدن آل بویه در عراق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قصیده‌های شاعران شیعی مذهب را که در مدح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جملات معینی که به این کار اختصاص داشت،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آنان در قرن ششم هجری قوامی رازی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جریان، اهل سنت نیز جریان فضایل خوانی را به خدمت گرفتند و در معابر و بازارها فضایل ابوبکر و عمر را به شعر می‌خواندند و می‌کوشیدند اثر تبلیغات شیعیان را تضعیف سازند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و پنجم هجری که اوج اختلافات مذهبی بود، علم کلام در از پای در آوردن رقبای مذهبی فوق العاده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تألیفات کتب حدیثی و کلامی عالمان شیعی بیانگر آن است که شیعیان بیش از هر زمان دیگر هم در کانون توجه و هم در معرض انتقادات و حملات بسیار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متکلّمان برجسته و توانایی که در عصر خویش سرآمد بودند، از مواضع و عقاید شیعی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با رسوخ دغدغه‌های مذهبی و تعصبات دینی در میان عموم مسلمانان و توجه آنان به مسائل مذهبی و نیز تشویق و بزرگداشت مقامات رسمی از تعلیم علوم نقلی، فقه و فقاهت اهمیت ویژه‌ای در میان سایر علوم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مدارس مذهبی و موقوفات فراوان، تمایل به علوم عقلی را کاهش داد تا آنجا که یادگیری علوم عقلی امری مذموم محسوب می‌شد و طالبان علم در صورت تمایل به فراگیری این علوم، آن را در خارج از مدارس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ساخت مدارس علوم دینی به قبل از نظام الملک باز می‌گشت، پرداخت مقرری ماهیانه و مرتب و شبانه روزی بودن این مدارس از ابتکارهای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دروس فقه، تفسیر و حدیث، صرف و نحو، لغت و ادب و حساب که فقه نیازمند آن بود و طب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فرقه‌ای به تناسب نیاز دارای مدارس علوم دینی مختص به خود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سنی به واسطه روابطشان با قدرت، دارای امکانات مادی بیشتر بودند و مراکز آموزشی شیعیان در این دوره در شهرهای ری، قزوین، آوه، قم، مازندران و کاشان مستقربود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38" w:name="pg4760_44112"/>
    </w:p>
    <w:p>
      <w:pPr>
        <w:pStyle w:val="BookText"/>
        <w:rPr/>
      </w:pPr>
      <w:bookmarkEnd w:id="138"/>
      <w:r>
        <w:rPr>
          <w:rFonts w:ascii="IRNazanin" w:hAnsi="IRNazanin" w:eastAsia="IRNazanin"/>
          <w:color w:val="111111"/>
          <w:sz w:val="28"/>
          <w:sz w:val="28"/>
          <w:szCs w:val="28"/>
          <w:rtl w:val="true"/>
          <w:lang w:bidi="fa-IR"/>
        </w:rPr>
        <w:t xml:space="preserve">بیشتر علمای برجسته امامیه در این دوره با اتخاذ روش معتدل و موقعیّت‌شناسی توانستند نه تنها ریاست علمی جامعه شیعه، بلکه پستهای حساس علمی را نیز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شوند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برتری‌های علمی و فرهنگی شیعیان مرهون گشوده شدن باب اجتهاد و تحرک و پویایی فقه شیعه نسبت به اهل سنت باشد که معتقد به انسداد باب اجتهاد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شیعیان امامیه در عرصه سیاست به دلیل نوع نگرش و تفاسیر آنان از نصوص دینی نتوانستند با سیر طبیعی نظام‌های سیاسی موجود هم آهنگ شوند که این ناهماهنگی تبعات منفی بسیاری در زمینه‌های سیاسی و اجتماعی برای شیعیان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مفصل این مقوله در فصل بعد خواهد آمد</w:t>
      </w:r>
      <w:r>
        <w:rPr>
          <w:rFonts w:eastAsia="IRNazanin" w:cs="IRNazanin"/>
          <w:color w:val="111111"/>
          <w:sz w:val="28"/>
          <w:szCs w:val="28"/>
          <w:rtl w:val="true"/>
          <w:lang w:bidi="fa-IR"/>
        </w:rPr>
        <w:t>.</w:t>
      </w:r>
    </w:p>
    <w:p>
      <w:pPr>
        <w:pStyle w:val="Heading5"/>
        <w:numPr>
          <w:ilvl w:val="4"/>
          <w:numId w:val="1"/>
        </w:numPr>
        <w:rPr/>
      </w:pPr>
      <w:bookmarkStart w:id="139" w:name="__RefHeading___Toc1717401_2035185390"/>
      <w:bookmarkStart w:id="140" w:name="_Toc53"/>
      <w:bookmarkEnd w:id="139"/>
      <w:r>
        <w:rPr>
          <w:rtl w:val="true"/>
        </w:rPr>
        <w:t>زمینه‌های سیاسی شیعیان در دوره سلجوقیان</w:t>
      </w:r>
      <w:bookmarkEnd w:id="140"/>
    </w:p>
    <w:p>
      <w:pPr>
        <w:pStyle w:val="BookText"/>
        <w:rPr/>
      </w:pPr>
      <w:r>
        <w:rPr>
          <w:rFonts w:ascii="IRNazanin" w:hAnsi="IRNazanin" w:eastAsia="IRNazanin"/>
          <w:color w:val="111111"/>
          <w:sz w:val="28"/>
          <w:sz w:val="28"/>
          <w:szCs w:val="28"/>
          <w:rtl w:val="true"/>
          <w:lang w:bidi="fa-IR"/>
        </w:rPr>
        <w:t>به طور کلی اوضاع سیاسی شیعیان در عصر سلجوقی تداوم سیاست‌های مذهبی دوره غزنویان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سلجوقی نیز سنی مذهبان حنفی بودندکه سیاست مذهبی خود را</w:t>
      </w:r>
    </w:p>
    <w:p>
      <w:pPr>
        <w:pStyle w:val="BookText"/>
        <w:rPr/>
      </w:pPr>
      <w:r>
        <w:rPr>
          <w:rFonts w:ascii="IRNazanin" w:hAnsi="IRNazanin" w:eastAsia="IRNazanin"/>
          <w:color w:val="111111"/>
          <w:sz w:val="28"/>
          <w:sz w:val="28"/>
          <w:szCs w:val="28"/>
          <w:rtl w:val="true"/>
          <w:lang w:bidi="fa-IR"/>
        </w:rPr>
        <w:t>بر اساس سرکوب و طرد پیروان دیگر مذاهب و جلوگیری از حضور آنان در ساختار دولت پی 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راوندی در این باره به خوبی نشان‌دهنده‌ی سیاست مذهبی سلجوقیان 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بنابه گفته کلوزنر شدت تعصبات مذهبی در این عصر به گونه‌ای بوده است که حتی شافعیان در زمان وزارت عمید الملک کندری که حنفی مذهب بود، به تقیه رفتار یا مهاجرت نمودند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قتل عمید الملک و قدرت‌گیری نظام الملک، شیعیان و به ویژه اسماعیلیان در مضیقه و تنگنا قرار گرفتند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الملک از حامیان سرسخت تسنن شافعی بود و مدارس نظامیه را نیز به منظور دفاع از عقاید اشعری و شافعی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تلاش خود را برای کنار زدن پیروان دیگر فرق از ساختار دولت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شافعی و حنفی و اشعری همه در مصدر کارهای بزرگ و مورد توجه سلاطین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متصوفه نیز مذهب شافعی غالب بود و آن را بر مذاهب دیگر ترجیح داده بودند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نظام الملک به شدت از نزدیک شدن شیعیان به سلاطین ترک واهمه داشت و بارها خطر ورود شیعیان را به نهادهای سیاسی و فرهنگی سلجوقیان گوشزد کرده، آن را تهدیدی جدی برای دین و سلطنت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 و اقتدار فکری نظام الملک حتی بر خلفای عباسی نیز اعمال می‌شد که عزل فخر الدوله، ابونصر محمد بن محمد بن جهیر،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به سبب کدورت میان وی و خواجه نظام الملک از آن جمله است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سیاسی در این زمان به اندازه‌ای در تخاصم با شیعیان است که اتهام رافضیگری از برنده‌ترین تهمتها برای از پای در آوردن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خود نظام الملک در سیاستنامه‌اش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سیاسی سمرقند گزارشی مبنی بر تمایل نظام الملک به رفض تهیه کرد و خواجه برای جلوگیری از رسیدن این اتهام به گوش سلطان سی هزار دینار زر خرج کرد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پیداست در چنین فضایی پیروان مذاهب غیر رسمی، برای در امان ماندن عقاید خود را کتمان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و ششم مملو از نزاعها و کشمکشها میان فرق مذهبی به ویژه میان دو مذهب حنفی و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مجالس بحث در مسائل مذهبی در خدمت وزرا و سلاطین برگزار می‌شد و علمای فِرَق و رجال در آن حضور می‌یافتند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دامنه این مباحثات و مشاجرات علمای مذاهب به توده‌های مردم نیز کشیده می‌شد و موجبات درگیریها و نزاعهای فرقه‌ای و تخریب محلات و اماکن و کتابخانه‌ها را فراهم می‌کرد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نظام الملک و آغاز سلطنت برکیارق جانشین ملکشاه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 تساهل مذهبی را در پیش گرفته بود و شیعی بودن وزیرش، محمد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اوضاع به نفع شیعیان تغییر یافت؛ زیرا بیشتر جامعه مسلمان چه در ایران و چه در عراق بر مذهب تسنن بودند و تبلیغات منفی و گسترده سنیان برضد شیعیان نمی‌توانست فضای دلخواه را برای امامیه ایجاد نماید چه حتی امرای آل بویه نیز که بر مسند قدرت قرار گرفتند ناچار بودند با شیعیان و اهل تسنن یکسان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شیعیان آن چنان در ساختار دولت سلجوقی نفوذ کردند که پسر نظام الملک که وزارت محمد بن ملکشاه را عهده دار بود، نتوانست از حضور شیعیان در دربار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تمایلات شیعی در میان ترکان همکاری بیشتر آنان را با شیعیان موجب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ملاک و معیار مشخصی برای مناسبات سیاسی در این دوره نمی‌توان یافت؛ زیرا تنها موردی که در بررسی متون تاریخی مشهود است منافع سیاسی خلفا و سلاطین است که سیاستها و مناسبات سیاسی آنان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سلاطین سلجوقی با همراهی شیعیان امامی به سرکوب و کشتار اسماعیلیان و شیعیان امامی پرداختند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دوران سلطان محمد چنین وضعیتی رانشان می‌دهد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عملکرد سلطان سنجر استناد کرد که برای رسیدن به مقاصد سیاسی خود، از اسماعیلیان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علما و بزرگان شیعه امامی از همکاری با او خودداری می‌کردند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اواخر حکومت سلجوقی نه تنها نهاد خلافت بلکه سلطنت نیز رو به ضعف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رشد چشمگیر شیعیان را در تمامی عرصه‌ها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سلاطین سلجوقی وزرای شیعی مذهب برگزیدند و شیعیان آزادانه در دستگاه آنان فعالیت کرده و مورد احترام بسیار بودند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سنایی غزنوی شاعر شیعی مذهب این دوره، پرسشهای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شعر پاسخ گفته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نیشابور که از شهرهای مهم خراسان بود، میان شافعیان و علویان اختلاف شدیدی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کشته شدن فردی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اختلاف، مدارس و خانه‌ها و مساجد و بازار به آتش کشیده شد و بسیاری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با غلبه علویان، خاتمه یافت و تدریس دروس شافعیان در نیشابور تعطیل شد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بررسی منابع تاریخی، سرکوب شیعیان را به وسیله برخی سلاطین سلجوقی در مقاطعی از اواخر دوره سلجوقی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سرکوب شیعیان قم و کاشان در سال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ملکشاه بن محمود</w:t>
      </w:r>
      <w:bookmarkStart w:id="141" w:name="pg4760_44118"/>
    </w:p>
    <w:p>
      <w:pPr>
        <w:pStyle w:val="BookText"/>
        <w:rPr/>
      </w:pPr>
      <w:bookmarkEnd w:id="141"/>
      <w:r>
        <w:rPr>
          <w:rFonts w:ascii="IRNazanin" w:hAnsi="IRNazanin" w:eastAsia="IRNazanin"/>
          <w:color w:val="111111"/>
          <w:sz w:val="28"/>
          <w:sz w:val="28"/>
          <w:szCs w:val="28"/>
          <w:rtl w:val="true"/>
          <w:lang w:bidi="fa-IR"/>
        </w:rPr>
        <w:t>سلجوقی</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اقدامات ارسلان بن طغرل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نفوذ و گسترش تشیع در مناطق بسیاری از ایران و حتی بغداد به ویژه در دستگاه خلافت</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 بهبود موقعیت شیعیان می‌افزود و رفته رفته آنان را به عنوان نیرویی قابل اعتنا در موازنههای سیاسی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رو به رشد در پایان کار سلاجقه به جایی رسید که آخرین خلفای عباسی از جمله الناصر الدین اللّه برای احیای مقام خلافت به گرایش‌های شیعی تظاهر می‌کردند و با جذب شیعیان در دربار خود، مقاصد سیاسی خود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به قدری پیش رفت که ابن طقطقی او را شیعه امامی خوانده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717403_2035185390"/>
      <w:bookmarkStart w:id="143" w:name="_Toc54"/>
      <w:bookmarkEnd w:id="142"/>
      <w:r>
        <w:rPr>
          <w:rtl w:val="true"/>
        </w:rPr>
        <w:t>وضعیت سیاسی شیعیان در دوره خوارزمشاهیان</w:t>
      </w:r>
      <w:bookmarkEnd w:id="1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سلسله خوارزمشاهیان مصادف با درگیریهای</w:t>
      </w:r>
    </w:p>
    <w:p>
      <w:pPr>
        <w:pStyle w:val="BookText"/>
        <w:rPr/>
      </w:pPr>
      <w:r>
        <w:rPr>
          <w:rFonts w:ascii="IRNazanin" w:hAnsi="IRNazanin" w:eastAsia="IRNazanin"/>
          <w:color w:val="111111"/>
          <w:sz w:val="28"/>
          <w:sz w:val="28"/>
          <w:szCs w:val="28"/>
          <w:rtl w:val="true"/>
          <w:lang w:bidi="fa-IR"/>
        </w:rPr>
        <w:t>وی با سنجر سلطان سلجوقی است که به شکست اتسز و صلح با سنجر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جانشینی اتسز، ایل ارسلان، حادثه قابل اعتنایی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با به قدرت رسیدن تکش، خلیفه عباسی ناصر الدین اللّه برای کسب اعتبار از دست رفته خلافت و احیای قدرت دنیوی خلیفه و ترس از لشگر کشی تکش به بغداد، وزیر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هدایای بسیار نزد تکش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برخورد نامعقول وزیر خلیفه با او، موجبات تعقیب و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تکش فراهم کرد و در نهایت ابن قصاب کشته شد و روابط میان خوارزمشاهیان و خلافت تیره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بررسی عملکرد خوارزمشاهیان با شیعیان نشان دهنده آن است که خوارزمشاهیان به علویان اعتنایی نمی‌کردند و هر گاه که منافع حکومتی آنان ایجاب می‌کرد علیه آنان اقدام می‌نمودند؛ اما در این زمان همچنان که گفته شد، الناصر تظاهر به عقاید شیعی می‌کرد و وزرای خود را از میان شیعیان ایرانی بر می‌گزید و روابط حسنه‌ای با شیعیان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رسیدن سلطان محمد ملقب به قطب الدین محمد، وی تصمیم گرفت دیگر به قراختاییان باج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قراختاییان یعنی غوریان نیز نتوانستند در برابر خوارزمشاهیان کاری از پیش ببرند و در نهایت حکومت آنان نیز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سقوط کرد و از صحنه معادلات سیاسی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و با توجه به فتوحات سلطان محمد و گسترش دامنه</w:t>
      </w:r>
    </w:p>
    <w:p>
      <w:pPr>
        <w:pStyle w:val="BookText"/>
        <w:rPr/>
      </w:pPr>
      <w:r>
        <w:rPr>
          <w:rFonts w:ascii="IRNazanin" w:hAnsi="IRNazanin" w:eastAsia="IRNazanin"/>
          <w:color w:val="111111"/>
          <w:sz w:val="28"/>
          <w:sz w:val="28"/>
          <w:szCs w:val="28"/>
          <w:rtl w:val="true"/>
          <w:lang w:bidi="fa-IR"/>
        </w:rPr>
        <w:t>قلمرو او، خوارزمشاهیان تبدیل به قدرت بلامنازع در شرق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مقتدر و جاه 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انتظار داشت همانند سلاطین بویهی و سلجوقی، نامش در خطبه‌ها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دست یابی خلیفه به قدرت دنیوی‌اش، از بین بردن وابستگی‌اش به سلاطین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امر سرباز زد و حتی در صدد مرعوب و تابع ساختن سلطان محمد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کشمکشها روابط خوارزمشاهیان را با خلافت تیره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الناصر با اجیر کردن اسماعیلیان یکی از سرداران موفق خوارزمشاه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مراسم حج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مسلمان اسماعیلی را بر علم خوارزمشاهیان مقدم داشت</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غلبه خوارزمشاهیان بر غزنین نیز، سلطان محمد به نامه‌هایی از خلیفه دست یافت که سلطان غوری را به جنگ خوارزمشاه تشویق نموده بود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وقایع محمد خوارزمشاه را بر آن داشت تا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صدد</w:t>
      </w:r>
    </w:p>
    <w:p>
      <w:pPr>
        <w:pStyle w:val="BookText"/>
        <w:rPr/>
      </w:pPr>
      <w:r>
        <w:rPr>
          <w:rFonts w:ascii="IRNazanin" w:hAnsi="IRNazanin" w:eastAsia="IRNazanin"/>
          <w:color w:val="111111"/>
          <w:sz w:val="28"/>
          <w:sz w:val="28"/>
          <w:szCs w:val="28"/>
          <w:rtl w:val="true"/>
          <w:lang w:bidi="fa-IR"/>
        </w:rPr>
        <w:t>حمله به بغداد برآید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زمستان بود در گردنه‌های اسد آباد در برف و بوران گیر افتاد و لشکرش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را</w:t>
      </w:r>
    </w:p>
    <w:p>
      <w:pPr>
        <w:pStyle w:val="BookText"/>
        <w:rPr/>
      </w:pPr>
      <w:r>
        <w:rPr>
          <w:rFonts w:ascii="IRNazanin" w:hAnsi="IRNazanin" w:eastAsia="IRNazanin"/>
          <w:color w:val="111111"/>
          <w:sz w:val="28"/>
          <w:sz w:val="28"/>
          <w:szCs w:val="28"/>
          <w:rtl w:val="true"/>
          <w:lang w:bidi="fa-IR"/>
        </w:rPr>
        <w:t>الناصر امداد غیبی برای خود و غضب خداوند بر سلطان محمد تعبیر کرد و جامعه سنتی آن روز نیز با توجه به حملات سابقی که به بغداد صورت گرفته و مختوم به شکست شده بود، این تعبیر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این لشکر کشی به غصب خلافتِ خاندانِ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استناد جست و این حرکت خویش را بازگرداندن خلافت به فردی از سادات حسینی به نام علاالدین ترمذی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او شیعیان بسیاری را در دربار محمد خوارزمشاه گرد هم آورده بود و در امور مختلف دربار نیز نفوذ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رفتارها خلیفه را آن چنان خشمگین کرد که برای انتقام گرفتن از او، تصمیم گرفت تا از مغولان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نزدیکان ناصر او را از عواقب چنین تصمیمی منع کردند و بر حذر داشتند امّا انتقام جویی چشم بصیرت او را زایل کرده بود و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نباشد که چندین هزار کافر بی دین را بر مسلمانان</w:t>
      </w:r>
    </w:p>
    <w:p>
      <w:pPr>
        <w:pStyle w:val="BookText"/>
        <w:rPr/>
      </w:pPr>
      <w:r>
        <w:rPr>
          <w:rFonts w:ascii="IRNazanin" w:hAnsi="IRNazanin" w:eastAsia="IRNazanin"/>
          <w:color w:val="111111"/>
          <w:sz w:val="28"/>
          <w:sz w:val="28"/>
          <w:szCs w:val="28"/>
          <w:rtl w:val="true"/>
          <w:lang w:bidi="fa-IR"/>
        </w:rPr>
        <w:t>صاحب یقین بگمارند، چه استیلای ایشان بر خروج و دماء اهل اسلام نه موافق عقل است و نه مطابق شرع ولیکن، که چون آن طایفه در آن مملکت قرار و استقرار یابند، نسبت به سده امامت و خلافت، شرایط عزت و حرمت نگاه ندارند و امری چند از آن جماعت ظاهر شود که موجب سئامت و ندامت گردد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خشم و کینه ناصر او را از واقعیتهای تلخی که در انتظار جهان اسلام بود، غافل کرد و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پنجاه سال دیگر ایشان در ممالک اسلام اقتدار نیابند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پیش بینی ناصر، مغولان در ظرف چند سال بر ایران چیره شدند و چهل سال بعد نیز بر بغداد استیلا یافته، نهاد خلافت را برانداختند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بارگاه امام موسی کاظم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امام جواد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که از اختلافها و درگیری میان شیعه و سنی واهمه داشت، به سرعت دستور به</w:t>
      </w:r>
    </w:p>
    <w:p>
      <w:pPr>
        <w:pStyle w:val="BookText"/>
        <w:rPr/>
      </w:pPr>
      <w:r>
        <w:rPr>
          <w:rFonts w:ascii="IRNazanin" w:hAnsi="IRNazanin" w:eastAsia="IRNazanin"/>
          <w:color w:val="111111"/>
          <w:sz w:val="28"/>
          <w:sz w:val="28"/>
          <w:szCs w:val="28"/>
          <w:rtl w:val="true"/>
          <w:lang w:bidi="fa-IR"/>
        </w:rPr>
        <w:t xml:space="preserve">بازسازی داد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بنایش تمام شود، درگذشت،سپس مستنصر آن را تمام کرد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اقداماتی از این دست بیانگر نفوذ شیعیان در بغداد بود که خلفا را وادار می‌کرد، منافع شیعیان را در نظر بگیرند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مستنصر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مراکزی برای رفاه حال و تعلیم سادات تأسیس شد و تولیت این امر به ابوطالب محمد علقمی وزیر مستعصم واگذار شد اما طولی نکشید که با حمله و ورود مغولان به جهان اسلام، سرزمین‌های آن دچار تغییرات بسیار زیادی در زمینه‌های سیاسی، اجتماعی و فرهنگی و اقتصادی شد</w:t>
      </w:r>
      <w:r>
        <w:rPr>
          <w:rFonts w:eastAsia="IRNazanin" w:cs="IRNazanin"/>
          <w:color w:val="111111"/>
          <w:sz w:val="28"/>
          <w:szCs w:val="28"/>
          <w:rtl w:val="true"/>
          <w:lang w:bidi="fa-IR"/>
        </w:rPr>
        <w:t>.</w:t>
      </w:r>
      <w:bookmarkStart w:id="144" w:name="pg4760_44125"/>
    </w:p>
    <w:p>
      <w:pPr>
        <w:pStyle w:val="Heading3"/>
        <w:numPr>
          <w:ilvl w:val="2"/>
          <w:numId w:val="1"/>
        </w:numPr>
        <w:rPr/>
      </w:pPr>
      <w:bookmarkStart w:id="145" w:name="__RefHeading___Toc1717405_2035185390"/>
      <w:bookmarkStart w:id="146" w:name="_Toc55"/>
      <w:bookmarkEnd w:id="144"/>
      <w:bookmarkEnd w:id="145"/>
      <w:r>
        <w:rPr>
          <w:rtl w:val="true"/>
        </w:rPr>
        <w:t>فصل سوم</w:t>
      </w:r>
      <w:r>
        <w:rPr>
          <w:rtl w:val="true"/>
        </w:rPr>
        <w:t xml:space="preserve">: </w:t>
      </w:r>
      <w:r>
        <w:rPr>
          <w:rtl w:val="true"/>
        </w:rPr>
        <w:t>تأثیر غیبت کبرا بر حدود اختیارات فقها و نیابت عام و نهاد وکالت خاص</w:t>
      </w:r>
      <w:bookmarkEnd w:id="1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717407_2035185390"/>
      <w:bookmarkStart w:id="148" w:name="_Toc56"/>
      <w:bookmarkEnd w:id="147"/>
      <w:r>
        <w:rPr>
          <w:rtl w:val="true"/>
        </w:rPr>
        <w:t>اشاره</w:t>
      </w:r>
      <w:bookmarkStart w:id="149" w:name="pg4760_44127"/>
      <w:bookmarkEnd w:id="148"/>
    </w:p>
    <w:p>
      <w:pPr>
        <w:pStyle w:val="Heading4"/>
        <w:numPr>
          <w:ilvl w:val="3"/>
          <w:numId w:val="1"/>
        </w:numPr>
        <w:rPr/>
      </w:pPr>
      <w:bookmarkStart w:id="150" w:name="__RefHeading___Toc1717409_2035185390"/>
      <w:bookmarkStart w:id="151" w:name="_Toc57"/>
      <w:bookmarkEnd w:id="149"/>
      <w:bookmarkEnd w:id="150"/>
      <w:r>
        <w:rPr>
          <w:rtl w:val="true"/>
        </w:rPr>
        <w:t>تأثیر غیبت کبرا بر حدود اختیارات فقها</w:t>
      </w:r>
      <w:bookmarkEnd w:id="151"/>
    </w:p>
    <w:p>
      <w:pPr>
        <w:pStyle w:val="BookText"/>
        <w:rPr/>
      </w:pPr>
      <w:r>
        <w:rPr>
          <w:rFonts w:ascii="IRNazanin" w:hAnsi="IRNazanin" w:eastAsia="IRNazanin"/>
          <w:color w:val="111111"/>
          <w:sz w:val="28"/>
          <w:sz w:val="28"/>
          <w:szCs w:val="28"/>
          <w:rtl w:val="true"/>
          <w:lang w:bidi="fa-IR"/>
        </w:rPr>
        <w:t>وقوع غیبت کبرای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پس آن انحلال سریع سازمان وکالت امامیه پس از رحلت سمری، سفیر چهارم آن حضرت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خلئی جدی در رهبری امامیه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فقهای امامیه در صدد توسعه فعالیتهای خویش برآمدند و اجماعا به این نتیجه رسیدند که امام غائب، بدون در نظر گرفتن طول مدت غیبت، تا زمان قیام مسلحانه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مبتنی بر حدیثی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داشت که به یکی از پیروان خویش، حازم، بیان می‌دارد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دوغیبت دارد و پس از دومی قیام خواهد کرد؛ هر کس نزد تو آید و ادعا کند دست خود را بر خاک قبرش متبرک ساخته، او را باور ندار</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اصلی امامیه در این دوره، رهبری جامعه امامیه بود تا آنان را از انشعاب و دسته‌بندی و هرج و مرج مصون بدارد و کسی جز فقها قادر به ایفای چنین نقشی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ربع آخر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عامه امامیه سخنان فقها را همچون بیانات خود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می‌پذیرفتند؛ هر چند حوزه مسئولیت آنان را هم پایه وظیفه حضرتش نمی‌دانستند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رهبران برجسته امامیه همچون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از قبول مسئولیت نیمی از خمس که می‌بایست نزد امام فرستاده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می‌کردند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عقیده داشت، هر مؤمنِ شیعی که سهم امام می‌پردازد باید آن را کناری نهد یا آن را بسوزاند یا در جای مطمئنی نگه دارد و در زمان مرگ آن را به شخص معتمدی بسپارد تا زمانی که امام ظهور کند و به آن حضرت تقدیم نمایند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برخاسته از این نگرش بود که اینان ظهور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نزدیک</w:t>
      </w:r>
    </w:p>
    <w:p>
      <w:pPr>
        <w:pStyle w:val="BookText"/>
        <w:rPr/>
      </w:pPr>
      <w:r>
        <w:rPr>
          <w:rFonts w:ascii="IRNazanin" w:hAnsi="IRNazanin" w:eastAsia="IRNazanin"/>
          <w:color w:val="111111"/>
          <w:sz w:val="28"/>
          <w:sz w:val="28"/>
          <w:szCs w:val="28"/>
          <w:rtl w:val="true"/>
          <w:lang w:bidi="fa-IR"/>
        </w:rPr>
        <w:t>می‌انگاشتند و از این رو از پذیرش سهم امام و دخل و تصرف در آن پروا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همچون محمد بن احمد بن ولید که انتظار داشت ظهور امام به زودی محقق خواهد شد، از گرفتن خمس با تصور اینکه از دریافت آن منع شده‌اند، امتناع می‌ورزید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طولانی شدن مدت غیبت امام، شیعیان نسبت به سهم امام که گذشتگان به آنان می‌سپردند دچار سردرگمی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صدد حل این مشکل برآمد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سهم امام را دریافت و آن را در فعالیتهای مذهبی و در جهت تحقق</w:t>
      </w:r>
    </w:p>
    <w:p>
      <w:pPr>
        <w:pStyle w:val="BookText"/>
        <w:rPr/>
      </w:pPr>
      <w:r>
        <w:rPr>
          <w:rFonts w:ascii="IRNazanin" w:hAnsi="IRNazanin" w:eastAsia="IRNazanin"/>
          <w:color w:val="111111"/>
          <w:sz w:val="28"/>
          <w:sz w:val="28"/>
          <w:szCs w:val="28"/>
          <w:rtl w:val="true"/>
          <w:lang w:bidi="fa-IR"/>
        </w:rPr>
        <w:t>اهداف تشیع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توسعه‌ای را برای افزایش گستره‌ی اختیارات فقها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مهم‌تری نیز، گسترش حوزه اختیارات فقها را ایجاب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غیبت صغرا احکام و مسائل دینی از طریق نواب چهارگانه که به طور مستقیم با امام دوازدهم در تماس بودند، حل و فصل می‌شد؛ اما با شروع غیبت کبرا و خلأ رهبری، ضرورت پاسخگویی به شبهات و مسایل دینی از یک سو و حملات علمای زیدی و معتزلی به عقاید امامیه درباره وجود و 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غیبت امام</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سوی دیگر، فقهای امامیه را بر آن داشت تا از وظیفه‌ی اصلی که برای خود قائل بودند پا را فراتر بگذارند و از محدثانی برجسته که به نقل روایات و احادیث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می‌ورزیدند به سوی اجتهاد کشانده شوند؛ اگر چه در نخستین سالهای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اول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استدلالهای عقلی را که نخست ابن عقیل عمانی و سپس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کار بردند، رد نمودند؛ زیرا بیم آن می‌رفت که این روش به استنباط نادرست در فهم قواعد مذهبی بینجامد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شخصیت مذکور، فقه امامیه را تهذیب و نظریههای جدیدی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اصول را از فروع جدا کردند و روش خود را بر اصول اساسی فقه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همچنان که مطرح شد، شیوه‌ی این دو را نوعی</w:t>
      </w:r>
    </w:p>
    <w:p>
      <w:pPr>
        <w:pStyle w:val="BookText"/>
        <w:rPr/>
      </w:pPr>
      <w:r>
        <w:rPr>
          <w:rFonts w:ascii="IRNazanin" w:hAnsi="IRNazanin" w:eastAsia="IRNazanin"/>
          <w:color w:val="111111"/>
          <w:sz w:val="28"/>
          <w:sz w:val="28"/>
          <w:szCs w:val="28"/>
          <w:rtl w:val="true"/>
          <w:lang w:bidi="fa-IR"/>
        </w:rPr>
        <w:t>قیاس فاسد تلقی می‌کردند، نظیر آنچه فقهای غیرشیعه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یاد شده، این افراد را که در ابتدا فقط راویان حدیث بودند، به متکلم تبدیل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رساله‌ها و مقالاتی از شیخ مفید در دفاع از آیین امامیه و به ویژه</w:t>
      </w:r>
    </w:p>
    <w:p>
      <w:pPr>
        <w:pStyle w:val="BookText"/>
        <w:rPr/>
      </w:pPr>
      <w:r>
        <w:rPr>
          <w:rFonts w:ascii="IRNazanin" w:hAnsi="IRNazanin" w:eastAsia="IRNazanin"/>
          <w:color w:val="111111"/>
          <w:sz w:val="28"/>
          <w:sz w:val="28"/>
          <w:szCs w:val="28"/>
          <w:rtl w:val="true"/>
          <w:lang w:bidi="fa-IR"/>
        </w:rPr>
        <w:t>در اعتقاد به غیبت امام دوازدهم به خوبی نشان دهنده‌ی این تحول است</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ابتدا محدث بود به متکلم شیعه معروف شد و نخستین فقیهی بود که در اجتهاد ممارست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شیخ طوسی به تدوین فقه استدلالی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مهمترین عاملی که چنین مجوزی را به فقها تفویض می‌کرد، وجود احادیثی از ائمه به ویژه امام دوازدهم مبنی بر نیابتِ عام فقها در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فقها نیز موقعیت جدید خویش را بر مبنای همان احادیث استوار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در پاسخ اسحاق بن یعقوب از طریق سفیر دوم توقیعی به شرح زیر صادر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رویدادهای روزگار به راویان احادیث ما مراجعه کنید؛ زیرا آنان حجت من بر شما و من حجت خدا بر آنان هستم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نیز احادیثی قریب به همین مضمون را از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میان فقها و عالمان دین، آن کس که بر نفس و امیال نفسانی مسلط باشد و خود را از گناه و انحراف مصون دارد، دین خود را پاس دارد و بر هوی و هوس خویش پا نهد و تنها مطیع و فرمانبردار دستورات الهی باشد، بر مردم است که از وی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نیز از امام 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موضوع تصریح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غیبت قائم ما، گروهی از علما مردم را به اعتقاد به امامت او فرا می‌خوانند و با استفاده از حجتهای ربانی از دینِ او دفاع می‌کنند، تا مؤمنان ضعیف النفس را از وسوسه‌های شیطانی و پیروی ابلیس، یا از فریب کاریهای ضد علوی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علما نباشند همه از دین خدا منحرف خواهند شد</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متن احادیث مذکور بر می‌آید که فقهایی حق نیابت عام را دارا هستند که واجد دو ویژگی خاص باشند و این دو ویژگی در وجود آنان مبرز و محرز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بودن و آگاهی کامل از قوانین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ملکه عدالت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ملاک نیابت عام امام داشتن مستلزم آن نیست که فقها از نسل و نژاد خاصی باشند؛ مثلاً از نسل امام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 بلکه آنچه اعتبار دارد شخصیت علمی و معنوی فقیه است که می‌بایست مد نظر قرار گیرد و دو خصلت مذکور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نیابت عامِ فقها، آن چنان در میان امامیه بسط و نفوذ یافت که تعداد زیادی از فقهای بعدی، همچون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تام نیابت امام غایب را برای فقیه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فقیه این حق را به خود داد تا در سهم امام تصرف کند و حال آنکه فقهایی همچون شیخ مفید تنها حق تصرف در سهم سادات را برای خود قائل بودند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استدلال می‌کند از آنجا که حکم خدا در عصر غیبت تعطیل بردار نیست و قسمت نخست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بنابراین در زمان غیبت نیز می‌بایست دریافت و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حکم می‌دهد که</w:t>
      </w:r>
    </w:p>
    <w:p>
      <w:pPr>
        <w:pStyle w:val="BookText"/>
        <w:rPr/>
      </w:pPr>
      <w:r>
        <w:rPr>
          <w:rFonts w:ascii="IRNazanin" w:hAnsi="IRNazanin" w:eastAsia="IRNazanin"/>
          <w:color w:val="111111"/>
          <w:sz w:val="28"/>
          <w:sz w:val="28"/>
          <w:szCs w:val="28"/>
          <w:rtl w:val="true"/>
          <w:lang w:bidi="fa-IR"/>
        </w:rPr>
        <w:t>آن کس که اختیار سهم امام را بر طبق نیاز سادات دارد باید نیابت امام را در امور فقهی نیز عهده‌دار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اختیارات فقهای امامیه در نتیجه طولانی شدن غیبت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عامل مهمی در وحدت جامعه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پس از رحلت هر امام، امامیه به فرق گوناگون انشعاب یافتند، این روند در زمان شهادت امام</w:t>
      </w:r>
    </w:p>
    <w:p>
      <w:pPr>
        <w:pStyle w:val="BookText"/>
        <w:rPr/>
      </w:pPr>
      <w:r>
        <w:rPr>
          <w:rFonts w:ascii="IRNazanin" w:hAnsi="IRNazanin" w:eastAsia="IRNazanin"/>
          <w:color w:val="111111"/>
          <w:sz w:val="28"/>
          <w:sz w:val="28"/>
          <w:szCs w:val="28"/>
          <w:rtl w:val="true"/>
          <w:lang w:bidi="fa-IR"/>
        </w:rPr>
        <w:t xml:space="preserve">یازدهم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اوج خود رسید به طوری که پیروان این حضرت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غایب از طریق چهار تن از یارانش به عنوان نواب اربعه با جامعه‌ی شیعی ارتباط داشت و شیعیان به واسطه آنان، پاسخ پرسشها و معضلات فکری و سیاسی خویش را از امام دریافت می‌کردند؛ اما علی رغم تلاشهای فراوان نواب اربعه برای ایجاد آمادگی در میان جامعه امامیه به منظور ورود به دوره غیبت کبرا، با آغاز این دوره بیشتر جامعه‌ی امامیه و عالمان شیعی دچار حیرت و سردرگمی شدند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عالمان و فقهای شیعه در سده‌های چهارم و پنجم به نگارش آثار</w:t>
      </w:r>
    </w:p>
    <w:p>
      <w:pPr>
        <w:pStyle w:val="BookText"/>
        <w:rPr/>
      </w:pPr>
      <w:r>
        <w:rPr>
          <w:rFonts w:ascii="IRNazanin" w:hAnsi="IRNazanin" w:eastAsia="IRNazanin"/>
          <w:color w:val="111111"/>
          <w:sz w:val="28"/>
          <w:sz w:val="28"/>
          <w:szCs w:val="28"/>
          <w:rtl w:val="true"/>
          <w:lang w:bidi="fa-IR"/>
        </w:rPr>
        <w:t>کلامی در زمینه غیبت روی آوردند تا از یک سو پاسخگوی مشکلات اعتقادی جامعه شیعی باشند و از دیگر سو در برابر دیگر فرقه‌ها و مذاهب اسلامی از اندیشه‌ی اعتقاد به امام غایب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عصر اجتهاد و به نقد کشیده شدن گرایش فقهی حدیثی و نیز شیوه قیاسی دامنه‌ی اختیارات فقها گسترش بیشتری یافت و زمینه‌های انتقال کارکرد دینی و فقهی امام معصوم را به فقیهان هموار کرد و مجتهدان را در مسند مرجعیت اعتقادی و مذهبی نشاند؛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تلقی ویژه‌ای که امامیان از امامت معصوم در ساحت سیاسی داشتند، بن‌بست انتقال کارکردهای سیاسی و حکومتی امام به فقیهان همچنان حل ناشدنی می‌نمود؛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امامت سیاسی جامعه شیعی با دو ویژگی عصمت و نص، پیوند ناگسستنی داشت و هر حکومتی جز حکومت معصوم به عنوان حکومت جور تلقی می‌شد، از این رو در غیبت امام معصوم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هیچ‌گونه بدیل و مشروعی برای آن یافت نمی‌شد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و فقهای امامیه تنها توانستند مرجعیت دینی و مذهبی جامعه‌ی امامیه را عهده‌دار شوند</w:t>
      </w:r>
      <w:r>
        <w:rPr>
          <w:rFonts w:eastAsia="IRNazanin" w:cs="IRNazanin"/>
          <w:color w:val="111111"/>
          <w:sz w:val="28"/>
          <w:szCs w:val="28"/>
          <w:rtl w:val="true"/>
          <w:lang w:bidi="fa-IR"/>
        </w:rPr>
        <w:t>.</w:t>
      </w:r>
      <w:bookmarkStart w:id="152" w:name="pg4760_44136"/>
    </w:p>
    <w:p>
      <w:pPr>
        <w:pStyle w:val="Heading4"/>
        <w:numPr>
          <w:ilvl w:val="3"/>
          <w:numId w:val="1"/>
        </w:numPr>
        <w:rPr/>
      </w:pPr>
      <w:bookmarkStart w:id="153" w:name="__RefHeading___Toc1717411_2035185390"/>
      <w:bookmarkStart w:id="154" w:name="_Toc58"/>
      <w:bookmarkEnd w:id="152"/>
      <w:bookmarkEnd w:id="153"/>
      <w:r>
        <w:rPr>
          <w:rtl w:val="true"/>
        </w:rPr>
        <w:t xml:space="preserve">سیر تاریخی نهاد وکالت </w:t>
      </w:r>
      <w:r>
        <w:rPr>
          <w:rtl w:val="true"/>
        </w:rPr>
        <w:t>(</w:t>
      </w:r>
      <w:r>
        <w:rPr>
          <w:rtl w:val="true"/>
        </w:rPr>
        <w:t xml:space="preserve">دوران حضور ائمه </w:t>
      </w:r>
      <w:r>
        <w:rPr>
          <w:rtl w:val="true"/>
        </w:rPr>
        <w:t>(</w:t>
      </w:r>
      <w:r>
        <w:rPr>
          <w:rtl w:val="true"/>
        </w:rPr>
        <w:t>ع</w:t>
      </w:r>
      <w:r>
        <w:rPr>
          <w:rtl w:val="true"/>
        </w:rPr>
        <w:t>)</w:t>
      </w:r>
      <w:bookmarkEnd w:id="154"/>
    </w:p>
    <w:p>
      <w:pPr>
        <w:pStyle w:val="BookText"/>
        <w:rPr/>
      </w:pPr>
      <w:r>
        <w:rPr>
          <w:rFonts w:ascii="IRNazanin" w:hAnsi="IRNazanin" w:eastAsia="IRNazanin"/>
          <w:color w:val="111111"/>
          <w:sz w:val="28"/>
          <w:sz w:val="28"/>
          <w:szCs w:val="28"/>
          <w:rtl w:val="true"/>
          <w:lang w:bidi="fa-IR"/>
        </w:rPr>
        <w:t>جنبش تشیع تا پایان قرن اول هجری تنها جریانی سیاسی ضد نظام اموی شناخته می‌شد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از اوائل قرن دوم مکاتب حقوقی و فقهی اسلامی رو به شکل گرفتن نهاد و مکتب تشیع به تدریج به صورت مکتب حقوقی مشخص و متمایز درآمد و اصول نظری و نهادهای اجتماعی به صورت یک جامعه استقرار یافته شکل گرفته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بزرگی از معارف کلامی و فقهی که به شکل روایات از امام محمدباقر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میزان کمتری از امام کاظم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درکتاب‌ها و مجموعه‌هایی به وسیله‌ی دانشمندان شیعه تدوین شده بود، جامعه شیعه را از نظر علمی خودکفا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نادری که مسئله‌ای مستحدثه پیش می‌آمد یا در اخبار و روایات منقول از ائمه پیشین تعارض یا در تفسیر میان دانشمندان اختلافی حاصل می‌شد، مردم حکم واقعی مسئله را از ناحیه مقدسه استفسار می‌کردند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نخستین شیعه تا روزگار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پیروان خویش خمس نمی‌ستاندند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اعتقاد عمومی بر آن بود که این مالیات را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دولت، دریافت خواهد نمود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دریافت نظام‌مند این مالیات به عنوان وظیفه‌ای شرعی و همگانی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نظام وکالت نخست به وسیله امام کاظم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بنیان‌گذاری شد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 امام کاظم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تمام شهرهایی که شمار زیادی از شیعیان سکونت داشتند، حضور داشتند؛ مانند عثمان بن عیسی در مصر</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حیان السّراج در کوفه</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بن مروان القندی در بغداد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وجوه دریافتی را با عناوین مختلف مانند زکات جمع‌آوری می‌کردند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تشکیلات منظمی را که پدرش ایجاد کرده بود، حفظ</w:t>
      </w:r>
    </w:p>
    <w:p>
      <w:pPr>
        <w:pStyle w:val="BookText"/>
        <w:rPr/>
      </w:pPr>
      <w:r>
        <w:rPr>
          <w:rFonts w:ascii="IRNazanin" w:hAnsi="IRNazanin" w:eastAsia="IRNazanin"/>
          <w:color w:val="111111"/>
          <w:sz w:val="28"/>
          <w:sz w:val="28"/>
          <w:szCs w:val="28"/>
          <w:rtl w:val="true"/>
          <w:lang w:bidi="fa-IR"/>
        </w:rPr>
        <w:t>کرد و وکلایی از جانب خود در همه نقاط نصب نمود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تا دوران امامت آخرین امام همچنان در حال توسعه و تکامل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علاوه بر وکلای ثابت و مقیم گهگاه نمایندگان ویژه و سیاری به جوامع شیعه می‌فرستاد که وجوه شرعی جمع‌آوری شده نزد وکلای مقیم را اخذ و به ایشان برسانند، که در منابع رجالی شیعه اسامی برخی از آنان ذکر شده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وکالت در زمان امام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نهایت رشد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شخصاً بر این نهاد نظارت داشت و پیوسته</w:t>
      </w:r>
    </w:p>
    <w:p>
      <w:pPr>
        <w:pStyle w:val="BookText"/>
        <w:rPr/>
      </w:pPr>
      <w:r>
        <w:rPr>
          <w:rFonts w:ascii="IRNazanin" w:hAnsi="IRNazanin" w:eastAsia="IRNazanin"/>
          <w:color w:val="111111"/>
          <w:sz w:val="28"/>
          <w:sz w:val="28"/>
          <w:szCs w:val="28"/>
          <w:rtl w:val="true"/>
          <w:lang w:bidi="fa-IR"/>
        </w:rPr>
        <w:t>دستورالعمل‌هایی به جامعه شیعه در نقاط مختلف می‌فرستاد که وجوه شرعی و حقوق مالی مربوط به امام را به نمایندگانی پرداخت کنند که در متن دستورالعمل نام برده می‌شدند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وکلای اخذ وجوهات شرعی به صورت گروه‌هایی زیر نظر یک سر وکیل ارشد که مسئولیت بخش بزرگی از سرزمین‌های اسلامی را عهده‌دار بود، کار می‌کردند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خمس که به عنوان واجب مالی از این زمان به طور منظم و سالیانه از تمامی درآمد خالص شیعیان مطالبه می‌شد، سؤالات فراوانی را در اذهان شیعیان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وکلای ارشد امام نیز سؤالات را به امام گزارش می‌دادند و پاسخهای استفسارات را دریافت می‌نمودند؛ ابراهیم بن محمّد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منطقه همدان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مهزیار سروکیل اهواز</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ابی‌علی بن راشد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سروکیل عراق و اسامی دیگر وکلا و کارگزاران ارشد امام در منابع تاریخی شیعه آمده است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در توثیقات امام به ثقه ونظایر آن ملقب شده‌اند، در رابطه با قابل اعتماد بودن آنان در امور مالی است؛ مانند ایّوب بن نوح بن درّاج نخعی نماینده امام در بغداد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w:t>
      </w:r>
    </w:p>
    <w:p>
      <w:pPr>
        <w:pStyle w:val="BookText"/>
        <w:rPr/>
      </w:pPr>
      <w:r>
        <w:rPr>
          <w:rFonts w:ascii="IRNazanin" w:hAnsi="IRNazanin" w:eastAsia="IRNazanin"/>
          <w:color w:val="111111"/>
          <w:sz w:val="28"/>
          <w:sz w:val="28"/>
          <w:szCs w:val="28"/>
          <w:rtl w:val="true"/>
          <w:lang w:bidi="fa-IR"/>
        </w:rPr>
        <w:t>اسحاق اشعری قمی نماینده امام در قم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دستگیری امام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دستور متوکّل 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ایشان را به سامرا منتقل کردند و زیر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وکلای امام کانال عمده ارتباطی شیعیان با امام خود بودند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متوکل سخت‌ترین روزگار شیعه در عصر عباسیان بود؛ آنان شیعیان را از تمامی مناصب رسمی دولتی طرد و از نظر اجتماعی منزوی کردند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همکارانش و اسحاق بن ابراهیم، حاکم سامرا و سیروان در استان جبل</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مشاغل خود عزل و جُرجرائی و ابن خاقان را که گرایش‌های افراطی به اتخاذ سیاستهای ضدشیعی داشتند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آنان 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علویان را در تنگنای اقتصادی قرار داد و به طور رسمی هر گونه کمک و نیکی در حق آنان را ممنوع و متخلفان را مجازاتی سخت و کیفری سنگین می‌داد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اقدامهای ضدشیعی او تا آنجا بود که عواطف مذهبی شیعیان نیز از تعرض او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سومین امام شیعیان را به کلی ویران کرد و به دستور او آنجا را شخم زده، کشت نمودند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رجال و بزرگان شیعه که برخی نیز از وکلای امام بودند، زندانی و بعضی نیز اعدام شدند؛ عیسی بن جعفر بن عاصم پس از سیصد ضربه تازیانه کشته شد و به دجله انداخته شد و ابن بند که با عمود شکنجه و کشته شد و ابی‌علی بن راشد در نتیجه سقوط از ارتفاع توسط مأموران متوکل کشته شد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زمان انتقادات شدید و فراوانی نیز از سوی علما و نویسندگان زیدی، به دلیل اخذ مالیات خمس درآمد از شیعیان به امام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شد؛ رساله الرّد علی الروافض</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الاشهاد ابوزید علوی که ابن قبه در کتابش با عنوان نقض کتاب الاشهاد بدان پاسخ گفته است</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حسن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که جامعه شیعه دوران سختی</w:t>
      </w:r>
    </w:p>
    <w:p>
      <w:pPr>
        <w:pStyle w:val="BookText"/>
        <w:rPr/>
      </w:pPr>
      <w:r>
        <w:rPr>
          <w:rFonts w:ascii="IRNazanin" w:hAnsi="IRNazanin" w:eastAsia="IRNazanin"/>
          <w:color w:val="111111"/>
          <w:sz w:val="28"/>
          <w:sz w:val="28"/>
          <w:szCs w:val="28"/>
          <w:rtl w:val="true"/>
          <w:lang w:bidi="fa-IR"/>
        </w:rPr>
        <w:t>را می‌گذرانید، امام بر اهمیت پرداخت وجوه شرعی به وسیله‌ی شیعیان به منظور تأمین نیازمندی‌های جامعه شیعه تأکید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نامه‌هایشان خطاب به یکی از بزرگان، از جامعه شیعه نیشابور به دلیل سهل‌انگاری و نامنظم پرداختن وجوهات شرعی گلایه فرموده 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پایانِ نامه چند تن از وکلای خویش را که در درستی و امانتداری مورد اعتماد کامل بوده‌اند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از وکلای امام یازدهم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پس از شهادت آن حضرت در اموال مردم اختلاس کردند و بعضی دیگر که از طرف امام وکالت نداشتند، دعوی نمایندگی کرده، به سوء استفاده‌های مالی از وجوه شرعی پرداختند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بسیار مؤثق نزد امام هادی و امام حسن عسکری’ عثمان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منزل امام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به کار کرد و بعدها دستیار اصلی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و انتقال امام هادی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سامرا همراه ایشان بود و پس از شهادت ایشان به عنوان دستیار عمده و کارپرداز اصلی و رئیس امور مالی و دفتری امام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شد و پس از شهادت ایشان نیز به عنوان نایب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دریافت وجوه از شیعیان اقدام نمود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55" w:name="pg4760_44143"/>
    </w:p>
    <w:p>
      <w:pPr>
        <w:pStyle w:val="BookText"/>
        <w:rPr/>
      </w:pPr>
      <w:bookmarkEnd w:id="155"/>
      <w:r>
        <w:rPr>
          <w:rFonts w:ascii="IRNazanin" w:hAnsi="IRNazanin" w:eastAsia="IRNazanin"/>
          <w:color w:val="111111"/>
          <w:sz w:val="28"/>
          <w:sz w:val="28"/>
          <w:szCs w:val="28"/>
          <w:rtl w:val="true"/>
          <w:lang w:bidi="fa-IR"/>
        </w:rPr>
        <w:t>پس از درگذشت عثمان بن سعید فرزندش محمد و سپس دو تن دیگر عهده‌دار این امر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درگذشت آخرین وکیل دفتر مراجعات امام، نهاد وکالت نیز به کار خویش خاتمه داد و دوره غیبت کبرا آغاز شد</w:t>
      </w:r>
      <w:r>
        <w:rPr>
          <w:rFonts w:eastAsia="IRNazanin" w:cs="IRNazanin"/>
          <w:color w:val="111111"/>
          <w:sz w:val="28"/>
          <w:szCs w:val="28"/>
          <w:rtl w:val="true"/>
          <w:lang w:bidi="fa-IR"/>
        </w:rPr>
        <w:t>.</w:t>
      </w:r>
    </w:p>
    <w:p>
      <w:pPr>
        <w:pStyle w:val="Heading4"/>
        <w:numPr>
          <w:ilvl w:val="3"/>
          <w:numId w:val="1"/>
        </w:numPr>
        <w:rPr/>
      </w:pPr>
      <w:bookmarkStart w:id="156" w:name="__RefHeading___Toc1717413_2035185390"/>
      <w:bookmarkStart w:id="157" w:name="_Toc59"/>
      <w:bookmarkEnd w:id="156"/>
      <w:r>
        <w:rPr>
          <w:rtl w:val="true"/>
        </w:rPr>
        <w:t>نقش نهاد وکالت در سازمان‌دهی اجتماعی امامیه</w:t>
      </w:r>
      <w:bookmarkEnd w:id="157"/>
    </w:p>
    <w:p>
      <w:pPr>
        <w:pStyle w:val="BookText"/>
        <w:rPr/>
      </w:pPr>
      <w:r>
        <w:rPr>
          <w:rFonts w:ascii="IRNazanin" w:hAnsi="IRNazanin" w:eastAsia="IRNazanin"/>
          <w:color w:val="111111"/>
          <w:sz w:val="28"/>
          <w:sz w:val="28"/>
          <w:szCs w:val="28"/>
          <w:rtl w:val="true"/>
          <w:lang w:bidi="fa-IR"/>
        </w:rPr>
        <w:t xml:space="preserve">نظام وکالت که به وسیله‌ی امام کاظم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گذاری شد،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تا پایان غیبت صغرا نقش مهم و تعیین کننده‌ای در سازمان دهی و تکامل تدریجی و درونی جماعت امامیه داشت؛ به ویژه در دوران غیبت صغرا که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فعالیتهای خود را در خفا دنبال می‌کرد و پیروان خویش را به وسیله‌ی چهار نماینده برگزیده خود رهبری می‌نمود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عمده نواب چهارگانه که پیش از این به وسیله‌ی امامان پیشین نیز انجام می‌گرفت، پنهان ساختن نام و محل زندگی امام از دشمنان و حتی شیعیان بود تا آنان را از فشار عباسیان مصون دارند؛ در عین حال بر</w:t>
      </w:r>
    </w:p>
    <w:p>
      <w:pPr>
        <w:pStyle w:val="BookText"/>
        <w:rPr/>
      </w:pPr>
      <w:r>
        <w:rPr>
          <w:rFonts w:ascii="IRNazanin" w:hAnsi="IRNazanin" w:eastAsia="IRNazanin"/>
          <w:color w:val="111111"/>
          <w:sz w:val="28"/>
          <w:sz w:val="28"/>
          <w:szCs w:val="28"/>
          <w:rtl w:val="true"/>
          <w:lang w:bidi="fa-IR"/>
        </w:rPr>
        <w:t>سفیر لازم بود وجود امام را برای هواداران مورد اعتماد به اثبات</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جماعت امامیه را از انشعابات بیشتر مصون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وکلای امام آن دسته از گفتارهای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می‌گرفتند که دلالت دارد مجموعه امامان به دوازده ختم می‌شود و آخرین آنان از دیده‌ها مستور خواهد گشت؛ همچنین وجوهاتی را که امامیه پیش از این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جمع آوری و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وصول این وجوهات گاه به اعجازهایی برای اثبات حقانیت خویش دست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امامیه کسی که خود را سفیرامام معرفی می‌کرد و قادر به انجام دادن معجزه نبود، درباره امام دروغ گفته بود و از سازمان وکالت اخراج می‌شد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صغرا که تنها عامل برقراری ارتباط میان امام و شیعیان وکلا و نواب بودند، علاوه بر دریافت و پرداخت وجوهات شرعیه، پرسش از مسائل</w:t>
      </w:r>
    </w:p>
    <w:p>
      <w:pPr>
        <w:pStyle w:val="BookText"/>
        <w:rPr/>
      </w:pPr>
      <w:r>
        <w:rPr>
          <w:rFonts w:ascii="IRNazanin" w:hAnsi="IRNazanin" w:eastAsia="IRNazanin"/>
          <w:color w:val="111111"/>
          <w:sz w:val="28"/>
          <w:sz w:val="28"/>
          <w:szCs w:val="28"/>
          <w:rtl w:val="true"/>
          <w:lang w:bidi="fa-IR"/>
        </w:rPr>
        <w:t>شرعی مستحدثه، کلامی و اعتقادی و عرضه نمودن نامه‌ها به محضر 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دریافت پاسخ و ارسال پیام‌های شفاهی و نیز اخراج توقیعات از مهمترین کارکردهای نهاد وکالت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موفق علمای امامیه در دوران غیبت صغرا در رهبری امور دینی امامیه امکان تفویض برخی اختیارات امام را به آنان فراهم کرد به ویژه که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یکی از توقیعات خود به سفیر دوم، به وضوح با ارجاع عامه امامیه به علما نوعی وکالت عام را بر عهده آنان می‌گذارد؛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خود را در مقام حاملان جانشینی امام معصوم قرار ندادند و از این رو در صدد تبیین وظایف و نحوة عملکرد حکومت‌های مشروعِ ممکن در عصر غیبت بر نیامدند، حتی پس از به قدرت رسیدن آل بویه که ادعای بازگرداندن خلافت را به امام در صورت ظهور او مطرح کرده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در نگرش امامیه به مسئله امامت نهفته است؛ آنان صرف نظر از مقام معنوی امام و واسطه فیض بودن او برای مخلوقات، استوانه حکومت و محور سیاسی قدرت را ویژه امام معصوم می‌دانند و از این منظر امامت به معنای رهبری مقتدرانه و عقلایی جامعه در تمام زمینه هاست و از آنجا که</w:t>
      </w:r>
    </w:p>
    <w:p>
      <w:pPr>
        <w:pStyle w:val="BookText"/>
        <w:rPr/>
      </w:pPr>
      <w:r>
        <w:rPr>
          <w:rFonts w:ascii="IRNazanin" w:hAnsi="IRNazanin" w:eastAsia="IRNazanin"/>
          <w:color w:val="111111"/>
          <w:sz w:val="28"/>
          <w:sz w:val="28"/>
          <w:szCs w:val="28"/>
          <w:rtl w:val="true"/>
          <w:lang w:bidi="fa-IR"/>
        </w:rPr>
        <w:t xml:space="preserve">ویژگی‌های امام، انتخاب بر اساس نص و عصمت خاص 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خصوصیتی پیوسته و همیشگی با عصمت و نص است، بنابراین هر نوع قدرت و اقتداری جز به دست امام معصوم نامشروع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امامیه به دلیل محروم ماندن از رهبری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عصر غیبت ناگزیر به حل و فصلِ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خود بر اساس آموزه‌های شریعت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فقها با تثبیت سازمان اجتهاد در فقه، به فقه مشارکتی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مشارکت امامیه در امور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نیابت عام از جانب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آوردند و از پرداختن به فقه حکومتی صرف نظر کردند</w:t>
      </w:r>
      <w:r>
        <w:rPr>
          <w:rFonts w:eastAsia="IRNazanin" w:cs="IRNazanin"/>
          <w:color w:val="111111"/>
          <w:sz w:val="28"/>
          <w:szCs w:val="28"/>
          <w:rtl w:val="true"/>
          <w:lang w:bidi="fa-IR"/>
        </w:rPr>
        <w:t>.</w:t>
      </w:r>
      <w:bookmarkStart w:id="158" w:name="pg4760_44147"/>
    </w:p>
    <w:p>
      <w:pPr>
        <w:pStyle w:val="Heading2"/>
        <w:numPr>
          <w:ilvl w:val="1"/>
          <w:numId w:val="1"/>
        </w:numPr>
        <w:rPr/>
      </w:pPr>
      <w:bookmarkStart w:id="159" w:name="__RefHeading___Toc1717415_2035185390"/>
      <w:bookmarkStart w:id="160" w:name="_Toc60"/>
      <w:bookmarkEnd w:id="158"/>
      <w:bookmarkEnd w:id="159"/>
      <w:r>
        <w:rPr>
          <w:rtl w:val="true"/>
        </w:rPr>
        <w:t>بخش سوم</w:t>
      </w:r>
      <w:r>
        <w:rPr>
          <w:rtl w:val="true"/>
        </w:rPr>
        <w:t>:</w:t>
      </w:r>
      <w:r>
        <w:rPr>
          <w:rtl w:val="true"/>
        </w:rPr>
        <w:t>ایدئولوژی‌های رایج عصر غیبت و رابطه‌ی آن با رفتار سیاسی علما</w:t>
      </w:r>
      <w:bookmarkEnd w:id="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1717417_2035185390"/>
      <w:bookmarkStart w:id="162" w:name="_Toc61"/>
      <w:bookmarkEnd w:id="161"/>
      <w:r>
        <w:rPr>
          <w:rtl w:val="true"/>
        </w:rPr>
        <w:t>اشاره</w:t>
      </w:r>
      <w:bookmarkStart w:id="163" w:name="pg4760_44151"/>
      <w:bookmarkEnd w:id="162"/>
    </w:p>
    <w:p>
      <w:pPr>
        <w:pStyle w:val="Heading3"/>
        <w:numPr>
          <w:ilvl w:val="2"/>
          <w:numId w:val="1"/>
        </w:numPr>
        <w:rPr/>
      </w:pPr>
      <w:bookmarkStart w:id="164" w:name="__RefHeading___Toc1717419_2035185390"/>
      <w:bookmarkStart w:id="165" w:name="_Toc62"/>
      <w:bookmarkEnd w:id="163"/>
      <w:bookmarkEnd w:id="164"/>
      <w:r>
        <w:rPr>
          <w:rtl w:val="true"/>
        </w:rPr>
        <w:t>فصل نخست</w:t>
      </w:r>
      <w:r>
        <w:rPr>
          <w:rtl w:val="true"/>
        </w:rPr>
        <w:t xml:space="preserve">: </w:t>
      </w:r>
      <w:r>
        <w:rPr>
          <w:rtl w:val="true"/>
        </w:rPr>
        <w:t>جریانهای فقهی شیعه</w:t>
      </w:r>
      <w:bookmarkEnd w:id="165"/>
    </w:p>
    <w:p>
      <w:pPr>
        <w:pStyle w:val="BookText"/>
        <w:rPr/>
      </w:pPr>
      <w:r>
        <w:rPr>
          <w:rFonts w:ascii="IRNazanin" w:hAnsi="IRNazanin" w:eastAsia="IRNazanin"/>
          <w:color w:val="111111"/>
          <w:sz w:val="28"/>
          <w:sz w:val="28"/>
          <w:szCs w:val="28"/>
          <w:rtl w:val="true"/>
          <w:lang w:bidi="fa-IR"/>
        </w:rPr>
        <w:t>در این قسمت برآنیم با معرفی جریانهای فقهی شیعه که بخش مهمی از زمینه‌های عملی را تشکیل می‌دهند، به تبیین نزدیک به واقعی از عملکردهای سیاسی علمای امامیه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که از آن به گرایش فقه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دست‌یابی به احکام الهی و و ظایف مکلفان را تنها در رجوع به کتاب و سنت و جمع‌آوری و نقل احادیث جست و جو می‌کرد و از کاوش و تبیین احکام فقهی جز با الفاظی که در نصوص آمده بود، هراس داشت و با هر گونه تأویل و تفسیر در احادیث مخالف بود و غیر این طریق را، ناروا ونامشروع می‌دانست و با برداشت از ظاهر لفظی حدیث، بدون تأمل و تفقه به یک آگاهی سطحی و پرتعارض در عرصه‌های فتوایی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مهم و اصلی این جریان، شهر قم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اصلی مطرح در این زمینه این است که چنین عمل‌کردی مبتنی بر چه تفکر و تفسیری از دین و نصوص دینی است؟</w:t>
      </w:r>
    </w:p>
    <w:p>
      <w:pPr>
        <w:pStyle w:val="BookText"/>
        <w:rPr/>
      </w:pPr>
      <w:r>
        <w:rPr>
          <w:rFonts w:ascii="IRNazanin" w:hAnsi="IRNazanin" w:eastAsia="IRNazanin"/>
          <w:color w:val="111111"/>
          <w:sz w:val="28"/>
          <w:sz w:val="28"/>
          <w:szCs w:val="28"/>
          <w:rtl w:val="true"/>
          <w:lang w:bidi="fa-IR"/>
        </w:rPr>
        <w:t>یکی از علل این امر حفظ اصل یقین در ارائه احکام الهی بود که لاجرم به نقل روایات و احادیث منقول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می‌شد و هر گونه استخراج حکم جدید را بر اساس روشهای استنباط به دلیل تصرف عقل بشری و تضعیف عنصر یقین مردودمی‌دانستند</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به مقابله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دغدغه‌ی خود را دریافت و فهم احکام اسناد داده شده به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می‌کردند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دومین دلیل می‌توان گفت علمایی که به ظهور زودهنگام امام دوازدهم شیعیان اعتقاد داشتند و به عبارت دیگر قائل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 جانشینی را برای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 می‌کردند؛ حتی اگر آن جانشین فقیه عادل باشد؛ زیرا آنان عمل به اجتهاد و ادله ظنیه یا هر نوع تفسیری از نصوص و احادیث دینی را به منزله‌ی اجازه دخل و تصرف در وظایف امام معصوم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همان تشریح و توضیح احکام و شریعت بود، تلقی می‌کردند؛ در حالی که در اندیشه‌ی آنان تنها از راه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احادیث و اخبار وارده از آنان می‌توان به حقیقت احکام دین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روایاتی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می‌کردند که عمل به رأی و قیاس</w:t>
      </w:r>
    </w:p>
    <w:p>
      <w:pPr>
        <w:pStyle w:val="BookText"/>
        <w:rPr/>
      </w:pPr>
      <w:r>
        <w:rPr>
          <w:rFonts w:ascii="IRNazanin" w:hAnsi="IRNazanin" w:eastAsia="IRNazanin"/>
          <w:color w:val="111111"/>
          <w:sz w:val="28"/>
          <w:sz w:val="28"/>
          <w:szCs w:val="28"/>
          <w:rtl w:val="true"/>
          <w:lang w:bidi="fa-IR"/>
        </w:rPr>
        <w:t>شخصی را در دین موجب هلاکت و گمراهی دانسته بودند</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نیز کتابهایی در رد اصحاب اجتهاد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 کتاب از سهل نوبختی در قرن سوم هجری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ابطلال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اجتهاد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خواهرزاده‌ی وی حسن بن موسی نوبختی نیز کتابی در همین زمینه نوشت که همه این کتابها در زمینه عمل به اخبار وارده نوشته شده و مضمون آن‌ها باب اجتهاد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قیاس به رأی علمی و استنباط روح شرع مقدس برای فتوا دادن در مسائل مستحدثه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از موفق‌ترین و برجسته‌ترین این جریان در کتاب الکافی به نقل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مداومت در کار و آثار و سنن برای رضای خدا هر چند کم باشد از اجتهاد در بدعتها و تبعیت کردن از هوی بهتر و برتر است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النعمانی نیز در تفسیرش به نقل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کسانی که قائل به اجتهاد هستند، فکر</w:t>
      </w:r>
    </w:p>
    <w:p>
      <w:pPr>
        <w:pStyle w:val="BookText"/>
        <w:rPr/>
      </w:pPr>
      <w:r>
        <w:rPr>
          <w:rFonts w:ascii="IRNazanin" w:hAnsi="IRNazanin" w:eastAsia="IRNazanin"/>
          <w:color w:val="111111"/>
          <w:sz w:val="28"/>
          <w:sz w:val="28"/>
          <w:szCs w:val="28"/>
          <w:rtl w:val="true"/>
          <w:lang w:bidi="fa-IR"/>
        </w:rPr>
        <w:t>می‌کنند که هر مجتهدی مصیب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علمای طرفدار اجتهاد ادعا ندارند که به حقیقت به همان صورتی که نزد خداوند است، رسیده‌اند</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کلینی، ابوجعفر محمد بن علی بن موسی بن بابویه قمی از محدثان طراز اول است که از او به عنوان بنیان‌گذار فقه حدیثی و رئیس محدثان یاد می‌شود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مطرح‌ترین محدث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بازمانده از وی، من لا یحضره الفقیه مشتمل بر </w:t>
      </w:r>
      <w:r>
        <w:rPr>
          <w:rFonts w:eastAsia="IRNazanin" w:cs="IRNazanin"/>
          <w:color w:val="111111"/>
          <w:sz w:val="28"/>
          <w:szCs w:val="28"/>
          <w:lang w:bidi="fa-IR"/>
        </w:rPr>
        <w:t>5998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از طریق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باب مسائل فقهی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معرفت شناختی مکتب فقه حدیثی، تقدم نقل بر عقل است و اعتقاد به اینکه عقل صلاحیت و توان لازم برای ورود به وادی شریعت را ندارد، سیاست نیز بر طبق این روش تابع متون و روایاتی است که از سوی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وظیفه عالم دینی در این حوزه تنها احکام مربوط به سیاست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چنین جوّ عامی در آن زمان، تلاشهای علمایی چون حسن بن عقیل عمانی و ابن جنید اسکافی در قرن چهارم هجری برای گشودن باب اجتهاد با شکست روبه رو شد؛ زیرا بیشتر علما اجتهاد را مباین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 که هر گونه تشریح و اجرای احکام را منحصر 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شیخ صدوق با تکیه بر حدیث ثقلین تأکید کرد که علم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و منعکس کننده مراد خداوند و مانند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مبتنی بر استخراج و استنباط و استدلال نیست و امکان ندارد غیر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استنباط و معرفت و تأویل قرآن باشند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اهل حدیث بر اندیشه‌ها و آرای خویش همراه با طولانی شدن غیبت امام و فقدان هرگونه تماس و ارتباط با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بحرانهای شدیدی را در زمینه‌های کلامی و عقیدتی و مسائل مستحدثه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راویان حدیث به سوی تأسیس سازمانِ اجتهاد در فقه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گفته شد، نخسین عالمان پس از غیبت کبرا عمل اجتهادی خارج از نصوص را حرام می‌دانستند و اجتهاد این عده که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تنها بر اساس نصوص بود و درباره‌ی ترجیح میان نصوص و معرفت عام و خاص و مطلق و مقید و از این قبیل امور بود؛ اما بنا بر وضعیت مذکور علمای امامیه وادار به تغییراتی در چگونگی گشایش باب اجتهاد شدند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کسانی که اقدام به گشودن باب اجتهاد کردند، حسن بن عقیل</w:t>
      </w:r>
    </w:p>
    <w:p>
      <w:pPr>
        <w:pStyle w:val="BookText"/>
        <w:rPr/>
      </w:pPr>
      <w:r>
        <w:rPr>
          <w:rFonts w:ascii="IRNazanin" w:hAnsi="IRNazanin" w:eastAsia="IRNazanin"/>
          <w:color w:val="111111"/>
          <w:sz w:val="28"/>
          <w:sz w:val="28"/>
          <w:szCs w:val="28"/>
          <w:rtl w:val="true"/>
          <w:lang w:bidi="fa-IR"/>
        </w:rPr>
        <w:t xml:space="preserve">عمانی و محمد بن احمد بن جنید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بر احادیثی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کردند که عمل اجتهاد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به نقل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اصول را به شما بیاموزیم و بر شماست که تفریع و بحث در فروع کنید یا حدیثی از امام رضا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قریب همین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اصول را به شما بگوییم و شما باید در فروع بحث کنید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توقیعی که صدوق از امام زمان در کمال الدین روایت می‌کند نیز استناد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حوادث واقعه، به راویان احادیث ما رجوع کنید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جنید عقل را بیش از حد در استنباط احکام دخالت می‌داد و در کتابهای او احکامی وجود داشت که منشأ آنها ظن و قیاس بود و با احکامی که دلیلشان در روایات آمده بود، یکجا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اخبار آحاد نیز تکیه می‌کرد و آنها راحجت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که بعدها به وسیله‌ی اندیشمندان دینی به گرایش قیاسی شهرت یافت، مورد انتقاد بیشتر علمای امامیه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علمای اصولیین درباره‌ی روش ابن جنید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کتب ابوعلی بن جنید با احکامی پر شده است که در آنها به ظن عمل کرده و مذهب مخالفان و قیاس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منقول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آنچه با رأی خود تقلید کرده، خلط نموده و این دو صنف را از هم منفرد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منقولات را از رأی خود تفکیک می‌کرد در آن حجت نبود؛ زیرا او در اخبار بر نقل متواتر اعتماد نکرده و تنها بر اخبار آحاد تکیه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میان روش فقهی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آنها،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ابی عقیل تفاوت چشمگیری دیده نمی‌شود؛ زیرا وی همانند شیخ مفید دارای روش اجتهادی بوده و مسائل اصولی را از مسائل فقهی جدا کرد و کتابی اصولی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 بحبل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عقل را در استنباط احکام به عنوان منبع معرفی نمود و در عین حال بسان ابن جنید افراط نکرد تا مورد</w:t>
      </w:r>
    </w:p>
    <w:p>
      <w:pPr>
        <w:pStyle w:val="BookText"/>
        <w:rPr/>
      </w:pPr>
      <w:r>
        <w:rPr>
          <w:rFonts w:ascii="IRNazanin" w:hAnsi="IRNazanin" w:eastAsia="IRNazanin"/>
          <w:color w:val="111111"/>
          <w:sz w:val="28"/>
          <w:sz w:val="28"/>
          <w:szCs w:val="28"/>
          <w:rtl w:val="true"/>
          <w:lang w:bidi="fa-IR"/>
        </w:rPr>
        <w:t>حمله‌ی علمای امامیه قرار گیرد؛ بلکه حتی مورد ستایش شیخ مفید نیز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درباره‌ی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شیخنا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یکثر الثنا علی هذا الرجل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عمده میان این دو این است که ابن ابی عقیل منهج فقه اجتهادی را بنیان نهاد و سپس شیخ مفید آن را پرورش داد و سبک جدیدی در تفریع اصول و تطبیق با اصول پدید آورد؛ اگر چه برخی بر این عقیده‌اند که مفید نیز در آغاز از علمای مخالف اجتهادبود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عمانی و ابن جنید را رد کرد اما آنچه به طریق صواب نزدیکتر می‌نماید، این است که او از شیوه‌ی قیاسی که قیاس و استحسان را در دستیابی به فروع و احکام دینی به کار می‌بردند، انتقاد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اجتهادی نه تنها شیوه‌ی قیاسی؛ بلکه گرایش فقهی حدیثی را</w:t>
      </w:r>
    </w:p>
    <w:p>
      <w:pPr>
        <w:pStyle w:val="BookText"/>
        <w:rPr/>
      </w:pPr>
      <w:r>
        <w:rPr>
          <w:rFonts w:ascii="IRNazanin" w:hAnsi="IRNazanin" w:eastAsia="IRNazanin"/>
          <w:color w:val="111111"/>
          <w:sz w:val="28"/>
          <w:sz w:val="28"/>
          <w:szCs w:val="28"/>
          <w:rtl w:val="true"/>
          <w:lang w:bidi="fa-IR"/>
        </w:rPr>
        <w:t>نیز به نقد کشید و با تکیه بر عنصر عقل، استناد به ظواهر آیات الهی و نیز قیاس را رد نمود و با نگرش عقل گرایانه و تأمل در احادیث وارده، سره را از ناسره تشخیص داد و به رفع تعارضهای ظاهری میان احکام عقلی و امور شرعی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برای نخستین بار در میان علمای امامیه اصول اجتهادی 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و در کتابی با عنوان التذکرة باُصول الفقه تدوین نمود که بعدها با گسترش و تبویب اصولی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معرفتی فقه و احکام‌شناسی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در منزلت و اهمیت عقل در استنباط فقهی که وجه تمایز مکاتب قبلی و شیوه‌ی اجتهادی اوست، عقل را بی‌نیاز از شرع نمی‌داند و تأیید آن را به وسیله‌ی سمع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مختصر کتاب اصول فقه 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القول فی الخطر والاباحة فهو ان العقول لامجال لها فی العلمه باباحة مایجوز ورود السمع فیها باباحة، ولا یحظر مایجوز وروده فیها بحظره، و لکن العقل لم ینفک قط من السمع باباحة وحظر ولو اجبر اللّه تعالی العقلاء حالا واحدة من سمع، لکان قد اضطرهم الی مواقعه ما یقبح فی عقولهم</w:t>
      </w:r>
    </w:p>
    <w:p>
      <w:pPr>
        <w:pStyle w:val="BookText"/>
        <w:rPr/>
      </w:pPr>
      <w:r>
        <w:rPr>
          <w:rFonts w:ascii="IRNazanin" w:hAnsi="IRNazanin" w:eastAsia="IRNazanin"/>
          <w:color w:val="111111"/>
          <w:sz w:val="28"/>
          <w:sz w:val="28"/>
          <w:szCs w:val="28"/>
          <w:rtl w:val="true"/>
          <w:lang w:bidi="fa-IR"/>
        </w:rPr>
        <w:t>من استباحه ما لا سبیل لهم الی العلم باباحة من خطره، والجاهمه الی الحیرة التی لا یلیق بحکمة</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توان این را ندارد که به محرمات و مباحات راه پیدا کند و هر آنچه درباره‌ی محرمات و مباحات گوید باید از سوی سمع مورد تأیید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سمع بی نیازید و باید با عقل احکامتان را به دست آورید، این مضطر نمودن انسان است به کاری که عقل آن را قبیح می‌داند؛ زیرا عقل توان راه یابی به محرمات و مباحات را ندارد و معنای آن سوق دادن انسانهاست به حیرتی که در شأن حکمت خداوند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می‌توان نتیجه گرفت که عقل می‌تواند یک منبع در کنار دیگر منابع قرار گیرد؛ البته نه به آن معنا که عقل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روایاتی قطعی السند و قطعی الدلاله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متعارض لحاظ کند، بلکه عقل در نبود نص یا مجمل بودن آن یا تعارض میان نصین مثل استصحاب و برائت که به اصول عملیه معروف‌اند، کاربرد دارد یا</w:t>
      </w:r>
    </w:p>
    <w:p>
      <w:pPr>
        <w:pStyle w:val="BookText"/>
        <w:rPr/>
      </w:pPr>
      <w:r>
        <w:rPr>
          <w:rFonts w:ascii="IRNazanin" w:hAnsi="IRNazanin" w:eastAsia="IRNazanin"/>
          <w:color w:val="111111"/>
          <w:sz w:val="28"/>
          <w:sz w:val="28"/>
          <w:szCs w:val="28"/>
          <w:rtl w:val="true"/>
          <w:lang w:bidi="fa-IR"/>
        </w:rPr>
        <w:t>قواعدی که ریشه در احکام بدیهی عقلی دارند مانند بحث اجتماع امر و نهی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آیا امر به شی نهی از ضد که در اصول به غیرمستقلات عقلیه معروف است، می‌نماید یا خیر؟ یا مواردی که عقل ما را به نحوه‌ی استفاده از قواعدی برای استنباط حکم از دیگر منابع رهنمون می‌کند مانند بحث اوامر و نواهی و مطلق و مقید، عام و خاص که در اصول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آنکه مفید از عقل هم به عنوان منبع و هم به عنوان ابزار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وی در منهج فقهی‌اش او را قادر ساخت، حکم فروعاتی را که منصوص</w:t>
      </w:r>
    </w:p>
    <w:p>
      <w:pPr>
        <w:pStyle w:val="BookText"/>
        <w:rPr/>
      </w:pPr>
      <w:r>
        <w:rPr>
          <w:rFonts w:ascii="IRNazanin" w:hAnsi="IRNazanin" w:eastAsia="IRNazanin"/>
          <w:color w:val="111111"/>
          <w:sz w:val="28"/>
          <w:sz w:val="28"/>
          <w:szCs w:val="28"/>
          <w:rtl w:val="true"/>
          <w:lang w:bidi="fa-IR"/>
        </w:rPr>
        <w:t>نبودند،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علاوه بر رد روش قیاسی، در حمله به اخباری مسلکان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اخباری مسلک ما، دارای ذهنی سالم ولی دور از تعمق بوده و بهره کمی از هوشیاری دارند و بدون دقت از کنار احادیث می‌گذرند و در سند آن نیز تأمل نمی‌کنند و حق و باطل آن را از هم جدا نمی‌سازند</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عقل‌گرایی را مخصوص عمومات نقلی می‌شمرد و دلیل نقلی مخالف</w:t>
      </w:r>
    </w:p>
    <w:p>
      <w:pPr>
        <w:pStyle w:val="BookText"/>
        <w:rPr/>
      </w:pPr>
      <w:r>
        <w:rPr>
          <w:rFonts w:ascii="IRNazanin" w:hAnsi="IRNazanin" w:eastAsia="IRNazanin"/>
          <w:color w:val="111111"/>
          <w:sz w:val="28"/>
          <w:sz w:val="28"/>
          <w:szCs w:val="28"/>
          <w:rtl w:val="true"/>
          <w:lang w:bidi="fa-IR"/>
        </w:rPr>
        <w:t>عقل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نوشته‌هایش در تمامی زمینه‌ها اعم از فقه، تاریخ و کلام در شمار برجسته‌ترین آثار شیعی دوره‌ی آل بویه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مفید،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اجتهاد را تنقیح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و باب اجتهاد را به طور رسمی با نوشتن کتاب المبسوط فی فقه الامامیه گشود</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مدرسه اصولی حله و جبل عامل، کربلا، نجف و قم به وجود آمد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سید مرتضی الذریعة الی اصول الشیعة، نخستین کتاب اصولی شیعی است که اقرار به مبدأ اجتهاد و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فصل خاصی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القیاس والاجتهاد والرأی 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معانی هذه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قیاس؛ عبارت از اثبات حکمی با قیاس با حکم دیگر و برای آن شروطی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بذل توان در به دست آوردن احکام، سپس استفاده از دلیل احکام، آن هم در وجه و صورت مشکلش به قول ما</w:t>
      </w:r>
    </w:p>
    <w:p>
      <w:pPr>
        <w:pStyle w:val="BookText"/>
        <w:rPr/>
      </w:pPr>
      <w:r>
        <w:rPr>
          <w:rFonts w:ascii="IRNazanin" w:hAnsi="IRNazanin" w:eastAsia="IRNazanin"/>
          <w:color w:val="111111"/>
          <w:sz w:val="28"/>
          <w:sz w:val="28"/>
          <w:szCs w:val="28"/>
          <w:rtl w:val="true"/>
          <w:lang w:bidi="fa-IR"/>
        </w:rPr>
        <w:t xml:space="preserve">اهل اجتهاد مانعی ندارد که اجتهاد را عرفاً تفسیر کنیم و آن تأکید کردن روی ظنون و علامات در اثبات احکام شرعیه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ادله رجوع نمی‌کنند اما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مذهب و اعتقاد وقتی که مستند بر ادله باشد نه ظنون و علامات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جواز التعبد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پذیرفتیم که قیاس شرعی ممکن است ما را به احکام شرعیه برساند، در این صورت قیاس حکم ادله شرعیه را پیدا می‌کند چه از نظر نص یا غیرنص، بعد از ثبوت این دلایل اگر کسی اجتهاد را منع کرد نباید به معارضه او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قیاس را رد کردند چون قیاس با ظن و گمان ارتباط دارد و ظن ممکن است درست یا نادرست باشد، به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عقلیه و شرعیه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 ظن هستند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اینکه سید مرتضی پایه و مشروعیت اجتهاد را تثبیت کرد و عمل به ظنون خارج از نصوص را جایز شمرد و آن را یک ضرورت در عصر غیبت دانست، به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تقلید و استفتاء مجتهدان را تحریم کردند، پاسخ داد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استفتاء را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خود باید تحصیل علم کند و عالم به فروع باشد، مستفتی اگر به مفتی رجوع کند، راه استدلال را به وی می‌آموزد و بستگی به مستفتی دارد که تا چه اندازه احتمال خطا در مفتی می‌بیند که مانع پذیرفتن قولش می‌شود؛ زیرا تضمینی نیست که مفتی اقدام به قبیح نماید، میان امت چه قدیم و چه جدید بر وجوب مراجعه عامی به مفتی خلافی نیست و لازم است عامی سخن مفتی را قبول کند؛ زیرا وی به کُنه احکام حادثه آگاه نیست و کسی که با این امر مخالفت ورزد، خرق اجماع کرده است</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به ظاهر جز اجماع دلیلی بر تقلید نیافت، این در حالی بود که میان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اخباریون و اصولیون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بود و اخباریون اجتهاد و تقلید را مردود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ششم هجری شیخ محمد بن ادریس حلی در مقدمه السرائر اجتهاد را تأیید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سه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شدند معتمد مجتهدان، عقل است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جعفر بن الحسن، نظریه اصول اجتهادیه سید مرتضی را در کتاب معارج الاصول تأیید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از ظواهر قطعی نصوص گرفته می‌شوند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نیاز احکام به اجتهاد را بر اساس مصالح و اهداف دانست و معنی اجتهاد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عُرف فقها عبارت است از تلاش در استخراج احکام شرعیه، روی این اصل استخراج احکام به این صورت دلیل شرعی و اجتهادی دارد؛ زیرا این‌گونه احکام بیشتر بر اساس اعتبارات نظری که از ظواهر نصوص گرفته شده، ساخته شده‌اند، چه دلیل آن قیاسی یا غیرقیاسی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پذیرش قیاس میان علما اختلاف است؛ بعضی تعبد به قیاس را از نظر عقلی منع کرده‌اند اما بیشتر قائل به جواز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قیاس،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با عمومات کتاب و سنت مطابقت کند، نیازی به آن نداریم و اگر قیاس با آن‌ها منافات دارد، عمل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وی قیاس را مردود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جدال با اخباریون که اجتهاد و تقلید را تحریم می‌کردند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المفتی و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عامی جایز است به فتوای عالم دراحکام شرعیّه عمل کند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اخباریون در پاسخ چنین استدلال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تَقُولُوا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نامطمئن که منجر به مفسده شده و به امری قبیح تبدیل شود؛ زیرا مفتی جایز الخطا و در هر امری که إفتا شود، احتمال خطا می‌رود در نتیجه، مفسده در عمل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در شرعیات جایز باشد در عقلیات هم جایز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باب اجتهاد این شبهه را به وجود آورد که مردم نسبت به امام معصوم که عالم به علم الهی است و در غیبت به سر می‌برد، بی‌نیازند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برای جمع میان این دو، قاعده لطف را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w:t>
      </w:r>
    </w:p>
    <w:p>
      <w:pPr>
        <w:pStyle w:val="BookText"/>
        <w:rPr/>
      </w:pPr>
      <w:r>
        <w:rPr>
          <w:rFonts w:ascii="IRNazanin" w:hAnsi="IRNazanin" w:eastAsia="IRNazanin"/>
          <w:color w:val="111111"/>
          <w:sz w:val="28"/>
          <w:sz w:val="28"/>
          <w:szCs w:val="28"/>
          <w:rtl w:val="true"/>
          <w:lang w:bidi="fa-IR"/>
        </w:rPr>
        <w:t>که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پس پرده‌ی غیبت بر روند اجتهاد در عصر غیبت اشراف و اعمال نظر دارند و علمای امامیه را توجیه و تصحیح می‌کند و آنان را از اجتماع بر خطا باز می‌دارد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کتاب عدة الاصول و بحث دربارة اجماع، نظریه لطف و رأی سید مرتضی را تأیید کرد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معاصر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براساس همین نظریه، علما را از خطا و اشتباه مصون دانست و چنین توجیه کرد که وجود امام از پس پرده‌ی غیبت مانع از آن می‌شود که علما دچار خطا و فراموشی شوند، از آنجا که شاهد و عالم به اخبار آنان است، آنان را راهنمایی می‌کند و اگر نسبت به حق دچار اختلاف شدند دیگر تقیه‌ی امام و غیبت او جایز نبوده و خداوند سبحان امر به ظهور او می‌دهد؛ اما علمای متأخرتر این نظریه را رد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قول معصوم میان اقوال مخفی و پوشیده است، علما قادر به تشخیص و ضبط آن نیستند و این نظر که اگر علما بر خطا باشند بر امام واجب است که ظهور کند، قابل استناد نیست؛ زیرا همه علما بر این نظریه اجماع ندارند و شاید اقوال مخالف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منقول از امام غایب باشد</w:t>
      </w:r>
    </w:p>
    <w:p>
      <w:pPr>
        <w:pStyle w:val="BookText"/>
        <w:rPr/>
      </w:pPr>
      <w:r>
        <w:rPr>
          <w:rFonts w:ascii="IRNazanin" w:hAnsi="IRNazanin" w:eastAsia="IRNazanin"/>
          <w:color w:val="111111"/>
          <w:sz w:val="28"/>
          <w:sz w:val="28"/>
          <w:szCs w:val="28"/>
          <w:rtl w:val="true"/>
          <w:lang w:bidi="fa-IR"/>
        </w:rPr>
        <w:t>تا امت بر خطا اجماع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اجماع، دلیلی از ادله برای استنباط احکام به حساب نمی‌آید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آنکه باز کردن باب اجتهاد گامی بلند برای بیرون شدن از بحران خلأ رهبری دینی و دست یافتن به حکم مسائل مستحدثه بود؛ زیرا اعتقاد به تقیه و انتظار منفی و منتفی ساختن عمل اجتهاد، شیعیان را با بن‌بست‌های سیاسی و اجتماعی بسیاری مواجه می‌ساخت؛ به علاوه آنکه بسیاری از ابواب فقهی نیز لاینحل باقی مانده و تعطیل می‌شد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گشودن باب اجتهاد باعث تحولات و تغییرات عظیم اجتماعی و هماهنگ با تغییرات زمان ومکان و پاسخگویی به مسائل روز شد و این هم به سهم خود موجب تغییرات ریشه‌ای و بنیادی در اندیشه امامیه شد و نظریه‌ی مشروع نبودن حکومت غیرمعصوم را تعدیل کرده، به نظریه جواز حکومت برای غیرمعصوم روی آوردند</w:t>
      </w:r>
      <w:r>
        <w:rPr>
          <w:rFonts w:eastAsia="IRNazanin" w:cs="IRNazanin"/>
          <w:color w:val="111111"/>
          <w:sz w:val="28"/>
          <w:szCs w:val="28"/>
          <w:rtl w:val="true"/>
          <w:lang w:bidi="fa-IR"/>
        </w:rPr>
        <w:t>.</w:t>
      </w:r>
      <w:bookmarkStart w:id="166" w:name="pg4760_44169"/>
    </w:p>
    <w:p>
      <w:pPr>
        <w:pStyle w:val="Heading3"/>
        <w:numPr>
          <w:ilvl w:val="2"/>
          <w:numId w:val="1"/>
        </w:numPr>
        <w:rPr/>
      </w:pPr>
      <w:bookmarkStart w:id="167" w:name="__RefHeading___Toc1717421_2035185390"/>
      <w:bookmarkStart w:id="168" w:name="_Toc63"/>
      <w:bookmarkEnd w:id="166"/>
      <w:bookmarkEnd w:id="167"/>
      <w:r>
        <w:rPr>
          <w:rtl w:val="true"/>
        </w:rPr>
        <w:t>فصل دوم</w:t>
      </w:r>
      <w:r>
        <w:rPr>
          <w:rtl w:val="true"/>
        </w:rPr>
        <w:t>: «</w:t>
      </w:r>
      <w:r>
        <w:rPr>
          <w:rtl w:val="true"/>
        </w:rPr>
        <w:t>امامت</w:t>
      </w:r>
      <w:r>
        <w:rPr>
          <w:rtl w:val="true"/>
        </w:rPr>
        <w:t>»</w:t>
      </w:r>
      <w:r>
        <w:rPr>
          <w:rtl w:val="true"/>
        </w:rPr>
        <w:t xml:space="preserve">، </w:t>
      </w:r>
      <w:r>
        <w:rPr>
          <w:rtl w:val="true"/>
        </w:rPr>
        <w:t>«</w:t>
      </w:r>
      <w:r>
        <w:rPr>
          <w:rtl w:val="true"/>
        </w:rPr>
        <w:t>غیبت</w:t>
      </w:r>
      <w:r>
        <w:rPr>
          <w:rtl w:val="true"/>
        </w:rPr>
        <w:t>»</w:t>
      </w:r>
      <w:r>
        <w:rPr>
          <w:rtl w:val="true"/>
        </w:rPr>
        <w:t xml:space="preserve">، </w:t>
      </w:r>
      <w:r>
        <w:rPr>
          <w:rtl w:val="true"/>
        </w:rPr>
        <w:t>«</w:t>
      </w:r>
      <w:r>
        <w:rPr>
          <w:rtl w:val="true"/>
        </w:rPr>
        <w:t>انتظار</w:t>
      </w:r>
      <w:r>
        <w:rPr>
          <w:rtl w:val="true"/>
        </w:rPr>
        <w:t>»</w:t>
      </w:r>
      <w:bookmarkEnd w:id="1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717423_2035185390"/>
      <w:bookmarkStart w:id="170" w:name="_Toc64"/>
      <w:bookmarkEnd w:id="169"/>
      <w:r>
        <w:rPr>
          <w:rtl w:val="true"/>
        </w:rPr>
        <w:t>اشاره</w:t>
      </w:r>
      <w:bookmarkStart w:id="171" w:name="pg4760_44171"/>
      <w:bookmarkEnd w:id="170"/>
    </w:p>
    <w:p>
      <w:pPr>
        <w:pStyle w:val="Heading4"/>
        <w:numPr>
          <w:ilvl w:val="3"/>
          <w:numId w:val="1"/>
        </w:numPr>
        <w:rPr/>
      </w:pPr>
      <w:bookmarkStart w:id="172" w:name="__RefHeading___Toc1717425_2035185390"/>
      <w:bookmarkStart w:id="173" w:name="_Toc65"/>
      <w:bookmarkEnd w:id="171"/>
      <w:bookmarkEnd w:id="172"/>
      <w:r>
        <w:rPr>
          <w:rtl w:val="true"/>
        </w:rPr>
        <w:t>شکل‌گیری نظریه امامت</w:t>
      </w:r>
      <w:bookmarkEnd w:id="173"/>
    </w:p>
    <w:p>
      <w:pPr>
        <w:pStyle w:val="BookText"/>
        <w:rPr/>
      </w:pPr>
      <w:r>
        <w:rPr>
          <w:rFonts w:ascii="IRNazanin" w:hAnsi="IRNazanin" w:eastAsia="IRNazanin"/>
          <w:color w:val="111111"/>
          <w:sz w:val="28"/>
          <w:sz w:val="28"/>
          <w:szCs w:val="28"/>
          <w:rtl w:val="true"/>
          <w:lang w:bidi="fa-IR"/>
        </w:rPr>
        <w:t xml:space="preserve">منابع فقهی و کلامی اسلامی، منصب امامت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عالیه بر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کرداند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رهبر جامعه‌ی اسلامی،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تمامی امور دینی و اجتماعی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 حق بودن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 به مقام خلافت، نه تنها اعتقاد شیعیان بلکه بسیاری از هواداران اهل سنت نیزهست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اعتقاد شیعیان با فراهم شدن شرایط و مقتضیات، امام آن دوره قیام کرده، حقّ تضییع شده‌ی خود را پس خواهد گرفت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 اعتقاد به ظهور منجی انقلابی 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w:t>
      </w:r>
    </w:p>
    <w:p>
      <w:pPr>
        <w:pStyle w:val="BookText"/>
        <w:rPr/>
      </w:pPr>
      <w:r>
        <w:rPr>
          <w:rFonts w:ascii="IRNazanin" w:hAnsi="IRNazanin" w:eastAsia="IRNazanin"/>
          <w:color w:val="111111"/>
          <w:sz w:val="28"/>
          <w:sz w:val="28"/>
          <w:szCs w:val="28"/>
          <w:rtl w:val="true"/>
          <w:lang w:bidi="fa-IR"/>
        </w:rPr>
        <w:t xml:space="preserve">اول هجری در همه‌ی قشرهای جامعه‌ی اسلامی به وجود آمده بود که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ضعف نظام خلافت اموی و بالا گرفتن نارضایتی عمومی مردم از بنی‌امیه، در نخستین سالهای قرن دوم هجری، بسیاری از مردم امید داشتند رئیس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قیام خواهد کرد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دهه‌ی بعد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وضعیتی که بسیاری آن را عالی‌ترین فرصت برای قیام می‌دانستند، از هر گونه اقدام سیاسی خودداری فرمود و به این انتظار چنین پاسخ داد که وی قائم منتظر نیست و قائم در آینده هنگامی که زمان کاملاً مناسب فرا رسد، ظهور و قیام خواهد کرد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 تنها خود مطلقاً از سیاست دوری می‌کرد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پیروان خود را نیز به شدت از هر عمل سیاسی منع می‌کرد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فضایی، واکنش هواداران امام متفاوت بود؛</w:t>
      </w:r>
    </w:p>
    <w:p>
      <w:pPr>
        <w:pStyle w:val="BookText"/>
        <w:rPr/>
      </w:pPr>
      <w:r>
        <w:rPr>
          <w:rFonts w:ascii="IRNazanin" w:hAnsi="IRNazanin" w:eastAsia="IRNazanin"/>
          <w:color w:val="111111"/>
          <w:sz w:val="28"/>
          <w:sz w:val="28"/>
          <w:szCs w:val="28"/>
          <w:rtl w:val="true"/>
          <w:lang w:bidi="fa-IR"/>
        </w:rPr>
        <w:t>برخی سکوت را برای امام حرام می‌دانستند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شاخه‌ی حسنی دودمان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سیاسی فعال‌تر بودند</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پیوستند و بعضی دچار یأس و ناامیدی شدند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از شیعیان نیز امام را به عنوان دانشمندترین فرد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که وظیفه اصلی وی تعلیم حرام و حلال و تفسیر شریعت و تزکیه نفوس و جامعه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عده وجود امام را برطرف کنندة اختلافهای مذهبی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نکردن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احراز منصب خلافت در وضعیت قبل از استقرار نظام عباسی که همگان آن را زمینه بسیار مناسبی برای احقاق حق خاندان پیامبر می‌دانستند، موجب شد تا مقام مذهبی و علمی امام بر مقام سیاسی او برتری یابد اما در زمان امام کاظم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شایعه حدیثی در میان شیعیان که هفتمین امام خاتم</w:t>
      </w:r>
    </w:p>
    <w:p>
      <w:pPr>
        <w:pStyle w:val="BookText"/>
        <w:rPr/>
      </w:pP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اعتراضهای شجاعانه امام به حکومت وقت نوید قیام موعود را برای شیعیان در بر داشت که با شهادت امام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 هواداران او ضربه‌ای شدید بر آمال امامیه وارد شد و حتی تا مدتها پس از شهادت امام گروهی رجعت دوباره امام را انتظار می‌کشیدند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انتصاب هشتمین امام به ولایت عهدی به وسیله‌ی مأمون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تحقق آرزوهای شیعیان به واقعیت نزدیک شد که با شهادت امام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تفکرات و ایده‌های غالی‌گری که بر فوق طبیعی بودن امام تأکید می‌ورزید نیز عملاً از جنبه سیاسی امام کاست و به امامت رسیدن دو امام نهم و دهم در سنین خردسالی این ایده را تقویت می‌کرد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شدید و تحت الحفظ بودن امام یازدهم در سامرا و دستگیری و آزار شیعیانی که با امام تماس می‌گرفتند، فشارهای مالی و سیاسی وارد بر شیعیان</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آنان از سمت‌ها و مناصب دولتی</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به این امر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حسن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دسته از شیعیان که بر امامت فرزند ایشان اتفاق نظر داشتند، به واسطه وجود مشکلات بسیاری که جامعه شیعه را در بر گرفته بود و در آن اوضاع ظهور زود هنگام امام دوازدهم را انتظار می‌کشیدند تا بزرگان و ریش سفیدانی که به رؤیت او نائل آمده و ولادتش را تصدیق کرده بودند، بر امامتش نیز گواهی دهند؛ اما تحقق نیافتن این ایده، آنان را بر آن داشت تا بار دیگر احادیث و روایات اجداد بزرگوار او را مرور کرده، به واقعیت امر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اثنی عشری تا مدتها از پذیرش روایات مربوط به غیبت خودداری می‌ورزید و آن را ساخته و پرداخته گروههای انحرافی از شیعیان یا همان واقفیه می‌دانستند تا آنکه غیبت امام دوازدهم رخ داد و پیشگویی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 تحقق پیوست و دریافتند که اختفاء امام از انظار مردم دلیلی بر تقیه نکردن از سوی امام و انطباق روایات و احادیث منقولی بود که در دوران حضور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مبارک حضرت ولی عصر نیز که از مردمان مخفی نگه داشته می‌شد، از طریق آگاهی آنان بر این که او همان مهدی موعودو منتظر جهانیان است، بر اساس روایات کشف گردید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پیش از آن، از این منجی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 تا میان منجی منتظر خود با مهدی که همه فرق اسلامی در انتظار او بودند، تمایز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امام حسن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فوت آخرین نایب خاص، نواب اربعه نامههای شیعیان و وجوهات و نذور را به وکلای مناطق مختلف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انتظار ظهور امام غایب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برابر با آخرین سالهای قرن سوم هجری بود و پس از قطع توقیعات ناحیه مقدسه که به معنی آغازغیبت کبرا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از روایاتی سرچشمه می‌گرفت که امام را این‌گونه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نیرومند در سنین سی، سی و یک و یا حداکثر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تفسیر درست این روایات مشخص شد که قائم آل محمد هر چند هزاران سال زندگی کند، در هیأت جوانی سی و دو ساله ظهور خواهد کرد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کشیدن انتظار ظهور امام آن چنان جوی از تردید و تحیر را در جامعه شیعه پدید آورد که بیشتر شیعیان عراق هر یک به نحوی وجود امام غایب را انکار کردند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کتاب کمال دین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خراسان و حتی علمای مورد احترام آنان در شکی عمیق بوده‌اند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دوره در تاریخ شیعه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گروه‌های بزرگی از شیعیان در همه نقاط جهان اسلام، به ارتداد یا مذاهب دیگر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وضعیتی محدثان شیعه را که بعدها در سلک متکلمان در آمدند، بر تلاش برای شالوده سازی عقاید و اصول مکتب تشیع و دفاع از نظریه امامت واداشت؛ افرادی همچون محمد حسن بن موسی متوفی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عبدالرحمن بن قبه رازی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گفته شد، اینان با بررسی روایات و احادیث منقول از ائمه</w:t>
      </w:r>
      <w:r>
        <w:rPr>
          <w:rFonts w:eastAsia="IRNazanin" w:cs="IRNazanin"/>
          <w:color w:val="111111"/>
          <w:sz w:val="28"/>
          <w:szCs w:val="28"/>
          <w:rtl w:val="true"/>
          <w:lang w:bidi="fa-IR"/>
        </w:rPr>
        <w:t>^</w:t>
      </w:r>
      <w:bookmarkStart w:id="174" w:name="pg4760_44178"/>
    </w:p>
    <w:p>
      <w:pPr>
        <w:pStyle w:val="BookText"/>
        <w:rPr/>
      </w:pPr>
      <w:bookmarkEnd w:id="174"/>
      <w:r>
        <w:rPr>
          <w:rFonts w:ascii="IRNazanin" w:hAnsi="IRNazanin" w:eastAsia="IRNazanin"/>
          <w:color w:val="111111"/>
          <w:sz w:val="28"/>
          <w:sz w:val="28"/>
          <w:szCs w:val="28"/>
          <w:rtl w:val="true"/>
          <w:lang w:bidi="fa-IR"/>
        </w:rPr>
        <w:t>درباره شخصیت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و ویژگی‌های ظهورش، به ارائه نظریه‌هایی دست یافتند و دریافتند که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دوازدهم دارای هویتی واحدند و پس از دو دوره غیبت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این اساس نظریه هایی درباره شکل اداره جامعه امامیه در عصر غیبت و چگونگی تعامل و همکاری با حاکمان جور ارائه کردند که شکل‌گیری و سیر تطور آن به تفصیل در بخش چهارم بررسی خواهد شد</w:t>
      </w:r>
      <w:r>
        <w:rPr>
          <w:rFonts w:eastAsia="IRNazanin" w:cs="IRNazanin"/>
          <w:color w:val="111111"/>
          <w:sz w:val="28"/>
          <w:szCs w:val="28"/>
          <w:rtl w:val="true"/>
          <w:lang w:bidi="fa-IR"/>
        </w:rPr>
        <w:t>.</w:t>
      </w:r>
    </w:p>
    <w:p>
      <w:pPr>
        <w:pStyle w:val="Heading4"/>
        <w:numPr>
          <w:ilvl w:val="3"/>
          <w:numId w:val="1"/>
        </w:numPr>
        <w:rPr/>
      </w:pPr>
      <w:bookmarkStart w:id="175" w:name="__RefHeading___Toc1717427_2035185390"/>
      <w:bookmarkStart w:id="176" w:name="_Toc66"/>
      <w:bookmarkEnd w:id="175"/>
      <w:r>
        <w:rPr>
          <w:rtl w:val="true"/>
        </w:rPr>
        <w:t xml:space="preserve">نظریه امامت و </w:t>
      </w:r>
      <w:r>
        <w:rPr>
          <w:rtl w:val="true"/>
        </w:rPr>
        <w:t>«</w:t>
      </w:r>
      <w:r>
        <w:rPr>
          <w:rtl w:val="true"/>
        </w:rPr>
        <w:t>قاعده لطف</w:t>
      </w:r>
      <w:r>
        <w:rPr>
          <w:rtl w:val="true"/>
        </w:rPr>
        <w:t>»</w:t>
      </w:r>
      <w:bookmarkEnd w:id="176"/>
    </w:p>
    <w:p>
      <w:pPr>
        <w:pStyle w:val="BookText"/>
        <w:rPr/>
      </w:pPr>
      <w:r>
        <w:rPr>
          <w:rFonts w:ascii="IRNazanin" w:hAnsi="IRNazanin" w:eastAsia="IRNazanin"/>
          <w:color w:val="111111"/>
          <w:sz w:val="28"/>
          <w:sz w:val="28"/>
          <w:szCs w:val="28"/>
          <w:rtl w:val="true"/>
          <w:lang w:bidi="fa-IR"/>
        </w:rPr>
        <w:t>آموزه اساسی تشیع، نظریه امامت و پذیرش امام است؛ امام یعنی شخصی که از ویژگیهای خاص برخوردار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وجودی وی برای درک حقایق اسلام، ابلاغ حقایق به مؤمنان و در نهایت زعامت عادلانه و فضیلت‌مندانه جامعه مسلمان مناسبت کامل دارد؛ امام در قاموس شیعه دارای وجه و شأن سیاسی است که برخاسته از بعد معنوی و روحی امام 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امامیه به وجود امام در هر زمان اعتقاد دارند و سر سلسله این امامان را در شخص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خداوند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جانشینی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نص موجود در این باره حدیث غدیر خم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احادیث و تفاسیری که از آیات قرآن در این زمینه موجود است حکایت از این نص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عقلی نیز نصب امام استدلال‌پذیر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حقایق در دین به گونه‌ای که برای عامه مردم قابل فهم باشد، درک این حقایق از سوی فردی که مستعد پذیرش آن است و ابلاغ و هدایت مردم به سوی فضایل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می‌شود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مکلّفان را به اطاعت نزدیک و از گناهان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عامل اصلی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نص، هر امامی از سوی امام پیش از خود تعیین و معرفی می‌شود که از سلاله فاطمه و از نسل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سلسله آن از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و به امام دوازدهم مهدی قائم ختم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عصمت که جزء جدانشدنی حقیقت وجودی امام است، تضمیین کننده تحقق عدالت در عالی‌ترین وجه امکان است و امام عهده دار کلیه شئون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تشریح وحی و تفصیل احکام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در منازعات عمومی و خصوصی مسلمانان؛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ریاست عامه و رهبری سیاسی مسلمانان؛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واسطه فیض بودن بین آسمان و زمین وولایت تکوینی</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سیاسی برخاسته از این دیدگاه مشروعیت امام برخاسته از مردم نیست، بلکه مردم تنها با پذیرش امام و مقبولیت نهاد امامت، خود را در عرصه این مشروعیت، قرار می‌دهند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شیعه به دلیل عقلی، نصب امام را برای حفظ قواعد شرع و هدایت بشر بر خداوند واجب می‌دانند و از این نظریه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این قاعده را چنین تشریح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عقل آن را لازم می‌داند،ریاست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ادعای ما این است که هر عاقلی که با مردم زندگی کند و عادت مردم را بشناسد به طور آشکار در می‌یابد که ظلم و ستم و تجاوز با وجود رئیسی قوی و</w:t>
      </w:r>
    </w:p>
    <w:p>
      <w:pPr>
        <w:pStyle w:val="BookText"/>
        <w:rPr/>
      </w:pPr>
      <w:r>
        <w:rPr>
          <w:rFonts w:ascii="IRNazanin" w:hAnsi="IRNazanin" w:eastAsia="IRNazanin"/>
          <w:color w:val="111111"/>
          <w:sz w:val="28"/>
          <w:sz w:val="28"/>
          <w:szCs w:val="28"/>
          <w:rtl w:val="true"/>
          <w:lang w:bidi="fa-IR"/>
        </w:rPr>
        <w:t>با نفوذ که به خوبی و استواری امور جامعه را تدبیر می‌نماید،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رئیس با توجه بدان چه گفته شد، لطفی در انجام دادن واجبات و جلوگیری از زشتی‌هاست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ضرورت تعیین رئیس برای تمام زمان‌ها از طرف خداوند دلیلِ وجوب قاعده لطف است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تمهید الاصول فی علم الکلام عبارتی قریب به همین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آن است که بنده را به سوی اطاعت و انقیاد به امر مولا تحریک کند و او را از معصیت شارع باز دارد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قاعده لطف اظهار می‌دارد که تعیین امام از جانب خدای متعال باعث نزدیک شدن انسانها به اطاعت و دور شدن آنان از معصیت و عقاب می‌شود و این لطف به دلیل آن که نقض غرض پیش نیاید بر خداوند حکیم لازم است</w:t>
      </w:r>
      <w:r>
        <w:rPr>
          <w:rFonts w:eastAsia="IRNazanin" w:cs="IRNazanin"/>
          <w:color w:val="111111"/>
          <w:sz w:val="28"/>
          <w:szCs w:val="28"/>
          <w:rtl w:val="true"/>
          <w:lang w:bidi="fa-IR"/>
        </w:rPr>
        <w:t>.</w:t>
      </w:r>
      <w:bookmarkStart w:id="177" w:name="pg4760_44182"/>
    </w:p>
    <w:p>
      <w:pPr>
        <w:pStyle w:val="Heading4"/>
        <w:numPr>
          <w:ilvl w:val="3"/>
          <w:numId w:val="1"/>
        </w:numPr>
        <w:rPr/>
      </w:pPr>
      <w:bookmarkStart w:id="178" w:name="__RefHeading___Toc1717429_2035185390"/>
      <w:bookmarkStart w:id="179" w:name="_Toc67"/>
      <w:bookmarkEnd w:id="177"/>
      <w:bookmarkEnd w:id="178"/>
      <w:r>
        <w:rPr>
          <w:rtl w:val="true"/>
        </w:rPr>
        <w:t>«</w:t>
      </w:r>
      <w:r>
        <w:rPr>
          <w:rtl w:val="true"/>
        </w:rPr>
        <w:t>غیبت</w:t>
      </w:r>
      <w:r>
        <w:rPr>
          <w:rtl w:val="true"/>
        </w:rPr>
        <w:t xml:space="preserve">» </w:t>
      </w:r>
      <w:r>
        <w:rPr>
          <w:rtl w:val="true"/>
        </w:rPr>
        <w:t xml:space="preserve">و </w:t>
      </w:r>
      <w:r>
        <w:rPr>
          <w:rtl w:val="true"/>
        </w:rPr>
        <w:t>«</w:t>
      </w:r>
      <w:r>
        <w:rPr>
          <w:rtl w:val="true"/>
        </w:rPr>
        <w:t>انتظار</w:t>
      </w:r>
      <w:r>
        <w:rPr>
          <w:rtl w:val="true"/>
        </w:rPr>
        <w:t xml:space="preserve">» </w:t>
      </w:r>
      <w:r>
        <w:rPr>
          <w:rtl w:val="true"/>
        </w:rPr>
        <w:t xml:space="preserve">از دیدگاه علمای امامیه </w:t>
      </w:r>
      <w:r>
        <w:rPr>
          <w:rtl w:val="true"/>
        </w:rPr>
        <w:t>(</w:t>
      </w:r>
      <w:r>
        <w:rPr>
          <w:rtl w:val="true"/>
        </w:rPr>
        <w:t xml:space="preserve">قرن </w:t>
      </w:r>
      <w:r>
        <w:rPr/>
        <w:t>4</w:t>
      </w:r>
      <w:r>
        <w:rPr>
          <w:rtl w:val="true"/>
        </w:rPr>
        <w:t xml:space="preserve"> </w:t>
      </w:r>
      <w:r>
        <w:rPr>
          <w:rtl w:val="true"/>
        </w:rPr>
        <w:t xml:space="preserve">تا </w:t>
      </w:r>
      <w:r>
        <w:rPr/>
        <w:t>7</w:t>
      </w:r>
      <w:r>
        <w:rPr>
          <w:rtl w:val="true"/>
        </w:rPr>
        <w:t xml:space="preserve"> </w:t>
      </w:r>
      <w:r>
        <w:rPr>
          <w:rtl w:val="true"/>
        </w:rPr>
        <w:t>ه</w:t>
      </w:r>
      <w:r>
        <w:rPr>
          <w:rtl w:val="true"/>
        </w:rPr>
        <w:t xml:space="preserve">- . </w:t>
      </w:r>
      <w:r>
        <w:rPr>
          <w:rtl w:val="true"/>
        </w:rPr>
        <w:t>ق</w:t>
      </w:r>
      <w:r>
        <w:rPr>
          <w:rtl w:val="true"/>
        </w:rPr>
        <w:t>)</w:t>
      </w:r>
      <w:bookmarkEnd w:id="179"/>
    </w:p>
    <w:p>
      <w:pPr>
        <w:pStyle w:val="BookText"/>
        <w:rPr/>
      </w:pPr>
      <w:r>
        <w:rPr>
          <w:rFonts w:ascii="IRNazanin" w:hAnsi="IRNazanin" w:eastAsia="IRNazanin"/>
          <w:color w:val="111111"/>
          <w:sz w:val="28"/>
          <w:sz w:val="28"/>
          <w:szCs w:val="28"/>
          <w:rtl w:val="true"/>
          <w:lang w:bidi="fa-IR"/>
        </w:rPr>
        <w:t>فرهنگ سیاسی شیعه تا قرن چهارم هجری تا حدود زیادی متأثر از نظریه امام غایب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قرنهای متمادی معطوف به بی‌تحرکی سیاسی شد؛ زیرا این نظریه زاییده نظریه امامت است که بر اساس آن وجودِ امامِ معصومِ تعیین شده از سوی خداوند،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لوازم این نظریه دخالت نکردن و نقش مردم در انتخاب امام است؛ زیرا امت قادر به شناسایی معصوم نیست و تنها خداست که می‌داند این امر را به چه کسی بسپارد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از هر گونه عمل سیاسی و تلاش برای اقامه دولت شیعی در عصر غیبت بازداشت؛ زیرا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زمان غیبت صغرا فعالیّت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اقدام سیاسی خودداری کردند و هیچ‌گونه حرکت انقلابی انجام ندادند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نحوه‌ی برداشت و استنباط متکلمان و فقهای اولیه و موضع منفی آنان به قیام در عصر غیبت و انتظار تا خروج امام غایب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معطوف به میراث حدیثی قبل از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نظریه پردازان، نظریه انتظار محمد بن ابی زینب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نقل از امام می‌نویسد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 ساکن بمان، تلاش برای حرکت نداشته باش تا علاماتی که می‌گوییم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اشخاص دور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حذرمی‌دارم؛ زیرا برای آل محمد و علی بیرقی و برای دیگران بیرقهایی است؛ از هیچ کس پیروی نکنید تا با فردی از اولاد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عهد و بیرق و سلاح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 ملازم شوی؛ شما را به تقوای الهی توصیه می‌کنم، در میان مردم باشید و از دایره ما خارج نشوید؛ به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اگر نشستند شما هم بنشینید و اگر از شما نصرت خواستند دریغ نکنید، جلوتر از آنها حرکت نکنید؛ زیرا بلا شما را سرنگون می‌کند، هر پرچمی قبل از پرچم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 رود صاحب آن طاغوت است و هر بیعتی قبل از ظهور قائم، بیعت کفر و نفاق و خدعه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خارج نشود قبل از قیام قائم، مگر اینکه همانند بچه پرنده‌ای که تازه از تخم بیرون آمده هنوز بالهایش محکم نشده، پرواز کند که سرانجام سقوط خواهد کرد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به نقل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تقیه را قبل از ظهور قائم ترک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نقل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روی این امر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فردی است که در اردوگاه مهدی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 غیر از مهدی نیست، حتی اگر غیبت به درازای عمر دنیا باشد؛ زیرا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نسبش بشارت داده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صدوق بر وجوب تقیه فتوا می‌دهد و ترک آن تا خروج</w:t>
      </w:r>
    </w:p>
    <w:p>
      <w:pPr>
        <w:pStyle w:val="BookText"/>
        <w:rPr/>
      </w:pPr>
      <w:r>
        <w:rPr>
          <w:rFonts w:ascii="IRNazanin" w:hAnsi="IRNazanin" w:eastAsia="IRNazanin"/>
          <w:color w:val="111111"/>
          <w:sz w:val="28"/>
          <w:sz w:val="28"/>
          <w:szCs w:val="28"/>
          <w:rtl w:val="true"/>
          <w:lang w:bidi="fa-IR"/>
        </w:rPr>
        <w:t>قائم جایز نیست و کسی که تقیه را ترک کند، از دین امامیه خارج و با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به همین مضمون را در کتاب الهدایهْ نیز فتوا می‌دهد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نقل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که امر دولت بچه گانه است، از نظر ظاهر با مردم باشید و از نظر باطن با آنان مخالفت کنید، تقیه تا خروج قائم واجب است، کسی که آن را ترک کند از امر خدا و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باور کرد که حجت و خلیفه خدا بر روی زمین در این زمان قائم منتظر فرزند عسکری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عقیده داشت که غیر از او قائم دیگری نیست حتی اگر غیبتش به اندازه عمر دنیا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واجب است از چیزهایی که به ما امر شده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نشان می‌دهد که یازده امامی که گذشتند، طاعت آنان بر ما واجب است و بایستی قعود کنیم هنگامی که آنان قاعد هستند و حرکت کنیم وقتی که آنان امر می‌کنند، همیشه باید آن کار را کنیم که ادله به ما می‌گوید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مسئوولیت اصلاح بر عهده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علت خوف از ستم کاران غایب است؛ اگر امام زمان به علت خوف از جانش غایب باشد و به احکام خدا عمل نشود و در زمین فساد واقع شود مسئول آن ظالمان هستند نه شخص دیگر</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خداوند مسئول تعیین امام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اصل انتخاب امام و تشکیل</w:t>
      </w:r>
    </w:p>
    <w:p>
      <w:pPr>
        <w:pStyle w:val="BookText"/>
        <w:rPr/>
      </w:pPr>
      <w:r>
        <w:rPr>
          <w:rFonts w:ascii="IRNazanin" w:hAnsi="IRNazanin" w:eastAsia="IRNazanin"/>
          <w:color w:val="111111"/>
          <w:sz w:val="28"/>
          <w:sz w:val="28"/>
          <w:szCs w:val="28"/>
          <w:rtl w:val="true"/>
          <w:lang w:bidi="fa-IR"/>
        </w:rPr>
        <w:t>حکومت در عصر غیبت را حرام و انتظار را واجب دانسته است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استدلال ما بر وجوبِ نص در امام است و کسِ دیگری جای او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کافی است تا ثابت شود که اختیارفاسد و غیر صحیح است و هر امری که بعینه واجب و منصوص باشد، اختیار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برای باطل بودن اختیار همانا صفات امام است؛ زیرا مختارین نمی‌توانند این صفات را بشناسند و با احتمال نیز مشخص نمی‌شود و علم آن مخصوص علّام الغیوب است مانند عصمت و برتری در ثواب و علم به اینکه از همه امت ارجح‌ترند،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ثابت شده و دلیل و علامتی برای فرق گذاشتن بین واجب و غیر واجب آن وجود ندارد، اختیار باطل است و کسانی که امام را تعیین می‌کنند شاید با هم اختلاف پیدا کنند؛ زیرا برخی به امامت فاضل قائلند و برخی امامت مفضول را نیز جایزمی‌دانند و این غیر ممکن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تلخیص الشافی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استدلال کردیم که امام باید بهترین فرد از مردم، نزد خداوند باشد و از نظر جایگاه ثواب از همه مردم برتر باشد و از آنجا که ما نمی‌توانیم از طریق مشاهده ظاهر به صفات امام علم و یقین پیدا کنیم، از این رو نص یا معجزه برای تعیین معصوم الزامی است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نیز نظریه نقش مردم درانتخاب و نصب امام به وسیله شورا را رد 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وی، انتخاب مردم برای تعیین امام مخالفت با قول خدای تعالی است که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ماکان لمؤمن و لا مؤمنة اذا قضی اللّه و رسوله امرا ان یکون لهم الخیرة من أمرهم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وی اگر انتخاب امام به مردم واگذار شود، فساد عظیمی رخ خواهد داد و این با حکمت الهی مغایرت دارد؛ زیرا هر یک از مردم کسی را به عنوان رئیس انتخاب</w:t>
      </w:r>
    </w:p>
    <w:p>
      <w:pPr>
        <w:pStyle w:val="BookText"/>
        <w:rPr/>
      </w:pPr>
      <w:r>
        <w:rPr>
          <w:rFonts w:ascii="IRNazanin" w:hAnsi="IRNazanin" w:eastAsia="IRNazanin"/>
          <w:color w:val="111111"/>
          <w:sz w:val="28"/>
          <w:sz w:val="28"/>
          <w:szCs w:val="28"/>
          <w:rtl w:val="true"/>
          <w:lang w:bidi="fa-IR"/>
        </w:rPr>
        <w:t>خواهند کرد و این مستلزم فتنه و هرج و مرج و نزاع می‌شود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معتقد است راهی برای تعیین امام به جز از طریق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یا ظهور معجزه به دست امام، وجود ندارد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بحثی طولانی در اثبات جایز نبودن شورا در تعیین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ضرورت تعیین امام معصوم از سوی پروردگار تأکید کرد، اما در الالفین ادله اثبات الهی بودن امامت برای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را بیان نکرده است؛ و تنها ادله جایز نبودن امامت غیر معصوم را به شکل مطلق بحث کرده است، زیرا معتقد است که نمی‌توان درزمان غیبت دولت تشکیل داد و مسئولیت آن بر عهده ظالمان است که موجب مخفی شدن و غیبت امام 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صراحت اظهار می‌دارد که رهبری غیر معصوم در دین و دنیا موجب خوف مکلف می‌شود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اظهارات به خوبی نشان‌دهنده‌ی دیدگاه امامیه درباره نظام سیاسی مشروع و رابطه مستقیم آن با نظریه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همکاری آنان با سلاطین جور، ملاک مشروعیت آن دولتها از دیدگاه شیعه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نیابت فقیه از امام زمان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اجازه می‌دهد که در سلطه و نظارت براجرای حدود و احکام دخالت کند</w:t>
      </w:r>
      <w:r>
        <w:rPr>
          <w:rFonts w:eastAsia="IRNazanin" w:cs="IRNazanin"/>
          <w:color w:val="111111"/>
          <w:sz w:val="28"/>
          <w:szCs w:val="28"/>
          <w:rtl w:val="true"/>
          <w:lang w:bidi="fa-IR"/>
        </w:rPr>
        <w:t>.</w:t>
      </w:r>
      <w:bookmarkStart w:id="180" w:name="pg4760_44193"/>
    </w:p>
    <w:p>
      <w:pPr>
        <w:pStyle w:val="Heading3"/>
        <w:numPr>
          <w:ilvl w:val="2"/>
          <w:numId w:val="1"/>
        </w:numPr>
        <w:rPr/>
      </w:pPr>
      <w:bookmarkStart w:id="181" w:name="__RefHeading___Toc1717431_2035185390"/>
      <w:bookmarkStart w:id="182" w:name="_Toc68"/>
      <w:bookmarkEnd w:id="180"/>
      <w:bookmarkEnd w:id="181"/>
      <w:r>
        <w:rPr>
          <w:rtl w:val="true"/>
        </w:rPr>
        <w:t>فصل سوم</w:t>
      </w:r>
      <w:r>
        <w:rPr>
          <w:rtl w:val="true"/>
        </w:rPr>
        <w:t>: «</w:t>
      </w:r>
      <w:r>
        <w:rPr>
          <w:rtl w:val="true"/>
        </w:rPr>
        <w:t>تقیه</w:t>
      </w:r>
      <w:r>
        <w:rPr>
          <w:rtl w:val="true"/>
        </w:rPr>
        <w:t>»</w:t>
      </w:r>
      <w:bookmarkEnd w:id="182"/>
    </w:p>
    <w:p>
      <w:pPr>
        <w:pStyle w:val="Heading4"/>
        <w:numPr>
          <w:ilvl w:val="3"/>
          <w:numId w:val="1"/>
        </w:numPr>
        <w:rPr/>
      </w:pPr>
      <w:bookmarkStart w:id="183" w:name="__RefHeading___Toc1717433_2035185390"/>
      <w:bookmarkStart w:id="184" w:name="_Toc69"/>
      <w:bookmarkEnd w:id="183"/>
      <w:r>
        <w:rPr>
          <w:rtl w:val="true"/>
        </w:rPr>
        <w:t>اشاره</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واژه‌های مهم و محوری ادبیات دینی دوران غیبت است که با توجه به بستر زمانی و محیطی خاص، بار معنایی آن، بخش مهمی از ایدئولوژی سیاسی شیعه امامیه در این دوره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تعابیر و تفاسیری که از این واژه‌ها ارائه می‌شود، نکات قابل تأملی را از چگونگی و چرایی عمل کرد سیاسی علمای امامیه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بدو پیدایش همواره جریانی انقلابی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ظلم ستیزی و حق‌طلبی که در متن آموزه‌های پیشوایان دینی شیعه نهفته است، پیوسته پیروان این فرقه را در رویارویی با سلاطین وقت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رسیدن، حبس و تحت مراقبت و نظارت سلاطین وقت زیستن بیشتر رهبران امامیه، گواهی روشن بر سیره سیاسی آنان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حضور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رهبری جامعه امامیه و تمامی خط مشی‌ها متأثر از امام بود، اما با غیبت دوازدهمین پیشوای امامیه، حیرت و سردرگمی شیعیان در تعاملات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حتی مسائل درون مذهبی بحران‌های جدی‌ای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مهمترین کارکرد سیاسی شیعیان به</w:t>
      </w:r>
      <w:bookmarkStart w:id="185" w:name="pg4760_44194"/>
    </w:p>
    <w:p>
      <w:pPr>
        <w:pStyle w:val="BookText"/>
        <w:rPr/>
      </w:pPr>
      <w:bookmarkEnd w:id="185"/>
      <w:r>
        <w:rPr>
          <w:rFonts w:ascii="IRNazanin" w:hAnsi="IRNazanin" w:eastAsia="IRNazanin"/>
          <w:color w:val="111111"/>
          <w:sz w:val="28"/>
          <w:sz w:val="28"/>
          <w:szCs w:val="28"/>
          <w:rtl w:val="true"/>
          <w:lang w:bidi="fa-IR"/>
        </w:rPr>
        <w:t>کارگیری سیاست تقیه بود؛ زیرا از یک سو نظام سیاسی غاصب موجود حق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می‌کردند و از سوی دیگر به اجبار می‌بایست تحت لوای حکومتی زیست کنند که با آمال و اعتقادات آنان در تضاد و تخاصم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قصد آن نداریم که درباره خود تقیه و پیشینه و تاریخچه و جایگاه آن در میان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علما، موارد جایز بودن یا نبودن آن بحث کنیم، بلکه هدف شناخت عوامل و نگرشی است که چنین عمل‌کردی از آن به چشم میآید و تقیه را که مختص شرایط مکانی و زمانی خاص بود، به رفتاری عام و فراگیر در دوران غیبت تبدیل کرد و به عبارت دیگر یک ایدئولوژی خاص، به عام تغییر یافت</w:t>
      </w:r>
      <w:r>
        <w:rPr>
          <w:rFonts w:eastAsia="IRNazanin" w:cs="IRNazanin"/>
          <w:color w:val="111111"/>
          <w:sz w:val="28"/>
          <w:szCs w:val="28"/>
          <w:rtl w:val="true"/>
          <w:lang w:bidi="fa-IR"/>
        </w:rPr>
        <w:t>.</w:t>
      </w:r>
    </w:p>
    <w:p>
      <w:pPr>
        <w:pStyle w:val="Heading4"/>
        <w:numPr>
          <w:ilvl w:val="3"/>
          <w:numId w:val="1"/>
        </w:numPr>
        <w:rPr/>
      </w:pPr>
      <w:bookmarkStart w:id="186" w:name="__RefHeading___Toc1717435_2035185390"/>
      <w:bookmarkStart w:id="187" w:name="_Toc70"/>
      <w:bookmarkEnd w:id="186"/>
      <w:r>
        <w:rPr>
          <w:rtl w:val="true"/>
        </w:rPr>
        <w:t xml:space="preserve">مفهوم لغوی </w:t>
      </w:r>
      <w:r>
        <w:rPr>
          <w:rtl w:val="true"/>
        </w:rPr>
        <w:t>«</w:t>
      </w:r>
      <w:r>
        <w:rPr>
          <w:rtl w:val="true"/>
        </w:rPr>
        <w:t>تقیه</w:t>
      </w:r>
      <w:r>
        <w:rPr>
          <w:rtl w:val="true"/>
        </w:rPr>
        <w:t>»</w:t>
      </w:r>
      <w:bookmarkEnd w:id="187"/>
    </w:p>
    <w:p>
      <w:pPr>
        <w:pStyle w:val="BookText"/>
        <w:rPr/>
      </w:pPr>
      <w:r>
        <w:rPr>
          <w:rFonts w:ascii="IRNazanin" w:hAnsi="IRNazanin" w:eastAsia="IRNazanin"/>
          <w:color w:val="111111"/>
          <w:sz w:val="28"/>
          <w:sz w:val="28"/>
          <w:szCs w:val="28"/>
          <w:rtl w:val="true"/>
          <w:lang w:bidi="fa-IR"/>
        </w:rPr>
        <w:t xml:space="preserve">تقیه؛ مصدر تقی،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تقاءً و تقیً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پوشانیدن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مصون نگه داشتن چیزی را از زیان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لغت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 وقایة و وقیا و واقیه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و ستره عن الاذی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وقاه اللّه السّوء و من السّوء و وقیا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88" w:name="pg4760_44195"/>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الشی‌ء مما یوذیه و یضرّه،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وقیت الشی‌ء اقیة و وقایة و وقاء</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نیز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و پنجاه و هشت بار ذکر شده است که بیشترین کاربرد آن به صیغه امر و به معنای نگهداری و صیانت به کار 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سیئات ما مکروا و حاق بِآل فِرعونَ سوُءُ العَذَابِ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عواقب سوء آنچه نیرنگ می‌کردند، نگهداری کرد و فرعونیان را در عذاب سخت فرو برد</w:t>
      </w:r>
      <w:r>
        <w:rPr>
          <w:rFonts w:eastAsia="IRNazanin" w:cs="IRNazanin"/>
          <w:color w:val="111111"/>
          <w:sz w:val="28"/>
          <w:szCs w:val="28"/>
          <w:rtl w:val="true"/>
          <w:lang w:bidi="fa-IR"/>
        </w:rPr>
        <w:t>.</w:t>
      </w:r>
    </w:p>
    <w:p>
      <w:pPr>
        <w:pStyle w:val="Heading4"/>
        <w:numPr>
          <w:ilvl w:val="3"/>
          <w:numId w:val="1"/>
        </w:numPr>
        <w:rPr/>
      </w:pPr>
      <w:bookmarkStart w:id="189" w:name="__RefHeading___Toc1717437_2035185390"/>
      <w:bookmarkStart w:id="190" w:name="_Toc71"/>
      <w:bookmarkEnd w:id="189"/>
      <w:r>
        <w:rPr>
          <w:rtl w:val="true"/>
        </w:rPr>
        <w:t xml:space="preserve">معنای اصطلاحی </w:t>
      </w:r>
      <w:r>
        <w:rPr>
          <w:rtl w:val="true"/>
        </w:rPr>
        <w:t>«</w:t>
      </w:r>
      <w:r>
        <w:rPr>
          <w:rtl w:val="true"/>
        </w:rPr>
        <w:t>تقیه</w:t>
      </w:r>
      <w:r>
        <w:rPr>
          <w:rtl w:val="true"/>
        </w:rPr>
        <w:t>»</w:t>
      </w:r>
      <w:bookmarkEnd w:id="1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اندیشمندان امامیه و اهل سنت 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متعدّدی مطرح کرده‌اند که اختلاف چندانی با یکدیگر ندارند؛ زیرا هم شیعیان و هم اهل سنت بر وجود اصل تقیه متفق القولند و بر این باورند که تقیه</w:t>
      </w:r>
    </w:p>
    <w:p>
      <w:pPr>
        <w:pStyle w:val="BookText"/>
        <w:rPr/>
      </w:pPr>
      <w:r>
        <w:rPr>
          <w:rFonts w:ascii="IRNazanin" w:hAnsi="IRNazanin" w:eastAsia="IRNazanin"/>
          <w:color w:val="111111"/>
          <w:sz w:val="28"/>
          <w:sz w:val="28"/>
          <w:szCs w:val="28"/>
          <w:rtl w:val="true"/>
          <w:lang w:bidi="fa-IR"/>
        </w:rPr>
        <w:t>دروغ، نفاق یا فریب دادن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تقیه آن چیزی است که انسان با آن جان خویش را حفظ کند، هر چند خلاف آن را در دل پنهان کرده باشد؛</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تقیه بدون اکراه و اضطرار تحقق‌پذیر و جایز نیست و بر وجودِ اکراه قلبی نسبت به آنچه ابراز می‌شود، تأکید شده است؛ زیرا تقیه یعنی تظاهر به خلاف آنچه در قلب می‌گذرد، چه در صورتی که شخص قلباً نیز آنچه را دین نهی کرده روا دانسته یا با دشمنان دین هم داستان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علما حالات متعدد اکراه را به دو قسمت کلی زیر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انسان به گفتن سخنی مجبور شود که در صورت اکراه از اقرار به آن، متضرر شود؛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اکراه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 عملی در حال اضطرار که تقیه در آن جایز باشد؛ زیراهمان‌گونه که گفته شد، تقیه دارای شرایط خاص بوده که در صورت فقدان آن شرایط، کاربرد آن نیز خود به خود منتفی خواهد شد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طرح مفهوم لغوی و اصطلاحی این واژه و شرایط تحقّق و کاربرد آن می‌بایست به طرح این سؤال پرداخت که چرا تقیه که عملکردی مقطعی و مخصوص زمینه‌ی خاص است، در دوران غیبت تبدیل به ایدئولوژی رایج شیعه شده و عملکرد سیاسی علمای امامیه بر اساس آن تنظیم می‌شود؟</w:t>
      </w:r>
    </w:p>
    <w:p>
      <w:pPr>
        <w:pStyle w:val="BookText"/>
        <w:rPr/>
      </w:pPr>
      <w:r>
        <w:rPr>
          <w:rFonts w:ascii="IRNazanin" w:hAnsi="IRNazanin" w:eastAsia="IRNazanin"/>
          <w:color w:val="111111"/>
          <w:sz w:val="28"/>
          <w:sz w:val="28"/>
          <w:szCs w:val="28"/>
          <w:rtl w:val="true"/>
          <w:lang w:bidi="fa-IR"/>
        </w:rPr>
        <w:t xml:space="preserve">سؤال دیگر آنکه مراد از زیستن بر اساس تقیه که در آرا و اندیشه‌های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علمای این دوره، اکیداً مورد توجه بوده چیست؟</w:t>
      </w:r>
    </w:p>
    <w:p>
      <w:pPr>
        <w:pStyle w:val="BookText"/>
        <w:rPr/>
      </w:pPr>
      <w:r>
        <w:rPr>
          <w:rFonts w:ascii="IRNazanin" w:hAnsi="IRNazanin" w:eastAsia="IRNazanin"/>
          <w:color w:val="111111"/>
          <w:sz w:val="28"/>
          <w:sz w:val="28"/>
          <w:szCs w:val="28"/>
          <w:rtl w:val="true"/>
          <w:lang w:bidi="fa-IR"/>
        </w:rPr>
        <w:t>آیا مراد همان معنای اصطلاحی تقیه است یا معنای دیگری از آن مدنظر بوده است؟</w:t>
      </w:r>
    </w:p>
    <w:p>
      <w:pPr>
        <w:pStyle w:val="BookText"/>
        <w:rPr/>
      </w:pPr>
      <w:r>
        <w:rPr>
          <w:rFonts w:ascii="IRNazanin" w:hAnsi="IRNazanin" w:eastAsia="IRNazanin"/>
          <w:color w:val="111111"/>
          <w:sz w:val="28"/>
          <w:sz w:val="28"/>
          <w:szCs w:val="28"/>
          <w:rtl w:val="true"/>
          <w:lang w:bidi="fa-IR"/>
        </w:rPr>
        <w:t>برای رسیدن به پاسخ پرسشهای مذکور، بررسی آرا و نظریه های علما امامیه در این باره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الهدایه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فریضه واجبی است که در حکومت ستمگران باید رعایت کنیم؛ کسی که تقیه را ترک کند با دین امامیه مخالفت کرده و از آن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هر امری تا زمانی که خون فردی ریخته نشود، وجود دارد اما اگر به موجب آن انسانی به قتل رسد تقیه وجود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دوستی با کافران را در حال تقیه اجازه داده 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به تقیه بیشتر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است و ترک آن جایز نیست تا قائم خروج کند و هر کس آن را ترک کند با نهی خداوند و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هنگامِ خطر از دست دادن جان یا مال یا گونه‌های دیگر ازمصلحت اندیشی جایز و گاه حکم تکلیف و وظیفه پیدا می‌کند و به صورت واجب‌تری در می‌آید و برخی اوقات تنها جایز است و واجب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را نمی‌توان آن چنان توسعه داد که به کشتن مسلمانان منتهی شود و حتی دربارة چیزهایی که مایه تباهی مسلمان می‌شود چه به یقین و چه به احتمال، تقیه جایز نیست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تلخیص الشافی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جائزة علی البشر الّذین یضعفون عن دفع</w:t>
      </w:r>
    </w:p>
    <w:p>
      <w:pPr>
        <w:pStyle w:val="BookText"/>
        <w:rPr/>
      </w:pPr>
      <w:r>
        <w:rPr>
          <w:rFonts w:ascii="IRNazanin" w:hAnsi="IRNazanin" w:eastAsia="IRNazanin"/>
          <w:color w:val="111111"/>
          <w:sz w:val="28"/>
          <w:sz w:val="28"/>
          <w:szCs w:val="28"/>
          <w:rtl w:val="true"/>
          <w:lang w:bidi="fa-IR"/>
        </w:rPr>
        <w:t>المکروه عنهم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تقیه برای تمام کسانی که از برطرف نمودن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تفسیر تبیان، جلد دوم، تقیه را در صورت ترس از جان واجب می‌داند</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ظاهر اخبار امامیه استناد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اخبارنا یدل انّها واجبة و خلافه خطأ</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روایاتی را که مخالف حکم عقلی وادله است، نمی‌پذیرد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191" w:name="pg4760_44200"/>
    </w:p>
    <w:p>
      <w:pPr>
        <w:pStyle w:val="Heading4"/>
        <w:numPr>
          <w:ilvl w:val="3"/>
          <w:numId w:val="1"/>
        </w:numPr>
        <w:rPr/>
      </w:pPr>
      <w:bookmarkStart w:id="192" w:name="__RefHeading___Toc1717439_2035185390"/>
      <w:bookmarkStart w:id="193" w:name="_Toc72"/>
      <w:bookmarkEnd w:id="191"/>
      <w:bookmarkEnd w:id="192"/>
      <w:r>
        <w:rPr>
          <w:rtl w:val="true"/>
        </w:rPr>
        <w:t xml:space="preserve">نگرش و دیدگاه عالمان شیعه به سیاست </w:t>
      </w:r>
      <w:r>
        <w:rPr>
          <w:rtl w:val="true"/>
        </w:rPr>
        <w:t>«</w:t>
      </w:r>
      <w:r>
        <w:rPr>
          <w:rtl w:val="true"/>
        </w:rPr>
        <w:t>تقیه</w:t>
      </w:r>
      <w:r>
        <w:rPr>
          <w:rtl w:val="true"/>
        </w:rPr>
        <w:t>»</w:t>
      </w:r>
      <w:bookmarkEnd w:id="193"/>
    </w:p>
    <w:p>
      <w:pPr>
        <w:pStyle w:val="BookText"/>
        <w:rPr/>
      </w:pPr>
      <w:r>
        <w:rPr>
          <w:rFonts w:ascii="IRNazanin" w:hAnsi="IRNazanin" w:eastAsia="IRNazanin"/>
          <w:color w:val="111111"/>
          <w:sz w:val="28"/>
          <w:sz w:val="28"/>
          <w:szCs w:val="28"/>
          <w:rtl w:val="true"/>
          <w:lang w:bidi="fa-IR"/>
        </w:rPr>
        <w:t>از بررسی مجموع روایات و احادیث درباره تقیه می‌توان به اختصار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مختص اقلیتی است که در فضای اختناق و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یا فکری اکثریتی حاکم قرار دارند و به ناچار برای حفظ موجودیت خویش به پنهان نمودن اعتقاد باطنی و کتمان باورهای خویش می‌پردازند تا موانع را از سر راه برداشته، به تدریج اهداف خویش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اجرای امر به معروف و نهی از منکر در چنین وضعی گفته شده است آن مقدار از حق را بیان کند که باعث تحریک نشود؛ زیرا فلسفه امر به معروف انتشار حق است</w:t>
      </w:r>
    </w:p>
    <w:p>
      <w:pPr>
        <w:pStyle w:val="BookText"/>
        <w:rPr/>
      </w:pPr>
      <w:r>
        <w:rPr>
          <w:rFonts w:ascii="IRNazanin" w:hAnsi="IRNazanin" w:eastAsia="IRNazanin"/>
          <w:color w:val="111111"/>
          <w:sz w:val="28"/>
          <w:sz w:val="28"/>
          <w:szCs w:val="28"/>
          <w:rtl w:val="true"/>
          <w:lang w:bidi="fa-IR"/>
        </w:rPr>
        <w:t>و فرد مادام که حیات خویش را حفظ کند، این توانایی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قول خداوند تعالی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می‌خواست، به رسول خدا می‌فرمود که تقیه را بر شما حرام کند و در این راه بر آنچه از سوی دشمنانتان بر شما وارد می‌شد به صبر فرا می‌خواند اما وجوب دوستی ما و دشمنی دشمنانتان ایجاب می‌کند بر نفسها و اموال و معارفتان به تقیه عمل نمایید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94" w:name="pg4760_44201"/>
    </w:p>
    <w:p>
      <w:pPr>
        <w:pStyle w:val="BookText"/>
        <w:rPr/>
      </w:pPr>
      <w:bookmarkEnd w:id="194"/>
      <w:r>
        <w:rPr>
          <w:rFonts w:ascii="IRNazanin" w:hAnsi="IRNazanin" w:eastAsia="IRNazanin"/>
          <w:color w:val="111111"/>
          <w:sz w:val="28"/>
          <w:sz w:val="28"/>
          <w:szCs w:val="28"/>
          <w:rtl w:val="true"/>
          <w:lang w:bidi="fa-IR"/>
        </w:rPr>
        <w:t>به بیانی دیگر خواست خداوند بر آن تعلق گرفته است که ظهور حق تا فراهم شدن زمینه‌ی تحقق آن به تعویق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خداوندشریعتی را پس از شریعت دیگر فرستاده و به مرور اعمالی را برای رسیدن مکلفان به کمال معنوی بیان فرموده است</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انبیا نیز احکام خداوند را به تدریج و به قدر تحمل افراد مطرح کرده‌اند و آنچه از حد توان اشخاص فراتر بوده به حصول قابلیت موکول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اظهارات علمای امامیه در این دوره توصیه‌های اکید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موجودیت شیعه و جلوگیری از نزاع‌های فرقه‌ای و مذهبی است و برقراری حکومت حق و عدل را منوط به خواست مردم و قیام همگانی برای ایجاد 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مطرح شده شرحی مختصر و نمادین از دیدگاه علمای شیعه درباره تقیه بود اما چرا تقیه به ایدئولوژی رایج عصر غیبت تبدیل شد و در واقع پیوندی ناگسستنی با</w:t>
      </w:r>
    </w:p>
    <w:p>
      <w:pPr>
        <w:pStyle w:val="BookText"/>
        <w:rPr/>
      </w:pPr>
      <w:r>
        <w:rPr>
          <w:rFonts w:ascii="IRNazanin" w:hAnsi="IRNazanin" w:eastAsia="IRNazanin"/>
          <w:color w:val="111111"/>
          <w:sz w:val="28"/>
          <w:sz w:val="28"/>
          <w:szCs w:val="28"/>
          <w:rtl w:val="true"/>
          <w:lang w:bidi="fa-IR"/>
        </w:rPr>
        <w:t>غیبت دوازدهمین امام شیعیان دارد، مبحث اصلی و مد نظر ماست که بدان پرداخته خواهد شد</w:t>
      </w:r>
      <w:r>
        <w:rPr>
          <w:rFonts w:eastAsia="IRNazanin" w:cs="IRNazanin"/>
          <w:color w:val="111111"/>
          <w:sz w:val="28"/>
          <w:szCs w:val="28"/>
          <w:rtl w:val="true"/>
          <w:lang w:bidi="fa-IR"/>
        </w:rPr>
        <w:t>.</w:t>
      </w:r>
    </w:p>
    <w:p>
      <w:pPr>
        <w:pStyle w:val="Heading4"/>
        <w:numPr>
          <w:ilvl w:val="3"/>
          <w:numId w:val="1"/>
        </w:numPr>
        <w:rPr/>
      </w:pPr>
      <w:bookmarkStart w:id="195" w:name="__RefHeading___Toc1717441_2035185390"/>
      <w:bookmarkStart w:id="196" w:name="_Toc73"/>
      <w:bookmarkEnd w:id="195"/>
      <w:r>
        <w:rPr>
          <w:rtl w:val="true"/>
        </w:rPr>
        <w:t>«</w:t>
      </w:r>
      <w:r>
        <w:rPr>
          <w:rtl w:val="true"/>
        </w:rPr>
        <w:t>تقیه</w:t>
      </w:r>
      <w:r>
        <w:rPr>
          <w:rtl w:val="true"/>
        </w:rPr>
        <w:t>»</w:t>
      </w:r>
      <w:r>
        <w:rPr>
          <w:rtl w:val="true"/>
        </w:rPr>
        <w:t>؛ ایدئولوژی رایج شیعه در عصر غیبت</w:t>
      </w:r>
      <w:bookmarkEnd w:id="1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داشتن عقاید مذهبی و افکار و اندیشه‌ها در فضایی که جو فشار و</w:t>
      </w:r>
    </w:p>
    <w:p>
      <w:pPr>
        <w:pStyle w:val="BookText"/>
        <w:rPr/>
      </w:pPr>
      <w:r>
        <w:rPr>
          <w:rFonts w:ascii="IRNazanin" w:hAnsi="IRNazanin" w:eastAsia="IRNazanin"/>
          <w:color w:val="111111"/>
          <w:sz w:val="28"/>
          <w:sz w:val="28"/>
          <w:szCs w:val="28"/>
          <w:rtl w:val="true"/>
          <w:lang w:bidi="fa-IR"/>
        </w:rPr>
        <w:t>اختناق حاکم است و برکناری اشخاص از مناصب، شکنجه و آزار و قتل امری رایج و مرسوم باشد، کاملاً بدیهی و قابل پیش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شیعه در مقاطعی از تاریخ خویش، علی رغم فراهم بودن زمینه‌هایی برای اعلام موجودیت سیاسی خویش باز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از حضور رسمی و علنی در مناسبات سیاسی دوری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بدو پیدایش و شکل‌گیری تا قرن چهارم هجری همواره در فشارها و تحمل آسیبهای فراوانی از سوی خلفای اموی و عباسی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قرن چهارم هجری آبستن حوادثی بود که رفته رفته وضعیت را به سود شیعیان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اینکه این قرن از نظر علمی و فرهنگی عصر شکوفایی علوم و معارف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اسلامی</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و از طلایی‌ترین دوران تمدن اسلامی به شمار می‌رود؛ اما از نظر سیاسی، کشور اسلامی وحدت و انسجام خود را از دست داده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به ظاهر خلفای عباسی عهده دار منصب خلافت بودند، در هر گوشه‌ای از سرزمین اسلامی فردی داعیه دار استقلال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الحضارهْ الاسلامیهْ فی قرن الرابع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سده چهارم امپراتوری اسلامی دچار انشعاب شد و دولتهای کوچک از هر سو سر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تجزیه در حدود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تحقق یافت؛ فارس و ری و اصفهان و جبل در اختیار بویهیان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در دست محمد بن الیاس، موصل و دیار بکر و دیار بیعه و دیار نصر در اختیار حمدانیان و مصر و شام در سلطه محمد بن طفج، مغرب و آفریقا در اختیار فاطمیان و اندلس در اختیار امویان و خراسان در دست سامانیان بود؛ بر اهواز و بصره و واسط بریدیان مسلّط بودند؛ یمامه و بحرین در سیطره قرمطیان</w:t>
      </w:r>
    </w:p>
    <w:p>
      <w:pPr>
        <w:pStyle w:val="BookText"/>
        <w:rPr/>
      </w:pPr>
      <w:r>
        <w:rPr>
          <w:rFonts w:ascii="IRNazanin" w:hAnsi="IRNazanin" w:eastAsia="IRNazanin"/>
          <w:color w:val="111111"/>
          <w:sz w:val="28"/>
          <w:sz w:val="28"/>
          <w:szCs w:val="28"/>
          <w:rtl w:val="true"/>
          <w:lang w:bidi="fa-IR"/>
        </w:rPr>
        <w:t>و بر طبرستان و گرگان دیلمیان فرمان می‌راندند و تنها بغداد و اطراف آن زیر نفوذ خلیفه بود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چهار دولت شیعی مذهب در این قرن بستر بسیار مناسبی را برای گسترش عقاید و آموزه‌های شیعی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علویان در شمال ایران که طی سالهای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مناطق مختلفی از طبرستان را در اختیار داعیان علوی زیدی مذهب نهاد؛ حکومت فاطمیان مصر که</w:t>
      </w:r>
    </w:p>
    <w:p>
      <w:pPr>
        <w:pStyle w:val="BookText"/>
        <w:rPr/>
      </w:pPr>
      <w:r>
        <w:rPr>
          <w:rFonts w:ascii="IRNazanin" w:hAnsi="IRNazanin" w:eastAsia="IRNazanin"/>
          <w:color w:val="111111"/>
          <w:sz w:val="28"/>
          <w:sz w:val="28"/>
          <w:szCs w:val="28"/>
          <w:rtl w:val="true"/>
          <w:lang w:bidi="fa-IR"/>
        </w:rPr>
        <w:t xml:space="preserve">تا سه قرن ادامه داشت و سلسله حمدانیان که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موصل سربرآورد و بالأخره دولت قدرتمند آل بویه که نه تنها مناطق وسیعی از امپراتوری عباسی را زیر نفوذ خود در آورده بود؛ بلکه پتانسیل براندازی خلافت</w:t>
      </w:r>
    </w:p>
    <w:p>
      <w:pPr>
        <w:pStyle w:val="BookText"/>
        <w:rPr/>
      </w:pPr>
      <w:r>
        <w:rPr>
          <w:rFonts w:ascii="IRNazanin" w:hAnsi="IRNazanin" w:eastAsia="IRNazanin"/>
          <w:color w:val="111111"/>
          <w:sz w:val="28"/>
          <w:sz w:val="28"/>
          <w:szCs w:val="28"/>
          <w:rtl w:val="true"/>
          <w:lang w:bidi="fa-IR"/>
        </w:rPr>
        <w:t>را هم در خود داشت و تنها مصالح سیاسی آنان را ناچار به رسمیت شناختن ظاهری خلفای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باب تازه‌ایی را در تاریخ خلافت عباسی گشود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زمان که آل بویه از تشیع زیدی به امامی گرویدند</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به پایگاه محکمی که به طور رسمی از او حمایت می‌کرد،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اقتدار امرای آل بویه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ایران و عراق سایه گستر بود، فقهای امامیه همچون شیخ صدوق علی رغم ارتباط نزدیک با امرا و محافل سیاسی به دلیل آنکه از نحله‌ی نقل گرایان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هرگونه تعبیر و تفسیر از نصوص دینی را اجتهاد به رأی و باطل می‌دانستند؛ اینان اندیشه سیاسی شیعه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نهادند و هرگونه حکومت و سلطنتی را غیر از امام معصوم غیر مشروع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ارائه تفاسیر مبهمی از غیبت امام دوازدهم و انتظار فرج و تحقق حکومت عدل برخی از احکام و حدود را که از وظایف معصوم بود، به تعطیلی کشاندند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همانند جهاد، قضاوت،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امام عادل یا نایب خاص او را در این امور لازم می‌دانستند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تسامح و تساهل مذهبی امرای آل بویه که گاه خود از علما و شعرا بودند و به قدرت رسیدن وزرایِ دانشمند و دانش پرور، زمان مناسبی برای رشد و پویایی ابعاد مختلف فرهنگی و دریافت و فهم معتدل‌تری از آموزه‌ها و نصوص دینی فراهم آورد که نه تنها موجب ترویج فقه و اصول و کلام شد؛ بلکه تفسیر خردمندانه‌ای از فضای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موجود را در اختیار فقها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میان این روش در تقابل با روشی بود که تنها بر اخبار و روایات تکیه داشت و بررسی غیر عقلانی و تنها تقلیدی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جز انزوای سیاسی نداشت</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گرایش اجتهادی، فقه را با واقعیات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از یک سو از حرکت اجتهادی در میان</w:t>
      </w:r>
    </w:p>
    <w:p>
      <w:pPr>
        <w:pStyle w:val="BookText"/>
        <w:rPr/>
      </w:pPr>
      <w:r>
        <w:rPr>
          <w:rFonts w:ascii="IRNazanin" w:hAnsi="IRNazanin" w:eastAsia="IRNazanin"/>
          <w:color w:val="111111"/>
          <w:sz w:val="28"/>
          <w:sz w:val="28"/>
          <w:szCs w:val="28"/>
          <w:rtl w:val="true"/>
          <w:lang w:bidi="fa-IR"/>
        </w:rPr>
        <w:t>اهل سنت تأثیر پذیرفته بود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متأثر از جنبش و حرکت عقلی و فلسفی‌ای بود که در قرن چهارم رشد کرده بود و ابزارهای عقلی برای تأویل روایات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احکام طبق قواعد اصولی را در اختیار فقیه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تلاشهای فقهی این دسته از فقها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سید مرتضی و شیخ طوسی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نظام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وجود و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سلطانی بود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برقراری و اشاعه احکام دینی را وابسته به وجود سلطان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سلطان همانند دو برادر دوقلویند و هر یک به دیگری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پایه و اصل است و سلطان نگهبان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بنیان نداشته باشد از میان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نگهبان نداشته باشد، تلف می‌شود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اقرار به وجوب وجود نظام سیاسی از سوی این گروه از فقها متضمن مشروعیت این نظام نبود و نظام مشروع از نظر شیعه منحصر به امامت معصوم بود؛ اما فقدان این شرط نیز همچنان که گفته شد وجود نظام سیاسی غیر معصوم را نفی نکرده؛ این امر مرهون روابط میان فقها و سلاطین بود که زمینه ساز بحث‌های جدیدی در میان فقها، نظیر نحوه‌ی همکاری آنان با سلاطین، پذیرش مسئولیت،گرفتن هدیه یا حقوق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عقل گرا و به اصطلاح اصولی، ضمن رد امکان تحقق دولتی شرعی، ناچار برای حفظ وحدت امت، مصالح عامه و دفع منکر، سلطه‌ی غیر معصوم را پذیرفتند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دوم قرن ششم هجری با ظهور دو فقیه شیعی علی بن زهره حسینی حلبی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ادریس حلی و عدول آنان از محدوده‌ی نظرات فقهی شیخ طوسی، سدی که مانع تحرک اجتهاد شیعه بود، شکسته شد</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بر نظریات شیخ طوسی در فقه و اصول</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خروج از روش تاریخی فقه شیعه و آزادی از قیود فقه تقلیدی میسّر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در مرحله‌ی اول در زبانی که فقها در فتاوا به کار می‌بردند،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آرای فقهی این فقها، منعکس کننده‌ی اوضاع زمانه و تأثیرات گذر زمان از عصر نص و تقلید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تقید به شرط وجود امام در قضاوت و تنفیذ احکام و آن چه فقهای سابق آن را از وظایف امام می‌دانستند، تحت تأثیر واقعیات موجود، اهمیت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دولتهای شیعی و ورود فقه شیعه در دستگاه سلطانی تفاسیر جدیدی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که در پی آن ارتباط با سلطان زمان و مشارکت سیاسی، بدون مشروع دانستن قدرت حاکم جایز شمرده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تفصیلی این موضوع در بخش پایانی که به بررسی تحولات ایدئولوژیکی شیعه می‌پردازد، خواهد آمد</w:t>
      </w:r>
      <w:r>
        <w:rPr>
          <w:rFonts w:eastAsia="IRNazanin" w:cs="IRNazanin"/>
          <w:color w:val="111111"/>
          <w:sz w:val="28"/>
          <w:szCs w:val="28"/>
          <w:rtl w:val="true"/>
          <w:lang w:bidi="fa-IR"/>
        </w:rPr>
        <w:t>.</w:t>
      </w:r>
      <w:bookmarkStart w:id="197" w:name="pg4760_44209"/>
    </w:p>
    <w:p>
      <w:pPr>
        <w:pStyle w:val="Heading2"/>
        <w:numPr>
          <w:ilvl w:val="1"/>
          <w:numId w:val="1"/>
        </w:numPr>
        <w:rPr/>
      </w:pPr>
      <w:bookmarkStart w:id="198" w:name="__RefHeading___Toc1717443_2035185390"/>
      <w:bookmarkStart w:id="199" w:name="_Toc74"/>
      <w:bookmarkEnd w:id="197"/>
      <w:bookmarkEnd w:id="198"/>
      <w:r>
        <w:rPr>
          <w:rtl w:val="true"/>
        </w:rPr>
        <w:t>بخش چهارم</w:t>
      </w:r>
      <w:r>
        <w:rPr>
          <w:rtl w:val="true"/>
        </w:rPr>
        <w:t xml:space="preserve">: </w:t>
      </w:r>
      <w:r>
        <w:rPr>
          <w:rtl w:val="true"/>
        </w:rPr>
        <w:t>رابطه معنا و زمینه در اندیشه سیاسی علمای امامیه</w:t>
      </w:r>
      <w:bookmarkEnd w:id="1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717445_2035185390"/>
      <w:bookmarkStart w:id="201" w:name="_Toc75"/>
      <w:bookmarkEnd w:id="200"/>
      <w:r>
        <w:rPr>
          <w:rtl w:val="true"/>
        </w:rPr>
        <w:t>اشاره</w:t>
      </w:r>
      <w:bookmarkStart w:id="202" w:name="pg4760_44211"/>
      <w:bookmarkEnd w:id="201"/>
    </w:p>
    <w:p>
      <w:pPr>
        <w:pStyle w:val="Heading3"/>
        <w:numPr>
          <w:ilvl w:val="2"/>
          <w:numId w:val="1"/>
        </w:numPr>
        <w:rPr/>
      </w:pPr>
      <w:bookmarkStart w:id="203" w:name="__RefHeading___Toc1717447_2035185390"/>
      <w:bookmarkStart w:id="204" w:name="_Toc76"/>
      <w:bookmarkEnd w:id="202"/>
      <w:bookmarkEnd w:id="203"/>
      <w:r>
        <w:rPr>
          <w:rtl w:val="true"/>
        </w:rPr>
        <w:t>فصل نخست</w:t>
      </w:r>
      <w:r>
        <w:rPr>
          <w:rtl w:val="true"/>
        </w:rPr>
        <w:t xml:space="preserve">: </w:t>
      </w:r>
      <w:r>
        <w:rPr>
          <w:rtl w:val="true"/>
        </w:rPr>
        <w:t>منشأ مشروعیت حکومت و ماهیت آن</w:t>
      </w:r>
      <w:bookmarkEnd w:id="20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717449_2035185390"/>
      <w:bookmarkStart w:id="206" w:name="_Toc77"/>
      <w:bookmarkEnd w:id="205"/>
      <w:r>
        <w:rPr>
          <w:rtl w:val="true"/>
        </w:rPr>
        <w:t>اشاره</w:t>
      </w:r>
      <w:bookmarkStart w:id="207" w:name="pg4760_44213"/>
      <w:bookmarkEnd w:id="206"/>
    </w:p>
    <w:p>
      <w:pPr>
        <w:pStyle w:val="Heading4"/>
        <w:numPr>
          <w:ilvl w:val="3"/>
          <w:numId w:val="1"/>
        </w:numPr>
        <w:rPr/>
      </w:pPr>
      <w:bookmarkStart w:id="208" w:name="__RefHeading___Toc1717451_2035185390"/>
      <w:bookmarkStart w:id="209" w:name="_Toc78"/>
      <w:bookmarkEnd w:id="207"/>
      <w:bookmarkEnd w:id="208"/>
      <w:r>
        <w:rPr>
          <w:rtl w:val="true"/>
        </w:rPr>
        <w:t>منشأ مشروعیت حکومت</w:t>
      </w:r>
      <w:bookmarkEnd w:id="209"/>
    </w:p>
    <w:p>
      <w:pPr>
        <w:pStyle w:val="BookText"/>
        <w:rPr/>
      </w:pPr>
      <w:r>
        <w:rPr>
          <w:rFonts w:ascii="IRNazanin" w:hAnsi="IRNazanin" w:eastAsia="IRNazanin"/>
          <w:color w:val="111111"/>
          <w:sz w:val="28"/>
          <w:sz w:val="28"/>
          <w:szCs w:val="28"/>
          <w:rtl w:val="true"/>
          <w:lang w:bidi="fa-IR"/>
        </w:rPr>
        <w:t>به طور کلی چهار نظریه درباره‌ی منشأ و اصل حکومت در جوامع بشری می‌توان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بر پایی دولت مستلزم تسلط گروهی از مردم با نیروی چیره‌گر و اظهار تسلیم دیگران در برابر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حکومت دو طبقه نمود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حاکم و طبقه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گروه اول از گروه دوم دارا بودن قدرت اعمال بر طبقه دوم و تسلیم و قبول خواسته‌های گروه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اساس وجود دولت و توجیه تداوم آن،تداوم بهره‌گیری طبقه‌ی حاکم از ضروریات غلبه و سلطه است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فطرت انسان اجتماعی است و از آن جا</w:t>
      </w:r>
    </w:p>
    <w:p>
      <w:pPr>
        <w:pStyle w:val="BookText"/>
        <w:rPr/>
      </w:pPr>
      <w:r>
        <w:rPr>
          <w:rFonts w:ascii="IRNazanin" w:hAnsi="IRNazanin" w:eastAsia="IRNazanin"/>
          <w:color w:val="111111"/>
          <w:sz w:val="28"/>
          <w:sz w:val="28"/>
          <w:szCs w:val="28"/>
          <w:rtl w:val="true"/>
          <w:lang w:bidi="fa-IR"/>
        </w:rPr>
        <w:t>که وجود نظم در اجتماع لازم و ضروری است، فطرتی اجتماعی برای انسان در نظر میگیرد؛ سر از حکومت در می‌آورد تا وجود نظم را در جامعه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دیدگاه خود را بر این اصل بنا نهادند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خداوند قدرت و ملک داری را به بندگانش اعطا کرده است؛ بعضی را برای حکومت کردن و حاکم بودن و برخی را محکوم آفرید؛ همچنان که بعضی از</w:t>
      </w:r>
    </w:p>
    <w:p>
      <w:pPr>
        <w:pStyle w:val="BookText"/>
        <w:rPr/>
      </w:pPr>
      <w:r>
        <w:rPr>
          <w:rFonts w:ascii="IRNazanin" w:hAnsi="IRNazanin" w:eastAsia="IRNazanin"/>
          <w:color w:val="111111"/>
          <w:sz w:val="28"/>
          <w:sz w:val="28"/>
          <w:szCs w:val="28"/>
          <w:rtl w:val="true"/>
          <w:lang w:bidi="fa-IR"/>
        </w:rPr>
        <w:t>افراد غنی و برخی فقیر خلق شده‌اند، تا اغنیا را خدمت گزار باشند؛ همان طور که طبقه اشراف از طبقات فروتر بر اساس صفات ذاتی و تکوینی متمایز می‌شوند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قراداد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اجتماع به طور عمدی و ارادی ساخته دولت است؛ زیرا استقرار و پایداری صلح میان افراد جامعه، بدون وجود اجتماع و داشتن ویژگی‌ای که نیروهای آنان را در مقابل افراد و اجتماعات دیگر به کار گیرد،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 نظریه طبیعی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علوم اجتماعی بر این عقیده‌اند که تنها راه رهایی از تعارض میان مصالح فردی و منافعی که از جامعه نشأت می‌گیرد، قرارداد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نظریه اگر چه دولت دارای تشکیلات اجتماعی است، فاقد</w:t>
      </w:r>
    </w:p>
    <w:p>
      <w:pPr>
        <w:pStyle w:val="BookText"/>
        <w:rPr/>
      </w:pPr>
      <w:r>
        <w:rPr>
          <w:rFonts w:ascii="IRNazanin" w:hAnsi="IRNazanin" w:eastAsia="IRNazanin"/>
          <w:color w:val="111111"/>
          <w:sz w:val="28"/>
          <w:sz w:val="28"/>
          <w:szCs w:val="28"/>
          <w:rtl w:val="true"/>
          <w:lang w:bidi="fa-IR"/>
        </w:rPr>
        <w:t>وجود مستقل اجتماعی است و از نظر قانونی مستقل از افراد جامعه است و همین مشروعیت تداوم وظایفش را برقرار می‌کند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متکلمان اسلامی به تأسیس حکومت بر اساس 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کردند و بر همین اساس قائل به وجوب تعیین رئیس یا حاکم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این دیدگاه منبعث از آموزه‌های دینی است یا ره‌آورد تجربیات بشری است و از نظر دینی مطرود است و خلاصه آن که منشأ و ریشه‌ی اصلی این نظریه چه دیدگاهی است؟</w:t>
      </w:r>
    </w:p>
    <w:p>
      <w:pPr>
        <w:pStyle w:val="BookText"/>
        <w:rPr/>
      </w:pPr>
      <w:r>
        <w:rPr>
          <w:rFonts w:ascii="IRNazanin" w:hAnsi="IRNazanin" w:eastAsia="IRNazanin"/>
          <w:color w:val="111111"/>
          <w:sz w:val="28"/>
          <w:sz w:val="28"/>
          <w:szCs w:val="28"/>
          <w:rtl w:val="true"/>
          <w:lang w:bidi="fa-IR"/>
        </w:rPr>
        <w:t>از استقراء در آثار دینی و تجربی تاریخی می‌توانیم عناصری را به دست آوریم که این عناصر قبل از طرح شریعت از اصول عقلانی مایه گرفته و شریعت پس از ابلاغ، آنها را تأیید کرده است؛ یا برخی تعدیلات را درباره‌ی بعضی از عناصرِ حکومت انجام داده‌اند امّا عناصری از حکومت نیز از سوی شریعت مطرح شده که تنها خاص نص قرآن و 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اخیر مفاهیم زیر را که قبل از اسلام رایج نبوده است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اهداف اصلی شریعت، تشکیل امت است که برتر و بالاتر از سلطنت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نظام و منظم بودن جهان و بر پایی سلطه و قدرت، به واسطه‌ی ضرورتِ حفظ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تجاوز به حقوق فردی مشروط به نیاز نظام به نظم و انضباط در جامعه است؛ یعنی ممکن است مقتضیات نظم جامعه که مصلحت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مصالح فردی در تعارض باشد که در این صورت مصلحت عمومی بر مصالح فردی مقدم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بودن اخلاق بر قانون در اسلام؛ بر این اساس حوزه عمل سلطنت و حکومت منحصر به زمانی است که فرد از نظم عمومی خارج شود و در نتیجه صلاحیت حکومت محدود به جایی است که شخص مرتکب جرم و گناه می‌شود و فرد بر تعارض با نظم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سلطنت نوعی ولایت است؛ بر این اساس</w:t>
      </w:r>
    </w:p>
    <w:p>
      <w:pPr>
        <w:pStyle w:val="BookText"/>
        <w:rPr/>
      </w:pPr>
      <w:r>
        <w:rPr>
          <w:rFonts w:ascii="IRNazanin" w:hAnsi="IRNazanin" w:eastAsia="IRNazanin"/>
          <w:color w:val="111111"/>
          <w:sz w:val="28"/>
          <w:sz w:val="28"/>
          <w:szCs w:val="28"/>
          <w:rtl w:val="true"/>
          <w:lang w:bidi="fa-IR"/>
        </w:rPr>
        <w:t>مشروعیت ولایت از رابطه‌ی محکم میان صاحب ولایت و موضوع عمل سرچشمه می‌گیرد و این گونه ولایت از پادشاهیِ ناشی از حق ویژه یا خاص که منشأ مشروعیتش ثروت یا نسب یا غلبه باشد، کاملاً متمایز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سلطنت بر اساس قرارداد و بیعت است؛ تعاقدی که حق عزل و نصب را در خود دارد؛ اما ریاست امام بر عامه‌ی مردم مسبوق به انتصاب الهی و مقبولیت آن از سوی مردم تنها شرایط تحقق آن را فراهم خواهد کرد</w:t>
      </w:r>
      <w:r>
        <w:rPr>
          <w:rFonts w:eastAsia="IRNazanin" w:cs="IRNazanin"/>
          <w:color w:val="111111"/>
          <w:sz w:val="28"/>
          <w:szCs w:val="28"/>
          <w:rtl w:val="true"/>
          <w:lang w:bidi="fa-IR"/>
        </w:rPr>
        <w:t>.</w:t>
      </w:r>
      <w:bookmarkStart w:id="210" w:name="pg4760_44217"/>
    </w:p>
    <w:p>
      <w:pPr>
        <w:pStyle w:val="Heading4"/>
        <w:numPr>
          <w:ilvl w:val="3"/>
          <w:numId w:val="1"/>
        </w:numPr>
        <w:rPr/>
      </w:pPr>
      <w:bookmarkStart w:id="211" w:name="__RefHeading___Toc1717453_2035185390"/>
      <w:bookmarkStart w:id="212" w:name="_Toc79"/>
      <w:bookmarkEnd w:id="210"/>
      <w:bookmarkEnd w:id="211"/>
      <w:r>
        <w:rPr>
          <w:rtl w:val="true"/>
        </w:rPr>
        <w:t>ماهیت حکومت در اسلام</w:t>
      </w:r>
      <w:r>
        <w:rPr>
          <w:rtl w:val="true"/>
        </w:rPr>
        <w:t>:</w:t>
      </w:r>
      <w:bookmarkEnd w:id="212"/>
    </w:p>
    <w:p>
      <w:pPr>
        <w:pStyle w:val="BookText"/>
        <w:rPr/>
      </w:pPr>
      <w:r>
        <w:rPr>
          <w:rFonts w:ascii="IRNazanin" w:hAnsi="IRNazanin" w:eastAsia="IRNazanin"/>
          <w:color w:val="111111"/>
          <w:sz w:val="28"/>
          <w:sz w:val="28"/>
          <w:szCs w:val="28"/>
          <w:rtl w:val="true"/>
          <w:lang w:bidi="fa-IR"/>
        </w:rPr>
        <w:t>وجود این ویژگیها برای حاکمیت مطلوب در اسلام ما را به طرح این سؤال وا می‌دارد که در اندیشه سیاسی شیعه، ماهیت و سرشت اجتماع سیاسی چیست؟ یعنی چه عامل یا عواملی افراد یک جامعه را در درون تشکیلات</w:t>
      </w:r>
    </w:p>
    <w:p>
      <w:pPr>
        <w:pStyle w:val="BookText"/>
        <w:rPr/>
      </w:pPr>
      <w:r>
        <w:rPr>
          <w:rFonts w:ascii="IRNazanin" w:hAnsi="IRNazanin" w:eastAsia="IRNazanin"/>
          <w:color w:val="111111"/>
          <w:sz w:val="28"/>
          <w:sz w:val="28"/>
          <w:szCs w:val="28"/>
          <w:rtl w:val="true"/>
          <w:lang w:bidi="fa-IR"/>
        </w:rPr>
        <w:t>دولت به هم مرتبط می‌سازد؟ آیا نیازهای متقابل اقتصادی است که انسان به دلیل محدودیت تواناییها و امکانات به تنهایی قادر به تأمین نیازمندیهای خود نیست؟ یا معلول تفاوتهای طبیعی است که میان استعدادهای انسانهای مختلف وجود دارد؟</w:t>
      </w:r>
    </w:p>
    <w:p>
      <w:pPr>
        <w:pStyle w:val="BookText"/>
        <w:rPr/>
      </w:pPr>
      <w:r>
        <w:rPr>
          <w:rFonts w:ascii="IRNazanin" w:hAnsi="IRNazanin" w:eastAsia="IRNazanin"/>
          <w:color w:val="111111"/>
          <w:sz w:val="28"/>
          <w:sz w:val="28"/>
          <w:szCs w:val="28"/>
          <w:rtl w:val="true"/>
          <w:lang w:bidi="fa-IR"/>
        </w:rPr>
        <w:t xml:space="preserve">در صورت پذیرش نظریه نخست، دولت تنها سازمانی اقتصادی است که تنها در نتیجه نیازهای مادی تشکیل یافته است؟ در صورت دوم، می‌بایست در صدد یافتن مسائلی دربارة فضیلت انسانی یا بخشی از فضیلت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خصلت موجود در فساد بشری است که تقویت و جهت دادن به آن، دوام و بقای افراد را در داخل دولت ممکن می‌سازد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ماهیتی فطری برای حکومت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چون اجتماع بشری به دلیل نشناختن صحیح فضیلتها دچار اختلاف می‌شود که موجب بازماندن انسان از مقصود غایی خلقت می‌شود، به همین دلیل</w:t>
      </w:r>
    </w:p>
    <w:p>
      <w:pPr>
        <w:pStyle w:val="BookText"/>
        <w:rPr/>
      </w:pPr>
      <w:r>
        <w:rPr>
          <w:rFonts w:ascii="IRNazanin" w:hAnsi="IRNazanin" w:eastAsia="IRNazanin"/>
          <w:color w:val="111111"/>
          <w:sz w:val="28"/>
          <w:sz w:val="28"/>
          <w:szCs w:val="28"/>
          <w:rtl w:val="true"/>
          <w:lang w:bidi="fa-IR"/>
        </w:rPr>
        <w:t>خداوند با حکمت بالغه‌ی خود قوانینی را که منجر به تشکیل اجتماع سیاسی و رفع اختلاف‌های فطری و غیر فطری است، نازل می‌سازد؟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عقیده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جامعه سیاسی را تشکیل می‌دهد که لازمه‌ی برقراری این دو عامل، دو عامل دیگر است؛ یکی وجود حاکم در جامعه که وظیفه‌اش تشخیص منافع کلی و همگانی است و دوم اینکه هیچ یک از افراد دولت، نیرو وامکانات خود را صرف تأمین منافع شخصی یا طبقاتی نسازد و در غیر این صورت غرض از تشکیل دولت نقض خواهد شد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قوانین زندگی اجتماعی می‌بایست با مقرراتی که نفس انسان را تعالی میبخشد، هماهنگ باشد؛ زیرا اجتماعی بودن فطرت انسانی محدودیتهایی را برمی‌تابد که بنابر ضرورت، اجتماع بر آزادی فرد تحمیل می‌کند و به بیانی دیگر محدودیتهایی است که تأمین کننده‌ی کمال انسانی و غایت آفرینش است نه مخدوش کننده‌ی کمال انسانی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213" w:name="pg4760_44219"/>
    </w:p>
    <w:p>
      <w:pPr>
        <w:pStyle w:val="Heading4"/>
        <w:numPr>
          <w:ilvl w:val="3"/>
          <w:numId w:val="1"/>
        </w:numPr>
        <w:rPr/>
      </w:pPr>
      <w:bookmarkStart w:id="214" w:name="__RefHeading___Toc1717455_2035185390"/>
      <w:bookmarkStart w:id="215" w:name="_Toc80"/>
      <w:bookmarkEnd w:id="213"/>
      <w:bookmarkEnd w:id="214"/>
      <w:r>
        <w:rPr>
          <w:rtl w:val="true"/>
        </w:rPr>
        <w:t>حکومت و علمای امامیه</w:t>
      </w:r>
      <w:bookmarkEnd w:id="215"/>
    </w:p>
    <w:p>
      <w:pPr>
        <w:pStyle w:val="BookText"/>
        <w:rPr/>
      </w:pPr>
      <w:r>
        <w:rPr>
          <w:rFonts w:ascii="IRNazanin" w:hAnsi="IRNazanin" w:eastAsia="IRNazanin"/>
          <w:color w:val="111111"/>
          <w:sz w:val="28"/>
          <w:sz w:val="28"/>
          <w:szCs w:val="28"/>
          <w:rtl w:val="true"/>
          <w:lang w:bidi="fa-IR"/>
        </w:rPr>
        <w:t>همچنان که گفته شد بنابر اعتقاد شیعیان</w:t>
      </w:r>
    </w:p>
    <w:p>
      <w:pPr>
        <w:pStyle w:val="BookText"/>
        <w:rPr/>
      </w:pPr>
      <w:r>
        <w:rPr>
          <w:rFonts w:ascii="IRNazanin" w:hAnsi="IRNazanin" w:eastAsia="IRNazanin"/>
          <w:color w:val="111111"/>
          <w:sz w:val="28"/>
          <w:sz w:val="28"/>
          <w:szCs w:val="28"/>
          <w:rtl w:val="true"/>
          <w:lang w:bidi="fa-IR"/>
        </w:rPr>
        <w:t xml:space="preserve">امامیه،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جامعه‌ی سیاسی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به دلیل نشناختن صحیح فضیلتها و ناتوانی در برقراری عدالت، مانع رسیدن انسان به مقصود غایی خلقت است، به همین دلیل وضع قوانینی که اختلافهای فطری و غیر فطری را برطرف کرده، عدالت را برقرار سازد، واجبی است که به خداوند تعلق دارد و اوست که می‌داند چه کسی قادر به اجرای چنین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نهایی از ارسال رُسُل، هدایت أبنای بشر است که این هدایت خصلتی مستمر و دراز مدت دارد و پس از شهادت آخرین آنان، تحول مهمی از نبوت به امامت رخ داد و دوازده نور مستمرهدایت را بر عهده گرفتند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امامیه با اتخاذ این دیدگاه، ولایت مطلقه‌ی 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منتخب خداوند بودند در تمامی عرصه‌های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پذیرفتند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دست یابی به زندگی سعادتمندانه وابسته به حضور معصوم است</w:t>
      </w:r>
      <w:r>
        <w:rPr>
          <w:rFonts w:eastAsia="IRNazanin" w:cs="IRNazanin"/>
          <w:color w:val="111111"/>
          <w:sz w:val="28"/>
          <w:szCs w:val="28"/>
          <w:rtl w:val="true"/>
          <w:lang w:bidi="fa-IR"/>
        </w:rPr>
        <w:t>.</w:t>
      </w:r>
      <w:bookmarkStart w:id="216" w:name="pg4760_44220"/>
    </w:p>
    <w:p>
      <w:pPr>
        <w:pStyle w:val="Heading4"/>
        <w:numPr>
          <w:ilvl w:val="3"/>
          <w:numId w:val="1"/>
        </w:numPr>
        <w:rPr/>
      </w:pPr>
      <w:bookmarkStart w:id="217" w:name="__RefHeading___Toc1717457_2035185390"/>
      <w:bookmarkStart w:id="218" w:name="_Toc81"/>
      <w:bookmarkEnd w:id="216"/>
      <w:bookmarkEnd w:id="217"/>
      <w:r>
        <w:rPr>
          <w:rtl w:val="true"/>
        </w:rPr>
        <w:t>وظایف امام در شرایط ظهور</w:t>
      </w:r>
      <w:bookmarkEnd w:id="218"/>
    </w:p>
    <w:p>
      <w:pPr>
        <w:pStyle w:val="BookText"/>
        <w:rPr/>
      </w:pPr>
      <w:r>
        <w:rPr>
          <w:rFonts w:ascii="IRNazanin" w:hAnsi="IRNazanin" w:eastAsia="IRNazanin"/>
          <w:color w:val="111111"/>
          <w:sz w:val="28"/>
          <w:sz w:val="28"/>
          <w:szCs w:val="28"/>
          <w:rtl w:val="true"/>
          <w:lang w:bidi="fa-IR"/>
        </w:rPr>
        <w:t>وظایف امام در شرایط ظهور</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نظام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جامعه‌ی مسلمان از انحراف و فساد در عقیده و عمل؛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جامعه‌ی اسلامی از هجوم بیگانه و ایجاد آمادگی دفاعی؛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غیبت دوازدهمین امام شیعیان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نکردن نماینده‌ای خاص از جانب او، پرسشهای بسیاری در رابطه با غیبت امام و وظایف مرتبط با او، اذهان علمای امامیه را دچار حیرت و سردرگمی کرد و آنان را به یافتن راهکارهایی برای خروج از بن بست‌های موجود به فعالیّت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مهمترین بن بست غیبت امام معصوم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خلأ رهبری جامعه امامیه بود که از سوی دیگر گروههای شیعه نظیر اسماعیلیه و زیدیه و نیز جریان‌های اهل سنت به ویژه</w:t>
      </w:r>
    </w:p>
    <w:p>
      <w:pPr>
        <w:pStyle w:val="BookText"/>
        <w:rPr/>
      </w:pPr>
      <w:r>
        <w:rPr>
          <w:rFonts w:ascii="IRNazanin" w:hAnsi="IRNazanin" w:eastAsia="IRNazanin"/>
          <w:color w:val="111111"/>
          <w:sz w:val="28"/>
          <w:sz w:val="28"/>
          <w:szCs w:val="28"/>
          <w:rtl w:val="true"/>
          <w:lang w:bidi="fa-IR"/>
        </w:rPr>
        <w:t>معتزله را به چالش کشاند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مساله‌ی دوم چگونگی ایفای وظایف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آیا انجام دادن</w:t>
      </w:r>
    </w:p>
    <w:p>
      <w:pPr>
        <w:pStyle w:val="BookText"/>
        <w:rPr/>
      </w:pPr>
      <w:r>
        <w:rPr>
          <w:rFonts w:ascii="IRNazanin" w:hAnsi="IRNazanin" w:eastAsia="IRNazanin"/>
          <w:color w:val="111111"/>
          <w:sz w:val="28"/>
          <w:sz w:val="28"/>
          <w:szCs w:val="28"/>
          <w:rtl w:val="true"/>
          <w:lang w:bidi="fa-IR"/>
        </w:rPr>
        <w:t>همه‌ی وظایف منوط به حضور معصوم است و باید تا زمان ظهور به تعویق افتد یا به واسطه اهمیت فوق العاده وظایف فوق می‌بایست برخی از مؤمنان به گونه‌ای هر چند ناقص آن را انجام دهند؟ در صورت اخیر، مسئولیت و حوزه اختیارات علمای امامیه در ساماندهی امور جامعه مانند، قضا، اجرای حدود، امامت جمعه، حکومت و مشروعیت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چیست؟</w:t>
      </w:r>
    </w:p>
    <w:p>
      <w:pPr>
        <w:pStyle w:val="BookText"/>
        <w:rPr/>
      </w:pPr>
      <w:r>
        <w:rPr>
          <w:rFonts w:ascii="IRNazanin" w:hAnsi="IRNazanin" w:eastAsia="IRNazanin"/>
          <w:color w:val="111111"/>
          <w:sz w:val="28"/>
          <w:sz w:val="28"/>
          <w:szCs w:val="28"/>
          <w:rtl w:val="true"/>
          <w:lang w:bidi="fa-IR"/>
        </w:rPr>
        <w:t xml:space="preserve">آیا پذیرش مناصب حکومتی از سوی سلاطین جابر جایز است و می‌توان با آنان همکاری کرد یا چنین پذیرشی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رساندن به ظالم خواهد بود که مستوجب عقوبت می‌شود؟</w:t>
      </w:r>
    </w:p>
    <w:p>
      <w:pPr>
        <w:pStyle w:val="BookText"/>
        <w:rPr/>
      </w:pPr>
      <w:r>
        <w:rPr>
          <w:rFonts w:ascii="IRNazanin" w:hAnsi="IRNazanin" w:eastAsia="IRNazanin"/>
          <w:color w:val="111111"/>
          <w:sz w:val="28"/>
          <w:sz w:val="28"/>
          <w:szCs w:val="28"/>
          <w:rtl w:val="true"/>
          <w:lang w:bidi="fa-IR"/>
        </w:rPr>
        <w:t>در صورت نپذیرفتن همکاری با حاکمان جور، حیات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امامیه که رابطه‌ای تنگاتنگ با حاکمیت سیاسی دارد، چگونه تداوم خواهد یافت؟</w:t>
      </w:r>
    </w:p>
    <w:p>
      <w:pPr>
        <w:pStyle w:val="BookText"/>
        <w:rPr/>
      </w:pPr>
      <w:r>
        <w:rPr>
          <w:rFonts w:ascii="IRNazanin" w:hAnsi="IRNazanin" w:eastAsia="IRNazanin"/>
          <w:color w:val="111111"/>
          <w:sz w:val="28"/>
          <w:sz w:val="28"/>
          <w:szCs w:val="28"/>
          <w:rtl w:val="true"/>
          <w:lang w:bidi="fa-IR"/>
        </w:rPr>
        <w:t>تعارض میان استمرار هدایت بشر و حضور معصوم که مبتنی بر عدل الهی است با غیبت امام چگونه قابل تفسیر است؟</w:t>
      </w:r>
    </w:p>
    <w:p>
      <w:pPr>
        <w:pStyle w:val="BookText"/>
        <w:rPr/>
      </w:pPr>
      <w:r>
        <w:rPr>
          <w:rFonts w:ascii="IRNazanin" w:hAnsi="IRNazanin" w:eastAsia="IRNazanin"/>
          <w:color w:val="111111"/>
          <w:sz w:val="28"/>
          <w:sz w:val="28"/>
          <w:szCs w:val="28"/>
          <w:rtl w:val="true"/>
          <w:lang w:bidi="fa-IR"/>
        </w:rPr>
        <w:t>چرا علی رغم وجود آموزه‌های سیاسی شیعیان نسبت به حاکمیت غیر معصوم که برخوردهای فعال و تند روانه را می‌طلبد، بخش اعظم تاریخ شیعه‌ی امامیه به ویژه در دوره‌ی میانه در وضعیت منفعلانه سپری شده و به یک جریان کاملاً محافظه کار تغییر هویت داده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فرایندی رهبری جامعه‌ی امامیه را که حق امام معصوم بود، به سلطان جائر تفویض کرد؟ و بالاخره پاسخ گویی به پرسشهای فوق که اندیشه‌ی</w:t>
      </w:r>
    </w:p>
    <w:p>
      <w:pPr>
        <w:pStyle w:val="BookText"/>
        <w:rPr/>
      </w:pPr>
      <w:r>
        <w:rPr>
          <w:rFonts w:ascii="IRNazanin" w:hAnsi="IRNazanin" w:eastAsia="IRNazanin"/>
          <w:color w:val="111111"/>
          <w:sz w:val="28"/>
          <w:sz w:val="28"/>
          <w:szCs w:val="28"/>
          <w:rtl w:val="true"/>
          <w:lang w:bidi="fa-IR"/>
        </w:rPr>
        <w:t>سیاسی و رفتار سیاسی علما را تشکیل می‌دهد، چه نقشی در تحولات ایدئولوژیک در دوران میانه تاریخ اسلام ایفا کرد؟</w:t>
      </w:r>
    </w:p>
    <w:p>
      <w:pPr>
        <w:pStyle w:val="BookText"/>
        <w:rPr/>
      </w:pPr>
      <w:r>
        <w:rPr>
          <w:rFonts w:ascii="IRNazanin" w:hAnsi="IRNazanin" w:eastAsia="IRNazanin"/>
          <w:color w:val="111111"/>
          <w:sz w:val="28"/>
          <w:sz w:val="28"/>
          <w:szCs w:val="28"/>
          <w:rtl w:val="true"/>
          <w:lang w:bidi="fa-IR"/>
        </w:rPr>
        <w:t>همچنان که گفته شد، نخستین مایه‌های تفکر سیاسی شیعه حول محور امامت و جانشینی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هدف از آن استمرار دولت دینی بنیان گذاری شده به وسیله‌ی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احکام و قوانین الهی در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کاوش در متن روایات معلوم می‌شود که از زمان کناره‌گیری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جانشینی، دولت غصبی سایه‌اش را بر شریعت گسترانید و در این میان حدود شریعت رها شده یا دچار نقصان و کاستی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نظریه امامت الهیِ فراگیر به نفی هر شکلی از حکومت و سلطنت غیر معصوم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حسب ادبیات شیعه، شکل‌گیری، شروط و وظایفِ امامت، الگو و مثالی برای طرح یک دولت دینی بر اساس اهداف در نظر گرفته شده برای آن دولت بود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وجود و شکل‌گیری تشیع به منظور تشکیل دولتی انسانی بود که هدف نهایی آن تأسیس دولت دینی و الهی در زمین بود و چنین دولتی</w:t>
      </w:r>
    </w:p>
    <w:p>
      <w:pPr>
        <w:pStyle w:val="BookText"/>
        <w:rPr/>
      </w:pPr>
      <w:r>
        <w:rPr>
          <w:rFonts w:ascii="IRNazanin" w:hAnsi="IRNazanin" w:eastAsia="IRNazanin"/>
          <w:color w:val="111111"/>
          <w:sz w:val="28"/>
          <w:sz w:val="28"/>
          <w:szCs w:val="28"/>
          <w:rtl w:val="true"/>
          <w:lang w:bidi="fa-IR"/>
        </w:rPr>
        <w:t>بنابر اعتقاد شیعیان تنها به ظهور امام دوازدهم شیعیان تحقق پیدا خواهد کرد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دهه‌های غیبت، علمای امامیه با نامشروع دانستن هر نوع حکومت غیر معصوم سعی کردند مردم را در انتظار فرج جدی و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تلاشها انتظار و به انتظار ماندن یکی از اعتقادات دینی شیعیان شد که دارای ثواب و بهره‌ی معنوی بود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کوشیدند تا با تألیف آثاری روایی و کلامی دربارة غیبت و فلسفه‌ی آن، حضور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باطن ثابت کنند؛ زیرا اعتقاد به وجود امام غایب نه تنها امامیه را آماج حملات دیگر فرق مسلمان نظیر باطنیه، زیدیه و معتزله و اشاعره قرار داد، بلکه عامه امامیه نیز در موضوع غیبت اتفاق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عامه امامیه با توجه به تاریخ تولد امام و طول دوره غیبت صغرا،سال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درگذشت امام در سن هفتاد و دو سالگی می‌دانستند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ندیم، ابوسهل نوبختی نیز غیبت امام را طولانی‌تر از دوره زندگی یک انسان عادی نمی‌دانست و به همین دلیل به رحلت امام و جانشینی</w:t>
      </w:r>
    </w:p>
    <w:p>
      <w:pPr>
        <w:pStyle w:val="BookText"/>
        <w:rPr/>
      </w:pPr>
      <w:r>
        <w:rPr>
          <w:rFonts w:ascii="IRNazanin" w:hAnsi="IRNazanin" w:eastAsia="IRNazanin"/>
          <w:color w:val="111111"/>
          <w:sz w:val="28"/>
          <w:sz w:val="28"/>
          <w:szCs w:val="28"/>
          <w:rtl w:val="true"/>
          <w:lang w:bidi="fa-IR"/>
        </w:rPr>
        <w:t>پسرش معتقد بود تا هنگامی که خداوند آن حضرت را برای برپایی حکومت عدل جهانی زنده گرداند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و روایات منقول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وجود دو غیبت برای امام دوازدهم و ظهور او پس از دومین غیبت، رهبران فکری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زود هنگام امام را پس ازغیبت کبرا انتظار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ارائه هر گونه نظریه درباره نظام سیاسی در عصر غیبت یا شرکت در فعالیت‌های انقلابی دیگر گروه‌های شیعه چون اسماعیلیه و زیدیه خودداری می‌ورزیدند؛ زیرا هرگونه قیامی را قبل از قیام قائم، دوازدهمین امام شیعیان مختوم به شکست تلقی می‌کردند و هر نوع نظام سیاسی را در عصر غیبت غصبی و نامشروع می‌دانستند؛ اما با طولانی شدن مدت غیبت امام و تحقق نیافتن حکومت آرمانی و نیاز مردم به تعاملات سیاسی از یک سو و مسئولیت علما و اعتقاد آنان به تفویض برخی اختیارات از سوی امام به فقها</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عنصر اجتهاد از سوی دیگر، مکتب تحولگرای</w:t>
      </w:r>
    </w:p>
    <w:p>
      <w:pPr>
        <w:pStyle w:val="BookText"/>
        <w:rPr/>
      </w:pPr>
      <w:r>
        <w:rPr>
          <w:rFonts w:ascii="IRNazanin" w:hAnsi="IRNazanin" w:eastAsia="IRNazanin"/>
          <w:color w:val="111111"/>
          <w:sz w:val="28"/>
          <w:sz w:val="28"/>
          <w:szCs w:val="28"/>
          <w:rtl w:val="true"/>
          <w:lang w:bidi="fa-IR"/>
        </w:rPr>
        <w:t>شیعه را به مطابقت معرفت دینی با نیازهای سیاسی، اجتماعی و اقتصادی امامیه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هنوز به فقه عمومی، مسائل سیاسی و حقوق اساسی توجه نشده بود؛ زیرا نه اوضاع سیاسی مهیای طرح این گونه مباحث بود و نه ذهنیت فقها آمادگی حل و فصل آن را داشت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این مقطع زمانی علما جز حکومت جهانی مهدی موعود حکومت مشروع دیگری که توانایی اجرای احکام و قوانین الهی را داشته باشد،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شیخ طوسی به خوبی نشان‌دهنده‌ی نگرش علما به حکومت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الغیبه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چنین وضعیتی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حاکمان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عادلانه محال است و تلاش برای دست یابی به آن بی‌ثمر است و اینکه امام در غیبت باشد یا ظهور بستگی به امام دارد؛ زیرا او از هر کسی به امکان تحقق این آرزوی بزرگ –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مادام که او غایب است، طرح تفکر دولت عادلانه بیهوده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استنباطی فقها را بر آن داشت که تمام سعی و تلاش خویش را در دفاع از آموزه‌های تشیع در برابر دیگر فرق و ادیان و حفظ جامعه امامیه از پراکندگی و تشت آرا به کار گیرند و بکوشند تا قوانین و حدود شریعت را در حد امکان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متکلمان امامیه بیشتر در نقش رهبران دینی و مذهبی ایفای مسئولیت می‌کردند و کمتر به جنبه‌های سیاسیِ محدوده اختیارات خود می‌پرداختند و تنها از باب ضرورت وجود حکومت و نیاز جامعه‌ی مؤمنان به تعامل با حکومتهای جائر، بحث همکاری با سلطان جائر را در چهارچوب شرایط وقوانین خاصی مطرح نمودند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سلطان جائر ما را به این واقعیت رهنمون می‌سازد که در دوران غیبت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امکان اجرای احکام و حدود برای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تقیه یا عدم وجود شرایط فراهم نیست، به سلطان وقت واگذار شده است و این امر ناشی از نحوه‌ی نگرش علما به حکومت و ضرورت وجود حاکم در هر عصری است تا از بروز هرج و</w:t>
      </w:r>
    </w:p>
    <w:p>
      <w:pPr>
        <w:pStyle w:val="BookText"/>
        <w:rPr/>
      </w:pPr>
      <w:r>
        <w:rPr>
          <w:rFonts w:ascii="IRNazanin" w:hAnsi="IRNazanin" w:eastAsia="IRNazanin"/>
          <w:color w:val="111111"/>
          <w:sz w:val="28"/>
          <w:sz w:val="28"/>
          <w:szCs w:val="28"/>
          <w:rtl w:val="true"/>
          <w:lang w:bidi="fa-IR"/>
        </w:rPr>
        <w:t>مرج در جامعه و تعدی به حقوق جلوگیری شود و قانون شکنان و ستمگران و گناهکاران مجازات و تأدیب و امور جامعه اصلاح و مردم به خیر و نیکی بگرایند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برجسته‌ترین فقیه آغاز عصر اجتهاد، ضرورت دولت را هم از نظر شرعی و هم عقلی در عصر غیبت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استدلال می‌کند که حتی اگر شرع هم نباشد عقل به وجوب حکومت حکم می‌کند و در واقع عقلی بودن وجوب حکومت بر شرع مقدم است و شرع نیز بر آن صحه گذاشته است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العمل مع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بودن رئیس و فرمانروا در میان مردم تأکید دارد و علت آن را نیاز مردم به کسی می‌داند که آنان را تکلیف به واجب نماید و از انجام دادن فعل قبیح باز دارد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با واقع بینی به این امراذعان دارد و حتی قصاص و اقامه</w:t>
      </w:r>
      <w:bookmarkStart w:id="219" w:name="pg4760_44228"/>
    </w:p>
    <w:p>
      <w:pPr>
        <w:pStyle w:val="BookText"/>
        <w:rPr/>
      </w:pPr>
      <w:bookmarkEnd w:id="219"/>
      <w:r>
        <w:rPr>
          <w:rFonts w:ascii="IRNazanin" w:hAnsi="IRNazanin" w:eastAsia="IRNazanin"/>
          <w:color w:val="111111"/>
          <w:sz w:val="28"/>
          <w:sz w:val="28"/>
          <w:szCs w:val="28"/>
          <w:rtl w:val="true"/>
          <w:lang w:bidi="fa-IR"/>
        </w:rPr>
        <w:t>حدود را در زمان غیبت و ممکن نبودن اجرای آن به وسیله‌ی فقها، بر عهده سلطان وقت گذاشته و از باب جلوگیری از ایجاد هرج و مرج در جامعه، حتی اجرای حد قصاص را برای مؤمنان صاحب حق جایز ندانسته و اقامه آن را به سلطان واگذار کرده است</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717459_2035185390"/>
      <w:bookmarkStart w:id="221" w:name="_Toc82"/>
      <w:bookmarkEnd w:id="220"/>
      <w:r>
        <w:rPr>
          <w:rtl w:val="true"/>
        </w:rPr>
        <w:t>همکاری با سلطان جائر، از تحریم تا جواز</w:t>
      </w:r>
      <w:bookmarkEnd w:id="221"/>
    </w:p>
    <w:p>
      <w:pPr>
        <w:pStyle w:val="BookText"/>
        <w:rPr/>
      </w:pPr>
      <w:r>
        <w:rPr>
          <w:rFonts w:ascii="IRNazanin" w:hAnsi="IRNazanin" w:eastAsia="IRNazanin"/>
          <w:color w:val="111111"/>
          <w:sz w:val="28"/>
          <w:sz w:val="28"/>
          <w:szCs w:val="28"/>
          <w:rtl w:val="true"/>
          <w:lang w:bidi="fa-IR"/>
        </w:rPr>
        <w:t>در دوران حضور امام معصوم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علی رغم جوّ ارعاب و اختناق ناشی از حاکمیت جور، هرگونه تصمیم‌گیری در زمینه‌ی تعاملات سیاسی و نحوه‌ی همکاری با سلاطین جائر منوط به اذن امام بود، به همین دلیل جامعه‌ی امامیه نسبت به روابط سیاسی با حکومت دغدغه‌ای نداشت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عصر غیبت کبرا و جوّ تقیه و انتظار، نگرانیها و شبهات بسیاری درباره‌ی سرنوشت احکام حکومتی و وظایف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چگونگی برقراری ارتباط با حاکمان جور، شیعیان امامیه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تألیفهای بسیار اندیشمندان، فقها و متکلمان شیعه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تردیدها و</w:t>
      </w:r>
    </w:p>
    <w:p>
      <w:pPr>
        <w:pStyle w:val="BookText"/>
        <w:rPr/>
      </w:pPr>
      <w:r>
        <w:rPr>
          <w:rFonts w:ascii="IRNazanin" w:hAnsi="IRNazanin" w:eastAsia="IRNazanin"/>
          <w:color w:val="111111"/>
          <w:sz w:val="28"/>
          <w:sz w:val="28"/>
          <w:szCs w:val="28"/>
          <w:rtl w:val="true"/>
          <w:lang w:bidi="fa-IR"/>
        </w:rPr>
        <w:t>سردرگمی‌های شیعیان این عصر است</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 و تشکلات مخالفان همچون زیدیه، اسماعیلیان و کیسانیه و نیز معتزله تشدید کننده‌ی این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 برخی از شیعیان بنابر تصدیق شیخ صدوق</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نشان‌دهنده‌ی تزلزل و وخامت اوضاع عقیدتی شیعیان آن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انتقادات در این دوران آن بود که می‌پرسیدند، وظیفه امام در جامعه اجرای احکام و حدود و جهاد با دشمنان و حفظ و نگهداری دین است و حال که امام در غیبت به سر می‌برد و وجود و عدمش مساوی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دوم بر این عقیده‌ی امامیه وارد می‌شد که حفظ مصلحت عمومی، بدون وجوب نصب و ظهور امام از سوی خداوند امکان‌پذیر نیست و از سوی دیگر پنهان بودن امام منصوب از جانب خداوند را تا وقت نامعلوم به خواست و</w:t>
      </w:r>
    </w:p>
    <w:p>
      <w:pPr>
        <w:pStyle w:val="BookText"/>
        <w:rPr/>
      </w:pPr>
      <w:r>
        <w:rPr>
          <w:rFonts w:ascii="IRNazanin" w:hAnsi="IRNazanin" w:eastAsia="IRNazanin"/>
          <w:color w:val="111111"/>
          <w:sz w:val="28"/>
          <w:sz w:val="28"/>
          <w:szCs w:val="28"/>
          <w:rtl w:val="true"/>
          <w:lang w:bidi="fa-IR"/>
        </w:rPr>
        <w:t>اجازه خداوند منتسب می‌کنند، حال آنکه میان این دو نظریه تناقض آشکار وجود دارد که علمای امامیه در کتاب‌های کلامی خویش بدان پاسخ گفته‌اند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اساسی مطرح شده در این مبحث تبیین چگونگی سیر تحول</w:t>
      </w:r>
    </w:p>
    <w:p>
      <w:pPr>
        <w:pStyle w:val="BookText"/>
        <w:rPr/>
      </w:pPr>
      <w:r>
        <w:rPr>
          <w:rFonts w:ascii="IRNazanin" w:hAnsi="IRNazanin" w:eastAsia="IRNazanin"/>
          <w:color w:val="111111"/>
          <w:sz w:val="28"/>
          <w:sz w:val="28"/>
          <w:szCs w:val="28"/>
          <w:rtl w:val="true"/>
          <w:lang w:bidi="fa-IR"/>
        </w:rPr>
        <w:t>نظریههای علمای امامیه از جایز نبودن همکاری با سلطان جائر به جواز و حتی گاه وجوب</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نیابت عام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امور مسلمانان را حقی می‌دانستندکه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آنان تفویض کرده است اما از آنجا که عملاً حکومت در اختیار حاکمان جور بوده و ولایت فقها بر امور ناممکن بود، آنان در حد امکان و برای اجرای احکام و حدود به پذیرش مناصب حکومتی از سوی جائران مبادرت ورزیده و این منصب را در حقیقت از سوی امام حق، یعنی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تلقی می‌کردند؛ زیرا حکومت در اصل حق مشروع امام غایب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 حکومت جائر ظاهری و غیر مشروع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شخصیتی که به طور جدی و گسترده به همکاری با سلطان جائر پرداخت، سید مرتضی بود و سپس شیخ طوسی و ابن ادریس حلی</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زمینه‌های ایدئولوژی و زبانی، زمینه‌های محیطی و سیاسی و اجتماعی شیعیان نیز باعث روی آوردن علما به توجیه همکاری با سلاطین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دولت آل بویه تعریفی جدید از فقه ارائه کرد و فرصتی برای</w:t>
      </w:r>
    </w:p>
    <w:p>
      <w:pPr>
        <w:pStyle w:val="BookText"/>
        <w:rPr/>
      </w:pPr>
      <w:r>
        <w:rPr>
          <w:rFonts w:ascii="IRNazanin" w:hAnsi="IRNazanin" w:eastAsia="IRNazanin"/>
          <w:color w:val="111111"/>
          <w:sz w:val="28"/>
          <w:sz w:val="28"/>
          <w:szCs w:val="28"/>
          <w:rtl w:val="true"/>
          <w:lang w:bidi="fa-IR"/>
        </w:rPr>
        <w:t>ولایت یافتن برخی از عادلان در زیر سایه‌ی حکومتِ موجود به وجود آورد؛ دولتی که اگر چه از نظر فقهی شرعی نبود؛ ولی علیه شیعه مرتکب ظلم و ستم نمی‌شد و حتی فرصتی را برای تحقق برخی اهداف شرعی ایجاد کرد که بدون وجود این دولت ممکن نبود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متکلمانی چون شیخ طوسی غیبت امام را نتیجه‌ی حملات ضد شیعی می‌دانند که حیات شخص امام را مورد تهدید قرار داده است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و دگرگونی آرای فقهای شیعه از دوری گزیدن از سلطنت به پذیرش مناصب حکومتی و همکاری با آنان در واقع نوعی نیاز به رابطه‌ی بین شیعه و دولت شیعه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قبل از آنکه درگیر مشروعیت بخشیدن به اقتدار حکومت باشند سعی کردند تماس و ارتباط میان شیعیان و حکومت را موجه کنند و مشارکت آنان را به درجه‌ای در امور عامه اجازه دهند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دولت آل بویه در بازگرداندن حکومت حقه‌ی امام غایب به او در صورت ظهورش، چشم انداز متفاوتی پیش روی امامیه نهاد؛ آنان از یک سو بیعت خویش را با امام غایب حفظ می‌کردند و از سوی دیگر با قبول مسئولیتهایی در اداره حکومت آنان، مقاصد و هدفهای خاص خود را دنبال می‌کردند، حال آنکه مخالفت و همکاری نکردن با دولت آل بویه، نه تنها امکان تحقق بخشی از اهداف و احکام فقهی و شرعی را از آنان سلب می‌کرد؛ بلکه عملاً دستاوردی جز فشار و اختناقی مضاعف،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راه دوم را برگزیدند و با حفظ این اعتقاد که همه حکومتها در زمان غیبت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غاصب‌اند، به اتخاذ چهارچوب و قوانین خاصی برای نحوه‌ی همکاری با سلاطین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شیخ طوسی در کتاب الغیبه به خوبی نشان‌دهنده‌ی دیدگاه علمای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پایی حکومت عادلانه و تلاش برای دست‌یابی به آن بی‌ثمر خواهد بود و اینکه امام غایب باشد یا ظهور کند بستگی به خودش دارد، زیرا او از هر کسی به امکان و زمان تحقق این آرزوی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222" w:name="pg4760_44233"/>
    </w:p>
    <w:p>
      <w:pPr>
        <w:pStyle w:val="Heading4"/>
        <w:numPr>
          <w:ilvl w:val="3"/>
          <w:numId w:val="1"/>
        </w:numPr>
        <w:rPr/>
      </w:pPr>
      <w:bookmarkStart w:id="223" w:name="__RefHeading___Toc1717461_2035185390"/>
      <w:bookmarkStart w:id="224" w:name="_Toc83"/>
      <w:bookmarkEnd w:id="222"/>
      <w:bookmarkEnd w:id="223"/>
      <w:r>
        <w:rPr>
          <w:rtl w:val="true"/>
        </w:rPr>
        <w:t>نتیجه</w:t>
      </w:r>
      <w:bookmarkEnd w:id="224"/>
    </w:p>
    <w:p>
      <w:pPr>
        <w:pStyle w:val="BookText"/>
        <w:rPr/>
      </w:pPr>
      <w:r>
        <w:rPr>
          <w:rFonts w:ascii="IRNazanin" w:hAnsi="IRNazanin" w:eastAsia="IRNazanin"/>
          <w:color w:val="111111"/>
          <w:sz w:val="28"/>
          <w:sz w:val="28"/>
          <w:szCs w:val="28"/>
          <w:rtl w:val="true"/>
          <w:lang w:bidi="fa-IR"/>
        </w:rPr>
        <w:t>غیبت امام به معنای محال بودن شرایط حضور است و اگر غیر این بود، او خود هر آینه ظهور می‌کرد و خود به این امر اقدام می‌نمود</w:t>
      </w:r>
      <w:r>
        <w:rPr>
          <w:rFonts w:eastAsia="IRNazanin" w:cs="IRNazanin"/>
          <w:color w:val="111111"/>
          <w:sz w:val="28"/>
          <w:szCs w:val="28"/>
          <w:rtl w:val="true"/>
          <w:lang w:bidi="fa-IR"/>
        </w:rPr>
        <w:t>.</w:t>
      </w:r>
    </w:p>
    <w:p>
      <w:pPr>
        <w:pStyle w:val="Heading4"/>
        <w:numPr>
          <w:ilvl w:val="3"/>
          <w:numId w:val="1"/>
        </w:numPr>
        <w:rPr/>
      </w:pPr>
      <w:bookmarkStart w:id="225" w:name="__RefHeading___Toc1717463_2035185390"/>
      <w:bookmarkStart w:id="226" w:name="_Toc84"/>
      <w:bookmarkEnd w:id="225"/>
      <w:r>
        <w:rPr>
          <w:rtl w:val="true"/>
        </w:rPr>
        <w:t>سؤال</w:t>
      </w:r>
      <w:bookmarkEnd w:id="226"/>
    </w:p>
    <w:p>
      <w:pPr>
        <w:pStyle w:val="BookText"/>
        <w:rPr/>
      </w:pPr>
      <w:r>
        <w:rPr>
          <w:rFonts w:ascii="IRNazanin" w:hAnsi="IRNazanin" w:eastAsia="IRNazanin"/>
          <w:color w:val="111111"/>
          <w:sz w:val="28"/>
          <w:sz w:val="28"/>
          <w:szCs w:val="28"/>
          <w:rtl w:val="true"/>
          <w:lang w:bidi="fa-IR"/>
        </w:rPr>
        <w:t>در فقدان حکومت عادلانه‌ی معصوم و وجود حکومتهای جائر از یک سو و نیاز مردم به تعامل با این حکومتها از سوی دیگر چه قوانینی بر رابطه‌ی میان جامعه‌ی مؤمنان و حاکمان جائر حکمفرماست و منشأ مشروعیت</w:t>
      </w:r>
    </w:p>
    <w:p>
      <w:pPr>
        <w:pStyle w:val="BookText"/>
        <w:rPr/>
      </w:pPr>
      <w:r>
        <w:rPr>
          <w:rFonts w:ascii="IRNazanin" w:hAnsi="IRNazanin" w:eastAsia="IRNazanin"/>
          <w:color w:val="111111"/>
          <w:sz w:val="28"/>
          <w:sz w:val="28"/>
          <w:szCs w:val="28"/>
          <w:rtl w:val="true"/>
          <w:lang w:bidi="fa-IR"/>
        </w:rPr>
        <w:t>این قوانین کجاست؟</w:t>
      </w:r>
    </w:p>
    <w:p>
      <w:pPr>
        <w:pStyle w:val="BookText"/>
        <w:rPr/>
      </w:pPr>
      <w:r>
        <w:rPr>
          <w:rFonts w:ascii="IRNazanin" w:hAnsi="IRNazanin" w:eastAsia="IRNazanin"/>
          <w:color w:val="111111"/>
          <w:sz w:val="28"/>
          <w:sz w:val="28"/>
          <w:szCs w:val="28"/>
          <w:rtl w:val="true"/>
          <w:lang w:bidi="fa-IR"/>
        </w:rPr>
        <w:t>اگر چه بنابر عقیده‌ی توفیق السیف این احکام و قوانین مشروعیتی برای قدرت جائر به وجود نمی‌آورد؛ زیرا پیش از طرح چنین احکامی او خواه ناخواه بر امور مسلمانان احاطه پیدا کرده است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پاسخگویی به سؤالات فوق لازم است ابتدا آرا و نظریه های فقها را درباره‌ی نحوه‌ی همکاری با سلطان جائر مطرح کنیم و از تحلیل و تأمل در آنها پاسخ سؤالات مطروحه را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فقیهی که به بحث همکاری با سلاطین جائر به اختصار و بدون بیان چگونگی و شرایط آن، پرداخته است،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عالمان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المقنع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الی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علما را از وارد شدن در امور سلطنت و نزدیکی به سلاطین یا دریافت هدیه از آنان بر حذر داشته است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عصر غیبت، گوشه‌گیری و انزوا برای حفظ خود و دیگران را مادام که تسلط با ظالمان است، لازم دانسته است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صدوق اظهار می‌دارد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وصیت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کارهای مربوط به سلطان برحذر باش و در آن وارد نشو؛ اگر وارد شدی با همه به نیکی رفتار کن وحاجت کسی را رد نکن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227" w:name="pg4760_44235"/>
    </w:p>
    <w:p>
      <w:pPr>
        <w:pStyle w:val="BookText"/>
        <w:rPr/>
      </w:pPr>
      <w:bookmarkEnd w:id="227"/>
      <w:r>
        <w:rPr>
          <w:rFonts w:ascii="IRNazanin" w:hAnsi="IRNazanin" w:eastAsia="IRNazanin"/>
          <w:color w:val="111111"/>
          <w:sz w:val="28"/>
          <w:sz w:val="28"/>
          <w:szCs w:val="28"/>
          <w:rtl w:val="true"/>
          <w:lang w:bidi="fa-IR"/>
        </w:rPr>
        <w:t>و نیز در المقنع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عبداالله در مورد مردی مسلمان و دوستدار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در دیوان سلاطین کار می‌کرد و زیر لوای آنان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اساس نیّتش مبعوث می‌کند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از نخستین فقهایی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الامر بالمعروف و النهی عن المنکر و اقامه الحدود و الجهاد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چهارچوب کلی نحوه‌ی ارتباط با سلطان جائررا مطرح کرده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717465_2035185390"/>
      <w:bookmarkStart w:id="229" w:name="_Toc85"/>
      <w:bookmarkEnd w:id="228"/>
      <w:r>
        <w:rPr>
          <w:rtl w:val="true"/>
        </w:rPr>
        <w:t>اصول ارتباط با سلطان جائر</w:t>
      </w:r>
      <w:bookmarkEnd w:id="2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مجاز به پذیرش مسئولیتی از سوی حکام جور نیست مگر آن که در راه یاری مؤمنان شیعه و نگهداری آنان از حوادث ناگوار، تمامی تلاش خود را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تمام اموال نقدی و غیر نقدی، که از این راه کسب کرده خمس پرداخت کند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عبارات چنین برمی‌آید که حضور شیعیان در دستگاه حکومت به منظور حمایت از شیعیان و کاستن از فشارهای حکومتی بوده و تا حدودی اطلاع یابی و کمک رسانی به</w:t>
      </w:r>
    </w:p>
    <w:p>
      <w:pPr>
        <w:pStyle w:val="BookText"/>
        <w:rPr/>
      </w:pPr>
      <w:r>
        <w:rPr>
          <w:rFonts w:ascii="IRNazanin" w:hAnsi="IRNazanin" w:eastAsia="IRNazanin"/>
          <w:color w:val="111111"/>
          <w:sz w:val="28"/>
          <w:sz w:val="28"/>
          <w:szCs w:val="28"/>
          <w:rtl w:val="true"/>
          <w:lang w:bidi="fa-IR"/>
        </w:rPr>
        <w:t>مظلومان شیعی بوده که مورد تأیید امامان شیعه و فقها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شیعیانی که مسئولیت و منصبی را می‌پذیرند، بایستی خود را والی و مسئول از سوی امام عصر بدانند نه حکومتهای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موجب می‌شود شخص مسئول خود را در برابر امام غایب مسئول دانسته، ضمن غیر مشروع دانستن نهاد سیاسی جور، رضایت امام را ملاک و معیار عملکرد خود قرار دهد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پذیرش مسئولیتهای اجتماعی در حکومت جور، بایستی شخص لیاقت و صلاحیت داشته باشد، در غیر این‌صورت همکاری او به اذن عام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احراز مسئولیت و مدیریت، یا به سبب دانش اندک نسبت به احکام شرعی یا قلّت تدبیر، صلاحیت ندارند، در صورت پذیرش، گناهکارند؛ زیرا از سوی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حق واگذاری مناصب اجتماعی</w:t>
      </w:r>
    </w:p>
    <w:p>
      <w:pPr>
        <w:pStyle w:val="BookText"/>
        <w:rPr/>
      </w:pPr>
      <w:r>
        <w:rPr>
          <w:rFonts w:ascii="IRNazanin" w:hAnsi="IRNazanin" w:eastAsia="IRNazanin"/>
          <w:color w:val="111111"/>
          <w:sz w:val="28"/>
          <w:sz w:val="28"/>
          <w:szCs w:val="28"/>
          <w:rtl w:val="true"/>
          <w:lang w:bidi="fa-IR"/>
        </w:rPr>
        <w:t>و حکومتی وابسته به اذن اوست، مأذون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خطایی که در طول احراز مسئولیت مرتکب شوند، مورد مؤاخذه‌ی خداوند قرار خواهد گرفت مگر آن که مشمول آمرزش الهی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فرد واجد شرایط را حمایت کنند تا آن هنگام که پا را از قوانین شیعه فراتر نگذارد و برای جلب رضایت حکومت مرتکب</w:t>
      </w:r>
    </w:p>
    <w:p>
      <w:pPr>
        <w:pStyle w:val="BookText"/>
        <w:rPr/>
      </w:pPr>
      <w:r>
        <w:rPr>
          <w:rFonts w:ascii="IRNazanin" w:hAnsi="IRNazanin" w:eastAsia="IRNazanin"/>
          <w:color w:val="111111"/>
          <w:sz w:val="28"/>
          <w:sz w:val="28"/>
          <w:szCs w:val="28"/>
          <w:rtl w:val="true"/>
          <w:lang w:bidi="fa-IR"/>
        </w:rPr>
        <w:t>معصیت نشود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مجریان و کارگزاران شیعی که از سوی حکومت منصب قضاوت یافته‌اند، بایستی مطابق معیارهای قوانین شیعی عمل کنند مگر در حال اضطرار و تقیه، آن هم در صورتی که قانون خلاف، منجر به ریختن خون یا حق کسی نشود؛ تقیه تنها در این مورد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حق ندارد در ابتدا به وضع قوانین خلاف مبادرت ورزد یا حتی در حال اضطرار بر اساس قوانین نادرست خونریزی کند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 این موضوع که وظایف مربوط به امامت در عصر غیبت قابل اجراست یا خیر مورد جدل و اختلاف بود؛ برخی وجود امام راشرطِ وجوب</w:t>
      </w:r>
    </w:p>
    <w:p>
      <w:pPr>
        <w:pStyle w:val="BookText"/>
        <w:rPr/>
      </w:pPr>
      <w:r>
        <w:rPr>
          <w:rFonts w:ascii="IRNazanin" w:hAnsi="IRNazanin" w:eastAsia="IRNazanin"/>
          <w:color w:val="111111"/>
          <w:sz w:val="28"/>
          <w:sz w:val="28"/>
          <w:szCs w:val="28"/>
          <w:rtl w:val="true"/>
          <w:lang w:bidi="fa-IR"/>
        </w:rPr>
        <w:t>برخی از احکام می‌دانند؛ به ویژه احکامی که از لواحق حکومت به شمار می‌روند، مانند اقامه حدود، برگزاری نماز جمعه و</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مفید در این باره مطرح کرده، بیانگر این واقعیت است که وی به اعتبار اینکه امام در هر عصری وجود دارد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را موجب تعطیل شدن احکام مربوط به وظایف امامت مانند قضاوت، اجرای حدود و برپایی نماز جمعه در عصر غیبت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آراء موجب شد تا برخی از بزرگان شیعه به حکومت برسند همچنان که گفته شد این تحول به دلیل نیازرابطه‌ی بین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از یک سو پس از سالیان طولانی ستم و خفقان خلفای عباسی بر ضد شیعه، دولتی صاحب شوکت به قدرت رسید و از سوی دیگر این دولت خارج از قوانین و چهارچوب شرعی بود نه بر اساس امامت معصوم، و بر اساس تفویض خاص از سوی امام غایب بنا نشده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میان مشارکت در تقوا و مشارکت در گناه تمایز قائل شد تا جایی که همکاری با ظالم را در یاری رساندن به مؤمنان جایز و در برخی موارد واجب شمرد؛ ولی یاری رساندن به او در ظلمش را حرام می‌داند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230" w:name="pg4760_44239"/>
    </w:p>
    <w:p>
      <w:pPr>
        <w:pStyle w:val="Heading4"/>
        <w:numPr>
          <w:ilvl w:val="3"/>
          <w:numId w:val="1"/>
        </w:numPr>
        <w:rPr/>
      </w:pPr>
      <w:bookmarkStart w:id="231" w:name="__RefHeading___Toc1717467_2035185390"/>
      <w:bookmarkStart w:id="232" w:name="_Toc86"/>
      <w:bookmarkEnd w:id="230"/>
      <w:bookmarkEnd w:id="231"/>
      <w:r>
        <w:rPr>
          <w:rtl w:val="true"/>
        </w:rPr>
        <w:t>چگونگی همکاری با سلطان جائر</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همکاری عمومی با حکومت جائر مانندخرید و فروش، پرداخت زکات، رجوع به قاضی، گرفتن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در سلطنت حکومت جائر و مسائلی که مربوط به سلطه و ولایت است مانند ولایت قاضی، منصب حکومت ایالات و سرزمین‌ها و امور مربوط به آنها یا هدایا و عطایا و اموال عامه‌ای که سلطان اعطا می‌کند؛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عطایا نه به اعتبار آن که شخص، مستحق دریافت آن است، بلکه به اعتبار مضمون سیاسی‌ای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ارتباط نوع اول، روایات فراوانی مبنی بر مباح بودن همکاریهای عمومی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این همکاری توأم با رضایت و علاقه به ستم نباشد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تأکید بر اینکه دادرسی و قضاوت جور، جز در حال اضطرار، حرام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محل اختلاف است؛ برخی روایات بر حرمت همکاری با</w:t>
      </w:r>
    </w:p>
    <w:p>
      <w:pPr>
        <w:pStyle w:val="BookText"/>
        <w:rPr/>
      </w:pPr>
      <w:r>
        <w:rPr>
          <w:rFonts w:ascii="IRNazanin" w:hAnsi="IRNazanin" w:eastAsia="IRNazanin"/>
          <w:color w:val="111111"/>
          <w:sz w:val="28"/>
          <w:sz w:val="28"/>
          <w:szCs w:val="28"/>
          <w:rtl w:val="true"/>
          <w:lang w:bidi="fa-IR"/>
        </w:rPr>
        <w:t>سلطان تأکید کرده‌اند؛ زیرا همکاری در این زمینه، به حکومت جائر نوعی مشروعیت می‌دهد و نیز نوعی رضایت به همکاری با سلاطین جور خواهد بود که با این عقیده که سلطنت مخصوص معصوم یا نایب اوست،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 روایاتی وجود دارد که با شروطی و به منظور برآوردن اهدافی آن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فقهای رسمی که درارتباط با حکومت بودند، مورد آخر را پذیرفتند و این نظر بر قاعده‌ی تمایز میان شرعی بودن ولایت فقیه و جواز همکاری با سلطان متغلب استوار است</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همکاری با سلطان جائر با دو چالش جدی زیر مواجه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میان ضرورت وجود دولت و نظریه وجوب امامت و حاکمیت معصوم در رأس نظام سیاسی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حرمت یاری رساندن به جائر و وجوب امر به معروف و اقامه‌ی عدل تا جایی که ممکن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امامیه در صدد ارائه‌ی راه حلی برای این دو نظریه‌ی متعارض برآمدند</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شیخ مفید ضرورت وجود دولت را هم از نظر شرعی</w:t>
      </w:r>
      <w:bookmarkStart w:id="233" w:name="pg4760_44241"/>
    </w:p>
    <w:p>
      <w:pPr>
        <w:pStyle w:val="BookText"/>
        <w:rPr/>
      </w:pPr>
      <w:bookmarkEnd w:id="233"/>
      <w:r>
        <w:rPr>
          <w:rFonts w:ascii="IRNazanin" w:hAnsi="IRNazanin" w:eastAsia="IRNazanin"/>
          <w:color w:val="111111"/>
          <w:sz w:val="28"/>
          <w:sz w:val="28"/>
          <w:szCs w:val="28"/>
          <w:rtl w:val="true"/>
          <w:lang w:bidi="fa-IR"/>
        </w:rPr>
        <w:t>و هم از نظر عقلی مطرح کرد، بنا به گفته‌ی او ضرورت عقلی آن بر شرع مقدم است، یعنی اگر شرع هم نباشد عقل به ضرورت وجود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جواز همکاری با جائر را به اقامه امر به معروف استناد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پایی امر به معروف جواز همکاری با جائر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باید بین صاحب سلطه که متصف به صفات مطلوب شریعت است و آنچه اکنون فعالیت دارد، تمایز قائل شد؛ با تأکید بر این اصل که سلطه و سلطنت مجرد و مستقل از شریعت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717469_2035185390"/>
      <w:bookmarkStart w:id="235" w:name="_Toc87"/>
      <w:bookmarkEnd w:id="234"/>
      <w:r>
        <w:rPr>
          <w:rtl w:val="true"/>
        </w:rPr>
        <w:t>راه حل شیخ طوسی برای رفع چالش‌ها</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سلطنت برای تنظیم امور امت ضروری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سلطنت عادل ممکن نباشد همکاری با سلطان جائر در محدوده‌ی شریعت مقبول و معروف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همکاری با جائر به منظور اقامه‌ی عدل و منع ظلم، جایز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نیز در این زمینه چنین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همکاری با حاکم جائر و تصدی این امر به تقویت حکومت وی می‌انجامد و پذیرش منصب، گناهی است که شخص مرتکب می‌شود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حاکم ظالم امور دین را در اختیار می‌گیرد، به ناچار تمام کسانی که در محدوده‌ی حکومت او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رعایای او محسوب شده، می‌بایست او را تمجید و تکریم کرده، اوامرش را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پذیرفتن منصب از سوی او به وسیله‌ی کسی که توانایی چنین کاری را دارد، موجب انزوا گرفتن و فاصله گرفتن از سلطان می‌گردد در حالی‌که پیش از آن نیز به دلیل ترس و تقیه مجبور به احترام گزاردن به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عهده نگرفتن مناصب، او را به وضعیت مطلوب‌تری نسبت به نپذیرفتن سوق نمی‌دهد؛ اما با پذیرش منصب قادر خواهد بود امربه معروف و نهی از منکر کند و به هم کیشان خود منفعت رساند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سید مرتضی در حد فاصل جریانهای افراطی عقل محور معتزله و</w:t>
      </w:r>
    </w:p>
    <w:p>
      <w:pPr>
        <w:pStyle w:val="BookText"/>
        <w:rPr/>
      </w:pPr>
      <w:r>
        <w:rPr>
          <w:rFonts w:ascii="IRNazanin" w:hAnsi="IRNazanin" w:eastAsia="IRNazanin"/>
          <w:color w:val="111111"/>
          <w:sz w:val="28"/>
          <w:sz w:val="28"/>
          <w:szCs w:val="28"/>
          <w:rtl w:val="true"/>
          <w:lang w:bidi="fa-IR"/>
        </w:rPr>
        <w:t>نص مدار اشاعره و جوّ سیاسی جامعه که زمینه را برای تفکر عقلانی فراهم ساخته بود، موجب شد تا عناصر عقل گرایی را در تحلیل‌های فقهی و کلامی خود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 و نظریه های او به دلیل روابط حسنه با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الطائع، القادر و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مسئوولیتهایش در ارتباط با جامعه‌ی امامیه به واقع نزدیکتر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واگذاری منصب نقیب النقباء بغداد درسال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پس از درگذشت برادرش شریف رضی</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زعامت دینی امامیانِ بغداد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ایجاد تعادل میان واقعیتِ موجود و آرمانهای سیاسی فقهای شیعه را به او نمایاند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او در این زمینه سرانجام به تدوین رساله‌ای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تفکرات سیاسی فقهای پس از وی برگرفته و ملهم از آموزه‌های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تألیف رساله‌ی مذکور پس از مناقشه‌ای در مجلس ابی القاسم حسین معزی وزیر مشرف الدوله بویهی در</w:t>
      </w:r>
    </w:p>
    <w:p>
      <w:p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بر سر پذیرش ولایت از سوی سلطان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سید مرتضی پذیرش ولایت از سوی سلطان به عنوان یک واقعیت سیاسی بیرونی از نظر شرعی می‌بایست مبتنی بر نصوص اسلامی باشد، به همین دلیل با ارائه استدلالهای عقلانی سعی کرد تا میان نص و واقعیت سیاسی موجود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تفکیک میان دو نوع سلطان، سلطان عادل و سلطان جائر توجیه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ویژگیهایی که برای سلطان عادل مطرح می‌کند، پذیرش ولایت از سوی او را نه تنها عقلاً و شرعاً منع نکرده، بلکه واجب هم دانسته است؛ اما بحث اصلی وی دربارة حاکم متغلب است که از مباحث اصلی و مورد توجه فقه سیاسی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اشاره شد، از نظر عقلی جامعه ناچار به پذیرش حاکم است تا از گرویدن به هرج و مرج و فساد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حاکم ظالم نیز وجودش بهتر از فقدان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با این توصیف از حاکم ظالم، احکام مختلف پذیرش ولایت و همکاری با سلطان جائر را بررسی می‌کند و ضمن آنکه پذیرش ولایت را به چهار نوع واجب، قبیح، مباح و محظور تقسیم می‌کند، با استدلالهای قرآنی، روایی و عقلی سعی در توجیه همکاری با سلطان دارد، البته در صورتی که قادر به احقاق حق باشد، از مظلوم دفاع کند، نفی تغلب کند و</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متأثر از سلطنت مطلقه، هرگز نمی‌تواند استدلالهای عقلانی خود را</w:t>
      </w:r>
    </w:p>
    <w:p>
      <w:pPr>
        <w:pStyle w:val="BookText"/>
        <w:rPr/>
      </w:pPr>
      <w:r>
        <w:rPr>
          <w:rFonts w:ascii="IRNazanin" w:hAnsi="IRNazanin" w:eastAsia="IRNazanin"/>
          <w:color w:val="111111"/>
          <w:sz w:val="28"/>
          <w:sz w:val="28"/>
          <w:szCs w:val="28"/>
          <w:rtl w:val="true"/>
          <w:lang w:bidi="fa-IR"/>
        </w:rPr>
        <w:t>فراتر از این افق بکشاند و به همین دلیل در گفتمان سلطنت مطلقه چاره‌ای جز توجیه پذیرش همکاری با سلطان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آراء همزمان با حکومت شیعی آل بویه و سیاست پلورالیسم فرهنگی آنان،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بیتردید قبض و بسط دانش فقهی نمی‌توانست از سرشت قدرت حاکم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روش‌شناسی اسکینر زمینه‌های محیطی و نیز ایدئولوژیکی و زبانی رابطه‌ای مستقیم با تولید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اینکه فقه سیاسی شیعه در کدام سرزمین و با چه خصلتهای سرزمینی و در ارتباط با کدامین ساختار قدرت شکل گرفته و سیر تکاملی خویش را گذرانده، دارای اهمیتی فوق العاده است؛ زیرا رشد و گسترش دانش فقهی مرهون توجه ویژه قدرت حاکم در سرزمین مورد نظر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اگر ساختار قدرت، میانه‌ای با مذهب فقهی نداشته باشد، زوال و جایگزینی آن مذهب را در پی خواهد داشت؛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واگذاری ولایت امور قضایی از سوی هارون الرشید به ابوحنیفه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موجب</w:t>
      </w:r>
    </w:p>
    <w:p>
      <w:pPr>
        <w:pStyle w:val="BookText"/>
        <w:rPr/>
      </w:pPr>
      <w:r>
        <w:rPr>
          <w:rFonts w:ascii="IRNazanin" w:hAnsi="IRNazanin" w:eastAsia="IRNazanin"/>
          <w:color w:val="111111"/>
          <w:sz w:val="28"/>
          <w:sz w:val="28"/>
          <w:szCs w:val="28"/>
          <w:rtl w:val="true"/>
          <w:lang w:bidi="fa-IR"/>
        </w:rPr>
        <w:t>گسترش این مذهب در بغداد شد؛ اما هنگامی که خلیفه امر قضاوت را از حنفیه به شافعیه منتقل ساخت، این بار مذهب شافعی آن چنان گسترش یافت که اهل بغداد به فرقه‌های حنبلی و شافعی تقسیم شدند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معنا و تفسیر می‌شود که به توجیه اقتدار سلطنت مطلقه ختم شود؛ حقیقتی که ازضرورت تبیین واقعیتهای سیاسی و برقراری ارتباط میان نص و واقعیت حکومتهای متغلب شیعی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ارتباط به تدریج فقه سیاسی واقع گرای شیعه را به نگرشی انتقادی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متون سیاسی فقه اهل سنت با خصلت اندرزگونه‌اش از عنصر انتقادی تهی است و آینده آرمانی را بر مبنای استناد محض به گذشته و تعطیلی عقل بنا گذارد</w:t>
      </w:r>
      <w:r>
        <w:rPr>
          <w:rFonts w:eastAsia="IRNazanin" w:cs="IRNazanin"/>
          <w:color w:val="111111"/>
          <w:sz w:val="28"/>
          <w:szCs w:val="28"/>
          <w:rtl w:val="true"/>
          <w:lang w:bidi="fa-IR"/>
        </w:rPr>
        <w:t>.</w:t>
      </w:r>
      <w:bookmarkStart w:id="236" w:name="pg4760_44247"/>
    </w:p>
    <w:p>
      <w:pPr>
        <w:pStyle w:val="Heading3"/>
        <w:numPr>
          <w:ilvl w:val="2"/>
          <w:numId w:val="1"/>
        </w:numPr>
        <w:rPr/>
      </w:pPr>
      <w:bookmarkStart w:id="237" w:name="__RefHeading___Toc1717471_2035185390"/>
      <w:bookmarkStart w:id="238" w:name="_Toc88"/>
      <w:bookmarkEnd w:id="236"/>
      <w:bookmarkEnd w:id="237"/>
      <w:r>
        <w:rPr>
          <w:rtl w:val="true"/>
        </w:rPr>
        <w:t>فصل دوم</w:t>
      </w:r>
      <w:r>
        <w:rPr>
          <w:rtl w:val="true"/>
        </w:rPr>
        <w:t xml:space="preserve">: </w:t>
      </w:r>
      <w:r>
        <w:rPr>
          <w:rtl w:val="true"/>
        </w:rPr>
        <w:t>سیر تحول احکام حکومتی در عصر غیبت</w:t>
      </w:r>
      <w:bookmarkEnd w:id="2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1717473_2035185390"/>
      <w:bookmarkStart w:id="240" w:name="_Toc89"/>
      <w:bookmarkEnd w:id="239"/>
      <w:r>
        <w:rPr>
          <w:rtl w:val="true"/>
        </w:rPr>
        <w:t>اشاره</w:t>
      </w:r>
      <w:bookmarkStart w:id="241" w:name="pg4760_44249"/>
      <w:bookmarkEnd w:id="240"/>
    </w:p>
    <w:p>
      <w:pPr>
        <w:pStyle w:val="Heading4"/>
        <w:numPr>
          <w:ilvl w:val="3"/>
          <w:numId w:val="1"/>
        </w:numPr>
        <w:rPr/>
      </w:pPr>
      <w:bookmarkStart w:id="242" w:name="__RefHeading___Toc1717475_2035185390"/>
      <w:bookmarkStart w:id="243" w:name="_Toc90"/>
      <w:bookmarkEnd w:id="241"/>
      <w:bookmarkEnd w:id="242"/>
      <w:r>
        <w:rPr>
          <w:rtl w:val="true"/>
        </w:rPr>
        <w:t>امر به معروف و نهی از منکر</w:t>
      </w:r>
      <w:bookmarkEnd w:id="243"/>
    </w:p>
    <w:p>
      <w:pPr>
        <w:pStyle w:val="BookText"/>
        <w:rPr/>
      </w:pPr>
      <w:r>
        <w:rPr>
          <w:rFonts w:ascii="IRNazanin" w:hAnsi="IRNazanin" w:eastAsia="IRNazanin"/>
          <w:color w:val="111111"/>
          <w:sz w:val="28"/>
          <w:sz w:val="28"/>
          <w:szCs w:val="28"/>
          <w:rtl w:val="true"/>
          <w:lang w:bidi="fa-IR"/>
        </w:rPr>
        <w:t>در این فصل قصد داریم به بررسی چگونگی اجرای احکام حکومتی در عصر غیبت از دیدگاه علمای امامیه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فقها در این دوره به طور مستقل به سیاست و حکومت و مسائل آن نپرداخته‌اند، در خلال تفاسیری که از برخی از آیات قرآن، احادیث و مباحث فقهی گوناگون مطرح شده در این زمینه، می‌توان تا حدود زیادی به موضع‌گیریها و نظریه های آنان درباره این بخش از احکام دست یافت؛ احکامی مانند امر به معروف و نهی از منکر، اقامه حدود، قضا، نماز جمعه و</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و قابل توجه در این زمینه وجود تعارضات و تناقضات در فتاوای فقهای این دوره و مطابق نبودن آن با واقعیات جامعه آن روز است که بسیاری از ملزومات حکومت در عصر غیبت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علمای امامیه بر وجوب اجرای احکام حکومتی در عصر غیبت توافق دارند و بر این اساس این احکام در عصر غیبت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تعطیل بردار نیست و نمی‌توان</w:t>
      </w:r>
    </w:p>
    <w:p>
      <w:pPr>
        <w:pStyle w:val="BookText"/>
        <w:rPr/>
      </w:pPr>
      <w:r>
        <w:rPr>
          <w:rFonts w:ascii="IRNazanin" w:hAnsi="IRNazanin" w:eastAsia="IRNazanin"/>
          <w:color w:val="111111"/>
          <w:sz w:val="28"/>
          <w:sz w:val="28"/>
          <w:szCs w:val="28"/>
          <w:rtl w:val="true"/>
          <w:lang w:bidi="fa-IR"/>
        </w:rPr>
        <w:t>آن را به زمان ظهور امام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موکول کردن بخش مهمی از این احکام به اذن امام معصوم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مانند جایی که امر به معروف و نهی از منکر مستلزم جرح و قتل است یا اقامه حدودی که در حد قصاص است، با امر وجوب اجرای این احکام به دلیل عدم حضور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منافات دارد؛ مانند نظریه های شیخ مفید، شیخ طوسی، علامه 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امر به معروف و نهی از منکر یا اقامه حدود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دیگر از فقها برای حل این تعارض اجرای این دسته از احکام را به حکومت وقت و سلطان زمان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موجود در این نظریه ناگفته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اجرای بخش مهمی از احکام الهی را به حکومتی که نامشروع و به عبارتی سلطان جائر است، واگذار کرد؟ زیرا غصب حکومت معصوم خود بدترین منکرهاست و به سخن دیگر این نحوه برداشت از حکومت غیر معصوم عملاً جامعه دینی را در مقابل حکومت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یعنی نفی صلاحیت طبقه حاکم در اجرای این احکام و عمل به آن به وسیله‌ی مکلفان یا فقها، جامعه دچار هرج و مرج و آشوب خواهد شد و هر کس می‌تواند مدعی شود که برای دفع فلان منکر، دیگری را به قتل رسانده یا مورد ضرب و جرح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چگونه می‌توان این تناقضات را برطرف کرد؟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بخش مهمی از این تعارضات و ناهمگونی‌ها میان آرمان و</w:t>
      </w:r>
    </w:p>
    <w:p>
      <w:pPr>
        <w:pStyle w:val="BookText"/>
        <w:rPr/>
      </w:pPr>
      <w:r>
        <w:rPr>
          <w:rFonts w:ascii="IRNazanin" w:hAnsi="IRNazanin" w:eastAsia="IRNazanin"/>
          <w:color w:val="111111"/>
          <w:sz w:val="28"/>
          <w:sz w:val="28"/>
          <w:szCs w:val="28"/>
          <w:rtl w:val="true"/>
          <w:lang w:bidi="fa-IR"/>
        </w:rPr>
        <w:t xml:space="preserve">واقعیت، برخاسته از نگرش و استنباط فقهای این دوره نسبت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اجمالی این فتاوا در تبیین ملموستر قضیه کمک بسزایی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مفید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یَدْعوُنَ اِلَی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وجوب امر به معروف و نهی از منکر فتوا می‌دهد و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اهل ایمان امر به معروف و نهی از منکر بر حسب امکان و شرط صلاحیت واجب است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کشتن و زخمی کردن را منوط به اذن سلطان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برای تدبیر امور مردم منصوب شده و اگر این اذن وجود نداشت، شخص ناهی می‌بایست به انکار منکر با قلب و زبان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ضمن آنکه امر به معروف و نهی از منکر را فریضه‌ای واجب می‌داند، درباره شکل اجرای آن می‌نویسد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معروفی که با دست بود، به گونه‌ای که به تأدیب و ردع و جرح و قتل منجر شود، انجامش واجب نیست مگر به دستور سلطان وقت و هر گاه دستوری از این</w:t>
      </w:r>
    </w:p>
    <w:p>
      <w:pPr>
        <w:pStyle w:val="BookText"/>
        <w:rPr/>
      </w:pPr>
      <w:r>
        <w:rPr>
          <w:rFonts w:ascii="IRNazanin" w:hAnsi="IRNazanin" w:eastAsia="IRNazanin"/>
          <w:color w:val="111111"/>
          <w:sz w:val="28"/>
          <w:sz w:val="28"/>
          <w:szCs w:val="28"/>
          <w:rtl w:val="true"/>
          <w:lang w:bidi="fa-IR"/>
        </w:rPr>
        <w:t>جهت نباشد، انکار بر زبان ودل کند؛</w:t>
      </w:r>
    </w:p>
    <w:p>
      <w:pPr>
        <w:pStyle w:val="BookText"/>
        <w:rPr/>
      </w:pPr>
      <w:r>
        <w:rPr>
          <w:rFonts w:ascii="IRNazanin" w:hAnsi="IRNazanin" w:eastAsia="IRNazanin"/>
          <w:color w:val="111111"/>
          <w:sz w:val="28"/>
          <w:sz w:val="28"/>
          <w:szCs w:val="28"/>
          <w:rtl w:val="true"/>
          <w:lang w:bidi="fa-IR"/>
        </w:rPr>
        <w:t>انکار منکر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دست صورت گیرد مشروط به اذن از جانب سلطان باشد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نیز ضمن بیان چهار شرط برای وجوب امر به معروف و نهی از منکر این‌گونه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منکری که منجر به قتل و جرح شود،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اینکه امر به معروف و نهی از منکر به اذن امام باشد،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یا منوط به امام خاصه است؛ کسی است که از سوی او اذن دارد و برای فقها در عصر غیبت این اذن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فقها، آنان می‌توانند میان مردم حکم کنند تا مردم از ظالمان در امان باشند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قانون امر به معروف و نهی از منکر را برای اصلاح اجتماعی و</w:t>
      </w:r>
    </w:p>
    <w:p>
      <w:pPr>
        <w:pStyle w:val="BookText"/>
        <w:rPr/>
      </w:pPr>
      <w:r>
        <w:rPr>
          <w:rFonts w:ascii="IRNazanin" w:hAnsi="IRNazanin" w:eastAsia="IRNazanin"/>
          <w:color w:val="111111"/>
          <w:sz w:val="28"/>
          <w:sz w:val="28"/>
          <w:szCs w:val="28"/>
          <w:rtl w:val="true"/>
          <w:lang w:bidi="fa-IR"/>
        </w:rPr>
        <w:t>مبارزه با فساد داخلی و جلوگیری از سقوط مسلمانان یا چیره شدن تباهی و ظلم بر حکومت وضع کرد و شامل عمل وسیع سیاسی و تبلیغاتی با به کارگیری نیروی مسلح از سوی دولت اسلامی علیه منحرفان و خارجین ضد دین و قانون است؛ با بکارگیری زور علیه هر کسی است که به خوداجازه دهد علیه قانون خروج کند چه حاکم باشد چه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بالای این قانون که مستلزم به کارگیری نیروی قهریه است به حکومت شرعیه واگذار شده است، اما کسانی که معتقد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عمل سیاسی در عصر غیبت بودند همچنان که از آرا و فتاوای آنان بر می‌آید، مراحل اولیه آن را جایز می‌دانند و مراحل بالای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بکارگیری نیروی قهریه و ریختن خونی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تعلیق در آوردند و فتاوی آنان محدود به استفاده از دست و زبان شود و موضع‌گیری منفی نسبت به این قانون سبب عقب نشینی سیاسی و اجتماعی عصر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بیشتر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داشتند و حتی بعضی از آنان در طول تاریخ با دولتهای شیعی همکاری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اجازه ندادن قتل و جرح به مؤمنان و مکلفان از سوی فقهای این دوره، موجب جلوگیری از هرج و مرج و فتنه در جامعه بود و شاید این مسأله موجب صدور چنین فتاوا و موضعگیریهایی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 و علمای این</w:t>
      </w:r>
    </w:p>
    <w:p>
      <w:pPr>
        <w:pStyle w:val="BookText"/>
        <w:rPr/>
      </w:pPr>
      <w:r>
        <w:rPr>
          <w:rFonts w:ascii="IRNazanin" w:hAnsi="IRNazanin" w:eastAsia="IRNazanin"/>
          <w:color w:val="111111"/>
          <w:sz w:val="28"/>
          <w:sz w:val="28"/>
          <w:szCs w:val="28"/>
          <w:rtl w:val="true"/>
          <w:lang w:bidi="fa-IR"/>
        </w:rPr>
        <w:t>دوره تنها سید مرتضی نظری مخالف با بقیه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نیاز نبودن به اذن امام و جواز ارتکاب قتل و جرح برای عامه مردم شد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الاقتصاد به نقل از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برای امر به معروف و نهی از منکر قائل به جواز ممارست عمل قتل و جرح بدون اذن امام در عصر غیبت شد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وی و هم فکرانش همچنان به مشروع نبودن اقامه دولت در عصر غیبت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رابطه تنگاتنگ او با حکومت موجب شد تا نظریه های او به واقع نزدیکتر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پایبندی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انتظارِ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 تشکیل دولت مشروع در عصر غیبت در دراز مدت مشکلات زیادی برای فقهابه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اختیارات و عملکردهای آنان و نیز سکوت و انفعال سیاسی و متروک ماندن بسیاری از احکام همانند امر به معروف و نهی از منکر، اجرای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هفتم به بعد و به ویژه در قرون بعد با تشکیل</w:t>
      </w:r>
    </w:p>
    <w:p>
      <w:pPr>
        <w:pStyle w:val="BookText"/>
        <w:rPr/>
      </w:pPr>
      <w:r>
        <w:rPr>
          <w:rFonts w:ascii="IRNazanin" w:hAnsi="IRNazanin" w:eastAsia="IRNazanin"/>
          <w:color w:val="111111"/>
          <w:sz w:val="28"/>
          <w:sz w:val="28"/>
          <w:szCs w:val="28"/>
          <w:rtl w:val="true"/>
          <w:lang w:bidi="fa-IR"/>
        </w:rPr>
        <w:t>دولت صفوی و مشارکت گسترده علما در حکومت موجب شد تا به تدریج به برداشت مثبتی از انتظار دست یابند و انتظار را نه به معنای دست کشیدن از سیاست و مشارکت نکردن در دگرگونیهای سیاسی، بلکه تلاشی برای تغییر در جهت آرمانهای سیاسی شیعی و فراهم کردن زمینه‌های ظهور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در رویکرد علمای این دوره، در تفسیر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مطلق امام که معنی رئیس یا حاکم حکومت بدهد؛ اگر آنان امام را به معنای دوم تفسیر کرده بودند به ضرورت اقامه قانون به شکل کامل می‌رسیدند و هیچ قسمتی از قانون در عصر غیبت مطلق نمی‌ماند؛ اما چون تفسیر نخست را از امام پذیرفتند و حق اقامه دولت را تنها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مجبور به از کار انداختن جوانب زنده و مراحل بالای قانون امر به معروف و نهی از منکر شدند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نخستین فردی که سعی در خارج شدن از بن بست‌های انتظار منفی داشت، سید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جنبه‌های زنده</w:t>
      </w:r>
      <w:bookmarkStart w:id="244" w:name="pg4760_44256"/>
    </w:p>
    <w:p>
      <w:pPr>
        <w:pStyle w:val="BookText"/>
        <w:rPr/>
      </w:pPr>
      <w:bookmarkEnd w:id="244"/>
      <w:r>
        <w:rPr>
          <w:rFonts w:ascii="IRNazanin" w:hAnsi="IRNazanin" w:eastAsia="IRNazanin"/>
          <w:color w:val="111111"/>
          <w:sz w:val="28"/>
          <w:sz w:val="28"/>
          <w:szCs w:val="28"/>
          <w:rtl w:val="true"/>
          <w:lang w:bidi="fa-IR"/>
        </w:rPr>
        <w:t>قانون امر به معروف و نهی از منکر راکه در گذشته تعطیل شده بود،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وی مبنایی برای علمای پس از وی همچون حمزة بن عبدالعزیز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حلّی، شهید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245" w:name="__RefHeading___Toc1717477_2035185390"/>
      <w:bookmarkStart w:id="246" w:name="_Toc91"/>
      <w:bookmarkEnd w:id="245"/>
      <w:r>
        <w:rPr>
          <w:rtl w:val="true"/>
        </w:rPr>
        <w:t>اقامه حدود</w:t>
      </w:r>
      <w:bookmarkEnd w:id="246"/>
    </w:p>
    <w:p>
      <w:pPr>
        <w:pStyle w:val="BookText"/>
        <w:rPr/>
      </w:pPr>
      <w:r>
        <w:rPr>
          <w:rFonts w:ascii="IRNazanin" w:hAnsi="IRNazanin" w:eastAsia="IRNazanin"/>
          <w:color w:val="111111"/>
          <w:sz w:val="28"/>
          <w:sz w:val="28"/>
          <w:szCs w:val="28"/>
          <w:rtl w:val="true"/>
          <w:lang w:bidi="fa-IR"/>
        </w:rPr>
        <w:t>از مسائل مهم و مطرح در دوران غیبت کبرا، چگونگی اجرای حدود در این عصر است که دربارة آن دو سؤال اساسی زیر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اجرای حدود در زمان غیبت تعطیل است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اجرا، چه کسی می‌تواند حدود را اجرا کند؟</w:t>
      </w:r>
    </w:p>
    <w:p>
      <w:pPr>
        <w:pStyle w:val="BookText"/>
        <w:rPr/>
      </w:pPr>
      <w:r>
        <w:rPr>
          <w:rFonts w:ascii="IRNazanin" w:hAnsi="IRNazanin" w:eastAsia="IRNazanin"/>
          <w:color w:val="111111"/>
          <w:sz w:val="28"/>
          <w:sz w:val="28"/>
          <w:szCs w:val="28"/>
          <w:rtl w:val="true"/>
          <w:lang w:bidi="fa-IR"/>
        </w:rPr>
        <w:t>بر این مبنا علما و فقهای امامیه به دو گروه زیر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و شیخ محمد بن ادریس حلّی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را در زمان غیبت تعطیل دانسته‌اند و معتقد بودند که اجرای حدود مختص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کسی است که به طور مستقیم از جانب معصوم به این امر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قائل به تعلیق اجرای حدود روی گنهکاران تا زمان ظهور شد و اظهار 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ظاهر شد و گنهکاران موجود و اقرار و</w:t>
      </w:r>
    </w:p>
    <w:p>
      <w:pPr>
        <w:pStyle w:val="BookText"/>
        <w:rPr/>
      </w:pPr>
      <w:r>
        <w:rPr>
          <w:rFonts w:ascii="IRNazanin" w:hAnsi="IRNazanin" w:eastAsia="IRNazanin"/>
          <w:color w:val="111111"/>
          <w:sz w:val="28"/>
          <w:sz w:val="28"/>
          <w:szCs w:val="28"/>
          <w:rtl w:val="true"/>
          <w:lang w:bidi="fa-IR"/>
        </w:rPr>
        <w:t>بیّنه ثابت باشد، امام حد را بر او جاری خواهد کرد و اگر شخص مورد نظر مرد و حد اقامه نشد، گناهِ آن بر عهده کسی است که امام راوادار به غیبت کرده است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به معنای نسخ حدود شرعیه نیست؛ زیرا حدود هنگامی نسخ می‌شود که ما قادر به اقامه آن باشیم و لوازم و اسباب عدم اقامه آن وجود نداشته باشد، آن وقت می‌توان گفت حدود تعطیل شده، اما در حال حاضر چنین نیست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امت را به اقامه حدود مخاطب نساخت تا آن را ملامت کنیم و بگوییم امت حدود را ضایع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حدود از واجبات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مختصات و ویژگی‌های آنان است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ادریس حلّی نیز که از فقهای بعد از شیخ طوسی است، نظر طوسی را درباره اقامه حدود در عصر غیبت مردود دانسته و معتقد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 بر اجرا نکردن حدود شرعی متفق القولند؛</w:t>
      </w:r>
    </w:p>
    <w:p>
      <w:pPr>
        <w:pStyle w:val="BookText"/>
        <w:rPr/>
      </w:pPr>
      <w:r>
        <w:rPr>
          <w:rFonts w:ascii="IRNazanin" w:hAnsi="IRNazanin" w:eastAsia="IRNazanin"/>
          <w:color w:val="111111"/>
          <w:sz w:val="28"/>
          <w:sz w:val="28"/>
          <w:szCs w:val="28"/>
          <w:rtl w:val="true"/>
          <w:lang w:bidi="fa-IR"/>
        </w:rPr>
        <w:t>مگر در زمان حضور معصوم و به وسیله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حاکمانی که از سوی او به این امر منصوب شده‌اند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ابطال اجماع فقها، اجماع دیگری لازم است و با استناد به روایت شیخ طوسی نمی‌توان اجرای آن را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السرائر مینویسد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جایز نیست حدود را اقامه کند به جز سلطان زمان که منصوب از سوی خداوند باشد یا کسی که امام او را منصوب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احوال غیر از این دو، جایز نیست کس دیگری به اجرای حدود بر اشخاص اقدام نماید و اگر سلطان ظالم کسی را برای اقامه حدود برگزیند، اقامه حدود برای او به نیابت از امام حق جایز است اما از نظر دینی بهتر و حتی واجب است که به این روایت عمل نشود؛ زیرا از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بر این مسأله اجماع شده و اقامه حدود جایز نیست مگر به وسیله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حکامی که به اذن آنان حکومت می‌کنند، چون آنان مخاطب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برای آنان تعرض به آن جایز نیست و به خاطر اخبار آحاد نمی‌توان از اجماع عقب نشینی کرد؛ اگر چنین</w:t>
      </w:r>
    </w:p>
    <w:p>
      <w:pPr>
        <w:pStyle w:val="BookText"/>
        <w:rPr/>
      </w:pPr>
      <w:r>
        <w:rPr>
          <w:rFonts w:ascii="IRNazanin" w:hAnsi="IRNazanin" w:eastAsia="IRNazanin"/>
          <w:color w:val="111111"/>
          <w:sz w:val="28"/>
          <w:sz w:val="28"/>
          <w:szCs w:val="28"/>
          <w:rtl w:val="true"/>
          <w:lang w:bidi="fa-IR"/>
        </w:rPr>
        <w:t>کنیم برای نقض حکم نخست نیاز به اجماع دیگری یا نیاز به حکمی متواتر از کتاب و سنت داریم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نظریه مختص کسانی است که ملتزم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زود هنگام حضرت مهدی بودند و از آنجا که بنابر اجماع مسلمانان اقامه حدود از احکام حکومت و دولت است، معتقدند که تنها شخصی که می‌تواند دولت اسلامی را تأسیس کند، امام مهدی است و بر این اساس تنفیذ و اقامه حدود تا وقت ظهور به تعویق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پذیرش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اجرای حدود را در عصر غیبت لازم و ضروری می‌دانند و آنان در تأیید آراء خویش به آیات متعددی از قرآن استناد می‌کنند که طی آن خداوند مؤمنان را به اجرای احکام و فرامین الهی بر اساس شریعت نازل شده فرا می‌خواند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تعطیل شدن اجرای حدود را موجب ارتکاب محارم و زیاد شدن مفاسد می‌دانند حال آنکه این رویه بر خلاف نظر شارع و ترک مطلوب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رأی به اجرای حدود می‌نمایند، می‌بایست متولیان این امر را نیز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استناد به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را بر عهده فقها می‌گذارند</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امر واجبی را رها نکنند و به هیچ کس تجاوز ننمایند و مادام که بر طریقت حق پایدارند، اقامه حدود نزد آنان است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اقامه حدود را بر عهده سلطان اسلام میداند که همان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کسانی که از سوی آنان منصوب شده‌اند، و نظر دادن درباره آن را به فقهای شیعه واگذار کرده است؛ اما اجرای آن را بر فرزند و عبد و واردی که ضرری از سوی سلطان جور به او نرسد،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وجوبش از وی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بدی‌های ظالمان ایمن باشد،</w:t>
      </w:r>
    </w:p>
    <w:p>
      <w:pPr>
        <w:pStyle w:val="BookText"/>
        <w:rPr/>
      </w:pPr>
      <w:r>
        <w:rPr>
          <w:rFonts w:ascii="IRNazanin" w:hAnsi="IRNazanin" w:eastAsia="IRNazanin"/>
          <w:color w:val="111111"/>
          <w:sz w:val="28"/>
          <w:sz w:val="28"/>
          <w:szCs w:val="28"/>
          <w:rtl w:val="true"/>
          <w:lang w:bidi="fa-IR"/>
        </w:rPr>
        <w:t>لازم است اقامه حدود کند، دست سارق را قطع کند؛ زناکارشان را تازیانه زند و قاتل را بکشد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حدود ایمان تجاوز نکند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نیز در 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حدود بر هیچ کس جز سلطان وقت که از سوی خدای تعالی منصوب شده، مجاز نیست، یا کسی که امام برای اقامه حدود نصب کرده باشد و بر هیچ کس جز این دو، اقامه حدود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دست</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کوتاه و غلبه با ظالمان است، اگر از ضرر از جانب ظالمان نترسد و از آنان در امان باشد، اجازه داده شده که مردم بر فرزند و اهل خویش و بندگان خویش اقامه حد کنند و هر گاه در امان نباشند، مجاز نیست تعرض کردن وی در هیچ حال</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سوی سلطان ظالمی بر قومی احاطه یابد و اقامه حدود را بر</w:t>
      </w:r>
    </w:p>
    <w:p>
      <w:pPr>
        <w:pStyle w:val="BookText"/>
        <w:rPr/>
      </w:pPr>
      <w:r>
        <w:rPr>
          <w:rFonts w:ascii="IRNazanin" w:hAnsi="IRNazanin" w:eastAsia="IRNazanin"/>
          <w:color w:val="111111"/>
          <w:sz w:val="28"/>
          <w:sz w:val="28"/>
          <w:szCs w:val="28"/>
          <w:rtl w:val="true"/>
          <w:lang w:bidi="fa-IR"/>
        </w:rPr>
        <w:t>عهده‌ی وی قرار دهد، بر وی است اقامه حدود به طور کامل و بداند آن‌چه می‌کند به دستور سلطان حق می‌کند نه سلطان جور و بر مؤمنانِ به وی واجب است که به وی کمک کنند و تا زمانی که تعدی و تجاوز از حق و آنچه در شریعت اسلام موجود است،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آراء دو گروه می‌توان نتیجه گرفت که نظریههای دسته‌ی اول با چالش‌های کمتری مواجه است؛ زیرا تا فراهم شدن زمینه، اجرای حدود به تعویق می‌افتد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دسته‌ی دوم از یک سو اجرای حدود را برای جلوگیری از افزایش جرم و فساد ضروری و فقها را عهده دار اجرای آن می‌دانند و از سوی دیگر حکومت از آن حاکم جائر بوده و فقها هیچ گونه دخل و تصرفی در حاکمیت سیاسی و قدرت اجرایی برای عملی کردن وظایف محوله‌ی خویش ندارند و در عمل به رویکرد دسته اول دچار شدند؛ اینان خود اذعان دارند که در صورت حاکمیت جائر اقامه حدود امکان‌پذیر نیست؛ زیرا اجرای آن مستلزم عملکرد جداگانه فقها از حاکمیت خواهد بود که نه حکومت چنین رویه‌ای را برمی‌تابد و نه مصالح اجتماعی آن را ایجاب می‌کند؛ زیرا در صورت وجود چندین قدرت اجرایی برای حدود شریعت، جامعه دچار فتنه و آشوب و چند دستگی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اجرای حدود را در همه‌ی احوال مقید به قید تمکّن کرده و اجرای آن را هنگامی که حاکمیت از آن</w:t>
      </w:r>
      <w:bookmarkStart w:id="247" w:name="pg4760_44263"/>
    </w:p>
    <w:p>
      <w:pPr>
        <w:pStyle w:val="BookText"/>
        <w:rPr/>
      </w:pPr>
      <w:bookmarkEnd w:id="247"/>
      <w:r>
        <w:rPr>
          <w:rFonts w:ascii="IRNazanin" w:hAnsi="IRNazanin" w:eastAsia="IRNazanin"/>
          <w:color w:val="111111"/>
          <w:sz w:val="28"/>
          <w:sz w:val="28"/>
          <w:szCs w:val="28"/>
          <w:rtl w:val="true"/>
          <w:lang w:bidi="fa-IR"/>
        </w:rPr>
        <w:t xml:space="preserve">معصوم یا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تأخیر انداختند و به فقه فردی، اجرای حدود بسنده کردند</w:t>
      </w:r>
      <w:r>
        <w:rPr>
          <w:rFonts w:eastAsia="IRNazanin" w:cs="IRNazanin"/>
          <w:color w:val="111111"/>
          <w:sz w:val="28"/>
          <w:szCs w:val="28"/>
          <w:rtl w:val="true"/>
          <w:lang w:bidi="fa-IR"/>
        </w:rPr>
        <w:t>.</w:t>
      </w:r>
    </w:p>
    <w:p>
      <w:pPr>
        <w:pStyle w:val="Heading4"/>
        <w:numPr>
          <w:ilvl w:val="3"/>
          <w:numId w:val="1"/>
        </w:numPr>
        <w:rPr/>
      </w:pPr>
      <w:bookmarkStart w:id="248" w:name="__RefHeading___Toc1717479_2035185390"/>
      <w:bookmarkStart w:id="249" w:name="_Toc92"/>
      <w:bookmarkEnd w:id="248"/>
      <w:r>
        <w:rPr>
          <w:rtl w:val="true"/>
        </w:rPr>
        <w:t>نماز جمعه</w:t>
      </w:r>
      <w:bookmarkEnd w:id="249"/>
    </w:p>
    <w:p>
      <w:pPr>
        <w:pStyle w:val="BookText"/>
        <w:rPr/>
      </w:pPr>
      <w:r>
        <w:rPr>
          <w:rFonts w:ascii="IRNazanin" w:hAnsi="IRNazanin" w:eastAsia="IRNazanin"/>
          <w:color w:val="111111"/>
          <w:sz w:val="28"/>
          <w:sz w:val="28"/>
          <w:szCs w:val="28"/>
          <w:rtl w:val="true"/>
          <w:lang w:bidi="fa-IR"/>
        </w:rPr>
        <w:t>نماز جمعه از ملزومات حکومتی بود که ارتباط تنگاتنگی با نهاد سیاسی داشت و در دوره‌های اولیه و حتی پس از آن، در کنار دارالاماره‌ها و مقرهای حکومتی برگزار می‌شد و سلاطین حکومتی عهده داربرگزاری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انتقادی شیعه در برابر حکومتهای رسمی موجب شد تا مساله‌ی نوع حضور در نماز جمعه از دغدغه‌های جدی شیعیان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در عصر غیبت صغرا و نیز غیبت کبرا به شکل مرتب تا اواسط قرن پنجم هجری برگزار می‌شد</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 زیادی از علما، اقامه نماز جمعه را در عصر غیبت ضروری دانسته‌اند و کسی از علمای قرن سوم و چهارم نظری بر انقطاع برقراری نماز جمعه به دلیل فقدان شرط وجود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شخص مأذون از جانب او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 ذکر شده در رساله‌ی منسوب به شیخ علی بن الحسین بن بابویه القمی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اماکسی از</w:t>
      </w:r>
    </w:p>
    <w:p>
      <w:pPr>
        <w:pStyle w:val="BookText"/>
        <w:rPr/>
      </w:pPr>
      <w:r>
        <w:rPr>
          <w:rFonts w:ascii="IRNazanin" w:hAnsi="IRNazanin" w:eastAsia="IRNazanin"/>
          <w:color w:val="111111"/>
          <w:sz w:val="28"/>
          <w:sz w:val="28"/>
          <w:szCs w:val="28"/>
          <w:rtl w:val="true"/>
          <w:lang w:bidi="fa-IR"/>
        </w:rPr>
        <w:t>علما این سخن را از او نقل نکرده و در صحت انتساب این رساله به شیخ صدوق تردید وجود دارد و مورد تأیید علما قرار نگرفته است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عده کمی از علما به واجب نبودن اقامه نماز جمعه در عصر غیبت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مدتی تفاسیر و دگرگونی‌های بسیاری درباره‌ی اقامه نماز جمعه در عصر غیبت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نیز تفسیر فقها و متکلمان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شرایط وجوب اقامه نماز جمعه یعنی حضور معصوم یا اذن خاص امام،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حرمت یا واجب نبودن نماز جمعه در عصر غیبت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آرا و فتاوای فقهای قرن چهارم تا هفتم می‌توان این سیر دگرگونی را به خوبی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وضوح دیدگاه خود را درباره‌ی هر دو مسأله ضرورت وجود امام برای اقامه نماز و نیز تکلیف اقامه کردن یا نکردن در عصر غیبت بیان می‌دارد؛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والشرایط التّی تجب فیمن یجب معه الاجتماع ان یکون حرّاً، بالغاً، طاهراً فی ولادته، مجنبا من الامراض</w:t>
      </w:r>
    </w:p>
    <w:p>
      <w:pPr>
        <w:pStyle w:val="BookText"/>
        <w:rPr/>
      </w:pPr>
      <w:r>
        <w:rPr>
          <w:rFonts w:ascii="IRNazanin" w:hAnsi="IRNazanin" w:eastAsia="IRNazanin"/>
          <w:color w:val="111111"/>
          <w:sz w:val="28"/>
          <w:sz w:val="28"/>
          <w:szCs w:val="28"/>
          <w:rtl w:val="true"/>
          <w:lang w:bidi="fa-IR"/>
        </w:rPr>
        <w:t>الجذام و البرص خاصةً فی جلدته، مسلماً مؤمناً معتقداً للحق باسره فی دیانته مصلیاً للفرض فی ساعته فاذا کان کذلک واجتمع معه اربعة شخص وجب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الجمعه مع من وصفناه من الائمة فرضاً و یستحب مع من خالفهم</w:t>
      </w:r>
    </w:p>
    <w:p>
      <w:pPr>
        <w:pStyle w:val="BookText"/>
        <w:rPr/>
      </w:pPr>
      <w:r>
        <w:rPr>
          <w:rFonts w:ascii="Amiri" w:hAnsi="Amiri" w:eastAsia="Amiri" w:cs="Amiri"/>
          <w:color w:val="111111"/>
          <w:sz w:val="28"/>
          <w:sz w:val="28"/>
          <w:szCs w:val="28"/>
          <w:rtl w:val="true"/>
          <w:lang w:bidi="ar-SA"/>
        </w:rPr>
        <w:t>تقیةً و ندباً</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نوشته‌های شیخ مفید فقیه و عالم قرن چهارم هجری چنین برمی‌آید که وی ضمن برشمردن ویژگیهایی از قبیل حرّیت، بلوغ، پاکی مولد، پیراستگی از امراض جذام و برص، اسلام و تشیع هنگام ادای نماز جمعه برای امام جمعه، وجود امام معصوم را از شرایط وجوب نماز جمعه نمی‌داند و تنها اعتقادات حقه امام جمعه را به علاوه شرایطی که برای امام جمعه برمی‌شمرد،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اقامه نماز جمعه در زمان غیبت نه تنها ممکن؛ بلکه با تحقق شرایط یاد شده در شخصی، واجب آن هم از نوع عینی خواهد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از نوشتار شیخ مفید استنباط می‌شود، چگونگی اجرای نماز جمعه در زمان استقرار حکومتهای جور است که امامان جمعه از گرایش مذهبی حاکم پیروی می‌کردند، در این هنگام می‌توان برای نشان دادن همراهی، در نماز جمعه شرکت کرد و این عمل، از استحباب و ثواب نیز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 ضرورت عدالت امام تأکید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اصحاب ما نماز عیدین نه تنها برای افراد واجب عینی است و نماز جمعه مشروط به حضور سلطان عادل است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شرط درستی نماز جمعه را نیز منوط به امامت امام عادل یا منصوب امام عادل می‌داند و در صورتی که این شرط تحقق</w:t>
      </w:r>
    </w:p>
    <w:p>
      <w:pPr>
        <w:pStyle w:val="BookText"/>
        <w:rPr/>
      </w:pPr>
      <w:r>
        <w:rPr>
          <w:rFonts w:ascii="IRNazanin" w:hAnsi="IRNazanin" w:eastAsia="IRNazanin"/>
          <w:color w:val="111111"/>
          <w:sz w:val="28"/>
          <w:sz w:val="28"/>
          <w:szCs w:val="28"/>
          <w:rtl w:val="true"/>
          <w:lang w:bidi="fa-IR"/>
        </w:rPr>
        <w:t xml:space="preserve">نیابد، مکلفین می‌بایست نماز ظهر را چهار رکعت به جای آورند و اگر شخص مجبور به تقیه نیز، نماز جمعه را به امامت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 واجب است بعداً نماز چهار رکعتی به جای آورد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در این عبارات مقصود خویش را از امام عادل مطرح نکرده و نگفته است آیا مقصود او از امام عادل، امام معصوم است یا غیر امام معصوم؟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 این عقیده‌اند که علمای متأخر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چنین استنباطی را بپذیریم و آن را صحیح بدانیم، از آنجا که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به سر می‌برد و دولت امام معصوم تحقق نیافته است، پس می‌توان رأیِ سید مرتضی را به واجب نبودن اقامه نماز جمعه در عصر غیبت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ابهامی که در نظر سید مرتضی است، در مورد نظر شیخ طوسی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کتابهای مختلف فقهی حضور امام یا کسی که منصوب امام باشد و امام به اقامه نماز به وسیله‌ی او امر کرده باشد را از شروط انعقاد نماز جمعه می‌داند و در صورت فقدان حضور امام یا نایب او، صحیح نیست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المبسوط فی فقه الامامیه نیز آورده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انعقاد نماز جمعه چهار شرط مرجع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عادل یا کسی که منصوب او باشد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الرسائل العشر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برگزار نمی‌شود مگر با وجود چهار شرط و یکی حضور امام عادل یا منصوب امام عادل برای</w:t>
      </w:r>
    </w:p>
    <w:p>
      <w:pPr>
        <w:pStyle w:val="BookText"/>
        <w:rPr/>
      </w:pPr>
      <w:r>
        <w:rPr>
          <w:rFonts w:ascii="IRNazanin" w:hAnsi="IRNazanin" w:eastAsia="IRNazanin"/>
          <w:color w:val="111111"/>
          <w:sz w:val="28"/>
          <w:sz w:val="28"/>
          <w:szCs w:val="28"/>
          <w:rtl w:val="true"/>
          <w:lang w:bidi="fa-IR"/>
        </w:rPr>
        <w:t>اقامه نماز است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همه کتابهایش حضور امام عادل را برای برگزاری نماز جمعه لازم می‌داند؛ اما هیچ‌گاه به هویت و 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نکرد؛ اما با توجه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محور آن حصر امامت شرعیه 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تنها سلطان عادل، امام معصوم است، مقصود وی از امام عادل همان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وی دربارة مسائلی چون اقامه دولت در عصر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جوانب سیاسی و انقلابی و اقتصادی متعلق به امام غایب مطابقت می‌کند؛ اما آنچه عملاً در زمان وی به تأیید مورخان اتفاق افتاد، برقراری نماز جمعه برای شیعیان در زمان شیخ طوسی تا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اقامه می‌کردند و تنها</w:t>
      </w:r>
    </w:p>
    <w:p>
      <w:pPr>
        <w:pStyle w:val="BookText"/>
        <w:rPr/>
      </w:pPr>
      <w:r>
        <w:rPr>
          <w:rFonts w:ascii="IRNazanin" w:hAnsi="IRNazanin" w:eastAsia="IRNazanin"/>
          <w:color w:val="111111"/>
          <w:sz w:val="28"/>
          <w:sz w:val="28"/>
          <w:szCs w:val="28"/>
          <w:rtl w:val="true"/>
          <w:lang w:bidi="fa-IR"/>
        </w:rPr>
        <w:t>پس از سقوط دولت شیعی آل بویه و تسلط سلجوقیان بر بغداد متوقف شد که در این زمان طوسی از بغداد تبعید شد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حلبی معاصر شیخ، اقامه نماز جمعه را بدون حضور امام معصوم یا اذن وی، برای کسی که دارای صفات امام جماعت باشد، جایز دانست؛ اما علمای پس از او نظر دوم را ملغی و نماز جمعه را در امام معصوم یامنصوب خاص او محصور کردند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ابویعلی حمزة بنی عبدالعزیز، به صراحت اقامه نماز جمعه را به شرط حضور امام یا قائم مقام خاص وی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اقامه‌ی آن را حتی به وسیله‌ی فقها نیز جایز ندانست و وی نخستین فقیهی بود که اقامه‌ی نماز جمعه را در عصر غیبت تحریم کرد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عبدالعزیز بن براج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جمعه یک فریضه به شمار نمی‌آید مگر به شروطی که هر وقت جمع شدند می‌توان نماز جمعه را فریضه به حساب آورد و اگر شرایط فراهم نبود، فریضه بودنش ساقط می‌شود، بلکه باید نماز ظهر را خواند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بعد از ابن براج نیز نظیر ابن حمزه در کتاب تناسب الوسیله الی نیل الفضیله، ابن زهره در کتاب الغنیه و الطبرسی در کتاب مجمع البیان فی تفسیر القرآن ابی ادریس در کتاب السرائر قائل به تعطیل بودن نماز جمعه در عصر غیبت به دلیل فراهم نبودن شروط اقامه‌ی آن یعنی حاضر نبودن امام معصوم یا اذن خاص او، فتوا دادند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نظریه تعطیل بودن نماز جمعه را در عصر غیبت بر اساس تفسیر کلام شیخ طوسی در کتاب الخلاف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طوسی به شرط حضور امام معصوم تصریح نکرد، ابن ادریس و فقهای پس از وی همچنان که قبلاً اشاره شد، صفت عدالت را خاص امام معصوم دانستند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فتوا به نوعی با مشروع نبودن حکومت غیر معصوم که در آن برهه از زمان رایج بود، مطابقت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کتاب المختصر النافع حضور سلطان عادل را یکی از شروط پنجگانه برای اقامه نماز جمعه برشمرده است؛</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برمی‌گردد و قائل به استحباب اقامه نماز جمعه در صورت اجتماع و ایراد دو خطبه در عصر غیبت می‌شود بدون آنکه اشاره‌ای به علمایی داشته باشد که نماز جمعه را تعطیل کردند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نیز در آثار گوناگونش از جمله تحریر الاحکام و مختلف الشیعهْ فی احکام الشریعهْ به ساقط بودن نماز جمعه در حالت حاضر نبودن معصوم یا نایب خاص او به اجماع همه‌ی علما رأی می‌دهد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دوران غیبت صغرا و یکصد سال نخست غیبت کبرا قائل به واجب نبودن نماز جمعه در عصر غیبت نشدند اما علمای متأخر از قرن</w:t>
      </w:r>
      <w:bookmarkStart w:id="250" w:name="pg4760_44272"/>
    </w:p>
    <w:p>
      <w:pPr>
        <w:pStyle w:val="BookText"/>
        <w:rPr/>
      </w:pPr>
      <w:bookmarkEnd w:id="250"/>
      <w:r>
        <w:rPr>
          <w:rFonts w:ascii="IRNazanin" w:hAnsi="IRNazanin" w:eastAsia="IRNazanin"/>
          <w:color w:val="111111"/>
          <w:sz w:val="28"/>
          <w:sz w:val="28"/>
          <w:szCs w:val="28"/>
          <w:rtl w:val="true"/>
          <w:lang w:bidi="fa-IR"/>
        </w:rPr>
        <w:t>پنجم هجری و درست از زمان سید مرتضی به بعد، بر اساس نظریه تقیه و انتظار ظهور امام که سایه‌اش بر تمام شئون مختلف سیاسی، اقتصادی و عبادی گسترده شده بود، قائل به اذن خاص امام معصوم یا حضور او برای برقراری نماز جمعه شدند و در صورت فقدان این شرط حکم به حرمت یا تعطیلی آن در عصر غیبت دهند که تا امروز در میان عده‌ای از فقها این رأی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فقهایی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اقامه نماز جمعه را جایز می‌دانند</w:t>
      </w:r>
      <w:r>
        <w:rPr>
          <w:rFonts w:eastAsia="IRNazanin" w:cs="IRNazanin"/>
          <w:color w:val="111111"/>
          <w:sz w:val="28"/>
          <w:szCs w:val="28"/>
          <w:rtl w:val="true"/>
          <w:lang w:bidi="fa-IR"/>
        </w:rPr>
        <w:t>.</w:t>
      </w:r>
    </w:p>
    <w:p>
      <w:pPr>
        <w:pStyle w:val="Heading4"/>
        <w:numPr>
          <w:ilvl w:val="3"/>
          <w:numId w:val="1"/>
        </w:numPr>
        <w:rPr/>
      </w:pPr>
      <w:bookmarkStart w:id="251" w:name="__RefHeading___Toc1717481_2035185390"/>
      <w:bookmarkStart w:id="252" w:name="_Toc93"/>
      <w:bookmarkEnd w:id="251"/>
      <w:r>
        <w:rPr>
          <w:rtl w:val="true"/>
        </w:rPr>
        <w:t>خمس و زکات</w:t>
      </w:r>
      <w:bookmarkEnd w:id="2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و زکات از واجبات مالی دینی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منصب دریافت زکات را در زمان 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ایشان گذاشت و پس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جانشینان پس از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غیبت صغرا نیز نواب خاص امام، مسئول دریافت آن بودند و پس از پایان دوره نواب خاص، این وظیفه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فقها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آرا و نظریههای فقها به این نتیجه می‌رسیم که در پرداخت زکات به فقیه تحقق دو شرط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فقاهت؛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اطمینان بودن و سایر شروط مانند اعلم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ادای خمس در عصر غیبت از مسائل بحث انگیزی است که چون و چراهای فراوانی را برانگیخته و از همان ابتدا، آرای گوناگونی درباره‌ی نحوه‌ی پرداخت آن در عصر غیبت پدید آمد که به مرور برخی از آنان ضعیف و برخی دیگر از آراء قوت بیشتری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دوازدهم شیعیان سبب پدید آمدن بحران حادی در دریافت خمس در عصر غیبت شد؛ زیرا تنها شخصِ صاحب اختیاردریافت آن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از سوی دیگر راهی برای شناسایی و دسترسی به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فقها در این امر دچار حیرت و سردرگمی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المقنعه به گوشه‌ای از این آراء اشاره می‌کند و می‌نویسد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پرداخت خمس، میان علما اختلافاتی رخ داده و هر گروه، به رأیی روی آورده است؛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در دوره غیبت ساقط است، زیرا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هنگام ظهور امام مهدی گنجینه‌های خویش را آشکار می‌سازد، یا آن گاه که حضرت مهدی قیام کند، خداوند مکان گنجینه‌ها را بر او نمایان خواهد ساخت واو از هر نقطه‌ای آن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مقدار خمس را در راه سادات و فقرای شیعه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نزدیک بودن این دیدگاه را به حق و صواب،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خمس را برای حضرت حجت کنار گذاشت و اگر از مرگ خویش قبل از ظهور، بیم داشت، آن را به کسی که اعتماد به دیانت و خرد وی دارد، وصیت کند تا به امام بسپرد و اگر او نیز محضر امام را در نیافت، آن را به دیگری وصیت کند تا زمانی که امام از پرده‌ی غیبت رخ بنماید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این رأی، از وضوح بیشتری برخوردار است؛ زیرا خمس حقّی است که برای امام غایب ثابت است و قبل از غیبت شیوه‌ای پیموده نشده تا بر اساس آن عمل شود؛ بنابراین آن را باید نگاه داشت تا به امام دسترسی حاصل شود یا به کسی منتقل کنیم که به امام برساند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در این حال مانند زکاتی است که مستحق آن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هم‌چنان که تصرف در آن حلال و مباح نیست زکات نیز ساقط نمی‌شود؛ بلکه باید به دیگران وصیت کند تا به مستحقش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خمس که سهم ویژه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نگهداری شود تا به او پرداخت گردد؛ اما سهم سادات را می‌توان در مصارف مربوط به آن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رأی شیخ مفید را تأیید نموده و همانند وی اختلاف عقیده علما را به سبب نبود نص صریح و روایات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معلول وضعیت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اباحه مطلق آن را رد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اموال دیگران بدون اذن صریح بر خلاف عقل است، قسمت اول خمس که مربوط به امام است باید دفن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النهایهْ فی مجرد الفقه و الفتاوی به حلال بودن مصرف خمس در زمان غیبت برای شیعیان در اموری که ضروری است مانند نکاح، متاجر و مساکن فتوا می‌دهد اما تصرف در غیر این موارد را ممنوع می‌داند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ادامه درباره‌ی تکلیف مکلّفان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عمل به احتیاط کرد و به یکی از اقوال عمل کرد، از قبیل دفن یا وصیت، گناهی مرتکب نشده است</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از آنجا که در این باره نص صریحی در اختیار نداشت، بر اساس ظن و تخمین رأی خویش را بیان داشته و شاید هم احتیاط رأی خویش را مبنی بر جایز نبودن دریافتِ آن برای فقها و غیر فقها در عصر غیبت می‌داند؛ زیرا وی بنابر حصر اقامه دولت برای شخص قائم و نبود اذن خاص امام برای تصرف در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برای شخص یا اشخاصی خاص، هرگونه دخل و تصرف را در سهم ویژه امام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عبدالعزیز، ابویعلی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تحلیل و اباحه خمس را ارائه کرد و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برای شیعیان در زمان غیبت اباحه کردند و آن از باب کرم و فضل برای شیعیان به طور خصوصی بوده است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ابن براج نیز اجازه تصرف در زمان غیبت را، فقط مختص شیعیان دانست نه غیر شیعه و اجازه‌ی تصرف در امور مربوط به امام غایب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حفظ و نگهداری سهم امام در زمان حیات و وجوب وصیت به حفظ آن تا زمان ظهور امام،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پس از وی نیز همچون محمد بن ادریس حلی</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بن سعید الحلی</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حسن بن مطهر حلی</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نظریه ملتزم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الحسن الحلی</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حکم خمس در زمان غیبت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مکلف را میان حفظ و وصیت کردن به مال خمس تا زمان ظهور امام یا مصرف آن میان مستحقان خمس و حفظ سهم امام، مخیّر گردانید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بررسی نظریه ها و آراء علمای متأخر در می‌یابیم که نوعی تطور و</w:t>
      </w:r>
    </w:p>
    <w:p>
      <w:pPr>
        <w:pStyle w:val="BookText"/>
        <w:rPr/>
      </w:pPr>
      <w:r>
        <w:rPr>
          <w:rFonts w:ascii="IRNazanin" w:hAnsi="IRNazanin" w:eastAsia="IRNazanin"/>
          <w:color w:val="111111"/>
          <w:sz w:val="28"/>
          <w:sz w:val="28"/>
          <w:szCs w:val="28"/>
          <w:rtl w:val="true"/>
          <w:lang w:bidi="fa-IR"/>
        </w:rPr>
        <w:t>دگرگونی تدریجی از حکم اباحه خمس و نامشخص بودن متولّی آن برای رساندن به معصوم تا وجوب پرداخت آن به فقیه عادل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فتاوای فقهای متأخر در چهارچوب زمانی این رساله نمی‌گنجد، ارائه بررسی منسجم و ارائه نظریه‌ای در این زمینه مستلزم در نظر گرفتن آراء متأخران هر چند</w:t>
      </w:r>
    </w:p>
    <w:p>
      <w:pPr>
        <w:pStyle w:val="BookText"/>
        <w:rPr/>
      </w:pPr>
      <w:r>
        <w:rPr>
          <w:rFonts w:ascii="IRNazanin" w:hAnsi="IRNazanin" w:eastAsia="IRNazanin"/>
          <w:color w:val="111111"/>
          <w:sz w:val="28"/>
          <w:sz w:val="28"/>
          <w:szCs w:val="28"/>
          <w:rtl w:val="true"/>
          <w:lang w:bidi="fa-IR"/>
        </w:rPr>
        <w:t>به طور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ارائه شده از سوی فقهای متقدم مانند شیخ مفید و طوسی متولی دریافت و توزیع خمس روشن نیست و دلیل آن فقدان نص معینی در این زمینه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قرن پنجم هجری قاضی ابن براج قائل به ضرورت سپردن خمس به عنوان امانت نزد فقها شد تا آن را به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هنگام ظهور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قرن ششم هجری ابن حمزه حکم استحباب سپرده خمس را به فقیه داد و در صورت ناتوانی مالک خمس در توزیع صحیح آن، این کار را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هجری محقق حلی تحویل سهم امام به فقیه را که شامل نیمی از خمس می‌شد،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هشتم هجری عالمِ برجسته‌ی شیعه، شهید اول قائل به جواز تخییر بین 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متقدمان و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کتاب الدروس الشرعیهْ صرف سهم امام را برای مستحق آن اقرب</w:t>
      </w:r>
      <w:bookmarkStart w:id="253" w:name="pg4760_44279"/>
    </w:p>
    <w:p>
      <w:pPr>
        <w:pStyle w:val="BookText"/>
        <w:rPr/>
      </w:pPr>
      <w:bookmarkEnd w:id="253"/>
      <w:r>
        <w:rPr>
          <w:rFonts w:ascii="IRNazanin" w:hAnsi="IRNazanin" w:eastAsia="IRNazanin"/>
          <w:color w:val="111111"/>
          <w:sz w:val="28"/>
          <w:sz w:val="28"/>
          <w:szCs w:val="28"/>
          <w:rtl w:val="true"/>
          <w:lang w:bidi="fa-IR"/>
        </w:rPr>
        <w:t xml:space="preserve">دانست، البته با اذن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فقیه عادل امامی که جامع صفت فقاهت باشد</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صرف آن را به وسیله‌ی علما داد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ظهور دولت شیعی صفویه در ایران و نیاز روز افزون این دولت برای تأمین نیازهای مالی فقرا و محتاجین، محقق کرکی قائل به اباحه‌ی آن برای مصارف شرعیه شد</w:t>
      </w:r>
      <w:r>
        <w:rPr>
          <w:rFonts w:eastAsia="IRNazanin" w:cs="IRNazanin"/>
          <w:color w:val="111111"/>
          <w:sz w:val="28"/>
          <w:szCs w:val="28"/>
          <w:rtl w:val="true"/>
          <w:lang w:bidi="fa-IR"/>
        </w:rPr>
        <w:t>.</w:t>
      </w:r>
    </w:p>
    <w:p>
      <w:pPr>
        <w:pStyle w:val="Heading4"/>
        <w:numPr>
          <w:ilvl w:val="3"/>
          <w:numId w:val="1"/>
        </w:numPr>
        <w:rPr/>
      </w:pPr>
      <w:bookmarkStart w:id="254" w:name="__RefHeading___Toc1717483_2035185390"/>
      <w:bookmarkStart w:id="255" w:name="_Toc94"/>
      <w:bookmarkEnd w:id="254"/>
      <w:r>
        <w:rPr>
          <w:rtl w:val="true"/>
        </w:rPr>
        <w:t>قضاوت</w:t>
      </w:r>
      <w:bookmarkEnd w:id="255"/>
    </w:p>
    <w:p>
      <w:pPr>
        <w:pStyle w:val="BookText"/>
        <w:rPr/>
      </w:pPr>
      <w:r>
        <w:rPr>
          <w:rFonts w:ascii="IRNazanin" w:hAnsi="IRNazanin" w:eastAsia="IRNazanin"/>
          <w:color w:val="111111"/>
          <w:sz w:val="28"/>
          <w:sz w:val="28"/>
          <w:szCs w:val="28"/>
          <w:rtl w:val="true"/>
          <w:lang w:bidi="fa-IR"/>
        </w:rPr>
        <w:t>امر قضا و تعیین قضات یکی از وظایف اصلی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رئیس حکومت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نیز می‌بایست از سوی امام تعیین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حیات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فقها به منصب قضاوت به دلیل دسترسی نداشتن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مناطق اسلامی و نیز روایات منقول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اجازه دادن به فقها برای احراز این منصب، موجب شد تا بیشتر فقها قضاوت را از وظایف فقیه تلقی کنند و در دوران غیبت با کمترین تردید و مناقشه این منصب را پذیرا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مقبوله‌ی عمر بن حنظله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انتخاب کنید که حدیث ما را روایت کند و حلال و حرام ما را بداند و با احکام ما آشنا باشد؛ اگر او را به عنوان حاکم پذیرفتند، من او رابه عنوان قاضی نصب می‌کنم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مشهوره ابن خدیجه از امام صادق</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برای قضا از میان خود انتخاب کنید که حدیث ما را روایت می‌کند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ابی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سوی اصحاب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اختلاف و خصومت افتاد یا در داد و ستد با هم اختلاف پیدا کردید، شما را بر حذر می‌دارم از روی آوردن به کسی از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از میان خود انتخاب کنید که دانابه حلال و حرام ما باشد که من او را به عنوان قاضی بر شما نصب کردم و از قضاوت و حل نزاعات نزد سلطان جائر دوری گزینید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اجازه های عام در عصر حضور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را به احراز این</w:t>
      </w:r>
    </w:p>
    <w:p>
      <w:pPr>
        <w:pStyle w:val="BookText"/>
        <w:rPr/>
      </w:pPr>
      <w:r>
        <w:rPr>
          <w:rFonts w:ascii="IRNazanin" w:hAnsi="IRNazanin" w:eastAsia="IRNazanin"/>
          <w:color w:val="111111"/>
          <w:sz w:val="28"/>
          <w:sz w:val="28"/>
          <w:szCs w:val="28"/>
          <w:rtl w:val="true"/>
          <w:lang w:bidi="fa-IR"/>
        </w:rPr>
        <w:t xml:space="preserve">منصب برای حل اختلاف میان مسلمانان ترغیب نمود و همین اجازه‌ها به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ضمن تحریم دستگاه قضایی بنی عباس، شیعیان را برای حل اختلافها به نزد فقها می‌خواند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هریک از مسلمانان که با برادر مسلمان خود در مورد حقی اختلاف پیدا کند، باید به فردی از برادران خود برای حل آن مراجعه کند و اگر طرفین از تن دادن به این کار امتناع کنند، مشمول این سخن خداوند خواهد بود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آن کسانی که خود را جزء مؤمنان می‌پندارند و گمان می‌کنند به آنچه بر پیامبران و رسول اسلام فرو فرستادیم، ایمان آورده‌اند اما قضاوت و حل اختلاف خود را به نزد طاغوت می‌برند در حالی‌که مأمور شده‌اند که به آنان کفر بورزند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والقضاء بین الناس درجة عالیة و شروطه صعبة شدیدة ولا ینبغی لاحدٍ ان یتعرّض له حتی یثق من نفسه</w:t>
      </w:r>
    </w:p>
    <w:p>
      <w:pPr>
        <w:pStyle w:val="BookText"/>
        <w:rPr/>
      </w:pPr>
      <w:r>
        <w:rPr>
          <w:rFonts w:ascii="IRNazanin" w:hAnsi="IRNazanin" w:eastAsia="IRNazanin"/>
          <w:color w:val="111111"/>
          <w:sz w:val="28"/>
          <w:sz w:val="28"/>
          <w:szCs w:val="28"/>
          <w:rtl w:val="true"/>
          <w:lang w:bidi="fa-IR"/>
        </w:rPr>
        <w:t xml:space="preserve">بالقیام به و لیس یثق احد بذلک من نفسه حتی یکون عاقلاً، کاملاً، عالماً بالکتاب و ناسخه و منسوخه و عامّه و خاصّه و ندبه و ایجابه و محکم و متشابهه، عارفا بالسنة و ناسخها و منسوخها، عالماً باللغة، مضطلعا بمعانی کلام العرب، بصیرا بوجوه الاعراب، و رعا عن محارم الله </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میان مردم مرتبهای والاست و شرایط سخت و سنگینی دارد و کسی سزاوار اقدام کردن به آن نیست، مگر آنکه به خود اطمینان داشته باشد و این اعتماد به خود محقق نخواهد شد مگر با وجود شرایطی از قبیل</w:t>
      </w:r>
    </w:p>
    <w:p>
      <w:pPr>
        <w:pStyle w:val="BookText"/>
        <w:rPr/>
      </w:pPr>
      <w:r>
        <w:rPr>
          <w:rFonts w:ascii="IRNazanin" w:hAnsi="IRNazanin" w:eastAsia="IRNazanin"/>
          <w:color w:val="111111"/>
          <w:sz w:val="28"/>
          <w:sz w:val="28"/>
          <w:szCs w:val="28"/>
          <w:rtl w:val="true"/>
          <w:lang w:bidi="fa-IR"/>
        </w:rPr>
        <w:t>خردمندی، کمال نفسانی، آگاهی به قرآن و ناسخ و منسوخ، عام و خاص، مستحب و واجب، محکم و متشابه آن، آگاهی به سنت و ناسخ و منسوخ آن، آشنایی به لغت، تبحر در معانی و مفاهیم کلام عرب، آگاهی و دانایی به مبانی و وجوه اعراب، پرهیزکاری 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ویژگی‌هایی که شیخ مفید ذکر کرده چنین برمی‌آید که تنها فقها متصدی</w:t>
      </w:r>
    </w:p>
    <w:p>
      <w:pPr>
        <w:pStyle w:val="BookText"/>
        <w:rPr/>
      </w:pPr>
      <w:r>
        <w:rPr>
          <w:rFonts w:ascii="IRNazanin" w:hAnsi="IRNazanin" w:eastAsia="IRNazanin"/>
          <w:color w:val="111111"/>
          <w:sz w:val="28"/>
          <w:sz w:val="28"/>
          <w:szCs w:val="28"/>
          <w:rtl w:val="true"/>
          <w:lang w:bidi="fa-IR"/>
        </w:rPr>
        <w:t>منصب قضاوت‌اند؛ وی منصب قضاوت را در زمان سلطان جائر، مأذون از سوی امام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دانسته است؛ زیرا امام این منصب را به فقها واگذار کرده است و آن را مقید به تمکن فقیه برای اجرای حکم یا حدود می‌کند؛ اما سید مرتضی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نیابت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آن را نقل کرده، اشاره‌ای نکرده است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تصدی منصب قضاوت را منوط به اذن سلطان حق دانسته و 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میان مردمی که با یکدیگر اختلاف دارند، برای کسی جز سلطان اجازه داده نشده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فقهای شیعه در حالی که متمکن نباشند تا خودشان تولی آن امور کنند، تفویض نموده‌اند و کسی که قادر به حل و فصل اختلافها میان متنازعان باشد پس بر اوست که چنین کند و مادام که بر او و بر اهل ایمان ترس و هراسی نبود، برای او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خوف و هراس، پرداختن به این امور شایسته نیست</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حلبی نیز که معاصر سید مرتضی و شیخ طوسی بوده و تحت حمایت خاندان شیعی بنی حمدان می‌زیست، اجرای حدود را تنها مختص فقها معرفی کرده و غیر از فقها احدی از شیعیان را در صورت مختار بودن، شایستة احراز این منصب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رجوع به حاکم غیر شیعی را در حل اختلاف شیعیان جایز ندانست؛ بلکه شرایطی از قبیل علم به حقیقتِ احکامِ موکول شده به وی را مطرح کرد که در صورت تحقق نیافتن این شرط حتی اگر قاضی شیعه باشد، کسی حق مراجعه یاتقلید از او را نخواهد داشت اما در صورت دارا بودن شروط حتی اگر ولایت واگذار شده از سوی حاکم ظالم باشد بر فقیه شیعه پذیرش آن واجب است؛ زیرا در واقع نایب از ولی امر و کارش به منزله‌ی امر به معروف و نهی از منکر خواهد بود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ابن براج فتوای متفاوتی را در این زمینه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حدود فقط از سوی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هم در صورت ضرر نداشتن از سوی ظالم و به همه</w:t>
      </w:r>
    </w:p>
    <w:p>
      <w:pPr>
        <w:pStyle w:val="BookText"/>
        <w:rPr/>
      </w:pPr>
      <w:r>
        <w:rPr>
          <w:rFonts w:ascii="IRNazanin" w:hAnsi="IRNazanin" w:eastAsia="IRNazanin"/>
          <w:color w:val="111111"/>
          <w:sz w:val="28"/>
          <w:sz w:val="28"/>
          <w:szCs w:val="28"/>
          <w:rtl w:val="true"/>
          <w:lang w:bidi="fa-IR"/>
        </w:rPr>
        <w:t>مسلمانان نه فقط فقها، اجازه‌ی اجرای حدود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اقامه حدود از سوی سلطان جائر در صورتی که خود را ماذون از سوی 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جایز است</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حلی نیز اقامه حدود را مختص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واجبات آنان شمرد که در صورت تعذر، فقط فقهای شیعه حق اقامه‌ی آن را دارند؛ آنان منصوب از سوی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حتی اگر در ظاهر از سوی سلطان جائر به این منصب انتخاب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فقیه مجبور شود برای حفظ جان خود و خانواده یا مؤمنان و اموال آنان بر اساس مذهب باطل حکمی صادر کند، می‌تواند این کار را انجام دهد مشروط بر اینکه منجر به کشته شدن کسی نگردد، چون دراین حال تقیّه جایز نیست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نیز نظری مانند همین مضمون دارد؛ او امر قضا را به اذن امام یا نائب امام ثابت می‌داند نه منصوب شدن از سوی مردم و اگر طرفین خصومت به حکم قاضی منصوب شده از سوی امام راضی شوند، در تمامی احکام حتی عقوبت‌ها لازم الاجراست و در حال غیبت قضاوت برای فقیه جامع</w:t>
      </w:r>
    </w:p>
    <w:p>
      <w:pPr>
        <w:pStyle w:val="BookText"/>
        <w:rPr/>
      </w:pPr>
      <w:r>
        <w:rPr>
          <w:rFonts w:ascii="IRNazanin" w:hAnsi="IRNazanin" w:eastAsia="IRNazanin"/>
          <w:color w:val="111111"/>
          <w:sz w:val="28"/>
          <w:sz w:val="28"/>
          <w:szCs w:val="28"/>
          <w:rtl w:val="true"/>
          <w:lang w:bidi="fa-IR"/>
        </w:rPr>
        <w:t>الشرایط صاحب فتواست و کسی که از او روی برگرداند و به قضاوت جور روی آورد، عاصی و گناهکار محسوب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ولایت از سوی جائر جایز نیست مگر اینکه مطمئن باشد می‌تواند حکم به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نماید، در غیر این صورت پذیرش تنها در صورت اجبار جایز است مشروط بر آنکه حکم به قتل کسی که کشتنش جایز نیست، داده نشود؛ زیرا در این حالت قبول ولایت به طور قطع حرام است اما اگر جز او شخص دیگری برای این منصب وجود ندارد می‌تواند بپذیرد امّا می‌بایست ترک خیانت کند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256" w:name="pg4760_44287"/>
    </w:p>
    <w:p>
      <w:pPr>
        <w:pStyle w:val="Heading4"/>
        <w:numPr>
          <w:ilvl w:val="3"/>
          <w:numId w:val="1"/>
        </w:numPr>
        <w:rPr/>
      </w:pPr>
      <w:bookmarkStart w:id="257" w:name="__RefHeading___Toc1717485_2035185390"/>
      <w:bookmarkStart w:id="258" w:name="_Toc95"/>
      <w:bookmarkEnd w:id="256"/>
      <w:bookmarkEnd w:id="257"/>
      <w:r>
        <w:rPr>
          <w:rtl w:val="true"/>
        </w:rPr>
        <w:t>نتیجه‌گیری</w:t>
      </w:r>
      <w:bookmarkEnd w:id="258"/>
    </w:p>
    <w:p>
      <w:pPr>
        <w:pStyle w:val="BookText"/>
        <w:rPr/>
      </w:pPr>
      <w:r>
        <w:rPr>
          <w:rFonts w:ascii="IRNazanin" w:hAnsi="IRNazanin" w:eastAsia="IRNazanin"/>
          <w:color w:val="111111"/>
          <w:sz w:val="28"/>
          <w:sz w:val="28"/>
          <w:szCs w:val="28"/>
          <w:rtl w:val="true"/>
          <w:lang w:bidi="fa-IR"/>
        </w:rPr>
        <w:t>پژوهش حاضر در چهار بخش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خلاصه‌ای از مباحث مطروحه به ضمیمه نتایج و استفاده‌هایی که می‌توان از این پژوهش نمود،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اصلی این رساله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رابطه‌ی میان این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امر پژوهشگر را ناگزیر خواهد ساخت که مباحث هرمنوتیکی و زبان‌شناسی را مورد توجه قرار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روش‌های هرمنوتیک، هرمنوتیک قصدگرای اسکینر برای تحلیل موضوع پایان نامه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زمینه تحلیل اندیشه‌های سیاسی، بسیار کارآمد و مؤثر است، از آن جهت که اندیشه، معنا و زمینه را مورد بررسی قرار داده و در این زمینه بیشترین اهمیت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گفته شد، اسکینر ملهم از مباحث زبان‌شناسی و در رأس آن آراء ویتگنشتاین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زمینه را، زبانی و ایدئولوژیک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بی‌اعتنایی اسکینر به زمینه‌های سیاسی، فرهنگی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تولید معنا و اندیشه در بستر اجتماعی، محیطی و سیاسی خاص،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معناهای جزیی و بومی بیش از معناهای کلی و کلان مورد توجه هستند وزمینه‌های عمل و کنش سیاسی و در عین حال زمینه‌های زبانی و ایدئولوژیک را در فرآیند تولید معنا مؤثر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اسکینر از روش مؤلف محور طرفداری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عقیده دارد قصد مؤلف از انجام دادن اثری، ارائه مطلب و قصه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با بهره‌گیری از مباحث روش‌شناسی اسکینر و تا حدودی روش جامعه‌شناسی معرفت جریان‌های فقهی علمای امامیه که در بردارنده اندیشه‌ها و گرایش‌های سیاسی آنان نیز بود، بررسی شد و این سؤال مطرح شد که مبانی اندیشه و عملکرد سیاسی علمای امامیه 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و تشریح پاسخ این سؤال به زمینه‌های اجتماعی، محیطی و سیاسی و نیززمینه‌های ایدئولوژیک و زبانی اشاره شد که تعامل این دو</w:t>
      </w:r>
    </w:p>
    <w:p>
      <w:pPr>
        <w:pStyle w:val="BookText"/>
        <w:rPr/>
      </w:pPr>
      <w:r>
        <w:rPr>
          <w:rFonts w:ascii="IRNazanin" w:hAnsi="IRNazanin" w:eastAsia="IRNazanin"/>
          <w:color w:val="111111"/>
          <w:sz w:val="28"/>
          <w:sz w:val="28"/>
          <w:szCs w:val="28"/>
          <w:rtl w:val="true"/>
          <w:lang w:bidi="fa-IR"/>
        </w:rPr>
        <w:t>زمینه نقشی اساسی در تولید معنا و تعیین بخشی اندیشه سیاسی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رساله به تفصیل، زمینه‌های محیطی، سیاسی و اجتماعی بغداد و ایران و سپس اوضاع فکری و سیاسی و اجتماعی شیعیان و نقش فضا و بستر هر یک در شکل‌گیری اندیشه سیاسی علما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 در شکل‌گیری اندیشه و عمل سیاسی، زمینه‌های ایدئولوژیک و زبانی است که در فرآیند معنا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و چهارم پایان نامه بر اساس دو فصل پیشین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ایدئولوژی‌های رایج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امامت، تقیه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فقهی علمای شیعه و تفسیر آنان از مفاهیم مطروحه و تأثیر آن بر رفتار سیاسی علما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تولید معنا در تعامل زمینه‌های عملی و ایدئولوژیکی بررسی شد و معنایی که از مفاهیمی همچون مشروعیت، حکومت، همکاری با سلطان جائر و احکام حکومتی که به وسیله‌ی علما استنباط می‌شد، بیان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استدلال و استناداتی که نمایندگان هر دو تفکر درباره‌ی مفاهیم</w:t>
      </w:r>
      <w:bookmarkStart w:id="259" w:name="pg4760_44290"/>
    </w:p>
    <w:p>
      <w:pPr>
        <w:pStyle w:val="BookText"/>
        <w:rPr/>
      </w:pPr>
      <w:bookmarkEnd w:id="259"/>
      <w:r>
        <w:rPr>
          <w:rFonts w:ascii="IRNazanin" w:hAnsi="IRNazanin" w:eastAsia="IRNazanin"/>
          <w:color w:val="111111"/>
          <w:sz w:val="28"/>
          <w:sz w:val="28"/>
          <w:szCs w:val="28"/>
          <w:rtl w:val="true"/>
          <w:lang w:bidi="fa-IR"/>
        </w:rPr>
        <w:t>مطروحه اظهار نمودند، بیانگر ارتباطی بود که معناهای مورد نظر با زمینه‌های یاد شده داشت؛ اما نتیجه‌ی این بررسی‌ها در دو زمینه‌ی اساسی زیر مطرح است</w:t>
      </w:r>
      <w:r>
        <w:rPr>
          <w:rFonts w:eastAsia="IRNazanin" w:cs="IRNazanin"/>
          <w:color w:val="111111"/>
          <w:sz w:val="28"/>
          <w:szCs w:val="28"/>
          <w:rtl w:val="true"/>
          <w:lang w:bidi="fa-IR"/>
        </w:rPr>
        <w:t>.</w:t>
      </w:r>
    </w:p>
    <w:p>
      <w:pPr>
        <w:pStyle w:val="Heading4"/>
        <w:numPr>
          <w:ilvl w:val="3"/>
          <w:numId w:val="1"/>
        </w:numPr>
        <w:rPr/>
      </w:pPr>
      <w:bookmarkStart w:id="260" w:name="__RefHeading___Toc1717487_2035185390"/>
      <w:bookmarkStart w:id="261" w:name="_Toc96"/>
      <w:bookmarkEnd w:id="260"/>
      <w:r>
        <w:rPr>
          <w:rtl w:val="true"/>
        </w:rPr>
        <w:t>نخست</w:t>
      </w:r>
      <w:r>
        <w:rPr>
          <w:rtl w:val="true"/>
        </w:rPr>
        <w:t xml:space="preserve">: </w:t>
      </w:r>
      <w:r>
        <w:rPr>
          <w:rtl w:val="true"/>
        </w:rPr>
        <w:t>پیامدهای آن بر اندیشه سیاسی شیعیان</w:t>
      </w:r>
      <w:bookmarkEnd w:id="2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امامیه پس از غیبت امام دوازدهم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تکیه بر نصوص دینی به ارائه نظریههایی برای اداره جامعه شیعیان در عصر غیبت پرداختند که اگر چه در حفظ و انسجام شیعیان تأثیرگذار بود اما تفاسیری که از مفاهیم مطروحه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تأثیری شگرف در بینش مذهبی شیعیان به ویژه در خصوص زیست سیاسی آنان در عصر غیبت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شیعیان را به سکوت و قعود در برابر ناروایی‌های سیاسی و اجتماعی وا می‌داشت و نتیجه آن بر اذهان و افکار رکود و یأس و انزوا بود و تفسیری که آنان رابه تلاش برای تغییر وضع موجود و اصلاح نابسامانی‌های سیاسی و اجتماعی کشاند و الگویی از نشاط و پویایی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نخست نگاهی متحجرانه و واپس گرایانه داشت و نگاه دوم بدون خوف و هراس به نقد سنت پرداخت و با نگاه نو بدان به فراتر از سنت گام نهاده به سنتزی جدید در حیطه‌ی اندیشه و عمل دست یافت</w:t>
      </w:r>
      <w:r>
        <w:rPr>
          <w:rFonts w:eastAsia="IRNazanin" w:cs="IRNazanin"/>
          <w:color w:val="111111"/>
          <w:sz w:val="28"/>
          <w:szCs w:val="28"/>
          <w:rtl w:val="true"/>
          <w:lang w:bidi="fa-IR"/>
        </w:rPr>
        <w:t>.</w:t>
      </w:r>
      <w:bookmarkStart w:id="262" w:name="pg4760_44291"/>
    </w:p>
    <w:p>
      <w:pPr>
        <w:pStyle w:val="Heading4"/>
        <w:numPr>
          <w:ilvl w:val="3"/>
          <w:numId w:val="1"/>
        </w:numPr>
        <w:rPr/>
      </w:pPr>
      <w:bookmarkStart w:id="263" w:name="__RefHeading___Toc1717489_2035185390"/>
      <w:bookmarkStart w:id="264" w:name="_Toc97"/>
      <w:bookmarkEnd w:id="262"/>
      <w:bookmarkEnd w:id="263"/>
      <w:r>
        <w:rPr>
          <w:rtl w:val="true"/>
        </w:rPr>
        <w:t>دوم</w:t>
      </w:r>
      <w:r>
        <w:rPr>
          <w:rtl w:val="true"/>
        </w:rPr>
        <w:t xml:space="preserve">: </w:t>
      </w:r>
      <w:r>
        <w:rPr>
          <w:rtl w:val="true"/>
        </w:rPr>
        <w:t xml:space="preserve">تأثیرات سیاسی </w:t>
      </w:r>
      <w:r>
        <w:rPr>
          <w:rtl w:val="true"/>
        </w:rPr>
        <w:t xml:space="preserve">- </w:t>
      </w:r>
      <w:r>
        <w:rPr>
          <w:rtl w:val="true"/>
        </w:rPr>
        <w:t>اجتماعی دو تفکر فوق الذکر</w:t>
      </w:r>
      <w:r>
        <w:rPr>
          <w:rtl w:val="true"/>
        </w:rPr>
        <w:t>:</w:t>
      </w:r>
      <w:bookmarkEnd w:id="264"/>
    </w:p>
    <w:p>
      <w:pPr>
        <w:pStyle w:val="BookText"/>
        <w:rPr/>
      </w:pPr>
      <w:r>
        <w:rPr>
          <w:rFonts w:ascii="IRNazanin" w:hAnsi="IRNazanin" w:eastAsia="IRNazanin"/>
          <w:color w:val="111111"/>
          <w:sz w:val="28"/>
          <w:sz w:val="28"/>
          <w:szCs w:val="28"/>
          <w:rtl w:val="true"/>
          <w:lang w:bidi="fa-IR"/>
        </w:rPr>
        <w:t xml:space="preserve">در عصر غیبت فقهای اولیه تفسیری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 حدود و احکامی از قبیل نماز جمعه، جهاد، قضاوت و دیگر اموری که به نظر آنان از وظایف امام معصوم بود،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گرایش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حدودی متأثر از رشد جنبش عقلی و فلسفی در قرن چهارم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آن بر گرایش اهل حدیثی، دوران انزوای فقه سیاسی شیعه به سرآمد و فقهایی همچون شیخ مفید، سید مرتضی و شیخ طوسی با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نظام سیاسی و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نظام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وحدت و امنیت و مصالح عامه و دفع منکر، تحول شگرفی در اندیشه سیاسی امامیه پدید آوردند و فقه شیعه وارد عرصه‌های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تغییرات را در مرحله‌ی اول در ادبیاتی که فقها در فتاوای خود به کار می‌برند، شاهدیم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به تدریج تقید به شرط وجود امام در قضاوت و تنفیذ احکام و آنچه سابق تنها از صلاحیت‌های ویژه امام می‌دانستند، کمرنگ شد و فقیه به نیابت از امام اجازه صدور حکم را در آن زمینه‌ها به خود اختصاص داد؛ تا بدان پایه که بدون مشروع دانستن نظام‌های سیاسی وقت، حیطه‌ی نفوذ خود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فراتر از زعیم سیاسی دانسته، دخالت در سیاست و ورود در دستگاه حاکم در عصر صفویه را حق خود می‌دانست</w:t>
      </w:r>
      <w:r>
        <w:rPr>
          <w:rFonts w:eastAsia="IRNazanin" w:cs="IRNazanin"/>
          <w:color w:val="111111"/>
          <w:sz w:val="28"/>
          <w:szCs w:val="28"/>
          <w:rtl w:val="true"/>
          <w:lang w:bidi="fa-IR"/>
        </w:rPr>
        <w:t>.</w:t>
      </w:r>
      <w:bookmarkStart w:id="265" w:name="pg4760_44293"/>
    </w:p>
    <w:p>
      <w:pPr>
        <w:pStyle w:val="Heading2"/>
        <w:numPr>
          <w:ilvl w:val="1"/>
          <w:numId w:val="1"/>
        </w:numPr>
        <w:rPr/>
      </w:pPr>
      <w:bookmarkStart w:id="266" w:name="__RefHeading___Toc1717491_2035185390"/>
      <w:bookmarkStart w:id="267" w:name="_Toc98"/>
      <w:bookmarkEnd w:id="265"/>
      <w:bookmarkEnd w:id="266"/>
      <w:r>
        <w:rPr>
          <w:rtl w:val="true"/>
        </w:rPr>
        <w:t>فهرست منابع</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آغاجری، سید هاشم، مقاله مبانی رفتار سیاسی عالمان شیعی امامی، یادنامه خاتمی،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فؤاد، الفقیه و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السیاسی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بیروت، دار الکنوز الادبیه،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عبدالرضا، رساله‌ای در تقیه و چند مساله دیگر، چاپ اول، کرمان، سعادت،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علی، الکامل فی التاریخ، ترجمه عباس خلیلی،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تهران، انتشارات علمی،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علی، الکامل فی التاریخ، ترجمه هاشمی حائری،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تهران، انتشارات کتب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الجوزی، لابی الفرج عبدالرحمن‌بن علی بن محمد، المنتظم فی تاریخ الامم،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دراسهْ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و مصطفی عبدالقادر عطا، الطبعة الاولی، بیروت، دار الکتب العلیمه،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العبری، تاریخ المختصر الدول، چاپ اول، صالحانی، بیروت،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براج، المهذب، قم، مؤسسة النشر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محمد بن علی بن طباطبا، تاریخ فخری در آداب ملکداری و دولتهای اسلامی،ترجمه وحید گلپایگانی، چاپ سوم، تهران، علمی و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فندق، ابوالحسن علی بن زید بیهقی، تاریخ بیهق، تصحیح و تعلیقات احمد بهمنیار، چاپ افست مروی،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اسماعیل، البدایة و النهایة،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دار التراث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مسکویه، لابی علی بن احمدبن محمد المعروف بمسکویه، تجارب الامم، الجز الثانی، القاهره، دارالکتب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ابوالفضل، لسان 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چاپ اول، بیروت،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الفهرست، به کوشش رضا تجدد، تهران، چاپخانه مروی،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عماد الدین اسماعیل، المختصر فی اخبار البشر،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مصر، مطبعة الحسینیه المصریه،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هایدگر و پرسش بنیادین، تهران، 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هایدگر و تاریخ هستی، تهران، نشر مرکز،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ادموند با سورث، کلیفورد، تاریخ غزنویان،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حسن انوشه، تهران، مؤسسه‌ی انتشارات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اسکینر، کوئنتین، ماکیاولی، ترجمه عزت اللّه فولادوند، چاپ چهارم، تهران،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اشپولر، برتولد، تاریخ ایران در قرون نخستین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جواد فلاطوری،تهران،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الطالبیین، شرح و تحقیق سید احمد صفر، قم، منشورات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مجموعه 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محمدحسن لطفی تبریزی، تهران، انتشارات خوارزمی،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بحث‌های کلامی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تشیع، ترجمه جمال خوانساری،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حسین زاده، قم، انتشارات مؤمنین،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یوسف بن احمد، الحدائق الناصرة فی احکام العترة الطاهره،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جامعه مدرسین حوزه علمیه قم،</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 المؤتمر العالمی لالفیة الشیخ مفید،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کوشش پژوهشگران گروه فلسفه و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محمود یزدی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اندیشه‌های کلامی شیخ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مشهد، انتشارات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پالمر، ریچارد، علم هرمنوتیک، ترجمه محمدسعید حنایی کاشانی، تهران،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پیرنیا، حسن، عباس اقبال، تاریخ مفصل ایران از اسلام تا قاجاریه،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انتشارات کتابخانه 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 پاشا، احمد، نظرهْ تاریخیهْ فی</w:t>
      </w:r>
    </w:p>
    <w:p>
      <w:pPr>
        <w:pStyle w:val="BookText"/>
        <w:rPr/>
      </w:pPr>
      <w:r>
        <w:rPr>
          <w:rFonts w:ascii="IRNazanin" w:hAnsi="IRNazanin" w:eastAsia="IRNazanin"/>
          <w:color w:val="111111"/>
          <w:sz w:val="28"/>
          <w:sz w:val="28"/>
          <w:szCs w:val="28"/>
          <w:rtl w:val="true"/>
          <w:lang w:bidi="fa-IR"/>
        </w:rPr>
        <w:t xml:space="preserve">حدوث المذاهب الفقیه الارجعه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 المالکی، الشافعی، الحنبی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انتشارها عند جمهور المسلمین، مصر، مطالع دار الکتاب العربی محمد حامی المیناوی،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جعفریان، رسول، تاریخ تشیع در ایران، از آغاز تا قرن دهم هجری،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قم، انتشارات انصاریان،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طاهریان تا غروب خوارزمشاهیان، قم، مؤسسه فرهنگی دانش و اندیشه معاصر،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جاسم، تاریخ سیاسی غیبت امام دوازدهم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ترجمه آیت اللّهی، تهران، انتشارات امیر 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الکافی فی الفقه،تحقیق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اصفهان، منشورات مکتبة الامام امیرالمؤمنین علی العامه،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حلمی، احمد کمال الدین، دولت سلجوقیان، ترجمه و اضافات عبداللّه ناصری طاهری، چاپ اول، قم، پژوهشکده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مطهر، معارج الاصول، قم، مؤسسة آل البیت،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الاحکام فی معرفهًْ الاحکام، محقق سید مهدی الرجائی، بیروت، دارالاضواء،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محمد ابن ادریس ، السرائر،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مؤسسه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یحیی بن سعید، الجامع للشرائع،بیروت، دارالاضواء،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لجنهْ التحقیق، الطبعة الثانیة، الطبع مطبعة مؤسسة النشر الاسلامی،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ایضاح الفوائد فی شرح قواعد، قم، المطبعة العلمیة،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خواندمیر، غیاث الدین بن همام الدین الحسینی، دستور الوزراء، تصحیح و مقدمه سعید نفیسی، تهران، اقبال،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حبیب السیرفی اخبار افراد بشر،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خیام،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تشیع،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تهران، شهید سعید محبی،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حمزة بن عبدالعزیز ابویعلی، المراسم العلویهْ فی الاحتام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الحسینی الامینی، قم، المعونة الثقافیة للجمع العالمی لاهل 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محمدبن احمدبن عثمان، سیر اعلام النبلاء،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بیروت، مؤسسة الرساله،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المفردات فی غریب القرآن،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ابوبکر محمد بن علی، راحهًْ الصدر و آیهًْ السرور، حواشی و تصحیح محمد اقبال، حواشی و فهارس، مجتبی مینول، چاپ دوم، تهران، امیر 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سلومون، رابرت ک، فلسفه اروپایی از نیمه‌ی دوم تا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دهه‌ی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ترجمه محمدسعید حنایی کاشانی؛ تهران، هرمس،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شریف، مرتضی، امامت 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المقنع فی الغیبة، چاپ دوم، قم،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السیف، توفیق، نظریهًْ السلطه فی الفقه الشیعی، الطبعة الاولی، بیروت، المرکز الثقافی فی العربی،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شفق خواتی، محمد، فقیه و حکومت، مجله دانش پژوهان، شماره هفتم،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 اللّه، مجالس المؤمنین،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عبدالکریم بن ابی</w:t>
      </w:r>
    </w:p>
    <w:p>
      <w:pPr>
        <w:pStyle w:val="BookText"/>
        <w:rPr/>
      </w:pPr>
      <w:r>
        <w:rPr>
          <w:rFonts w:ascii="IRNazanin" w:hAnsi="IRNazanin" w:eastAsia="IRNazanin"/>
          <w:color w:val="111111"/>
          <w:sz w:val="28"/>
          <w:sz w:val="28"/>
          <w:szCs w:val="28"/>
          <w:rtl w:val="true"/>
          <w:lang w:bidi="fa-IR"/>
        </w:rPr>
        <w:t xml:space="preserve">بکر احمد، ملل و 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علی مَهنا و علی حسن فاعور، چاپ دوم، دارالمعرفه،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علی بن الحسین بابویه، کمال الدین و تمام النعمهْ، قم، مؤسسة 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محمدبن نعمان، الاختصاص،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منشورات جماعة المدرسین فی الحوزة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الطبعة الثانیة، دارالمفید،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الحیدریه،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اوایل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انصاری، تهران، مطبعة مهر،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قم، موسسه‌ی النشر الاسلامی،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العشرهْ فی الغیبهْ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تاریخ الغیبهْ الصغری، اصفهان، منشورات مکتبة الامام امیر المؤمنین،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اعتقادات، ترجمه محمد علی ابن سید محمد الحسینی قلعه کهنه، به ضمیمه حواشی مفید،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بابویه القمی، المقنع و الهدایهْ، قم، المکتبة الاسلامیة،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 مؤسسه‌ی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سیزدهم، تهران، فردوس،</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نعمت اللّه، نقش تقیه در استنباط، قم، بوستان کتاب انتشارات دفتر تبلیغاتی اسلامی حوزه علمیه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العلامة ابن منصور،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و محمّدهادی،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اسوه، الطبعة الاولی،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شیخ الطائفه محمد بن الحسن، النهایهًْ فی مجرد الفقه و الفتاوی، قم، انتشارات قدس محمدی،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الغیبهْ، به کوشش آقا بزرگ طهرانی، تهران، مکتبة نینوی الحدیثة،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فی مجرد الفقه و الفتاوی، قم، انتشارات قدس محمدی،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خراسانی و نجف،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انتشارات جامعه مدرسین حوزه علمیه‌ی،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الحسینی میلانی، الرسائل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النشر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فی الفقه الامامیه،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تهران، مکتبة المرتضویة،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فی مجرد الفقه و الفتاوی، قم، انتشارات قدس محمدی،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الطهرانی و علی احمد ناصح، مؤسسة المعارف اسلامیة الطبعة</w:t>
      </w:r>
    </w:p>
    <w:p>
      <w:pPr>
        <w:pStyle w:val="BookText"/>
        <w:rPr/>
      </w:pPr>
      <w:r>
        <w:rPr>
          <w:rFonts w:ascii="IRNazanin" w:hAnsi="IRNazanin" w:eastAsia="IRNazanin"/>
          <w:color w:val="111111"/>
          <w:sz w:val="28"/>
          <w:sz w:val="28"/>
          <w:szCs w:val="28"/>
          <w:rtl w:val="true"/>
          <w:lang w:bidi="fa-IR"/>
        </w:rPr>
        <w:t xml:space="preserve">الثانیة،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تلخیص الشافی،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تصحیح سید حسین بحر العلوم، قم، دارالکتب الاسلامیة،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تمهید الاصول فی علم الکلام،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مجید، تاریخ عمومی حدیث، تهران، انتشارات کویر،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الشیعهْ، تهران، مکتبة الاسلامیة،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شیخ حر، تفصیل وسائل الشیعه الی تحصیل مسائل الشریعهْ،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مؤسسه‌ی آل البیت،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جمال الدین الحسن بن یوسف، ارشاد الاذهان الی احکام الادیان،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فارس الحسون، بیروت، مؤسسه‌ی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تبصرهْ 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الحسینی، هادی الیوسفی،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الاعلمی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قواعد الاحکام فی معرفهْ الحلال و الحرام،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مختلف الشیعهْ فی احکام الشریعهًْ باب امر به معروف و نهی از منکر، همدان، مکتبة نینوی الحدیثة،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الاحکام فی معرفهْ الاحکام،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الرجایی، بیروت، دارالاضواء،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الذریعهْ الی اصول الشیعهْ، به کوشش ابوالقاسم گرجی، تهران، انتشارات دانشگاه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رسائل، اعداد سید مهدی رجایی،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مطبعة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علوی‌نیا، سهراب، معرفت‌شناسی ریاضی، ویتگنشتاین و کواین، تهران، نیلوفر،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فروند، ژولین، نظریه‌های مربوط به علوم انسانی، علی‌محمد کاردان، تهران، نشر دانشگاهی،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فقیهی، علی اصغر، آل بویه و اوضاع زمان ایشان، تهران، انتشارات صبا،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برایان، فلسفه امروزین علوم اجتماعی، ترجمه خشایار دیهیمی، تهران،طرح 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فیرحی، داود، نظام سیاسی و دولت در اسلام،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حاتم، اندیشه‌های سیاسی در اسلام و ایران، چاپ اول، قم، 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رازی، نصیر الدین ابوالرشید عبدالجلیل، نقض، بعض مثالب النواصب فی تفض بعض فضائح الروافض، تصحیح جلال الدین محدث، تهران،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یحیی بن عبداللطیف، لب التواریخ، انتشارات بنیاد گویا،</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بن حسن، تاریخ قم، ترجمه حسن بن حسن بن عبدالملک قمی،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نعمانی، ابو عبداللّه محمد بن ابراهیم، کتاب الغیبهْ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الکاتب، احمد، تطور الفکر السیاسی الشیعی من الشوری الی الولایهْ الفقیه، الطبعة الاولی، بی جا، دار الشوری، للدراسات و الاعلام،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کاهن، کلود، درآمدی بر تاریخ اسلام در قرون وسطی، ترجمه اسدالله علوی، مشهد،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 مفیزالله، افشار، مهدی ، آل بویه در بغداد، چاپ اول، تهران، رفعت،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کدیور، محسن، حکومت ولایی، چاپ دوم، تهران، نشر 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نظریه‌های دولت در فقه شیعه، تهران، نشر 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کربلایی پازوکی، علی، اندیشه‌های سیاسی شیعه در عصر غیبت، قم، دفتر نشر 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کرمر، جوئل ل، احیای فرهنگی در عهد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انسان‌گرایی در عصر 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سعید حنایی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زنجانی اصل، محمد، امامیه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سده‌های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نشر 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بن عبدالعزیز، اختیار معرفهْ الرجال، به کوشش حسن مصطفوی،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کلوزنر، کارلا، دیوان سالاری در عهد سلجوقی، ترجمه یعقوب آژند،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لمبتون، دولت و حکومت در اسلام، ترجمه سید عباس صالحی و محمد مهدی فقیهی، چاپ اول، تهران، نشر عروج،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لیلهْ، محمد کامل، النظم السیاسیهْ، بیروت، دارالنهضة العربیة،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الشیخ محمدباقر، بحارالانوار، الجزء الثالث والخمسون،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ابوالقاسم جعفر بن حسن، المختصر النافع، با مقدمه محمد تقی قمی، قاهره، دارالکتاب العربی،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حسین، مکتب در فرایند تکامل، ترجمه هاشم ایزدپناه، امریکا، نیوجرسی، نشر داروین،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ظهیر الدین، تاریخ طبرستان و رویان و مازندران، به اهتمام بر نهارد دارن، مقدمه یعقوب آژند، تهران، چاپ دنیا،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مروج الذهب، ترجمه ابوالقاسم پاینده،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 تهران، شرکت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مصنفات الشیخ مفید، التذکرهْ باصول الفقه،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المؤتمر العالمی لالفیة الشیخ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مصنفات شیخ مفید، المسائل السرویهْ شیخ مفید،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المؤتمر العالمی لالفیة الشیخ المفید،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لوئیس، المنجد فی اللّغهْ، تهران، انتشارات پیراسته،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الرسالة الاولی حول الغیبهْ من عدهْ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 موت، مارتین، اندیشه‌های کلامی شیخ مفید، ترجمه احمد آرام، تهران، انتشارات مطالعات اسلامی دانشگاه مک گیل، شعبه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مبانی فقهی حکومت اسلامی، ترجمه و تقریر محمود صلواتی،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کیهان،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 آدام، تمدن اسلامی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ذکاوتی قراگزلو، چاپ دوم، تهران، سپهر،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النجاشی، ابوالعباس احمد بن علی بن احمد بن العباس الاسدی الکوفی، رجال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موسی، تأملات سیاسی در تاریخ تفکر اسلامی، چاپ اول، تهران، پژوهشگاه علوم انسانی و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الملک، ابوعلی حسن بن علی بن اسحاق طوسی، سیاستنامه، تصحیح عباس اقبال، تهران، چاپخانه مجلس،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معروف به شیخ مفید، کتاب الغیبهْ،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المقنعهْ، قم، مؤسسه‌ی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الشیعهًْ، چاپ دوم، بیروت، منشورات دارالاضواء،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العمیدی، ثامر، تقیه از دیدگاه مذاهب و فرقه‌های اسلامی غیر شیعی، ترجمه محمد صادق عارف، مشهد، بنیاد پژوهش‌های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رضا قلی خان، روضهًْ الصفاء،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مرکزی،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هکر، پیتر، ماهیت بشر از دیدگاه ویتگنشتاین، ترجمه سهراب علوی‌نیا،تهران، نشر هرمس،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رشید الدین فضل اللّه، جامع التواریخ، تصحیح محمد روشن و مصطفی موسوی، تهران، نشر البرز،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محمدتقی فاضل میبدی، مؤسسه معارف اسلامی امام رضا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مطلق، محمود، اندیشه‌های کلامی شیخ طوسی، مشهد، دانشگاه علوم اسلامی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احمدبن ابی یعقوب ابن واضح، تاریخ یعقوبی، محمدابراهیم آیتی،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هفتم، تهران،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اشکوری، حسن، اندیشه‌های سیاسی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فرهنگ و تاریخ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سعید محبی،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شیعه در دوران حضور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اصحاب و شاگردان ائمه خوانده می‌شدند، مانند کمیل بن زیاد، ابی حمزه ثمالی، زرارهْ بن اعین، علی بن یقطین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علما در این نوشتار دانشمندان دین شناس شیعه در دوران غیبت کبرا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استراتوژی خاص جهت تدبیر مسائلی چون سیاست، اجتماع، اقتصاد و فرهنگ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فرایند واقدامات راهبردی که به ایجاد تشخص وتمایز، برای حفظ اصالت، ویژگی‌ها، عقایدوجایگاه فرد، افراد ویا مکتبی به‌کار بسته می‌شود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انسجام بخشی، همان حفظ و تقویت هویت ایجاد شده و غنا بخشی واستحکام ساختار آن هویت با اتخاذ راهبردهایی علمی، فرهنگی و</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راهکار، طرح عملیاتی دراز مدتی است که برای دستیابی به یک هدف مشخص طراحی و بر اساس نظام ارزشی خاصی ساماندهی گردد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حر عاملی،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ابوالفضل 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تحقیق علی شیری، چاپ اول، بیروت، داراحیاء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نقش تقیه در استنباط، قم، بوستان کتاب انتشارات دفتر تبلیغات اسلامی حوزه علمیه،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اول، تهران، شهید سعید محبی،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ابوالفضل ابن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تحقیق علی شیری، چاپ اول، بیروت، دارالحیاء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کربلایی پازوکی، اندیشه‌های سیاسی شیعه در عصر غیبت، قم، دفتر نشر 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Hermeneuein</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Hermeneia</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پالمر، علم هرمنوتیک، ترجمه محمدسعید حنایی کاشانی، تهران، هرمس،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محمدحسن لطفی تبریزی، تهران، انتشارات خوارزمی،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Braian Fay</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برایان فی، فلسفه امروزین علوم اجتماعی، ترجمه خشایار دیهیمی، تهران، طرح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Quenttin skinner, meaning and context, edited by james Tully, princeton university press, new jersey, 1988 .pp 15 -14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Tractatus Logico – philosephicus</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سلومون، فلسفه اروپایی از نیمه‌ی دوم تا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واپسین دهه‌ی قرن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ترجمه محمدسعید حنایی کاشانی؛ تهران، هرمس،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philosophical Investigations</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Intersubjectively</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هکر، ماهیت بشر از دیدگاه ویتگنشتاین،ترجمه سهراب علوی‌نیا، تهران، نشر هرمس،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سهراب علوی‌نیا، معرفت‌شناسی ریاضی، ویتگنشتاین و کواین، تهران، نیلوفر،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هایدگر و پرسش بنیادین، تهران، نشر مرکز،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What is called thinking</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هایدگر و تاریخ هستی، تهران، نشر مرکز،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ژولین فروند، نظریه‌های مربوط به علوم انسانی، علی‌محمد کاردان، تهران، نشر دانشگاهی،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کوئنتین اسکینر، ماکیاولی، ترجمه عزت اللّه فولادوند، چاپ چهارم، تهران، طرح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Prince</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Discoursi</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کوئنتین اسکینر، ماکیاولی،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Fortune</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کوئنتین اسکینر، ماکیاولی، پیشین،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جمیز تولی، روش‌شناسی اسکینر در تحلیل اندیشه سیاسی، ترجمه غلامرضا بهروزلک، فصلنامه علوم سیاسی، شماره هفتم،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آل بویه و اوضاع زمان ایشان، تهران، انتشارات صبا،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الفرج عبدالرحمن‌بن علی بن محمد ابن الجوزی، المنتظم فی تاریخ الامم،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دراسة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عبدالقادر و مصطفی عبدالقادر عطا، الطبعة الاولی، بیروت، دار الکتب العلمیّة،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مفیزالله کبیر، مهدی افشار، آل بویه در بغداد، چاپ اول، تهران، رفعت،</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ترجمه علی هاشمی حائری، تهران، شرکت انتشارات سهامی چاپ کتب ایران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آل بویه،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مفیز الله کبیر، مهدی افشار، آل بویه در بغداد،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ترجمه علی هاشمی حائری،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کلودکاهن، درآمدی بر تاریخ اسلام در قرون وسطی، ترجمه اسدالله علوی، مشهد،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کلودکاهن، آل بویه به نقل از احیای فرهنگی در عهد آل بویه، 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کرمر، محمدسعید حنایی کاشانی،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کرمر، احیای فرهنگی در عهدآل بویه، انسان گرایی در عصر رنسانس، ترجمه‌ی محمد سعید حنایی کاشانی،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علی بن احمدبن محمدالمعروف بمسکویه، تجارب الامم، الجز الثانی، القاهره، دارالکتب الاسلامی، بی‌تا،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کرمر، احیای فرهنگی در عهد آل بویه، محمدسعید حنایی کاشانی،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التواریخ،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ترجمه علی هاشمی حائری،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شرکت سهامی چاپ انتشارات کتب ایران،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 بیهقی، ابن خندق، تاریخ بیهقی، تصحیح و تعلیقات احمد بهمنیار، چاپ افست مروی، بی جا، بی تا،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ادموند، با سورث تاریخ غزنویان، ، حسن انوشه،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دوم، امیرکبیر،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قم، انتشارات انصاریان،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پیرنیا، عباس اقبال، تاریخ مفصل ایران از اسلام تا قاجاریه،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انتشارات کتابخانه خیام،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ترجمه علی هاشمی حائری،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کارلاکلوزنر، دیوان سالاری در عهد سلجوقی، یعقوب آژند، چاپ اول، تهران، 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بنداری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الفرج عبدالرحمن بن علی بن محمد ابن الجوزی، المنتظم فی تاریخ الامم،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از طلوع طاهریان تا غروب خوارزمشاهیان، قم، مؤسسه فرهنگی دانش و اندیشه معاصر،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العبری، تاریخ المختصر الدول، چاپ اول، صالحانی، بیروت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گشای جوینی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ابی یعقوب ابن واضح یعقوبی، تاریخ یعقوبی، محمدابراهیم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هفتم، تهران،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جعفرمحمدبن الحسن بن الطوسی، اختیار معرفة الرجال رجال کشی، به کوشش حسن مصطفوی،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سیدمحمدتقی آیت اللّهی، تهران، انتشارات 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محمدصدر، تاریخ الغیبة الصغری، اصفهان، منشورات مکتبة الامام امیر المؤمنین، بی‌تا،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کریمی زنجانی اصل، امامیه و سیاست، چاپ اول،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به کوشش رضا تجدد، تهران،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موسی بن بابویه شیخ صدوق، کمال الدین و تمام النعمة،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آل بویه و اوضاع زمان ایشان،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الفرج عبدالرحمن بن علی بن محمد، المنتظم فی تاریخ الامم و الملوک،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دراسته و تحقیق، محمد عبدالقادر و مصطفی عبدالقادر عطا، الطبعة الاولی، بیروت، دارالکتب العلمیه،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کثیر الدمشقی، البدایة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بیروت، دار التراث العربی،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الفتح محمد بن عبدالکریم بن ابی بکر احمد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مَهنا و علی حسن فاعور، بیروت، دارالمعرفه،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کلیفورد ادموند با سورث، تاریخ غزنویان،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حسن انوشه، تهران، مؤسسه‌ی انتشارات امیرکبیر،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 بیهقی، ابن فندق، تاریخ بیهقی، تصحیح و تعلیقات احمد بهمنیار، چاپ افست مروی، بی جا، بی تا،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ترجمه‌ی هاشمی حائری،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شرکت سهامی، چاپ انتشارات کتب ایران،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کمال الدین حلمی، دولت سلجوقیان، ترجمه و اضافات عبداللّه ناصری طاهری، چاپ اول، قم، پژوهشکده حوزه و دانشگاه،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بن همام الدین خواندمیر، دستور الوزراء، تصحیح و مقدمه سعید نفیسی، تهران، اقبال،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کتابفروشی 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ترجمه هاشمی حائری،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تهران، شرکت سهامی چاپ انتشارات کتب ایران،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علی راوندی، راحة الصدر و آیة السرور، حواشی و تصحیح محمد اقبال، حواشی و فهارس، مجتبی مینوی، چاپ دوم، تهران، امیر 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صفا، تاریخ ادبیات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سیزدهم، تهران، فردوس،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پژوهشگران گروه فلسفه و کلام اسلامی زیر نظر محمود یزدی مطلق، اندیشه‌های کلامی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مشهد، انتشارات آستان قدس رضوی،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علی راوندی، راحة الصدور و آیة السرور،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کارلا کلوزنر، دیوان سالاری در عهد سلجوقی، ترجمه یعقوب آژند، تهران، امیر کبیر،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طباطبا ابن طقطقی، تاریخ فخری در آداب ملک داری و دولت‌های اسلامی، ترجمه محمود وحید گلپایگانی، چاپ سوم، تهران، علمی و فرهنگی،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حسن بن علی بن اسحاق طوسی نظام الملک، سیاستنامه، تصحیح عباس اقبال، تهران، چاپخانه مجلس،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ابوالرشید عبدالجلیل قزوینی رازی، نقض، بعض مثالب النواصب فی تفض بعض فضائح الروافض، تصحیح جلال الدین محدث، تهران، انجمن آثار ملی،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مرعشی، تاریخ طبرستان و رویان و مازندران، به اهتمام بر نهارد دارن، مقدمه یعقوب آژند، تهران، چاپ دنیا،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بن همام الدین، خواند میر، دستور الوزراء،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کتابفروشی 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ترجمه هاشمی حائری،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تهران، انتشارات کتب ایران،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اسماعیل ابوالفداء، المختصر فی اخبار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مصر، مطبعة الحسینیه المصریه، بی تا،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ترجمه علی هاشمی حائری،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تهران، شرکت چاپ انتشارات کتب ایران،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طباطبا ابن طقطقی، تاریخ فخری در آداب ملکداری و دولتهای اسلامی،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همام الدین الحسینی خواندمیر، تاریخ حبیب السیر فی اخبار افراد 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خیام، بی تا،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فضل اللّه همدانی، جامع التواریخ، تصحیح محمد روشن و مصطفی موسوی، تهران، نشر البرز،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فضل اللّه همدانی، جامع التواریخ،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محمدتقی آیت اللّهی، تهران، انتشارات امیر 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تاریخ الغیبة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اصفهان، منشورات مکتبة الامام المؤمنین، بی‌تا،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تاریخ الغیبة الکبری،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الغیبة، تهران، دارالکتب اسلامیه،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محمدباقر مجلسی، بحارالانوار، الجزء الثالث والخمسون،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ابن منصور الطبرسی، الاحتجاج،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بهادری و محمّدهادی،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اسوه، الطبعة الاولی،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موسی نوبختی، فرق الشیعة، چاپ دوم، بیروت، منشورات دارالاضواء،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نعمانی، کتاب الغیبة،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اسلامیه،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آغاجری، مقاله مبانی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سیاسی عالمان شیعی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خاتمی، مجموعه مقالات، به اهتمام محمدتقی فاضل میبدی، مؤسسه معارف اسلامی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فرایند تکامل، ترجمه هاشم ایزدپناه، امریکا، نیوجرسی، نشر داروین،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الحسن بن الطوسی، اختیار المعرفة الرجال، تصحیح و مقدمه حسن المصطفوی، مشهد، دانشگاه مشهد،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بن حسن قمی، تاریخ قم، ترجمه حسن بن حسن بن عبدالملک قمی، تصحیح و تحشیه جلال الدین طهرانی،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حسین مسعودی، مروج الذهب، ترجمه ابوالقاسم پاینده،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 تهران، شرکت انتشارات علمی و فرهنگی،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ابوالقاسم پاینده، چاپ دوم، بی‌جا، اساطیر،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شرح و تحقیق سید احمد صفر، قم، منشورات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فرایند تکامل، ترجمه هاشم ایزد پناه،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صفحات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صفحات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شیخ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فرایند تکامل،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آیت اللّهی، تهران، انتشارات امیر کبیر،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بابویه شیخ صدوق، کمال الدین و تمام النعمة، قم، مؤسسه نشر الاسلامی،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تهران، مکتبة الاسلامیة،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کریمی زنجانی اصل، امامیه و سیاست در نخستین سده‌های غیبت، چاپ اول، تهران، نشر 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صححه و علق علیه علی اکبر غفاری، تهران، مکتبة الصدوق،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احمدکاتب، تطوّر الفکر السیاسی الشیعی من الشوری الی ولایة الفقیه،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عارف، تاریخ عمومی حدیث، تهران، انتشارات کویر،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تفصیل وسائل الشیعة الی تحصیل مسائل الشریعة،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القضاء، قم، مؤسسه آل البیت،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المسائل السرویة شیخ 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قم، المؤتمر العالمی لالفیة الشیخ المفید،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 بن علی بن احمد بن العباس النجاشی الاسدی الکوفی، رجال نجاشی، تحقیق السید موسی الشبیری الزنجانی،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کاتب، تطور الفکر السیاسی الشیعی من الشوری الی ولایة الفقیه، الطبعة الاولی، دارالشوری للدراسات والاعلام،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مفید، التذکرة باصول الفقه،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المؤتمر العالمی لالفیة الشیخ مفید،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بغدادی، شیخ مفید، تصحیح الاعتقاد، الموتمر العالمی لالفیة الشیخ مفید،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کاتب، تطور الفکر السیاسی من الشوری الی ولایة الفقیة، الطبعة الاولی، دار الشوری للدراسات و الاعلام،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الذریعة الی اصول الشیعة، به کوشش ابوالقاسم گرجی، تهران، انتشارات دانشگاه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حلی، المحقق، لجنة التحقیق، الطبعة الثانیة، الطبع مطبعه مؤسسة النشر الاسلامی،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حلی، معارج الاصول، قم، مؤسسة آل البیت، چاپ اول،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الذریعه الی اصول الشیعه،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احمد البحرانی، الحدائق الناصرة فی احکام العترة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جامعه مدرسین حوزه علمیه قم، بی‌تا،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فرایند تکامل، ترجمه هاشم ایزد پناه،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به نقل از حسین مدرس طباطبایی، مکتب در فرآیند تکامل،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شرح و تحقیق، سید احمد صفر، قم، منشورات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الحیدریه،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الغیبه،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فرآیند تکامل،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تمام النعمة،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مکتب در فرآیند تکامل،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عبدالکریم بن ابی بکر احمد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مَهنا و علی حسن فاعور، چاپ دوم، دارالمعرفة، بیروت،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ابراهیم کاتب نعمانی، کتاب الغیبة ابن ابی زینب، تصحیح علی اکبر غفاری،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قادری، اندیشه‌های سیاسی در اسلام و ایران، چاپ اول، قم، انتشارات سمت،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حکومت ولایی، چاپ دوم،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تمهید الاصول فی علم الکلام، تهران، دانشگاه تهران، 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عبدالعزیز کشی، اختیار معرفة الرجال، به کوشش حسن مصطفوی،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زینب النعمانی، الغیبه،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روایات منقول از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اعتقادات، ترجمه محمد علی ابن سید محمد الحسینی قلعه کهنه، به ضمیمه حواشی مفید، چاپ چهارم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التضع و الهدایة، صححه محمد بن مهدی الواعظ الخراسانی، تهران، مکتبة الصدوق،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الرسالة الاولی حول الغیبة من عدة الرسائل،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الشافی فی الامامة،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مؤسسة الصادق، چاپ دوم،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تصحیح سید حسین بحر العلوم، قم، دارالکتب الاسلامیه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الالفین فی امامة امیر المؤمنین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مؤسسة الاعلمی للمطبوعات، چاپ سوم،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الالفین،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معلوف، المنجد فی اللّغة، تهران، انتشارات پیراسته،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بیروت، دارالمعرفة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یزدی مطلق، اندیشه‌های کلامی شیخ طوسی، مشهد، دانشگاه علوم اسلامی رضوی،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ثامر هاشم العمیدی، تقیه از دیدگاه مذاهب و فرقه‌های اسلامی غیر شیعی، ترجمه محمد صادق عارف، مشهد، بنیاد پژوهش‌های اسلامی آستان قدس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المقنع و الهدایة، صححه محمد بن مهدی الواعظ الخراسانی، طهران، مکتبة الاسلامیة،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اوایل المقالات، تحقیق شیخ ابراهیم انصاری، تهران، مطبعة مهر،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تصحیح سید حسین بحر العلوم، قم، دارالکتب الاسلامیه،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الطوسی، تفسیر 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مکتب الاعلام الاسلامی،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ابراهیمی، رساله‌ای در تقیه و چند مساله دیگر، چاپ اول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ذکاوتی قراگزلو، چاپ دوم، تهران، سپهر،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جواد فلاطوری، تهران،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مفیز الله کبیر و مهدی افشار، آل بویه در بغداد، چاپ اول،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ارجاعات بحث انتظار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شفق خواتی، فقیه وحکومت، مجله دانش پژوهان، شماره هفتم،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صححه و علق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منشورات جماعة المدرسین فی الحوزة العلمیة، بی‌تا،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شفق خواتی، فقیه وحکومت، مجله دانش پژوهان، شماره هفتم،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لیلة، النظم السیاسیة، بیروت، دارالنهضة العربیة،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الشافی فی الامامة،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مؤسسة الصادق، چاپ دوم،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السلطه فی الفقه الشیعی، الطبعة الاولی، بیروت، المرکز الثقافی فی العربی،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تأملات سیاسی در تاریخ تفکر اسلامی، چاپ اول، تهران، پژوهشگاه علوم انسانی و مطالعات فرهنگی،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 کلامی شیخ مفید، ترجمه الفصول المختاره، دفاع از تشیّع، ترجمه جمال خوانساری، تصحیح صادق حسین زاده، قم، انتشارات مؤمنین،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فیرحی، نظام سیاسی و دولت در اسلام، تهران، سازمان مطالعه و تدوین کتب علوم انسانی دانشگاه‌ها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ابراهیم، الفقیه و الدولة الفکر السیاسی الشیعی، الطبعة الاولی، بیروت، در الکنوز الادبیة،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 اشکوری، اندیشه‌های سیاسی شیعه، در تشیع سیری در فرهنگ و تاریخ شیعه، تهران، نشر سعید محبی،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الغیبة،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به کوشش رضا تجدد، تهران، چاپخانه مروی، بی‌تا،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علی بن بابویه، شیخ صدوق، کمال الدین و تمام النعمة، به کوشش حسین اعلمی، بیروت، مؤسسه الاعملی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نظریه‌های دولت در فقه شیعه، تهران، نشر نی،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محمد بن الحسن طوسی، الغیبة، تحقیق عبادا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الطهرانی و علی احمد ناصح، مؤسسة المعارف اسلامیة الطبعة الثانی،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السلطة فی الفقه الشیعی،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اعداد، سید مهدی رجایی،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مطبعة سید الشهداء،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الطوی، النهایه فی مجرد الفقه و الفتاوا، قم، انتشارات قدس محمدی، بی‌تا،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از شیخ صدوق، فصول العشرة فی الغیبة از شیخ مفید، کتاب الغیبة، شیخ طوسی و</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مقدمه‌ی مصحح،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فصول العشرة فی الغیبة،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الغیبة شیخ طوسی،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السلطة فی الفقه الشیعی،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محمد بن الحسن الطوسی، کتاب الغیبه، مؤسسه‌ی اهل البیت،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لمبتون، دولت و حکومت در اسلام، ترجمه سید عباس صالحی و محمد مهدی فقیهی، چاپ اول، تهران،نشر عروج،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الطائفه، محمد بن الحسن الطوسی، کتاب الغیبة، به کوشش آقا بزرگ طهرانی، تهران، مکتبة نینوی الحدیثة،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السلطة فی الفقه الشیعی،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القمی، الصدوق، المقنع و الهدایة، قم، المکتبة الاسلامیة،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المقنعة، الطبعة الثانیة، دارالمفید،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السلطة فی الفقه الشیعی،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المقنعه،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نظریه السلطه فی الفقه الشیعی،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القمی، مَن لا یحضره الفقیه، تصحیح علی اکبر غفاری،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مؤسسه‌ی نشر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السیف، نظریة السلطة فی الفقه الشیعی،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الطائفة، محمد بن الحسن الطوسی، النهایة فی مجرد الفقه و الفتاوی، قم، انتشارات قدس محمدی، بی‌تا،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لمبتون، دولت و حکومت در اسلام، ترجمه سید عباس صالحی و محمد مهدی فقیهی، چاپ اول، تهران، مؤسسه‌ی چاپ و نشر عروج،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اثیر، الکامل فی التاریخ، ترجمه عباس خلیلی،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تهران، انتشارات علمی،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تیمور پاشا، نظرة تاریخیة فی حدوث المذاهب الفقیة الاربعة الحنفی المالکی الشافعی الحنبلی و انتشارها عند جمهور المسلمین، مصر، مطالع دار الکتاب العربی محمد حامی المیناوی،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المقنعة، قم مؤسسة النشر 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اوائل المقالات،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انصاری، مطبعة مهر،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مکدر موت، اندیشه‌های کلامی شیخ مفید، ترجمه احمد آرام، تهران، انتشارات مطالعات اسلامی دانشگاه مک گیل، شعبه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فی معرفة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مکدر موت، اندیشه کلامی شیخ مفید، ترجمه احمد آرام، تهران، انتشارات مطالعات اسلامی دانشگاه مک گیل، شعبه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طوسی، الاقتصاد الهادی الی طریق الرشاد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الکاتب، تطور الفکر السیاسی الشیعی من الشوری الی الولایة الفقیه، الطبعة الاولی، بی جا، دار الشوری، للدراسات و الاعلام،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شریف مرتضی، امامت و غیبت از دیدگاه علم کلام، ترجمه المقنع فی الغیبة،چاپ دوم، قم، زمستان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مؤسسه النشرالاسلامی،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ادریس حلی،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مؤسسة النشر الاسلامی،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الشیعة فی احکام الشریعة؛ باب امر به معروف و نهی از منکر، همدان، مکتبة نینوی الحدیثة،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الحسن بن یوسف، علامه حلی،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احکام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احمد الحسینی، هادی الیوسفی،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مؤسسة الاعلمی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امر به معروف و نهی از منکر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قم، موسسة النشر الاسلامی،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الحسن الطوسی، النهایة فی مجرد الفقه و الفتاوی، قم، انتشارات قدس محمدی، بی تا،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الکاتب، تطور الفکر السیاسی الشیعی من الشوری الی الولایة الفقیه،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معروف به شیخ مفید، المقنعة، قم، مؤسسة النشر الاسلامی،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یوسفی اشکوری، اندیشه‌های سیاسی شیعه از کتاب سیری در فرهنگ و تاریخ شیعه،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الخلاف، تحقیق و تعلیق، شهرستانی، خراسانی و 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جامعه مدرسین حوزه علمیه‌ی قم،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المبسوط فی الفقه الامامیه،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صححه و علق علیه محمد الباقر البهبودی، تهران، مکتبه المرتضویه، بی‌تا،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میلانی، الرسائل العشر الجمل و العقود، قم، مؤسسه النشر الاسلامی، بی‌تا،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حلبی، الکافی فی الفقه،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اصفهان، منشورات مکتبة الامام امیرالمؤمنین علی العامة،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ابویعلی حمزة بن عبدالعزیز دیلمی، المراسم العلویة فی الاحکام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الحسینی الامینی، قم، المعاونة الثقافیة للمجمع العالمی لاهل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عبدالعزیز بن البراج الطرابلسی،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الکتاب، تطور الفکر السیاسی الشیعی من الشوری الی ولایة الفقیه،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مؤسسه‌ی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جعفر بن حسن محقق حلی، المختصر النافع، با مقدمه محمد تقی قمی، قاهره، دارالکتاب العربی،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علامه‌ی حلی، تحریر الاحکام فی معرفة الاحکام، محقق سید مهدی الرجایی، بیروت،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همو، مختلف الشیعة،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قم، مؤسسه‌ی النشر الاسلامی،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کوشش محمد تقی کشفی، تهران، مکتبة المرتضویة،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النهایة فی مجرد الفقه و الفتاوی، قم، انتشارات قدس محمدی، بی‌تا،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عبدالعزیز ابویعلی دیلمی سلاّر، المراسم العلویة فی الاحتام النبویة، تحقیق سید محسن الحسینی الامینی، قم، المعاونیة الثقافیة للجمع العالمی لاهل البیت،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حلی، السرائر، قم، مؤسسه‌ی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حلی، الجامع للشرائع، بیروت،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بن مطهر حلی، تحریر الاحکام فی معرفة الاحکام، محقق سید مهدی الرجائی، بیروت،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یوسف الحلی، الایضاح الفوائد،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الدروس الشرعیة فی فقه الامامیة،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مؤسسهی انتشارات اسلامی وابسته به جامعه‌ی مدرسین حوزه علمیه قم، بی‌تا،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العاملی، تفصیل وسائل الشیعة الی تحصیل مسائل الشریعة،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مؤسسه‌ی آل البیت،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منتظری، مبانی فقهی حکومت اسلامی، ترجمه و تقریر محمود صلواتی،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کیهان،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المقنعة، قم، موسسه‌ی النشر الاسلامی،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الکتاب، تطور الفکر السیاسی الشیعی، الطبعة الاولی، بی‌جا، دارالشوری للدراسات و الاعلام،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الحسن شیخ طوسی، النهایة فی مجرد الفقه و الفتاوی، قم، انتشارات قدس محمدی، بی‌تا،صص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حلبی، الکافی فی الفقه، تحقیق رضا استادی، اصفهان، منشورات مکتبة الامام امیرالمؤمنین علی العامة،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المهذب،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مسعود ابن ادریس حلی،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مؤسسه‌ی النشر الاسلامی،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ارشاد الاذهان الی احکام الادیان،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فارس الحسون، بیروت، مؤسسه‌ی النشر الاسلامی،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50588</Words>
  <Characters>205145</Characters>
  <CharactersWithSpaces>253751</CharactersWithSpaces>
  <Paragraphs>2482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2026-08-18T20:02:27Z</dcterms:created>
  <dc:creator>ghaemiyeh.com</dc:creator>
  <dc:description/>
  <dc:language>en-US</dc:language>
  <cp:lastModifiedBy/>
  <dcterms:modified xsi:type="dcterms:W3CDTF">2026-08-18T23:32:34Z</dcterms:modified>
  <cp:revision>1</cp:revision>
  <dc:subject/>
  <dc:title>مبانی رفتار و اندیشه سیاسی علمای امامیه از غیبت کبرا تا حمله ی مغول</dc:title>
</cp:coreProperties>
</file>

<file path=docProps/custom.xml><?xml version="1.0" encoding="utf-8"?>
<Properties xmlns="http://schemas.openxmlformats.org/officeDocument/2006/custom-properties" xmlns:vt="http://schemas.openxmlformats.org/officeDocument/2006/docPropsVTypes"/>
</file>