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استاد محسن فقیهی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104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6106_2035185390">
            <w:r>
              <w:rPr>
                <w:webHidden/>
                <w:rStyle w:val="IndexLink"/>
                <w:rtl w:val="true"/>
              </w:rPr>
              <w:t>مرور مباحث گذشته</w:t>
            </w:r>
            <w:r>
              <w:rPr>
                <w:rStyle w:val="IndexLink"/>
                <w:rtl w:val="true"/>
              </w:rPr>
              <w:t>/</w:t>
            </w:r>
            <w:r>
              <w:rPr>
                <w:rStyle w:val="IndexLink"/>
                <w:rtl w:val="true"/>
              </w:rPr>
              <w:t>غناء</w:t>
            </w:r>
            <w:r>
              <w:rPr>
                <w:rStyle w:val="IndexLink"/>
                <w:rtl w:val="true"/>
              </w:rPr>
              <w:t>/</w:t>
            </w:r>
            <w:r>
              <w:rPr>
                <w:rStyle w:val="IndexLink"/>
                <w:rtl w:val="true"/>
              </w:rPr>
              <w:t xml:space="preserve">مكاسب محرمّه؛ </w:t>
            </w:r>
            <w:r>
              <w:rPr>
                <w:rStyle w:val="IndexLink"/>
              </w:rPr>
              <w:t>96/07/15</w:t>
            </w:r>
            <w:r>
              <w:rPr>
                <w:rStyle w:val="IndexLink"/>
                <w:rtl w:val="true"/>
              </w:rPr>
              <w:tab/>
            </w:r>
            <w:r>
              <w:rPr>
                <w:rStyle w:val="IndexLink"/>
              </w:rPr>
              <w:t>5</w:t>
            </w:r>
          </w:hyperlink>
        </w:p>
        <w:p>
          <w:pPr>
            <w:pStyle w:val="Contents2"/>
            <w:tabs>
              <w:tab w:val="clear" w:pos="8743"/>
              <w:tab w:val="right" w:pos="9026" w:leader="dot"/>
            </w:tabs>
            <w:rPr/>
          </w:pPr>
          <w:hyperlink w:anchor="__RefHeading___Toc296108_2035185390">
            <w:r>
              <w:rPr>
                <w:webHidden/>
                <w:rStyle w:val="IndexLink"/>
                <w:rtl w:val="true"/>
              </w:rPr>
              <w:t>حكم غناء</w:t>
            </w:r>
            <w:r>
              <w:rPr>
                <w:rStyle w:val="IndexLink"/>
                <w:rtl w:val="true"/>
              </w:rPr>
              <w:t xml:space="preserve">/ </w:t>
            </w:r>
            <w:r>
              <w:rPr>
                <w:rStyle w:val="IndexLink"/>
                <w:rtl w:val="true"/>
              </w:rPr>
              <w:t>بررسي ادلّه قائلين به حرمت غيري غناء</w:t>
            </w:r>
            <w:r>
              <w:rPr>
                <w:rStyle w:val="IndexLink"/>
                <w:rtl w:val="true"/>
              </w:rPr>
              <w:t>/</w:t>
            </w:r>
            <w:r>
              <w:rPr>
                <w:rStyle w:val="IndexLink"/>
                <w:rtl w:val="true"/>
              </w:rPr>
              <w:t>بررسي ادله غناء</w:t>
            </w:r>
            <w:r>
              <w:rPr>
                <w:rStyle w:val="IndexLink"/>
                <w:rtl w:val="true"/>
              </w:rPr>
              <w:t>/</w:t>
            </w:r>
            <w:r>
              <w:rPr>
                <w:rStyle w:val="IndexLink"/>
                <w:rtl w:val="true"/>
              </w:rPr>
              <w:t xml:space="preserve">مكاسب محرّمه </w:t>
            </w:r>
            <w:r>
              <w:rPr>
                <w:rStyle w:val="IndexLink"/>
              </w:rPr>
              <w:t>96/07/16</w:t>
            </w:r>
            <w:r>
              <w:rPr>
                <w:rStyle w:val="IndexLink"/>
                <w:rtl w:val="true"/>
              </w:rPr>
              <w:tab/>
            </w:r>
            <w:r>
              <w:rPr>
                <w:rStyle w:val="IndexLink"/>
              </w:rPr>
              <w:t>9</w:t>
            </w:r>
          </w:hyperlink>
        </w:p>
        <w:p>
          <w:pPr>
            <w:pStyle w:val="Contents2"/>
            <w:tabs>
              <w:tab w:val="clear" w:pos="8743"/>
              <w:tab w:val="right" w:pos="9026" w:leader="dot"/>
            </w:tabs>
            <w:rPr/>
          </w:pPr>
          <w:hyperlink w:anchor="__RefHeading___Toc296110_2035185390">
            <w:r>
              <w:rPr>
                <w:webHidden/>
                <w:rStyle w:val="IndexLink"/>
                <w:rtl w:val="true"/>
              </w:rPr>
              <w:t>ادلّه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96/07/17</w:t>
            </w:r>
            <w:r>
              <w:rPr>
                <w:rStyle w:val="IndexLink"/>
                <w:rtl w:val="true"/>
              </w:rPr>
              <w:tab/>
            </w:r>
            <w:r>
              <w:rPr>
                <w:rStyle w:val="IndexLink"/>
              </w:rPr>
              <w:t>13</w:t>
            </w:r>
          </w:hyperlink>
        </w:p>
        <w:p>
          <w:pPr>
            <w:pStyle w:val="Contents2"/>
            <w:tabs>
              <w:tab w:val="clear" w:pos="8743"/>
              <w:tab w:val="right" w:pos="9026" w:leader="dot"/>
            </w:tabs>
            <w:rPr/>
          </w:pPr>
          <w:hyperlink w:anchor="__RefHeading___Toc296112_2035185390">
            <w:r>
              <w:rPr>
                <w:webHidden/>
                <w:rStyle w:val="IndexLink"/>
                <w:rtl w:val="true"/>
              </w:rPr>
              <w:t>ادله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96/07/18</w:t>
            </w:r>
            <w:r>
              <w:rPr>
                <w:rStyle w:val="IndexLink"/>
                <w:rtl w:val="true"/>
              </w:rPr>
              <w:tab/>
            </w:r>
            <w:r>
              <w:rPr>
                <w:rStyle w:val="IndexLink"/>
              </w:rPr>
              <w:t>18</w:t>
            </w:r>
          </w:hyperlink>
        </w:p>
        <w:p>
          <w:pPr>
            <w:pStyle w:val="Contents2"/>
            <w:tabs>
              <w:tab w:val="clear" w:pos="8743"/>
              <w:tab w:val="right" w:pos="9026" w:leader="dot"/>
            </w:tabs>
            <w:rPr/>
          </w:pPr>
          <w:hyperlink w:anchor="__RefHeading___Toc296114_2035185390">
            <w:r>
              <w:rPr>
                <w:webHidden/>
                <w:rStyle w:val="IndexLink"/>
                <w:rtl w:val="true"/>
              </w:rPr>
              <w:t>دليل دوم حرمت غيري</w:t>
            </w:r>
            <w:r>
              <w:rPr>
                <w:rStyle w:val="IndexLink"/>
                <w:rtl w:val="true"/>
              </w:rPr>
              <w:t>/</w:t>
            </w:r>
            <w:r>
              <w:rPr>
                <w:rStyle w:val="IndexLink"/>
                <w:rtl w:val="true"/>
              </w:rPr>
              <w:t>ادله حرمت غناء</w:t>
            </w:r>
            <w:r>
              <w:rPr>
                <w:rStyle w:val="IndexLink"/>
                <w:rtl w:val="true"/>
              </w:rPr>
              <w:t>/</w:t>
            </w:r>
            <w:r>
              <w:rPr>
                <w:rStyle w:val="IndexLink"/>
                <w:rtl w:val="true"/>
              </w:rPr>
              <w:t>غناء</w:t>
            </w:r>
            <w:r>
              <w:rPr>
                <w:rStyle w:val="IndexLink"/>
                <w:rtl w:val="true"/>
              </w:rPr>
              <w:t>/</w:t>
            </w:r>
            <w:r>
              <w:rPr>
                <w:rStyle w:val="IndexLink"/>
                <w:rtl w:val="true"/>
              </w:rPr>
              <w:t xml:space="preserve">مکاسب محرّمه </w:t>
            </w:r>
            <w:r>
              <w:rPr>
                <w:rStyle w:val="IndexLink"/>
              </w:rPr>
              <w:t>96/07/22</w:t>
            </w:r>
            <w:r>
              <w:rPr>
                <w:rStyle w:val="IndexLink"/>
                <w:rtl w:val="true"/>
              </w:rPr>
              <w:tab/>
            </w:r>
            <w:r>
              <w:rPr>
                <w:rStyle w:val="IndexLink"/>
              </w:rPr>
              <w:t>21</w:t>
            </w:r>
          </w:hyperlink>
        </w:p>
        <w:p>
          <w:pPr>
            <w:pStyle w:val="Contents2"/>
            <w:tabs>
              <w:tab w:val="clear" w:pos="8743"/>
              <w:tab w:val="right" w:pos="9026" w:leader="dot"/>
            </w:tabs>
            <w:rPr/>
          </w:pPr>
          <w:hyperlink w:anchor="__RefHeading___Toc296116_2035185390">
            <w:r>
              <w:rPr>
                <w:webHidden/>
                <w:rStyle w:val="IndexLink"/>
                <w:rtl w:val="true"/>
              </w:rPr>
              <w:t>بررسي حرمت تكليفي غناء</w:t>
            </w:r>
            <w:r>
              <w:rPr>
                <w:rStyle w:val="IndexLink"/>
                <w:rtl w:val="true"/>
              </w:rPr>
              <w:t>/</w:t>
            </w:r>
            <w:r>
              <w:rPr>
                <w:rStyle w:val="IndexLink"/>
                <w:rtl w:val="true"/>
              </w:rPr>
              <w:t>ادلّه غناء</w:t>
            </w:r>
            <w:r>
              <w:rPr>
                <w:rStyle w:val="IndexLink"/>
                <w:rtl w:val="true"/>
              </w:rPr>
              <w:t>/</w:t>
            </w:r>
            <w:r>
              <w:rPr>
                <w:rStyle w:val="IndexLink"/>
                <w:rtl w:val="true"/>
              </w:rPr>
              <w:t>مبحث غناء</w:t>
            </w:r>
            <w:r>
              <w:rPr>
                <w:rStyle w:val="IndexLink"/>
                <w:rtl w:val="true"/>
              </w:rPr>
              <w:t xml:space="preserve">. </w:t>
            </w:r>
            <w:r>
              <w:rPr>
                <w:rStyle w:val="IndexLink"/>
              </w:rPr>
              <w:t>96/07/23</w:t>
            </w:r>
            <w:r>
              <w:rPr>
                <w:rStyle w:val="IndexLink"/>
                <w:rtl w:val="true"/>
              </w:rPr>
              <w:tab/>
            </w:r>
            <w:r>
              <w:rPr>
                <w:rStyle w:val="IndexLink"/>
              </w:rPr>
              <w:t>26</w:t>
            </w:r>
          </w:hyperlink>
        </w:p>
        <w:p>
          <w:pPr>
            <w:pStyle w:val="Contents2"/>
            <w:tabs>
              <w:tab w:val="clear" w:pos="8743"/>
              <w:tab w:val="right" w:pos="9026" w:leader="dot"/>
            </w:tabs>
            <w:rPr/>
          </w:pPr>
          <w:hyperlink w:anchor="__RefHeading___Toc296118_2035185390">
            <w:r>
              <w:rPr>
                <w:webHidden/>
                <w:rStyle w:val="IndexLink"/>
                <w:rtl w:val="true"/>
              </w:rPr>
              <w:t>بررسي حرمت غناء</w:t>
            </w:r>
            <w:r>
              <w:rPr>
                <w:rStyle w:val="IndexLink"/>
                <w:rtl w:val="true"/>
              </w:rPr>
              <w:t>/</w:t>
            </w:r>
            <w:r>
              <w:rPr>
                <w:rStyle w:val="IndexLink"/>
                <w:rtl w:val="true"/>
              </w:rPr>
              <w:t>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96/07/25</w:t>
            </w:r>
            <w:r>
              <w:rPr>
                <w:rStyle w:val="IndexLink"/>
                <w:rtl w:val="true"/>
              </w:rPr>
              <w:tab/>
            </w:r>
            <w:r>
              <w:rPr>
                <w:rStyle w:val="IndexLink"/>
              </w:rPr>
              <w:t>29</w:t>
            </w:r>
          </w:hyperlink>
        </w:p>
        <w:p>
          <w:pPr>
            <w:pStyle w:val="Contents2"/>
            <w:tabs>
              <w:tab w:val="clear" w:pos="8743"/>
              <w:tab w:val="right" w:pos="9026" w:leader="dot"/>
            </w:tabs>
            <w:rPr/>
          </w:pPr>
          <w:hyperlink w:anchor="__RefHeading___Toc296120_2035185390">
            <w:r>
              <w:rPr>
                <w:webHidden/>
                <w:rStyle w:val="IndexLink"/>
                <w:rtl w:val="true"/>
              </w:rPr>
              <w:t>جلسهبررسي حكم غناء</w:t>
            </w:r>
            <w:r>
              <w:rPr>
                <w:rStyle w:val="IndexLink"/>
                <w:rtl w:val="true"/>
              </w:rPr>
              <w:t>/</w:t>
            </w:r>
            <w:r>
              <w:rPr>
                <w:rStyle w:val="IndexLink"/>
                <w:rtl w:val="true"/>
              </w:rPr>
              <w:t>ادله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96/07/29</w:t>
            </w:r>
            <w:r>
              <w:rPr>
                <w:rStyle w:val="IndexLink"/>
                <w:rtl w:val="true"/>
              </w:rPr>
              <w:tab/>
            </w:r>
            <w:r>
              <w:rPr>
                <w:rStyle w:val="IndexLink"/>
              </w:rPr>
              <w:t>32</w:t>
            </w:r>
          </w:hyperlink>
        </w:p>
        <w:p>
          <w:pPr>
            <w:pStyle w:val="Contents2"/>
            <w:tabs>
              <w:tab w:val="clear" w:pos="8743"/>
              <w:tab w:val="right" w:pos="9026" w:leader="dot"/>
            </w:tabs>
            <w:rPr/>
          </w:pPr>
          <w:hyperlink w:anchor="__RefHeading___Toc296122_2035185390">
            <w:r>
              <w:rPr>
                <w:webHidden/>
                <w:rStyle w:val="IndexLink"/>
                <w:rtl w:val="true"/>
              </w:rPr>
              <w:t>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96/07/30</w:t>
            </w:r>
            <w:r>
              <w:rPr>
                <w:rStyle w:val="IndexLink"/>
                <w:rtl w:val="true"/>
              </w:rPr>
              <w:tab/>
            </w:r>
            <w:r>
              <w:rPr>
                <w:rStyle w:val="IndexLink"/>
              </w:rPr>
              <w:t>38</w:t>
            </w:r>
          </w:hyperlink>
        </w:p>
        <w:p>
          <w:pPr>
            <w:pStyle w:val="Contents2"/>
            <w:tabs>
              <w:tab w:val="clear" w:pos="8743"/>
              <w:tab w:val="right" w:pos="9026" w:leader="dot"/>
            </w:tabs>
            <w:rPr/>
          </w:pPr>
          <w:hyperlink w:anchor="__RefHeading___Toc296124_2035185390">
            <w:r>
              <w:rPr>
                <w:webHidden/>
                <w:rStyle w:val="IndexLink"/>
                <w:rtl w:val="true"/>
              </w:rPr>
              <w:t xml:space="preserve">بررسي ادله بر حرمت غناء،ادله غناء،مبحث غناء،مكاسب محرمه؛ </w:t>
            </w:r>
            <w:r>
              <w:rPr>
                <w:rStyle w:val="IndexLink"/>
              </w:rPr>
              <w:t>96/08/01</w:t>
            </w:r>
            <w:r>
              <w:rPr>
                <w:rStyle w:val="IndexLink"/>
                <w:rtl w:val="true"/>
              </w:rPr>
              <w:tab/>
            </w:r>
            <w:r>
              <w:rPr>
                <w:rStyle w:val="IndexLink"/>
              </w:rPr>
              <w:t>41</w:t>
            </w:r>
          </w:hyperlink>
        </w:p>
        <w:p>
          <w:pPr>
            <w:pStyle w:val="Contents2"/>
            <w:tabs>
              <w:tab w:val="clear" w:pos="8743"/>
              <w:tab w:val="right" w:pos="9026" w:leader="dot"/>
            </w:tabs>
            <w:rPr/>
          </w:pPr>
          <w:hyperlink w:anchor="__RefHeading___Toc296126_2035185390">
            <w:r>
              <w:rPr>
                <w:webHidden/>
                <w:rStyle w:val="IndexLink"/>
                <w:rtl w:val="true"/>
              </w:rPr>
              <w:t>بررسي ادله حرمت غناء</w:t>
            </w:r>
            <w:r>
              <w:rPr>
                <w:rStyle w:val="IndexLink"/>
                <w:rtl w:val="true"/>
              </w:rPr>
              <w:t>/</w:t>
            </w:r>
            <w:r>
              <w:rPr>
                <w:rStyle w:val="IndexLink"/>
                <w:rtl w:val="true"/>
              </w:rPr>
              <w:t>ادله غناء</w:t>
            </w:r>
            <w:r>
              <w:rPr>
                <w:rStyle w:val="IndexLink"/>
                <w:rtl w:val="true"/>
              </w:rPr>
              <w:t>/</w:t>
            </w:r>
            <w:r>
              <w:rPr>
                <w:rStyle w:val="IndexLink"/>
                <w:rtl w:val="true"/>
              </w:rPr>
              <w:t>مبحث غناء</w:t>
            </w:r>
            <w:r>
              <w:rPr>
                <w:rStyle w:val="IndexLink"/>
                <w:rtl w:val="true"/>
              </w:rPr>
              <w:t>/</w:t>
            </w:r>
            <w:r>
              <w:rPr>
                <w:rStyle w:val="IndexLink"/>
                <w:rtl w:val="true"/>
              </w:rPr>
              <w:t>مكاسب محرّمه</w:t>
            </w:r>
            <w:r>
              <w:rPr>
                <w:rStyle w:val="IndexLink"/>
                <w:rtl w:val="true"/>
              </w:rPr>
              <w:t xml:space="preserve">. </w:t>
            </w:r>
            <w:r>
              <w:rPr>
                <w:rStyle w:val="IndexLink"/>
              </w:rPr>
              <w:t>96/08/02</w:t>
            </w:r>
            <w:r>
              <w:rPr>
                <w:rStyle w:val="IndexLink"/>
                <w:rtl w:val="true"/>
              </w:rPr>
              <w:tab/>
            </w:r>
            <w:r>
              <w:rPr>
                <w:rStyle w:val="IndexLink"/>
              </w:rPr>
              <w:t>44</w:t>
            </w:r>
          </w:hyperlink>
        </w:p>
        <w:p>
          <w:pPr>
            <w:pStyle w:val="Contents2"/>
            <w:tabs>
              <w:tab w:val="clear" w:pos="8743"/>
              <w:tab w:val="right" w:pos="9026" w:leader="dot"/>
            </w:tabs>
            <w:rPr/>
          </w:pPr>
          <w:hyperlink w:anchor="__RefHeading___Toc296128_2035185390">
            <w:r>
              <w:rPr>
                <w:webHidden/>
                <w:rStyle w:val="IndexLink"/>
                <w:rtl w:val="true"/>
              </w:rPr>
              <w:t>بررسي اقوال پيرامون ادله غناء</w:t>
            </w:r>
            <w:r>
              <w:rPr>
                <w:rStyle w:val="IndexLink"/>
                <w:rtl w:val="true"/>
              </w:rPr>
              <w:t>/</w:t>
            </w:r>
            <w:r>
              <w:rPr>
                <w:rStyle w:val="IndexLink"/>
                <w:rtl w:val="true"/>
              </w:rPr>
              <w:t>ادله غناء</w:t>
            </w:r>
            <w:r>
              <w:rPr>
                <w:rStyle w:val="IndexLink"/>
                <w:rtl w:val="true"/>
              </w:rPr>
              <w:t>/</w:t>
            </w:r>
            <w:r>
              <w:rPr>
                <w:rStyle w:val="IndexLink"/>
                <w:rtl w:val="true"/>
              </w:rPr>
              <w:t>مبحث غناء</w:t>
            </w:r>
            <w:r>
              <w:rPr>
                <w:rStyle w:val="IndexLink"/>
                <w:rtl w:val="true"/>
              </w:rPr>
              <w:t>/</w:t>
            </w:r>
            <w:r>
              <w:rPr>
                <w:rStyle w:val="IndexLink"/>
                <w:rtl w:val="true"/>
              </w:rPr>
              <w:t>مكاسب محرّمه</w:t>
            </w:r>
            <w:r>
              <w:rPr>
                <w:rStyle w:val="IndexLink"/>
                <w:rtl w:val="true"/>
              </w:rPr>
              <w:t xml:space="preserve">. </w:t>
            </w:r>
            <w:r>
              <w:rPr>
                <w:rStyle w:val="IndexLink"/>
              </w:rPr>
              <w:t>96/08/06</w:t>
            </w:r>
            <w:r>
              <w:rPr>
                <w:rStyle w:val="IndexLink"/>
                <w:rtl w:val="true"/>
              </w:rPr>
              <w:tab/>
            </w:r>
            <w:r>
              <w:rPr>
                <w:rStyle w:val="IndexLink"/>
              </w:rPr>
              <w:t>46</w:t>
            </w:r>
          </w:hyperlink>
        </w:p>
        <w:p>
          <w:pPr>
            <w:pStyle w:val="Contents2"/>
            <w:tabs>
              <w:tab w:val="clear" w:pos="8743"/>
              <w:tab w:val="right" w:pos="9026" w:leader="dot"/>
            </w:tabs>
            <w:rPr/>
          </w:pPr>
          <w:hyperlink w:anchor="__RefHeading___Toc296130_2035185390">
            <w:r>
              <w:rPr>
                <w:webHidden/>
                <w:rStyle w:val="IndexLink"/>
                <w:rtl w:val="true"/>
              </w:rPr>
              <w:t>بررسي اشكالات به ادلّه حرمت غناء</w:t>
            </w:r>
            <w:r>
              <w:rPr>
                <w:rStyle w:val="IndexLink"/>
                <w:rtl w:val="true"/>
              </w:rPr>
              <w:t>/</w:t>
            </w:r>
            <w:r>
              <w:rPr>
                <w:rStyle w:val="IndexLink"/>
                <w:rtl w:val="true"/>
              </w:rPr>
              <w:t>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96/08/07</w:t>
            </w:r>
            <w:r>
              <w:rPr>
                <w:rStyle w:val="IndexLink"/>
                <w:rtl w:val="true"/>
              </w:rPr>
              <w:tab/>
            </w:r>
            <w:r>
              <w:rPr>
                <w:rStyle w:val="IndexLink"/>
              </w:rPr>
              <w:t>48</w:t>
            </w:r>
          </w:hyperlink>
        </w:p>
        <w:p>
          <w:pPr>
            <w:pStyle w:val="Contents2"/>
            <w:tabs>
              <w:tab w:val="clear" w:pos="8743"/>
              <w:tab w:val="right" w:pos="9026" w:leader="dot"/>
            </w:tabs>
            <w:rPr/>
          </w:pPr>
          <w:hyperlink w:anchor="__RefHeading___Toc296132_2035185390">
            <w:r>
              <w:rPr>
                <w:webHidden/>
                <w:rStyle w:val="IndexLink"/>
                <w:rtl w:val="true"/>
              </w:rPr>
              <w:t>بررسي اشكالات به ادلّه حرمت غناء</w:t>
            </w:r>
            <w:r>
              <w:rPr>
                <w:rStyle w:val="IndexLink"/>
                <w:rtl w:val="true"/>
              </w:rPr>
              <w:t>/</w:t>
            </w:r>
            <w:r>
              <w:rPr>
                <w:rStyle w:val="IndexLink"/>
                <w:rtl w:val="true"/>
              </w:rPr>
              <w:t>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96/08/08</w:t>
            </w:r>
            <w:r>
              <w:rPr>
                <w:rStyle w:val="IndexLink"/>
                <w:rtl w:val="true"/>
              </w:rPr>
              <w:tab/>
            </w:r>
            <w:r>
              <w:rPr>
                <w:rStyle w:val="IndexLink"/>
              </w:rPr>
              <w:t>50</w:t>
            </w:r>
          </w:hyperlink>
        </w:p>
        <w:p>
          <w:pPr>
            <w:pStyle w:val="Contents2"/>
            <w:tabs>
              <w:tab w:val="clear" w:pos="8743"/>
              <w:tab w:val="right" w:pos="9026" w:leader="dot"/>
            </w:tabs>
            <w:rPr/>
          </w:pPr>
          <w:hyperlink w:anchor="__RefHeading___Toc296134_2035185390">
            <w:r>
              <w:rPr>
                <w:webHidden/>
                <w:rStyle w:val="IndexLink"/>
                <w:rtl w:val="true"/>
              </w:rPr>
              <w:t>ادلّه تحريم غنا</w:t>
            </w:r>
            <w:r>
              <w:rPr>
                <w:rStyle w:val="IndexLink"/>
                <w:rtl w:val="true"/>
              </w:rPr>
              <w:t>/</w:t>
            </w:r>
            <w:r>
              <w:rPr>
                <w:rStyle w:val="IndexLink"/>
                <w:rtl w:val="true"/>
              </w:rPr>
              <w:t>ادلّه غنا</w:t>
            </w:r>
            <w:r>
              <w:rPr>
                <w:rStyle w:val="IndexLink"/>
                <w:rtl w:val="true"/>
              </w:rPr>
              <w:t>/</w:t>
            </w:r>
            <w:r>
              <w:rPr>
                <w:rStyle w:val="IndexLink"/>
                <w:rtl w:val="true"/>
              </w:rPr>
              <w:t>مبحث غنا</w:t>
            </w:r>
            <w:r>
              <w:rPr>
                <w:rStyle w:val="IndexLink"/>
                <w:rtl w:val="true"/>
              </w:rPr>
              <w:t>/</w:t>
            </w:r>
            <w:r>
              <w:rPr>
                <w:rStyle w:val="IndexLink"/>
                <w:rtl w:val="true"/>
              </w:rPr>
              <w:t xml:space="preserve">مكاسب محرّمه؛ </w:t>
            </w:r>
            <w:r>
              <w:rPr>
                <w:rStyle w:val="IndexLink"/>
              </w:rPr>
              <w:t>96/08/09</w:t>
            </w:r>
            <w:r>
              <w:rPr>
                <w:rStyle w:val="IndexLink"/>
                <w:rtl w:val="true"/>
              </w:rPr>
              <w:tab/>
            </w:r>
            <w:r>
              <w:rPr>
                <w:rStyle w:val="IndexLink"/>
              </w:rPr>
              <w:t>52</w:t>
            </w:r>
          </w:hyperlink>
        </w:p>
        <w:p>
          <w:pPr>
            <w:pStyle w:val="Contents2"/>
            <w:tabs>
              <w:tab w:val="clear" w:pos="8743"/>
              <w:tab w:val="right" w:pos="9026" w:leader="dot"/>
            </w:tabs>
            <w:rPr/>
          </w:pPr>
          <w:hyperlink w:anchor="__RefHeading___Toc296136_2035185390">
            <w:r>
              <w:rPr>
                <w:webHidden/>
                <w:rStyle w:val="IndexLink"/>
                <w:rtl w:val="true"/>
              </w:rPr>
              <w:t xml:space="preserve">جلسه </w:t>
            </w:r>
            <w:r>
              <w:rPr>
                <w:rStyle w:val="IndexLink"/>
              </w:rPr>
              <w:t>96/09/04</w:t>
            </w:r>
            <w:r>
              <w:rPr>
                <w:rStyle w:val="IndexLink"/>
                <w:rtl w:val="true"/>
              </w:rPr>
              <w:tab/>
            </w:r>
            <w:r>
              <w:rPr>
                <w:rStyle w:val="IndexLink"/>
              </w:rPr>
              <w:t>57</w:t>
            </w:r>
          </w:hyperlink>
        </w:p>
        <w:p>
          <w:pPr>
            <w:pStyle w:val="Contents2"/>
            <w:tabs>
              <w:tab w:val="clear" w:pos="8743"/>
              <w:tab w:val="right" w:pos="9026" w:leader="dot"/>
            </w:tabs>
            <w:rPr/>
          </w:pPr>
          <w:hyperlink w:anchor="__RefHeading___Toc296138_2035185390">
            <w:r>
              <w:rPr>
                <w:webHidden/>
                <w:rStyle w:val="IndexLink"/>
                <w:rtl w:val="true"/>
              </w:rPr>
              <w:t>بررسي حكم حرمت غناء</w:t>
            </w:r>
            <w:r>
              <w:rPr>
                <w:rStyle w:val="IndexLink"/>
                <w:rtl w:val="true"/>
              </w:rPr>
              <w:t>/</w:t>
            </w:r>
            <w:r>
              <w:rPr>
                <w:rStyle w:val="IndexLink"/>
                <w:rtl w:val="true"/>
              </w:rPr>
              <w:t>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96/09/05</w:t>
            </w:r>
            <w:r>
              <w:rPr>
                <w:rStyle w:val="IndexLink"/>
                <w:rtl w:val="true"/>
              </w:rPr>
              <w:tab/>
            </w:r>
            <w:r>
              <w:rPr>
                <w:rStyle w:val="IndexLink"/>
              </w:rPr>
              <w:t>60</w:t>
            </w:r>
          </w:hyperlink>
        </w:p>
        <w:p>
          <w:pPr>
            <w:pStyle w:val="Contents2"/>
            <w:tabs>
              <w:tab w:val="clear" w:pos="8743"/>
              <w:tab w:val="right" w:pos="9026" w:leader="dot"/>
            </w:tabs>
            <w:rPr/>
          </w:pPr>
          <w:hyperlink w:anchor="__RefHeading___Toc296140_2035185390">
            <w:r>
              <w:rPr>
                <w:webHidden/>
                <w:rStyle w:val="IndexLink"/>
                <w:rtl w:val="true"/>
              </w:rPr>
              <w:t>بررسي ادلّه حرمت غناء</w:t>
            </w:r>
            <w:r>
              <w:rPr>
                <w:rStyle w:val="IndexLink"/>
                <w:rtl w:val="true"/>
              </w:rPr>
              <w:t>/</w:t>
            </w:r>
            <w:r>
              <w:rPr>
                <w:rStyle w:val="IndexLink"/>
                <w:rtl w:val="true"/>
              </w:rPr>
              <w:t>ادله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96/09/07</w:t>
            </w:r>
            <w:r>
              <w:rPr>
                <w:rStyle w:val="IndexLink"/>
                <w:rtl w:val="true"/>
              </w:rPr>
              <w:tab/>
            </w:r>
            <w:r>
              <w:rPr>
                <w:rStyle w:val="IndexLink"/>
              </w:rPr>
              <w:t>64</w:t>
            </w:r>
          </w:hyperlink>
        </w:p>
        <w:p>
          <w:pPr>
            <w:pStyle w:val="Contents2"/>
            <w:tabs>
              <w:tab w:val="clear" w:pos="8743"/>
              <w:tab w:val="right" w:pos="9026" w:leader="dot"/>
            </w:tabs>
            <w:rPr/>
          </w:pPr>
          <w:hyperlink w:anchor="__RefHeading___Toc296142_2035185390">
            <w:r>
              <w:rPr>
                <w:webHidden/>
                <w:rStyle w:val="IndexLink"/>
                <w:rtl w:val="true"/>
              </w:rPr>
              <w:t>بررسي ادلّه حرمت غناء</w:t>
            </w:r>
            <w:r>
              <w:rPr>
                <w:rStyle w:val="IndexLink"/>
                <w:rtl w:val="true"/>
              </w:rPr>
              <w:t>/</w:t>
            </w:r>
            <w:r>
              <w:rPr>
                <w:rStyle w:val="IndexLink"/>
                <w:rtl w:val="true"/>
              </w:rPr>
              <w:t>مبحث غناء</w:t>
            </w:r>
            <w:r>
              <w:rPr>
                <w:rStyle w:val="IndexLink"/>
                <w:rtl w:val="true"/>
              </w:rPr>
              <w:t xml:space="preserve">/ </w:t>
            </w:r>
            <w:r>
              <w:rPr>
                <w:rStyle w:val="IndexLink"/>
                <w:rtl w:val="true"/>
              </w:rPr>
              <w:t xml:space="preserve">مكاسب محرّمه؛ </w:t>
            </w:r>
            <w:r>
              <w:rPr>
                <w:rStyle w:val="IndexLink"/>
              </w:rPr>
              <w:t>96/09/11</w:t>
            </w:r>
            <w:r>
              <w:rPr>
                <w:rStyle w:val="IndexLink"/>
                <w:rtl w:val="true"/>
              </w:rPr>
              <w:tab/>
            </w:r>
            <w:r>
              <w:rPr>
                <w:rStyle w:val="IndexLink"/>
              </w:rPr>
              <w:t>69</w:t>
            </w:r>
          </w:hyperlink>
        </w:p>
        <w:p>
          <w:pPr>
            <w:pStyle w:val="Contents2"/>
            <w:tabs>
              <w:tab w:val="clear" w:pos="8743"/>
              <w:tab w:val="right" w:pos="9026" w:leader="dot"/>
            </w:tabs>
            <w:rPr/>
          </w:pPr>
          <w:hyperlink w:anchor="__RefHeading___Toc296144_2035185390">
            <w:r>
              <w:rPr>
                <w:webHidden/>
                <w:rStyle w:val="IndexLink"/>
                <w:rtl w:val="true"/>
              </w:rPr>
              <w:t>بررسي 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96/09/12</w:t>
            </w:r>
            <w:r>
              <w:rPr>
                <w:rStyle w:val="IndexLink"/>
                <w:rtl w:val="true"/>
              </w:rPr>
              <w:tab/>
            </w:r>
            <w:r>
              <w:rPr>
                <w:rStyle w:val="IndexLink"/>
              </w:rPr>
              <w:t>72</w:t>
            </w:r>
          </w:hyperlink>
        </w:p>
        <w:p>
          <w:pPr>
            <w:pStyle w:val="Contents2"/>
            <w:tabs>
              <w:tab w:val="clear" w:pos="8743"/>
              <w:tab w:val="right" w:pos="9026" w:leader="dot"/>
            </w:tabs>
            <w:rPr/>
          </w:pPr>
          <w:hyperlink w:anchor="__RefHeading___Toc296146_2035185390">
            <w:r>
              <w:rPr>
                <w:webHidden/>
                <w:rStyle w:val="IndexLink"/>
                <w:rtl w:val="true"/>
              </w:rPr>
              <w:t>بررسي 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96/09/13</w:t>
            </w:r>
            <w:r>
              <w:rPr>
                <w:rStyle w:val="IndexLink"/>
                <w:rtl w:val="true"/>
              </w:rPr>
              <w:tab/>
            </w:r>
            <w:r>
              <w:rPr>
                <w:rStyle w:val="IndexLink"/>
              </w:rPr>
              <w:t>76</w:t>
            </w:r>
          </w:hyperlink>
        </w:p>
        <w:p>
          <w:pPr>
            <w:pStyle w:val="Contents2"/>
            <w:tabs>
              <w:tab w:val="clear" w:pos="8743"/>
              <w:tab w:val="right" w:pos="9026" w:leader="dot"/>
            </w:tabs>
            <w:rPr/>
          </w:pPr>
          <w:hyperlink w:anchor="__RefHeading___Toc296148_2035185390">
            <w:r>
              <w:rPr>
                <w:webHidden/>
                <w:rStyle w:val="IndexLink"/>
                <w:rtl w:val="true"/>
              </w:rPr>
              <w:t>بررسي 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96/09/14</w:t>
            </w:r>
            <w:r>
              <w:rPr>
                <w:rStyle w:val="IndexLink"/>
                <w:rtl w:val="true"/>
              </w:rPr>
              <w:tab/>
            </w:r>
            <w:r>
              <w:rPr>
                <w:rStyle w:val="IndexLink"/>
              </w:rPr>
              <w:t>79</w:t>
            </w:r>
          </w:hyperlink>
        </w:p>
        <w:p>
          <w:pPr>
            <w:pStyle w:val="Contents2"/>
            <w:tabs>
              <w:tab w:val="clear" w:pos="8743"/>
              <w:tab w:val="right" w:pos="9026" w:leader="dot"/>
            </w:tabs>
            <w:rPr/>
          </w:pPr>
          <w:hyperlink w:anchor="__RefHeading___Toc296150_2035185390">
            <w:r>
              <w:rPr>
                <w:webHidden/>
                <w:rStyle w:val="IndexLink"/>
                <w:rtl w:val="true"/>
              </w:rPr>
              <w:t>اقوال علماء ذيل 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96/09/18</w:t>
            </w:r>
            <w:r>
              <w:rPr>
                <w:rStyle w:val="IndexLink"/>
                <w:rtl w:val="true"/>
              </w:rPr>
              <w:tab/>
            </w:r>
            <w:r>
              <w:rPr>
                <w:rStyle w:val="IndexLink"/>
              </w:rPr>
              <w:t>83</w:t>
            </w:r>
          </w:hyperlink>
        </w:p>
        <w:p>
          <w:pPr>
            <w:pStyle w:val="Contents2"/>
            <w:tabs>
              <w:tab w:val="clear" w:pos="8743"/>
              <w:tab w:val="right" w:pos="9026" w:leader="dot"/>
            </w:tabs>
            <w:rPr/>
          </w:pPr>
          <w:hyperlink w:anchor="__RefHeading___Toc296152_2035185390">
            <w:r>
              <w:rPr>
                <w:webHidden/>
                <w:rStyle w:val="IndexLink"/>
                <w:rtl w:val="true"/>
              </w:rPr>
              <w:t>بررسي اقوال علماء ذيل 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96/09/19</w:t>
            </w:r>
            <w:r>
              <w:rPr>
                <w:rStyle w:val="IndexLink"/>
                <w:rtl w:val="true"/>
              </w:rPr>
              <w:tab/>
            </w:r>
            <w:r>
              <w:rPr>
                <w:rStyle w:val="IndexLink"/>
              </w:rPr>
              <w:t>85</w:t>
            </w:r>
          </w:hyperlink>
        </w:p>
        <w:p>
          <w:pPr>
            <w:pStyle w:val="Contents2"/>
            <w:tabs>
              <w:tab w:val="clear" w:pos="8743"/>
              <w:tab w:val="right" w:pos="9026" w:leader="dot"/>
            </w:tabs>
            <w:rPr/>
          </w:pPr>
          <w:hyperlink w:anchor="__RefHeading___Toc296154_2035185390">
            <w:r>
              <w:rPr>
                <w:webHidden/>
                <w:rStyle w:val="IndexLink"/>
                <w:rtl w:val="true"/>
              </w:rPr>
              <w:t>بررسي اقوال علماء ذيل 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96/09/20</w:t>
            </w:r>
            <w:r>
              <w:rPr>
                <w:rStyle w:val="IndexLink"/>
                <w:rtl w:val="true"/>
              </w:rPr>
              <w:tab/>
            </w:r>
            <w:r>
              <w:rPr>
                <w:rStyle w:val="IndexLink"/>
              </w:rPr>
              <w:t>87</w:t>
            </w:r>
          </w:hyperlink>
        </w:p>
        <w:p>
          <w:pPr>
            <w:pStyle w:val="Contents2"/>
            <w:tabs>
              <w:tab w:val="clear" w:pos="8743"/>
              <w:tab w:val="right" w:pos="9026" w:leader="dot"/>
            </w:tabs>
            <w:rPr/>
          </w:pPr>
          <w:hyperlink w:anchor="__RefHeading___Toc296156_2035185390">
            <w:r>
              <w:rPr>
                <w:webHidden/>
                <w:rStyle w:val="IndexLink"/>
                <w:rtl w:val="true"/>
              </w:rPr>
              <w:t>بررسي اقوال علماء ذيل روايات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96/09/21</w:t>
            </w:r>
            <w:r>
              <w:rPr>
                <w:rStyle w:val="IndexLink"/>
                <w:rtl w:val="true"/>
              </w:rPr>
              <w:tab/>
            </w:r>
            <w:r>
              <w:rPr>
                <w:rStyle w:val="IndexLink"/>
              </w:rPr>
              <w:t>92</w:t>
            </w:r>
          </w:hyperlink>
        </w:p>
        <w:p>
          <w:pPr>
            <w:pStyle w:val="Contents2"/>
            <w:tabs>
              <w:tab w:val="clear" w:pos="8743"/>
              <w:tab w:val="right" w:pos="9026" w:leader="dot"/>
            </w:tabs>
            <w:rPr/>
          </w:pPr>
          <w:hyperlink w:anchor="__RefHeading___Toc296158_2035185390">
            <w:r>
              <w:rPr>
                <w:webHidden/>
                <w:rStyle w:val="IndexLink"/>
                <w:rtl w:val="true"/>
              </w:rPr>
              <w:t>اقوال علماء ذيل ادلّه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96/09/25</w:t>
            </w:r>
            <w:r>
              <w:rPr>
                <w:rStyle w:val="IndexLink"/>
                <w:rtl w:val="true"/>
              </w:rPr>
              <w:tab/>
            </w:r>
            <w:r>
              <w:rPr>
                <w:rStyle w:val="IndexLink"/>
              </w:rPr>
              <w:t>95</w:t>
            </w:r>
          </w:hyperlink>
        </w:p>
        <w:p>
          <w:pPr>
            <w:pStyle w:val="Contents2"/>
            <w:tabs>
              <w:tab w:val="clear" w:pos="8743"/>
              <w:tab w:val="right" w:pos="9026" w:leader="dot"/>
            </w:tabs>
            <w:rPr/>
          </w:pPr>
          <w:hyperlink w:anchor="__RefHeading___Toc296160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96/09/26</w:t>
            </w:r>
            <w:r>
              <w:rPr>
                <w:rStyle w:val="IndexLink"/>
                <w:rtl w:val="true"/>
              </w:rPr>
              <w:tab/>
            </w:r>
            <w:r>
              <w:rPr>
                <w:rStyle w:val="IndexLink"/>
              </w:rPr>
              <w:t>99</w:t>
            </w:r>
          </w:hyperlink>
        </w:p>
        <w:p>
          <w:pPr>
            <w:pStyle w:val="Contents2"/>
            <w:tabs>
              <w:tab w:val="clear" w:pos="8743"/>
              <w:tab w:val="right" w:pos="9026" w:leader="dot"/>
            </w:tabs>
            <w:rPr/>
          </w:pPr>
          <w:hyperlink w:anchor="__RefHeading___Toc296162_2035185390">
            <w:r>
              <w:rPr>
                <w:webHidden/>
                <w:rStyle w:val="IndexLink"/>
                <w:rtl w:val="true"/>
              </w:rPr>
              <w:t>مستثنيات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96/09/27</w:t>
            </w:r>
            <w:r>
              <w:rPr>
                <w:rStyle w:val="IndexLink"/>
                <w:rtl w:val="true"/>
              </w:rPr>
              <w:tab/>
            </w:r>
            <w:r>
              <w:rPr>
                <w:rStyle w:val="IndexLink"/>
              </w:rPr>
              <w:t>102</w:t>
            </w:r>
          </w:hyperlink>
        </w:p>
        <w:p>
          <w:pPr>
            <w:pStyle w:val="Contents2"/>
            <w:tabs>
              <w:tab w:val="clear" w:pos="8743"/>
              <w:tab w:val="right" w:pos="9026" w:leader="dot"/>
            </w:tabs>
            <w:rPr/>
          </w:pPr>
          <w:hyperlink w:anchor="__RefHeading___Toc296164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96/10/02</w:t>
            </w:r>
            <w:r>
              <w:rPr>
                <w:rStyle w:val="IndexLink"/>
                <w:rtl w:val="true"/>
              </w:rPr>
              <w:tab/>
            </w:r>
            <w:r>
              <w:rPr>
                <w:rStyle w:val="IndexLink"/>
              </w:rPr>
              <w:t>105</w:t>
            </w:r>
          </w:hyperlink>
        </w:p>
        <w:p>
          <w:pPr>
            <w:pStyle w:val="Contents2"/>
            <w:tabs>
              <w:tab w:val="clear" w:pos="8743"/>
              <w:tab w:val="right" w:pos="9026" w:leader="dot"/>
            </w:tabs>
            <w:rPr/>
          </w:pPr>
          <w:hyperlink w:anchor="__RefHeading___Toc296166_2035185390">
            <w:r>
              <w:rPr>
                <w:webHidden/>
                <w:rStyle w:val="IndexLink"/>
                <w:rtl w:val="true"/>
              </w:rPr>
              <w:t>مستثنيات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96/10/03</w:t>
            </w:r>
            <w:r>
              <w:rPr>
                <w:rStyle w:val="IndexLink"/>
                <w:rtl w:val="true"/>
              </w:rPr>
              <w:tab/>
            </w:r>
            <w:r>
              <w:rPr>
                <w:rStyle w:val="IndexLink"/>
              </w:rPr>
              <w:t>107</w:t>
            </w:r>
          </w:hyperlink>
        </w:p>
        <w:p>
          <w:pPr>
            <w:pStyle w:val="Contents2"/>
            <w:tabs>
              <w:tab w:val="clear" w:pos="8743"/>
              <w:tab w:val="right" w:pos="9026" w:leader="dot"/>
            </w:tabs>
            <w:rPr/>
          </w:pPr>
          <w:hyperlink w:anchor="__RefHeading___Toc296168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96/10/04</w:t>
            </w:r>
            <w:r>
              <w:rPr>
                <w:rStyle w:val="IndexLink"/>
                <w:rtl w:val="true"/>
              </w:rPr>
              <w:tab/>
            </w:r>
            <w:r>
              <w:rPr>
                <w:rStyle w:val="IndexLink"/>
              </w:rPr>
              <w:t>110</w:t>
            </w:r>
          </w:hyperlink>
        </w:p>
        <w:p>
          <w:pPr>
            <w:pStyle w:val="Contents2"/>
            <w:tabs>
              <w:tab w:val="clear" w:pos="8743"/>
              <w:tab w:val="right" w:pos="9026" w:leader="dot"/>
            </w:tabs>
            <w:rPr/>
          </w:pPr>
          <w:hyperlink w:anchor="__RefHeading___Toc296170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96/10/05</w:t>
            </w:r>
            <w:r>
              <w:rPr>
                <w:rStyle w:val="IndexLink"/>
                <w:rtl w:val="true"/>
              </w:rPr>
              <w:tab/>
            </w:r>
            <w:r>
              <w:rPr>
                <w:rStyle w:val="IndexLink"/>
              </w:rPr>
              <w:t>113</w:t>
            </w:r>
          </w:hyperlink>
        </w:p>
        <w:p>
          <w:pPr>
            <w:pStyle w:val="Contents2"/>
            <w:tabs>
              <w:tab w:val="clear" w:pos="8743"/>
              <w:tab w:val="right" w:pos="9026" w:leader="dot"/>
            </w:tabs>
            <w:rPr/>
          </w:pPr>
          <w:hyperlink w:anchor="__RefHeading___Toc296172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96/10/09</w:t>
            </w:r>
            <w:r>
              <w:rPr>
                <w:rStyle w:val="IndexLink"/>
                <w:rtl w:val="true"/>
              </w:rPr>
              <w:tab/>
            </w:r>
            <w:r>
              <w:rPr>
                <w:rStyle w:val="IndexLink"/>
              </w:rPr>
              <w:t>116</w:t>
            </w:r>
          </w:hyperlink>
        </w:p>
        <w:p>
          <w:pPr>
            <w:pStyle w:val="Contents2"/>
            <w:tabs>
              <w:tab w:val="clear" w:pos="8743"/>
              <w:tab w:val="right" w:pos="9026" w:leader="dot"/>
            </w:tabs>
            <w:rPr/>
          </w:pPr>
          <w:hyperlink w:anchor="__RefHeading___Toc296174_2035185390">
            <w:r>
              <w:rPr>
                <w:webHidden/>
                <w:rStyle w:val="IndexLink"/>
                <w:rtl w:val="true"/>
              </w:rPr>
              <w:t>مستثنيات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96/10/10</w:t>
            </w:r>
            <w:r>
              <w:rPr>
                <w:rStyle w:val="IndexLink"/>
                <w:rtl w:val="true"/>
              </w:rPr>
              <w:tab/>
            </w:r>
            <w:r>
              <w:rPr>
                <w:rStyle w:val="IndexLink"/>
              </w:rPr>
              <w:t>120</w:t>
            </w:r>
          </w:hyperlink>
        </w:p>
        <w:p>
          <w:pPr>
            <w:pStyle w:val="Contents2"/>
            <w:tabs>
              <w:tab w:val="clear" w:pos="8743"/>
              <w:tab w:val="right" w:pos="9026" w:leader="dot"/>
            </w:tabs>
            <w:rPr/>
          </w:pPr>
          <w:hyperlink w:anchor="__RefHeading___Toc296176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96/10/11</w:t>
            </w:r>
            <w:r>
              <w:rPr>
                <w:rStyle w:val="IndexLink"/>
                <w:rtl w:val="true"/>
              </w:rPr>
              <w:tab/>
            </w:r>
            <w:r>
              <w:rPr>
                <w:rStyle w:val="IndexLink"/>
              </w:rPr>
              <w:t>124</w:t>
            </w:r>
          </w:hyperlink>
        </w:p>
        <w:p>
          <w:pPr>
            <w:pStyle w:val="Contents2"/>
            <w:tabs>
              <w:tab w:val="clear" w:pos="8743"/>
              <w:tab w:val="right" w:pos="9026" w:leader="dot"/>
            </w:tabs>
            <w:rPr/>
          </w:pPr>
          <w:hyperlink w:anchor="__RefHeading___Toc296178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96/10/12</w:t>
            </w:r>
            <w:r>
              <w:rPr>
                <w:rStyle w:val="IndexLink"/>
                <w:rtl w:val="true"/>
              </w:rPr>
              <w:tab/>
            </w:r>
            <w:r>
              <w:rPr>
                <w:rStyle w:val="IndexLink"/>
              </w:rPr>
              <w:t>128</w:t>
            </w:r>
          </w:hyperlink>
        </w:p>
        <w:p>
          <w:pPr>
            <w:pStyle w:val="Contents2"/>
            <w:tabs>
              <w:tab w:val="clear" w:pos="8743"/>
              <w:tab w:val="right" w:pos="9026" w:leader="dot"/>
            </w:tabs>
            <w:rPr/>
          </w:pPr>
          <w:hyperlink w:anchor="__RefHeading___Toc296180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96/10/16</w:t>
            </w:r>
            <w:r>
              <w:rPr>
                <w:rStyle w:val="IndexLink"/>
                <w:rtl w:val="true"/>
              </w:rPr>
              <w:tab/>
            </w:r>
            <w:r>
              <w:rPr>
                <w:rStyle w:val="IndexLink"/>
              </w:rPr>
              <w:t>132</w:t>
            </w:r>
          </w:hyperlink>
        </w:p>
        <w:p>
          <w:pPr>
            <w:pStyle w:val="Contents2"/>
            <w:tabs>
              <w:tab w:val="clear" w:pos="8743"/>
              <w:tab w:val="right" w:pos="9026" w:leader="dot"/>
            </w:tabs>
            <w:rPr/>
          </w:pPr>
          <w:hyperlink w:anchor="__RefHeading___Toc296182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96/10/17</w:t>
            </w:r>
            <w:r>
              <w:rPr>
                <w:rStyle w:val="IndexLink"/>
                <w:rtl w:val="true"/>
              </w:rPr>
              <w:tab/>
            </w:r>
            <w:r>
              <w:rPr>
                <w:rStyle w:val="IndexLink"/>
              </w:rPr>
              <w:t>136</w:t>
            </w:r>
          </w:hyperlink>
        </w:p>
        <w:p>
          <w:pPr>
            <w:pStyle w:val="Contents2"/>
            <w:tabs>
              <w:tab w:val="clear" w:pos="8743"/>
              <w:tab w:val="right" w:pos="9026" w:leader="dot"/>
            </w:tabs>
            <w:rPr/>
          </w:pPr>
          <w:hyperlink w:anchor="__RefHeading___Toc296184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96/10/18</w:t>
            </w:r>
            <w:r>
              <w:rPr>
                <w:rStyle w:val="IndexLink"/>
                <w:rtl w:val="true"/>
              </w:rPr>
              <w:tab/>
            </w:r>
            <w:r>
              <w:rPr>
                <w:rStyle w:val="IndexLink"/>
              </w:rPr>
              <w:t>138</w:t>
            </w:r>
          </w:hyperlink>
        </w:p>
        <w:p>
          <w:pPr>
            <w:pStyle w:val="Contents2"/>
            <w:tabs>
              <w:tab w:val="clear" w:pos="8743"/>
              <w:tab w:val="right" w:pos="9026" w:leader="dot"/>
            </w:tabs>
            <w:rPr/>
          </w:pPr>
          <w:hyperlink w:anchor="__RefHeading___Toc296186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96/10/19</w:t>
            </w:r>
            <w:r>
              <w:rPr>
                <w:rStyle w:val="IndexLink"/>
                <w:rtl w:val="true"/>
              </w:rPr>
              <w:tab/>
            </w:r>
            <w:r>
              <w:rPr>
                <w:rStyle w:val="IndexLink"/>
              </w:rPr>
              <w:t>140</w:t>
            </w:r>
          </w:hyperlink>
        </w:p>
        <w:p>
          <w:pPr>
            <w:pStyle w:val="Contents2"/>
            <w:tabs>
              <w:tab w:val="clear" w:pos="8743"/>
              <w:tab w:val="right" w:pos="9026" w:leader="dot"/>
            </w:tabs>
            <w:rPr/>
          </w:pPr>
          <w:hyperlink w:anchor="__RefHeading___Toc296188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96/10/23</w:t>
            </w:r>
            <w:r>
              <w:rPr>
                <w:rStyle w:val="IndexLink"/>
                <w:rtl w:val="true"/>
              </w:rPr>
              <w:tab/>
            </w:r>
            <w:r>
              <w:rPr>
                <w:rStyle w:val="IndexLink"/>
              </w:rPr>
              <w:t>143</w:t>
            </w:r>
          </w:hyperlink>
        </w:p>
        <w:p>
          <w:pPr>
            <w:pStyle w:val="Contents2"/>
            <w:tabs>
              <w:tab w:val="clear" w:pos="8743"/>
              <w:tab w:val="right" w:pos="9026" w:leader="dot"/>
            </w:tabs>
            <w:rPr/>
          </w:pPr>
          <w:hyperlink w:anchor="__RefHeading___Toc296190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96/10/24</w:t>
            </w:r>
            <w:r>
              <w:rPr>
                <w:rStyle w:val="IndexLink"/>
                <w:rtl w:val="true"/>
              </w:rPr>
              <w:tab/>
            </w:r>
            <w:r>
              <w:rPr>
                <w:rStyle w:val="IndexLink"/>
              </w:rPr>
              <w:t>146</w:t>
            </w:r>
          </w:hyperlink>
        </w:p>
        <w:p>
          <w:pPr>
            <w:pStyle w:val="Contents2"/>
            <w:tabs>
              <w:tab w:val="clear" w:pos="8743"/>
              <w:tab w:val="right" w:pos="9026" w:leader="dot"/>
            </w:tabs>
            <w:rPr/>
          </w:pPr>
          <w:hyperlink w:anchor="__RefHeading___Toc296192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96/10/25</w:t>
            </w:r>
            <w:r>
              <w:rPr>
                <w:rStyle w:val="IndexLink"/>
                <w:rtl w:val="true"/>
              </w:rPr>
              <w:tab/>
            </w:r>
            <w:r>
              <w:rPr>
                <w:rStyle w:val="IndexLink"/>
              </w:rPr>
              <w:t>149</w:t>
            </w:r>
          </w:hyperlink>
        </w:p>
        <w:p>
          <w:pPr>
            <w:pStyle w:val="Contents2"/>
            <w:tabs>
              <w:tab w:val="clear" w:pos="8743"/>
              <w:tab w:val="right" w:pos="9026" w:leader="dot"/>
            </w:tabs>
            <w:rPr/>
          </w:pPr>
          <w:hyperlink w:anchor="__RefHeading___Toc296194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96/10/26</w:t>
            </w:r>
            <w:r>
              <w:rPr>
                <w:rStyle w:val="IndexLink"/>
                <w:rtl w:val="true"/>
              </w:rPr>
              <w:tab/>
            </w:r>
            <w:r>
              <w:rPr>
                <w:rStyle w:val="IndexLink"/>
              </w:rPr>
              <w:t>152</w:t>
            </w:r>
          </w:hyperlink>
        </w:p>
        <w:p>
          <w:pPr>
            <w:pStyle w:val="Contents2"/>
            <w:tabs>
              <w:tab w:val="clear" w:pos="8743"/>
              <w:tab w:val="right" w:pos="9026" w:leader="dot"/>
            </w:tabs>
            <w:rPr/>
          </w:pPr>
          <w:hyperlink w:anchor="__RefHeading___Toc296196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96/10/30</w:t>
            </w:r>
            <w:r>
              <w:rPr>
                <w:rStyle w:val="IndexLink"/>
                <w:rtl w:val="true"/>
              </w:rPr>
              <w:tab/>
            </w:r>
            <w:r>
              <w:rPr>
                <w:rStyle w:val="IndexLink"/>
              </w:rPr>
              <w:t>154</w:t>
            </w:r>
          </w:hyperlink>
        </w:p>
        <w:p>
          <w:pPr>
            <w:pStyle w:val="Contents2"/>
            <w:tabs>
              <w:tab w:val="clear" w:pos="8743"/>
              <w:tab w:val="right" w:pos="9026" w:leader="dot"/>
            </w:tabs>
            <w:rPr/>
          </w:pPr>
          <w:hyperlink w:anchor="__RefHeading___Toc296198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96/11/01</w:t>
            </w:r>
            <w:r>
              <w:rPr>
                <w:rStyle w:val="IndexLink"/>
                <w:rtl w:val="true"/>
              </w:rPr>
              <w:tab/>
            </w:r>
            <w:r>
              <w:rPr>
                <w:rStyle w:val="IndexLink"/>
              </w:rPr>
              <w:t>156</w:t>
            </w:r>
          </w:hyperlink>
        </w:p>
        <w:p>
          <w:pPr>
            <w:pStyle w:val="Contents2"/>
            <w:tabs>
              <w:tab w:val="clear" w:pos="8743"/>
              <w:tab w:val="right" w:pos="9026" w:leader="dot"/>
            </w:tabs>
            <w:rPr/>
          </w:pPr>
          <w:hyperlink w:anchor="__RefHeading___Toc296200_2035185390">
            <w:r>
              <w:rPr>
                <w:webHidden/>
                <w:rStyle w:val="IndexLink"/>
                <w:rtl w:val="true"/>
              </w:rPr>
              <w:t>مستثنيات از حرمت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96/11/02</w:t>
            </w:r>
            <w:r>
              <w:rPr>
                <w:rStyle w:val="IndexLink"/>
                <w:rtl w:val="true"/>
              </w:rPr>
              <w:tab/>
            </w:r>
            <w:r>
              <w:rPr>
                <w:rStyle w:val="IndexLink"/>
              </w:rPr>
              <w:t>158</w:t>
            </w:r>
          </w:hyperlink>
        </w:p>
        <w:p>
          <w:pPr>
            <w:pStyle w:val="Contents2"/>
            <w:tabs>
              <w:tab w:val="clear" w:pos="8743"/>
              <w:tab w:val="right" w:pos="9026" w:leader="dot"/>
            </w:tabs>
            <w:rPr/>
          </w:pPr>
          <w:hyperlink w:anchor="__RefHeading___Toc296202_2035185390">
            <w:r>
              <w:rPr>
                <w:webHidden/>
                <w:rStyle w:val="IndexLink"/>
                <w:rtl w:val="true"/>
              </w:rPr>
              <w:t>تكسب به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96/11/03</w:t>
            </w:r>
            <w:r>
              <w:rPr>
                <w:rStyle w:val="IndexLink"/>
                <w:rtl w:val="true"/>
              </w:rPr>
              <w:tab/>
            </w:r>
            <w:r>
              <w:rPr>
                <w:rStyle w:val="IndexLink"/>
              </w:rPr>
              <w:t>161</w:t>
            </w:r>
          </w:hyperlink>
        </w:p>
        <w:p>
          <w:pPr>
            <w:pStyle w:val="Contents2"/>
            <w:tabs>
              <w:tab w:val="clear" w:pos="8743"/>
              <w:tab w:val="right" w:pos="9026" w:leader="dot"/>
            </w:tabs>
            <w:rPr/>
          </w:pPr>
          <w:hyperlink w:anchor="__RefHeading___Toc296204_2035185390">
            <w:r>
              <w:rPr>
                <w:webHidden/>
                <w:rStyle w:val="IndexLink"/>
                <w:rtl w:val="true"/>
              </w:rPr>
              <w:t>اجرت بر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96/11/07</w:t>
            </w:r>
            <w:r>
              <w:rPr>
                <w:rStyle w:val="IndexLink"/>
                <w:rtl w:val="true"/>
              </w:rPr>
              <w:tab/>
            </w:r>
            <w:r>
              <w:rPr>
                <w:rStyle w:val="IndexLink"/>
              </w:rPr>
              <w:t>164</w:t>
            </w:r>
          </w:hyperlink>
        </w:p>
        <w:p>
          <w:pPr>
            <w:pStyle w:val="Contents2"/>
            <w:tabs>
              <w:tab w:val="clear" w:pos="8743"/>
              <w:tab w:val="right" w:pos="9026" w:leader="dot"/>
            </w:tabs>
            <w:rPr/>
          </w:pPr>
          <w:hyperlink w:anchor="__RefHeading___Toc296206_2035185390">
            <w:r>
              <w:rPr>
                <w:webHidden/>
                <w:rStyle w:val="IndexLink"/>
                <w:rtl w:val="true"/>
              </w:rPr>
              <w:t>اجرت بر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96/11/08</w:t>
            </w:r>
            <w:r>
              <w:rPr>
                <w:rStyle w:val="IndexLink"/>
                <w:rtl w:val="true"/>
              </w:rPr>
              <w:tab/>
            </w:r>
            <w:r>
              <w:rPr>
                <w:rStyle w:val="IndexLink"/>
              </w:rPr>
              <w:t>167</w:t>
            </w:r>
          </w:hyperlink>
        </w:p>
        <w:p>
          <w:pPr>
            <w:pStyle w:val="Contents2"/>
            <w:tabs>
              <w:tab w:val="clear" w:pos="8743"/>
              <w:tab w:val="right" w:pos="9026" w:leader="dot"/>
            </w:tabs>
            <w:rPr/>
          </w:pPr>
          <w:hyperlink w:anchor="__RefHeading___Toc296208_2035185390">
            <w:r>
              <w:rPr>
                <w:webHidden/>
                <w:rStyle w:val="IndexLink"/>
                <w:rtl w:val="true"/>
              </w:rPr>
              <w:t>استماع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96/11/09</w:t>
            </w:r>
            <w:r>
              <w:rPr>
                <w:rStyle w:val="IndexLink"/>
                <w:rtl w:val="true"/>
              </w:rPr>
              <w:tab/>
            </w:r>
            <w:r>
              <w:rPr>
                <w:rStyle w:val="IndexLink"/>
              </w:rPr>
              <w:t>168</w:t>
            </w:r>
          </w:hyperlink>
        </w:p>
        <w:p>
          <w:pPr>
            <w:pStyle w:val="Contents2"/>
            <w:tabs>
              <w:tab w:val="clear" w:pos="8743"/>
              <w:tab w:val="right" w:pos="9026" w:leader="dot"/>
            </w:tabs>
            <w:rPr/>
          </w:pPr>
          <w:hyperlink w:anchor="__RefHeading___Toc296210_2035185390">
            <w:r>
              <w:rPr>
                <w:webHidden/>
                <w:rStyle w:val="IndexLink"/>
                <w:rtl w:val="true"/>
              </w:rPr>
              <w:t>استماع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96/11/14</w:t>
            </w:r>
            <w:r>
              <w:rPr>
                <w:rStyle w:val="IndexLink"/>
                <w:rtl w:val="true"/>
              </w:rPr>
              <w:tab/>
            </w:r>
            <w:r>
              <w:rPr>
                <w:rStyle w:val="IndexLink"/>
              </w:rPr>
              <w:t>171</w:t>
            </w:r>
          </w:hyperlink>
        </w:p>
        <w:p>
          <w:pPr>
            <w:pStyle w:val="Contents2"/>
            <w:tabs>
              <w:tab w:val="clear" w:pos="8743"/>
              <w:tab w:val="right" w:pos="9026" w:leader="dot"/>
            </w:tabs>
            <w:rPr/>
          </w:pPr>
          <w:hyperlink w:anchor="__RefHeading___Toc296212_2035185390">
            <w:r>
              <w:rPr>
                <w:webHidden/>
                <w:rStyle w:val="IndexLink"/>
                <w:rtl w:val="true"/>
              </w:rPr>
              <w:t>استماع غناء</w:t>
            </w:r>
            <w:r>
              <w:rPr>
                <w:rStyle w:val="IndexLink"/>
                <w:rtl w:val="true"/>
              </w:rPr>
              <w:t>/</w:t>
            </w:r>
            <w:r>
              <w:rPr>
                <w:rStyle w:val="IndexLink"/>
                <w:rtl w:val="true"/>
              </w:rPr>
              <w:t>مبحث غناء</w:t>
            </w:r>
            <w:r>
              <w:rPr>
                <w:rStyle w:val="IndexLink"/>
                <w:rtl w:val="true"/>
              </w:rPr>
              <w:t>/</w:t>
            </w:r>
            <w:r>
              <w:rPr>
                <w:rStyle w:val="IndexLink"/>
                <w:rtl w:val="true"/>
              </w:rPr>
              <w:t xml:space="preserve">مكاسب محرّمه؛ </w:t>
            </w:r>
            <w:r>
              <w:rPr>
                <w:rStyle w:val="IndexLink"/>
              </w:rPr>
              <w:t>96/11/15</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42_53898"/>
      <w:bookmarkStart w:id="1" w:name="pg4642_53898"/>
      <w:bookmarkEnd w:id="1"/>
    </w:p>
    <w:p>
      <w:pPr>
        <w:pStyle w:val="Heading2"/>
        <w:numPr>
          <w:ilvl w:val="1"/>
          <w:numId w:val="1"/>
        </w:numPr>
        <w:rPr/>
      </w:pPr>
      <w:bookmarkStart w:id="2" w:name="pg4642_53898"/>
      <w:bookmarkStart w:id="3" w:name="__RefHeading___Toc29610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محسن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استاد محسن فقیهی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فقیهی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96106_2035185390"/>
      <w:bookmarkStart w:id="6" w:name="_Toc2"/>
      <w:bookmarkEnd w:id="5"/>
      <w:r>
        <w:rPr>
          <w:rtl w:val="true"/>
        </w:rPr>
        <w:t>مرور مباحث گذشته</w:t>
      </w:r>
      <w:r>
        <w:rPr>
          <w:rtl w:val="true"/>
        </w:rPr>
        <w:t>/</w:t>
      </w:r>
      <w:r>
        <w:rPr>
          <w:rtl w:val="true"/>
        </w:rPr>
        <w:t>غناء</w:t>
      </w:r>
      <w:r>
        <w:rPr>
          <w:rtl w:val="true"/>
        </w:rPr>
        <w:t>/</w:t>
      </w:r>
      <w:r>
        <w:rPr>
          <w:rtl w:val="true"/>
        </w:rPr>
        <w:t xml:space="preserve">مكاسب محرمّه؛ </w:t>
      </w:r>
      <w:r>
        <w:rPr/>
        <w:t>96/07/15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در سال گذشته صحبت پیرامون بحث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غناء مباحث و مقاماتی مورد بحث و بررسی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به بررسی اجمالی مباحث گذشته می‌پردازیم تا به مطلب پیش رو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و اصطلاحی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گذشته ابتدا به بررسی معنای لغوی غناء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موضوع را در کلمات فقهاء دنبال نمودیم و از حیث اصطلاحی به بررسی آن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لغویون غناء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بررسی این تعریف،دوستان به این نکته توجه داشته باشند؛که ما واژه‌ی غناء را در لسان روایات و آیات موضوع احکامی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معنای این واژه در زمان صدور بیانات شارع مقدّس،راهی جز مراجعه به بیان لغویون در برابر ما باز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نفس حجیت قول لغوی تردیدهایی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چند لغوی یک تبادری از یک واژه در بیانشان یافت می‌شود،ما را به اطمینانی نسبت به آن معنای مذکور می‌رساند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نظرات فقهاء درباره معنی 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بازگردیم به تعریف لغویون از واژه‌ی غناء؛در این تعریف قید اطراب برای صوت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اطراب بیانات مختلفی از فقهاء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مرحوم سیدمحمدرضا اصفهانی اطراب را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مستی در شخص شنونده یا خواننده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کارهایی می‌کند و رفتارهایی از او سر می‌زند،که از مجانین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فرمایشی بود که مرحوم امام از مرحوم شریعت اصفهانی در مکاسب محرّمه نقل نمودند و آن را تأیید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خودشان قائل بودند طرب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فرح و سروری که انسان را از خود بی خود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اقوال دیگری از فقهاء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طرب در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فرمایشان فقهاء توجه داشته باشید،طرب را دارای مراتبی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 صرفا شادی و سروری در شخص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مرحله بالاتر انسان انسان از حالت طبیعی خارج شده و به نقطه‌ی بیخودی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مرحله‌ای بالاتر عقل انسان به کلی زائل می‌شود و افعال دیوانگان از شخص عاقل سرمی‌زند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مرتبه،آنچه به یقین حرام است،حکمش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انچه مشکوک است،داخل در اصل اباحه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بنائی است که شما در ارتباط با موضوعات خارجی به طور کلی رعایت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 سر سفره‌ی کسی می‌نشینید و نسبت به پاکی اموال و دارائی میزبان شک دارید،اصل را بر حلیّت اموال او می‌گزارید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مشکوک از موضوعات خارجی مثل غناء یا غذای دیگران،اصل اباحه و حلّیت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هر کسی می‌تواند احتیاط کرده و غذای مشکوک و یا صدای مشکوک را نخورد و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احتیاط وظیفه‌ی شرعی 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با مصداقی از صوت مطرب مواجه شدید؛صدای زیبایی از تلوزیون پخش می‌شد،حتی مداحی اهل‌بیت علیهم‌السلام را به گونه‌ای می‌خواندند که مشکوک بود،نمی توان به عموم حرمت غناء اخذ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تمسّک به عام در شبهه‌ی مصداقیه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خواستید به صرف شک در غنائی بودن یک صدا و یا یک آواز،آن را داخل در عموم حرمت غناء که از ادلّه آن به دست آمده بدانید،در فردی مشکوک حکم عام را جاری کرده‌اید؛که قطعا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دلیلی بر شمول حجّت عام نسبت به این فرد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غناء باشد و ممکن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اطراب فعلی و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مباحثی که پیرامون غناء گذشت؛تحقیقی پیرامون ملاک تحقّق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ملاک تحقّق غناء حصول طرب بالفعل در شخص است؟یعنی شنونده و یا خواننده حالت طرب درشان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ظرفیت صدا توجه کرده و توانمندی آن را در ایجاد طرب در نظر می‌گیرید؟یعنی همین که عده‌ای با این صدا طرب حرام برایشان حاصل شود،غناء محقّق است؛حتی اگر جمع حاضر در مجلس تغییری در حالتشان شکل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دقیقتر آیا طرب فعلی ملاک حرمت است،یا طرب شأنی هم کفایت می‌کند؟</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غناء مثل هر گناه دیگری،تحقّق بالفعل طرب در شخص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هر کس با دیگری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صدا برای شخصی همراه با بیخودی و تغییر حالت بود،غناء در حقّ او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همان صدا برای شخص دیگری،ایجاد طرب نکرد و تغییر حالتی در شخص رخ نداد،نمی‌توان قائل به تحقّق غناء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ملاک غنای محرّم طرب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طرب باید در شخص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سایر گناهان،مگر به صرف این که شخص می‌تواند در شرائط خاصی مرتکب سرقت شود او را سارق محسوب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شخصی در ذهنش افتراء و تهمت زدن به شخص دیگری شکل می‌گیرد،ولی مرتکب تهمت نمی‌شود،نمی‌توان او را عاصی نامید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شخص متلبّس به فعل حرام می‌شود،در آن هنگام عصیان از او سر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بفرمائید غیبت و شنیدن غیبت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حال غیبت از مؤمنی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شنونده،غیبت آن شخص مغتاب را جائز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شنونده آگاه به مشکل و نقصانی است که غیبت کننده از آن پرده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شدیم غیبت به کشف ستر و پوشش از شخص مورد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هیچ کس شنونده را در گناه غیبت شریک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تلبس به غیبت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ما هم همین‌گونه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به طرب و تغییر بالفعل احوال انسان در اثر شنیدن یک صدا،شرط برای تحقّق غناء و ترتّب حکم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این مسأله هم در جلسات سال گذشته،بررسی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ذاتی و عرضی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مسأله‌ی دیگری که مورد بررسی واقع شد؛ذاتی بودن و عرضی بودن حرمت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غناء به تنهائی و بماهوهو حرام است؟یا از این جهت که غالبا در انضمام با محرّماتی مثل اختلاط با زنان و ارتکاب ملاهی و سرودن اشعار باطل و یا ترویج ظلم است،موضوع حرمت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ملاکی برای جعل حرمت ندارد،ولی چون زمینه‌ای برای گناهان مختلفی است،حرام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علماء قائل به حرمت ذاتی غناء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حتی بدون هیچ یک از این عناوین محرّم،حرام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مرحوم سبزواری و فیض کاشانی قائل به حرمت عرضی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نظر این دو بزرگوار غناء در هنگامه تشریع به جهت زمینه‌سازی برای گناهان و عناوین محرّم دیگر،موضوع حرمت شرعی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غناء منضمّ به هیچ یک از این عناوین محرّم نباشد،و فقط صوت زیبایی باشد که مایه‌ی فرح باشد موضوع هیچ حرمتی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از آن مرحوم سبزواری و فیض کاشانی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امروزه هم طرفدارانی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برای ما بررسی ادلّه‌ی هر دو طرف و اخذ به قول حقّ از میان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بحث مبتلی به بوده و امروزه خیلی نیاز جامعه است،سزاوار است به درستی این ادلّه را بررسی کنیم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نظریه حرمت عرضی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نکاتی که در برابر نظریه‌ی حرمت عرضی غناء می‌ایستد؛وجود روایات مطلق در ادلّه‌ی حرمت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اگرچه در برخی روایات غناء را در تقیید به ضمائمی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زنان بر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حرمت قرار داده است،ولی در روایات دیگری غناء به تنهائی موضوع امر شارع به اجتناب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روایاتی در ادلّه حرمت غناء وجود دارند که موضوع انها غناء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 و فیض کاشانی و طرفداران نظریه‌ی حرمت عرضی غناء باید در دفاع از قولشان این روایات را توجیه کنند</w:t>
      </w:r>
      <w:r>
        <w:rPr>
          <w:rFonts w:eastAsia="IRNazanin" w:cs="IRNazanin"/>
          <w:color w:val="111111"/>
          <w:sz w:val="28"/>
          <w:szCs w:val="28"/>
          <w:rtl w:val="true"/>
          <w:lang w:bidi="fa-IR"/>
        </w:rPr>
        <w:t>.</w:t>
      </w:r>
      <w:bookmarkStart w:id="7" w:name="pg4642_53902"/>
    </w:p>
    <w:p>
      <w:pPr>
        <w:pStyle w:val="BookText"/>
        <w:rPr/>
      </w:pPr>
      <w:bookmarkEnd w:id="7"/>
      <w:r>
        <w:rPr>
          <w:rFonts w:ascii="IRNazanin" w:hAnsi="IRNazanin" w:eastAsia="IRNazanin"/>
          <w:color w:val="111111"/>
          <w:sz w:val="28"/>
          <w:sz w:val="28"/>
          <w:szCs w:val="28"/>
          <w:rtl w:val="true"/>
          <w:lang w:bidi="fa-IR"/>
        </w:rPr>
        <w:t>یکی از توجیهات این است که بگوییم این روایات مقیّد حکم روایات مطلق را به فرض انضمام غناء به محرّمات دیگر تقیید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توجیه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مطلق و مقیّد هر دو مثبت حکم بودند،اثبات حکم در مقیّد مانع از ثبوت حکم برای ماعدای مقیّد از مصادیق مطلق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شیء نفی ماعدا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این قاعده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با اثبات حرمت غناء در صورت انضمام به سایر عناوین محرّم در یک روایت،حرمت غناء را از سایر مصادیق مطلق نفی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اثبات شیء نفی ماعدا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مولی امر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دیگری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نگاه به امر مقیّد،امر مطلق را از حجّیت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رقبه‌ی مؤمنه تنها ملاک حکم تشدید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غیر آن هم برای امتثال امر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رقبه‌ی مؤمنه رجحان و استحباب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مورد بحث ما نیز،اگر امام غناء را هم در فرض همراهی با گناهان دیگر و هم در فرض عدم همراهی موضوع حرمت قرار داد،حرمت مطلق غناء ثابت می‌شود و در فرض انضمام غناء به ملاهی یا اختلاط با زنان و یا ترویج ظلم این حرمت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مقیّد به شرطی سبب تقیید مطلق می‌شود که در اثبات و نفی مغایر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مقام باید در اصل حکم به بیان مطلق اخذ کنیم</w:t>
      </w:r>
      <w:r>
        <w:rPr>
          <w:rFonts w:eastAsia="IRNazanin" w:cs="IRNazanin"/>
          <w:color w:val="111111"/>
          <w:sz w:val="28"/>
          <w:szCs w:val="28"/>
          <w:rtl w:val="true"/>
          <w:lang w:bidi="fa-IR"/>
        </w:rPr>
        <w:t>.</w:t>
      </w:r>
    </w:p>
    <w:p>
      <w:pPr>
        <w:pStyle w:val="Heading2"/>
        <w:numPr>
          <w:ilvl w:val="1"/>
          <w:numId w:val="1"/>
        </w:numPr>
        <w:rPr/>
      </w:pPr>
      <w:bookmarkStart w:id="8" w:name="__RefHeading___Toc296108_2035185390"/>
      <w:bookmarkStart w:id="9" w:name="_Toc3"/>
      <w:bookmarkEnd w:id="8"/>
      <w:r>
        <w:rPr>
          <w:rtl w:val="true"/>
        </w:rPr>
        <w:t>حكم غناء</w:t>
      </w:r>
      <w:r>
        <w:rPr>
          <w:rtl w:val="true"/>
        </w:rPr>
        <w:t xml:space="preserve">/ </w:t>
      </w:r>
      <w:r>
        <w:rPr>
          <w:rtl w:val="true"/>
        </w:rPr>
        <w:t>بررسي ادلّه قائلين به حرمت غيري غناء</w:t>
      </w:r>
      <w:r>
        <w:rPr>
          <w:rtl w:val="true"/>
        </w:rPr>
        <w:t>/</w:t>
      </w:r>
      <w:r>
        <w:rPr>
          <w:rtl w:val="true"/>
        </w:rPr>
        <w:t>بررسي ادله غناء</w:t>
      </w:r>
      <w:r>
        <w:rPr>
          <w:rtl w:val="true"/>
        </w:rPr>
        <w:t>/</w:t>
      </w:r>
      <w:r>
        <w:rPr>
          <w:rtl w:val="true"/>
        </w:rPr>
        <w:t xml:space="preserve">مكاسب محرّمه </w:t>
      </w:r>
      <w:r>
        <w:rPr/>
        <w:t>96/07/16</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قائلین به حرمت غیری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در ارتباط با غناء مباحثی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به یکی از مباحث مهم این مسأله یعنی تعیین سنخ حرمت غناء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غناء حرام ذاتی است،یا حرام عرضی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غناء بماهو هو حرام است،یا اینکه از جهت همراهی با قول باطل و یا ترویج باطل و زمینه‌سازی برای اختلاط با زنان و شرب خمر حرام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نظریه در بحث غناء مطرح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دلائلی به سود مدعای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دلائل مشهور بر علیه قول مرحوم سبزواری و فیض کاشانی داشتند،تمسّک به اطلاق برخی ادلّه‌ی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غناء را مطلقا تحریم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کیفیت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مباحثی که باید مورد بررسی قرار گیرد و بسیار اختلافی است؛آیا باید غناء را کیفیت صوت بدانیم،یا کیفیت محتوای آواز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شعر خوب و یا حتی یک آیه‌ی قرآن را با صدایی بخوانیم که مصداق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وقتی برای فهم مراد شارع از واژه‌ی غناء به معاجم لغوی مراجعه می‌کنیم،غناء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ناظر به کیفیتی در صداست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نظارتی بر محتوای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مرحوم سبزواری و فیض کاشانی که حرمت غناء را به جهت محتوای باطلی که در غالب موارد با آن همراه است می‌دانند،سخن‌شان با توجه به تحقیقی که ذکر شد بدون توجیه و پشتوانه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برخی روایات غناء را در انضمام با چنین محرماتی تحریم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 غناء ارتباطی با این عناوین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کیفیت صوت بوده و در برخی روایات غناء بنفسه موضوع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ادله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چند مرتبه به روایات غناء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روایت داریم که در آنها غناء مطلقا موضوع تحریم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روایات غناء را بانضمام عناوین محرّم دیگری موضوع حرمت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 بر اثر همین روایات که غناء را منضمّ به محرّمات دیگر تحریم کرده است،قائل به حرمت غیری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غنائی که در هنگامه‌ی تشریع تحریم شد،غنائی بود که زمینه برای سایر محرّمات مذکور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حرمت آن غیری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مشهور این سخن را نمی‌پذیرفتند؛به نظر آنها همانطور که در بسیاری از روایات غناء را مطلقا حرام دانسته‌اند،غناء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دو دلیل در تأیید از قول خود در این بحث ذکر می‌کنند که می توان به آنها پرداخت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اول بر حرمت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w:t>
      </w:r>
      <w:r>
        <w:rPr>
          <w:rStyle w:val="FootnoteAnchor"/>
          <w:rtl w:val="true"/>
        </w:rPr>
        <w:footnoteReference w:id="2"/>
      </w:r>
      <w:r>
        <w:rPr>
          <w:rFonts w:ascii="Amiri" w:hAnsi="Amiri" w:eastAsia="Amiri" w:cs="Amiri"/>
          <w:color w:val="111111"/>
          <w:sz w:val="28"/>
          <w:sz w:val="28"/>
          <w:szCs w:val="28"/>
          <w:rtl w:val="true"/>
          <w:lang w:bidi="ar-SA"/>
        </w:rPr>
        <w:t xml:space="preserve">  فِي قُرْبِ الْإِسْنَادِ</w:t>
      </w:r>
      <w:r>
        <w:rPr>
          <w:rStyle w:val="FootnoteAnchor"/>
          <w:rtl w:val="true"/>
        </w:rPr>
        <w:footnoteReference w:id="3"/>
      </w:r>
      <w:r>
        <w:rPr>
          <w:rFonts w:ascii="Amiri" w:hAnsi="Amiri" w:eastAsia="Amiri" w:cs="Amiri"/>
          <w:color w:val="111111"/>
          <w:sz w:val="28"/>
          <w:sz w:val="28"/>
          <w:szCs w:val="28"/>
          <w:rtl w:val="true"/>
          <w:lang w:bidi="ar-SA"/>
        </w:rPr>
        <w:t xml:space="preserve">  عَنْ عَبْدِ اللَّهِ بْنِ الْحَسَنِ</w:t>
      </w:r>
      <w:r>
        <w:rPr>
          <w:rStyle w:val="FootnoteAnchor"/>
          <w:rtl w:val="true"/>
        </w:rPr>
        <w:footnoteReference w:id="4"/>
      </w:r>
      <w:r>
        <w:rPr>
          <w:rFonts w:ascii="Amiri" w:hAnsi="Amiri" w:eastAsia="Amiri" w:cs="Amiri"/>
          <w:color w:val="111111"/>
          <w:sz w:val="28"/>
          <w:sz w:val="28"/>
          <w:szCs w:val="28"/>
          <w:rtl w:val="true"/>
          <w:lang w:bidi="ar-SA"/>
        </w:rPr>
        <w:t xml:space="preserve">  عَنْ عَلِيِّ بْنِ جَعْفَرٍ</w:t>
      </w:r>
      <w:r>
        <w:rPr>
          <w:rStyle w:val="FootnoteAnchor"/>
          <w:rtl w:val="true"/>
        </w:rPr>
        <w:footnoteReference w:id="5"/>
      </w:r>
      <w:r>
        <w:rPr>
          <w:rFonts w:ascii="Amiri" w:hAnsi="Amiri" w:eastAsia="Amiri" w:cs="Amiri"/>
          <w:color w:val="111111"/>
          <w:sz w:val="28"/>
          <w:sz w:val="28"/>
          <w:szCs w:val="28"/>
          <w:rtl w:val="true"/>
          <w:lang w:bidi="ar-SA"/>
        </w:rPr>
        <w:t xml:space="preserve">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يَصْلُحُ فِي الْفِطْرِ وَ الْأَضْحَى وَ 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آن،ضعیف بوده و نمی‌تواند دلیل در مسأله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 به عنوان مؤیّدی از آن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شرط تأیید ادعای محقّق سبزواری توسط این روایت،اثبات مدّعی توسط روایات صحیحه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ادلّه‌ای محکم در اثبات این قول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بین تحقّق غناء و حرمت فاصله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غناء هست و گناه دیگری نیست،حرمتی هم در بین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غناء زمینه‌ی گناهان دیگر و عناوین محرّمی شد که ذکر کردیم،حرام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حرمت غناء به جهت محرّمات دیگری است که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صدای خوش و زیبایی که نشاط و یا حزنی را در انسان شکل می‌دهد،حرام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روایت آمده است،در مجالس سرور و فرح و اعیاد وجود غناء تحریم نشده است،بلکه امام از انضمام غناء به سایر عناوین محرّم نهی کرده‌اند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اشکال این دلیل،ضعف سندی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دوم در ارتباط با دلالت این روایت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یعص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نفس غناء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روایت حرمت غناء را به معصیت با حرام دیگری وابسته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غناء مراتبی دارد که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غناء سبب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نکته‌ای است که پیش از این هم گفته شد،غناء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مراتب غناء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مراتب آن هم قطعا موضوع حرمت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صدا به قدری آمیخته با طرب شود که زوال عقل و یا تقلیل عقل صورت گیرد،قطعا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خود شاهدی بر این تفکیک در مراتب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با توجه به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 شکل معنی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فرض اگر مرجع ضمیر را سایر معاصی دانستیم،همان معنی مقصود محقّق سبزواری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غناء را در فرض زمینه‌سازی سایر محرّمات حرام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ضمیر را به خود غناء برگرداندیم،در این صورت باید غناء را به نحوی تعریف کنیم که هم بتواند موضوع اباحه باشد،و هم حرمت بر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اگر ما غناء را ذومراتب تعریف نمودیم،بعضی مراتب آن حلال بوده و برخی از آنها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را به خود غناء بازگرداندیم،نمی توان به این روایت حتی به نحو تأیید به نفع قول حرمت غیری استدلال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 بر حرمت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دوم هم روایتی از علی بن جعفر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r>
        <w:rPr>
          <w:rStyle w:val="FootnoteAnchor"/>
          <w:rtl w:val="true"/>
        </w:rPr>
        <w:footnoteReference w:id="6"/>
      </w:r>
      <w:r>
        <w:rPr>
          <w:rFonts w:ascii="Amiri" w:hAnsi="Amiri" w:eastAsia="Amiri" w:cs="Amiri"/>
          <w:color w:val="111111"/>
          <w:sz w:val="28"/>
          <w:sz w:val="28"/>
          <w:szCs w:val="28"/>
          <w:rtl w:val="true"/>
          <w:lang w:bidi="ar-SA"/>
        </w:rPr>
        <w:t xml:space="preserve">  فِي کتَابِه‌</w:t>
      </w:r>
      <w:r>
        <w:rPr>
          <w:rStyle w:val="FootnoteAnchor"/>
          <w:rtl w:val="true"/>
        </w:rPr>
        <w:footnoteReference w:id="7"/>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أَ يَصْلُحُ فِي الْفِطْرِ وَ الْأَضْحَى وَ الْفَرَحُ يَکونُ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يُؤْمَرْ</w:t>
      </w:r>
      <w:r>
        <w:rPr>
          <w:rStyle w:val="FootnoteAnchor"/>
          <w:rtl w:val="true"/>
        </w:rPr>
        <w:footnoteReference w:id="8"/>
      </w:r>
      <w:r>
        <w:rPr>
          <w:rFonts w:ascii="Amiri" w:hAnsi="Amiri" w:eastAsia="Amiri" w:cs="Amiri"/>
          <w:color w:val="111111"/>
          <w:sz w:val="28"/>
          <w:sz w:val="28"/>
          <w:szCs w:val="28"/>
          <w:rtl w:val="true"/>
          <w:lang w:bidi="ar-SA"/>
        </w:rPr>
        <w:t xml:space="preserve">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حضرت نفس غناء حلال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غناء منضمّ به آلات موسیقی و مزمار شده باشد،حرام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مطلوب مرحوم سبزواری دلالت داشته و از آنجا که صحیحه هم می‌باشد،خدشه‌ای در استدلال به آن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این روایت و سایر روایات دیگر که غناء را باطلاقها تحریم نموده‌اند،همین نگاه تشکیکی و مرتبه‌ای به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مراتب آن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صرفا صوت نیکو و خوشی صدای خواننده است و میزانی معقول از نشاط و سرور در انسان حاصل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مرتبه‌ای به بعد انسان در اثر بیخودی از خود مرتکب افعال حرام و ناشایست می‌شود و در همان مراتب هم زمینه برای سایر معاصی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روایاتی که مدلولشان تحریم مطلق غناء است و این روایات که غناء را در کنار عناوین دیگر تحریم می‌کنند،همگی ناظر به این مراتب مختلف در غناء هستند</w:t>
      </w:r>
      <w:r>
        <w:rPr>
          <w:rFonts w:eastAsia="IRNazanin" w:cs="IRNazanin"/>
          <w:color w:val="111111"/>
          <w:sz w:val="28"/>
          <w:szCs w:val="28"/>
          <w:rtl w:val="true"/>
          <w:lang w:bidi="fa-IR"/>
        </w:rPr>
        <w:t>.</w:t>
      </w:r>
      <w:bookmarkStart w:id="10" w:name="pg4642_53906"/>
    </w:p>
    <w:p>
      <w:pPr>
        <w:pStyle w:val="Heading2"/>
        <w:numPr>
          <w:ilvl w:val="1"/>
          <w:numId w:val="1"/>
        </w:numPr>
        <w:rPr/>
      </w:pPr>
      <w:bookmarkStart w:id="11" w:name="__RefHeading___Toc296110_2035185390"/>
      <w:bookmarkStart w:id="12" w:name="_Toc4"/>
      <w:bookmarkEnd w:id="10"/>
      <w:bookmarkEnd w:id="11"/>
      <w:r>
        <w:rPr>
          <w:rtl w:val="true"/>
        </w:rPr>
        <w:t>ادلّه غناء</w:t>
      </w:r>
      <w:r>
        <w:rPr>
          <w:rtl w:val="true"/>
        </w:rPr>
        <w:t>/</w:t>
      </w:r>
      <w:r>
        <w:rPr>
          <w:rtl w:val="true"/>
        </w:rPr>
        <w:t>مبحث غناء</w:t>
      </w:r>
      <w:r>
        <w:rPr>
          <w:rtl w:val="true"/>
        </w:rPr>
        <w:t>/</w:t>
      </w:r>
      <w:r>
        <w:rPr>
          <w:rtl w:val="true"/>
        </w:rPr>
        <w:t xml:space="preserve">مكاسب محرّمه </w:t>
      </w:r>
      <w:r>
        <w:rPr/>
        <w:t>96/07/17</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دو قول در رابطه با حرمت غناء مورد بررسی قرار گرفت؛حرمت غناء بنابر یک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فقهاء بدان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نظریه‌ی مرحوم سبزواری و فیض کاشانی حرمت غناء عرضی بوده و به جهت ضمائمی که در زمینه‌ی غناء محقّق می‌شود غناء هم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و داوری بین دو نظریه،ناچار از بررسی ادلّه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 که دو دسته روایت در این رابطه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غناء را مطلقا تحریم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طائفه‌ی دوم غناء را به شرط آنکه منجرّ به معاصی دیگری مثل اختلاط با زنان و یا شرب خمر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حرام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حرمت غیری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روایات،روایتی را از کتاب علی بن جعفر بررسی کردیم؛در آن روایت معصوم حد حرمت غناء را جایی می‌دانستند که غناء آمیخته با ابزار و آلات موسیقی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w:t>
      </w:r>
      <w:r>
        <w:rPr>
          <w:rStyle w:val="FootnoteAnchor"/>
          <w:rtl w:val="true"/>
        </w:rPr>
        <w:footnoteReference w:id="9"/>
      </w:r>
      <w:r>
        <w:rPr>
          <w:rFonts w:ascii="Amiri" w:hAnsi="Amiri" w:eastAsia="Amiri" w:cs="Amiri"/>
          <w:color w:val="111111"/>
          <w:sz w:val="28"/>
          <w:sz w:val="28"/>
          <w:szCs w:val="28"/>
          <w:rtl w:val="true"/>
          <w:lang w:bidi="ar-SA"/>
        </w:rPr>
        <w:t xml:space="preserve">  فِي کتَابِه‌</w:t>
      </w:r>
      <w:r>
        <w:rPr>
          <w:rStyle w:val="FootnoteAnchor"/>
          <w:rtl w:val="true"/>
        </w:rPr>
        <w:footnoteReference w:id="10"/>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أَ يَصْلُحُ فِي الْفِطْرِ وَ الْأَضْحَى وَ الْفَرَحُ يَکونُ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يُؤْمَرْ</w:t>
      </w:r>
      <w:r>
        <w:rPr>
          <w:rStyle w:val="FootnoteAnchor"/>
          <w:rtl w:val="true"/>
        </w:rPr>
        <w:footnoteReference w:id="11"/>
      </w:r>
      <w:r>
        <w:rPr>
          <w:rFonts w:ascii="IRNazanin" w:hAnsi="IRNazanin" w:eastAsia="IRNazanin"/>
          <w:color w:val="111111"/>
          <w:sz w:val="28"/>
          <w:sz w:val="28"/>
          <w:szCs w:val="28"/>
          <w:rtl w:val="true"/>
          <w:lang w:bidi="fa-IR"/>
        </w:rPr>
        <w:t xml:space="preserve">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بخودی خود موضوع هیچ حکمی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جهت حرمت موسیقی،آنجا که غناء آمیخته با موسیقی شود،حرام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حرمت غناء طبق بیان این روایت غیری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مورد استناد و استشهاد قائلین به نظریه‌ی حرمت غیری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هم در کتاب مکاسب محرّمه این روایت را نقل کرده و از آن حرمت غیری را استظهار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توجیهاتی برای پاسخ به نظریه‌ی حرمت غیری برای این روایت،آورده‌اند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صادر از جهت تقیه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نظر در وفاق با نظر اهل سنت است،می‌توان احتمال داد امام از روی تقیه این گونه حکم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سائل از گوش دادن به غناء در روزهای عید و مجالس شادی از امام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توجیهات این مجالس شادی مورد سؤال را حمل بر مجلس عروسی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سؤال راوی از غنائی است که در عروسی واقع در این روزها خوانده و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غنای در مجالس عروسی استثناء شده است،این روایت نیز همان فرض جواز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است؛که این توجیه بعید از ظاهر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دست به چنین تأویلی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تقیه هم می‌توان احتمال تقیه را با توجه به اصل عدم تقیه،ابطال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جهت صدور یک روایت شک داشتیم؛اصل بر عدم تقیّه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بنابرانی می‌توان ادعا کرد این روایت غناء را فی‌نفسه حلال دانسته و تنها در فرض آمیخته شدن آن به آلات موسیقی غناء را تحریم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دو روایت در تأیید و اثبات حرمت غیری ارائه کردیم؛روایت اول تعبیر امام اینگونه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یعص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که با توجه به مرجع ضمیر در تعبیر امام،می‌توان تصوّر صحیحی از موضوع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می‌فرمایند غناء حلال است تا هنگامی که با آن معصیت 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غناء وسیله‌ای برای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حالتی دوگانه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فرضی حلال و در فرضی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تعبیر می‌توان نتیجه گرفت غناء ذومراتب است و در مرحله‌ای از آن وسیله‌ی معصیت شده و حرام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مرتبه‌ای است که به قول مرحوم امام و علامه شریعت اصفهانی،انسان دچار زوال عقل و یا تقلیل عقل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مراتب ضعیفتر غناء که صرفا فرح و شادی و سروری ایجاد می‌کند،از نظر ما داخل در اصل اباحه بوده و حلال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سوم بر حرمت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روایتی از ابوبصیر از امام صادق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عِدَّةٍ مِنْ أَصْحَابِنَا عَنْ أَحْمَدَ بْنِ مُحَمَّدٍ عَنِ الْحُسَيْنِ بْنِ سَعِيدٍ عَنْ عَلِيِّ بْنِ أَبِي حَمْزَةَ 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صحیحه بوده و به نظر ما رجال سند آن دچار خدشه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شبهه‌ی واقفی بودنش مورد مناقشه است،ولی به نظر ما امامی و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سند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امام در پاسخ از سؤال راوی درباره‌ی پولی که خوانندگان زن در مجالس به عنوان اجرت کسب می‌کنند،حرمت غنای چنین زنی را مشروط به اختلاط با مردان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می‌توانستند به راحتی حکم به حرمت غناء و کسب درآمد از آن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حرمت را مشروط به تحقّق یک معصیت مستقلّ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امام جایی که زن صرفا در مجلس عروسی و برای زنان می‌خواند،گناهی محقّق نشده 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فرض اختلاط،غناء زمینه برای تحقّق معاصی می‌شود و حرام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دو حکم مسلّم را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وارد مجلس زنان شود،غناء خواندن زن در انجا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اولی است که در این روایت بیان شده و 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دوّمی هم بیان می‌شود که در آن هم تردید نیست؛در مجلس عروسی غناء خواندن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ابهاماتی هم در این روایت به نظر می‌رسد؛اگر مردی داخل در مجلس غنای این زن نشود،ولی صدای این زن را بیرون مجلس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استماع صدای این زن مصداق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از این روایت نمی‌تون حرمتی برای این مورد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روایت حرمت صدای زن را مشروط به حضور در مجلس زنان و اختلاط با آنان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مرد در مجلس زنان پای نگذاشته و فقط صدای زن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بنابراین روایت صدای زن را در حق چنین مردی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شما قائل به حرمت ذاتی غناء بودید،بنابر مبنای خودتان این مورد را هم باید مصداق غناء دانسته و حکم به حرمت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غناء را به شرط انضمام به عناوین مشخّصی از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اختلاط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دانستید،صرف شنیدن صدای یک زن مغنّیه واجد ملاک حرمت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سؤالات متداول این روزها بحث تک‌خوانی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بخواند و صدای او را مردان گوش کنند،و فرض هم بر این است که هیچ ضمیمه‌ی حرامی با خواندن این زن نیست،آیا این تک‌خوانی مصداق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قائل به حرمت ذاتی غناء بودید،حرام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قائل به حرمت غیری باشید،نمی‌توان با وجود اصل اباحه قائل به حرمت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بر حرمت غناء در مجلس اختلاط زنان و مردان و استثنای غناء برای عروسی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غنای زنان برای زنان را هم به غنای عروسی ملحق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يَدْخُلُ عَلَيْهَا الرِّجَالُ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حلیت غناء در مجلسی که خالی از مردان است دلالت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شما قائل به حرمت ذاتی غناء بودید،غیر از این دو مورد استثناء را باید داخل در حرمت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همان مردی که بیرون مجلس صدای زن را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قائل به حرمت غیری شدید،مصادیق دیگر داخل در دائره‌ی اصل اباحه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روایت اشکالاتی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 ناظر به سند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روایت را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واقفی بوده و فساد مذهب او قادح در سند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قول مورد اتفاق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قائل به صحت روایات او بوده و بر طبق دیدگاه آنها،می‌توان به روایات امثال علی بن ابی حمزه از واقفه اخذ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از امام معصوم نقل شده است،باید نسبت به اجتهادات ایشان بی‌اعتناء باشیم،ولی روایاتی را که نقل می‌کنند اخذ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شبهه‌ی وقف ایشان قدحی در سند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سوی دیگر روایتی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خواندیم،از امام باقر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در دوره‌ی وقف او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روایت را بر محور آیه‌ای که امام در انتهای آن ذکر می‌کنند،تحلیل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در پایان روایت اشاره به آیه‌ای از سوره‌ی لقمان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يَشْتَرِي لَهْوَ الْحَدِيثِ لِيُضِلَّ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امام پاسخ راوی را بر اساس این آیه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غنائی که در مجلس اختلاط زنان و مردان است،داخل در لهو الحدیث بوده و اخذ اجرت بر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غنائی که در مجلس زنان و عروسی خوانده می‌شود،استثناء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باقی موارد غناء که داخل در لهوالحدیث هستند،هیچ اشاره و بیانی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مغنّیه غنائی را با اشعار باطل بخواند،به وضوح مصداق آیه بوده و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برای سایر موارد غناء بیانی از روایت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روایت بیشتر در مقام بیان نسبت به دو قسم غالب غنای مغنّیه است؛یکی خواندن مغنّیه در مجالس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برای زنان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غنائی که در مجالس مختلط از زنان و مردان خوانده می‌شد</w:t>
      </w:r>
      <w:r>
        <w:rPr>
          <w:rFonts w:eastAsia="IRNazanin" w:cs="IRNazanin"/>
          <w:color w:val="111111"/>
          <w:sz w:val="28"/>
          <w:szCs w:val="28"/>
          <w:rtl w:val="true"/>
          <w:lang w:bidi="fa-IR"/>
        </w:rPr>
        <w:t>.</w:t>
      </w:r>
      <w:bookmarkStart w:id="13" w:name="pg4642_53911"/>
    </w:p>
    <w:p>
      <w:pPr>
        <w:pStyle w:val="BookText"/>
        <w:rPr/>
      </w:pPr>
      <w:bookmarkEnd w:id="13"/>
      <w:r>
        <w:rPr>
          <w:rFonts w:ascii="IRNazanin" w:hAnsi="IRNazanin" w:eastAsia="IRNazanin"/>
          <w:color w:val="111111"/>
          <w:sz w:val="28"/>
          <w:sz w:val="28"/>
          <w:szCs w:val="28"/>
          <w:rtl w:val="true"/>
          <w:lang w:bidi="fa-IR"/>
        </w:rPr>
        <w:t>پاسخ بر اشکال به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موثّقه وصحیحه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امام در مقام بیان حکم اجرتی است،که مغنّیه از خواندنش کسب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ذکر یک مورد برای حرمت غناء اکتفاء می کند؛جایی که مردان داخل بر مجلس زنان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را بنابر مبنایی که در بحث حرمت غناء اخذ کرده‌ایم،یا داخل در حرمت و یا داخل در اصل اباحه باید دانست</w:t>
      </w:r>
      <w:r>
        <w:rPr>
          <w:rFonts w:eastAsia="IRNazanin" w:cs="IRNazanin"/>
          <w:color w:val="111111"/>
          <w:sz w:val="28"/>
          <w:szCs w:val="28"/>
          <w:rtl w:val="true"/>
          <w:lang w:bidi="fa-IR"/>
        </w:rPr>
        <w:t>.</w:t>
      </w:r>
    </w:p>
    <w:p>
      <w:pPr>
        <w:pStyle w:val="Heading2"/>
        <w:numPr>
          <w:ilvl w:val="1"/>
          <w:numId w:val="1"/>
        </w:numPr>
        <w:rPr/>
      </w:pPr>
      <w:bookmarkStart w:id="14" w:name="__RefHeading___Toc296112_2035185390"/>
      <w:bookmarkStart w:id="15" w:name="_Toc5"/>
      <w:bookmarkEnd w:id="14"/>
      <w:r>
        <w:rPr>
          <w:rtl w:val="true"/>
        </w:rPr>
        <w:t>ادله غناء</w:t>
      </w:r>
      <w:r>
        <w:rPr>
          <w:rtl w:val="true"/>
        </w:rPr>
        <w:t>/</w:t>
      </w:r>
      <w:r>
        <w:rPr>
          <w:rtl w:val="true"/>
        </w:rPr>
        <w:t>مبحث غناء</w:t>
      </w:r>
      <w:r>
        <w:rPr>
          <w:rtl w:val="true"/>
        </w:rPr>
        <w:t>/</w:t>
      </w:r>
      <w:r>
        <w:rPr>
          <w:rtl w:val="true"/>
        </w:rPr>
        <w:t xml:space="preserve">مكاسب محرمه </w:t>
      </w:r>
      <w:r>
        <w:rPr/>
        <w:t>96/07/18</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و اقوال در ارتباط با حکم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قبل از ادلّه باب به برخی روایات پرداختیم که در آن غناء را به عنوان زمینه‌ای برای اختلاط با زنان موضوع حرمت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طائفه از روایات اشعار به حرمت مقارنات غناء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غناء به تنهایی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ظاهر روایات باب می‌توان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مطلق غناء است؛مگر در مجلس عروسی و مجلسی که مغنّیه برای زنان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دو مورد،داخل در حکم حرمت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بر حرمت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w:t>
      </w:r>
      <w:r>
        <w:rPr>
          <w:rStyle w:val="FootnoteAnchor"/>
          <w:rtl w:val="true"/>
        </w:rPr>
        <w:footnoteReference w:id="13"/>
      </w:r>
      <w:r>
        <w:rPr>
          <w:rFonts w:ascii="Amiri" w:hAnsi="Amiri" w:eastAsia="Amiri" w:cs="Amiri"/>
          <w:color w:val="111111"/>
          <w:sz w:val="28"/>
          <w:sz w:val="28"/>
          <w:szCs w:val="28"/>
          <w:rtl w:val="true"/>
          <w:lang w:bidi="ar-SA"/>
        </w:rPr>
        <w:t xml:space="preserve">  عَنْ أَحْمَدَ</w:t>
      </w:r>
      <w:r>
        <w:rPr>
          <w:rStyle w:val="FootnoteAnchor"/>
          <w:rtl w:val="true"/>
        </w:rPr>
        <w:footnoteReference w:id="14"/>
      </w:r>
      <w:r>
        <w:rPr>
          <w:rFonts w:ascii="Amiri" w:hAnsi="Amiri" w:eastAsia="Amiri" w:cs="Amiri"/>
          <w:color w:val="111111"/>
          <w:sz w:val="28"/>
          <w:sz w:val="28"/>
          <w:szCs w:val="28"/>
          <w:rtl w:val="true"/>
          <w:lang w:bidi="ar-SA"/>
        </w:rPr>
        <w:t xml:space="preserve">  عَنِ الْحُسَيْنِ</w:t>
      </w:r>
      <w:r>
        <w:rPr>
          <w:rStyle w:val="FootnoteAnchor"/>
          <w:rtl w:val="true"/>
        </w:rPr>
        <w:footnoteReference w:id="15"/>
      </w:r>
      <w:r>
        <w:rPr>
          <w:rFonts w:ascii="Amiri" w:hAnsi="Amiri" w:eastAsia="Amiri" w:cs="Amiri"/>
          <w:color w:val="111111"/>
          <w:sz w:val="28"/>
          <w:sz w:val="28"/>
          <w:szCs w:val="28"/>
          <w:rtl w:val="true"/>
          <w:lang w:bidi="ar-SA"/>
        </w:rPr>
        <w:t xml:space="preserve">  عَنِ النَّضْرِ بْنِ سُوَيْدٍ</w:t>
      </w:r>
      <w:r>
        <w:rPr>
          <w:rStyle w:val="FootnoteAnchor"/>
          <w:rtl w:val="true"/>
        </w:rPr>
        <w:footnoteReference w:id="16"/>
      </w:r>
      <w:r>
        <w:rPr>
          <w:rFonts w:ascii="Amiri" w:hAnsi="Amiri" w:eastAsia="Amiri" w:cs="Amiri"/>
          <w:color w:val="111111"/>
          <w:sz w:val="28"/>
          <w:sz w:val="28"/>
          <w:szCs w:val="28"/>
          <w:rtl w:val="true"/>
          <w:lang w:bidi="ar-SA"/>
        </w:rPr>
        <w:t xml:space="preserve">  عَنْ يَحْيَى الْحَلَبِيِّ</w:t>
      </w:r>
      <w:r>
        <w:rPr>
          <w:rStyle w:val="FootnoteAnchor"/>
          <w:rtl w:val="true"/>
        </w:rPr>
        <w:footnoteReference w:id="17"/>
      </w:r>
      <w:r>
        <w:rPr>
          <w:rFonts w:ascii="Amiri" w:hAnsi="Amiri" w:eastAsia="Amiri" w:cs="Amiri"/>
          <w:color w:val="111111"/>
          <w:sz w:val="28"/>
          <w:sz w:val="28"/>
          <w:szCs w:val="28"/>
          <w:rtl w:val="true"/>
          <w:lang w:bidi="ar-SA"/>
        </w:rPr>
        <w:t xml:space="preserve">  عَنْ أَيُّوبَ بْنِ الْحُرِّ</w:t>
      </w:r>
      <w:r>
        <w:rPr>
          <w:rStyle w:val="FootnoteAnchor"/>
          <w:rtl w:val="true"/>
        </w:rPr>
        <w:footnoteReference w:id="18"/>
      </w:r>
      <w:r>
        <w:rPr>
          <w:rFonts w:ascii="Amiri" w:hAnsi="Amiri" w:eastAsia="Amiri" w:cs="Amiri"/>
          <w:color w:val="111111"/>
          <w:sz w:val="28"/>
          <w:sz w:val="28"/>
          <w:szCs w:val="28"/>
          <w:rtl w:val="true"/>
          <w:lang w:bidi="ar-SA"/>
        </w:rPr>
        <w:t xml:space="preserve">  عَنْ أَبِي بَصِيرٍ</w:t>
      </w:r>
      <w:r>
        <w:rPr>
          <w:rStyle w:val="FootnoteAnchor"/>
          <w:rtl w:val="true"/>
        </w:rPr>
        <w:footnoteReference w:id="19"/>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 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روایت مسند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رجال آن امامی و ثقه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 مقام استثنای غنای مجالس عروسی از حکم عمومی حرمت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سبزواری از همین روایت برداشت می‌کنند،آنچه ملاک است،همان اختلاط زنان و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غنای زن برای زن و مرد برای مرد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نظر ایشان غناء در این روایت به جهت مقارنی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دلالة على أنّ منشأ المنع دخول الرجال عليها؛ ففيه إشعار بأنّ منشأ المنع في الغناء هو بعض الأمور المحرّمة المقترن به؛ کالإلتهاء و غيره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چنین برداشتی از این روایت متوقّف بر تنقیح مناط از این روایت و روایات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ما نمی‌توان چنین مناطی را از روایت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روایت در مقام بیان حکم غناء در مجالس عروسی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بر بیان مناط و ملاک حکم بود،نمی‌بایست حکم در اختصاص با یک مجلس در روایت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تنها در مقام بیان اباحه غناء در مجالس عروسی به شرط عدم اختلاط با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موارد مثل غنای مرد برای مرد و غیر از آن را نمی‌توان از این روایت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فرض تسلیم در برابر استدلال محقّق سبزواری و قبول دلالت آن بر حرمت غیری،باز هم موانعی برای استدلال به این روایت به نظر می‌رسد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عاملی صاحب مفتاح الکرامه،این روایت را حمل بر تقیه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روایت موافق با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غیری غناء مورد وفاق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مخالف با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نظر ایشان این روایت در تعارض با بیست و پنج روایت در باب است؛که یا نص در حرمت مطلق غناء هستند،یا ظهور در حرمت ذاتی غناء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نیز،روایات دیگری که استماع غناء و یا اجر مغنّیه را موضوع تحریم مطلق قرار می‌دهند،پشتیبان قول به حرمت مطلق و ذاتی غناء هستند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نظر ما،می‌توان این اشکال را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مطلق باب را می‌توان توسط این روایت تقیید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صحیح بوده و مشکلی در دلالت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این،روایت دیگری هم از علی بن ابی حمزه بطائنی خواندیم،که سند قابل اعتمادی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روایت هم بیانی مشابه این حدیث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می‌توان این روایت را به عنوان مقیِّد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جایی برای نفی حجیّت از روایت و حمل آن بر تقیّه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تقیّه خلاف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در مورد مجالس عروسی و مجالس 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خالی از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این روایت مطلقات باب را تقیید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تعارضی هم استقرار نخواهد یافت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به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مرحوم شیخ انصاری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دلیل بر حرمت غیری اقامه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اطلاقاتی که در حرمت ذاتی غناء وارد شده است،توان مقابله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ظهور قابل اعتنائی در انها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خود شیخ تا حدودی این سخن مرحوم سبزورای و فیض کاشانی را می‌پسندند؛به همین جهت قائل به اشعاری در این روایات به حرمت غیری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شیخ در این روایات اشعاری به توقّف حرمت غناء بر تحقّق عناوین محرّمی مثل آمیختگی با آلات موسیقی و یا اختلاط با مردان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انصاف مانع از تمسّک به این چند روایت در مقام تعیین حکم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دلالت روایات معارض 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روایات صریحا غنای مغنیّه حتی برای مولای خودش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يکون للرجل الجارية تلهيه و ما ثمنها إلّا ثمن الکلب</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شیخ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غیری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ضعیفتر از آن است که به زبان بیاید</w:t>
      </w:r>
      <w:r>
        <w:rPr>
          <w:rFonts w:eastAsia="IRNazanin" w:cs="IRNazanin"/>
          <w:color w:val="111111"/>
          <w:sz w:val="28"/>
          <w:szCs w:val="28"/>
          <w:rtl w:val="true"/>
          <w:lang w:bidi="fa-IR"/>
        </w:rPr>
        <w:t>.</w:t>
      </w:r>
      <w:r>
        <w:rPr>
          <w:rStyle w:val="FootnoteAnchor"/>
          <w:rtl w:val="true"/>
        </w:rPr>
        <w:footnoteReference w:id="24"/>
      </w:r>
      <w:bookmarkStart w:id="16" w:name="pg4642_53914"/>
    </w:p>
    <w:p>
      <w:pPr>
        <w:pStyle w:val="BookText"/>
        <w:rPr/>
      </w:pPr>
      <w:bookmarkEnd w:id="16"/>
      <w:r>
        <w:rPr>
          <w:rFonts w:ascii="IRNazanin" w:hAnsi="IRNazanin" w:eastAsia="IRNazanin"/>
          <w:color w:val="111111"/>
          <w:sz w:val="28"/>
          <w:sz w:val="28"/>
          <w:szCs w:val="28"/>
          <w:rtl w:val="true"/>
          <w:lang w:bidi="fa-IR"/>
        </w:rPr>
        <w:t>به نظر ما این روایت در مقام استثنای مجالس عروسی و مجالس زنانه‌ای است که غنائی در آن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این مقدار دلالت صریح و حجّتی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همه‌ی آن مطلقاتی که جناب شیخ انصاری می‌فرمایند،در مورد مجالس مذکور تقیید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جمع عرفی در نظر همگان صحیح است</w:t>
      </w:r>
      <w:r>
        <w:rPr>
          <w:rFonts w:eastAsia="IRNazanin" w:cs="IRNazanin"/>
          <w:color w:val="111111"/>
          <w:sz w:val="28"/>
          <w:szCs w:val="28"/>
          <w:rtl w:val="true"/>
          <w:lang w:bidi="fa-IR"/>
        </w:rPr>
        <w:t>.</w:t>
      </w:r>
    </w:p>
    <w:p>
      <w:pPr>
        <w:pStyle w:val="Heading2"/>
        <w:numPr>
          <w:ilvl w:val="1"/>
          <w:numId w:val="1"/>
        </w:numPr>
        <w:rPr/>
      </w:pPr>
      <w:bookmarkStart w:id="17" w:name="__RefHeading___Toc296114_2035185390"/>
      <w:bookmarkStart w:id="18" w:name="_Toc6"/>
      <w:bookmarkEnd w:id="17"/>
      <w:r>
        <w:rPr>
          <w:rtl w:val="true"/>
        </w:rPr>
        <w:t>دليل دوم حرمت غيري</w:t>
      </w:r>
      <w:r>
        <w:rPr>
          <w:rtl w:val="true"/>
        </w:rPr>
        <w:t>/</w:t>
      </w:r>
      <w:r>
        <w:rPr>
          <w:rtl w:val="true"/>
        </w:rPr>
        <w:t>ادله حرمت غناء</w:t>
      </w:r>
      <w:r>
        <w:rPr>
          <w:rtl w:val="true"/>
        </w:rPr>
        <w:t>/</w:t>
      </w:r>
      <w:r>
        <w:rPr>
          <w:rtl w:val="true"/>
        </w:rPr>
        <w:t>غناء</w:t>
      </w:r>
      <w:r>
        <w:rPr>
          <w:rtl w:val="true"/>
        </w:rPr>
        <w:t>/</w:t>
      </w:r>
      <w:r>
        <w:rPr>
          <w:rtl w:val="true"/>
        </w:rPr>
        <w:t xml:space="preserve">مکاسب محرّمه </w:t>
      </w:r>
      <w:r>
        <w:rPr/>
        <w:t>96/07/22</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حرمت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پیرامون بحث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غناء عده‌ای قائل به حرمت غیری بودند؛یعنی حرمت غناء را به جهت ضمائم حرامی می‌دانند،که در مجالس غناء رایج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از آنرو که زمینه‌ای برای شرب خمر،اختلاط با زنان،ترویج باطل و لهو بوده است،حرام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 و مرحوم فیض کاشانی و در زمان معاصر عده‌ای قائل به این نظریه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 قائلین به حرمت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استدلال این دسته از فقهاء مبتنی بر توجه به فرد غالب غناء در زمان صدور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رائج غناء در زمان ائمه،مقارن با محرّماتی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راویان و پاسخ ائمّه نیز بر محور همان مصادیق موجود شکل 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احکام صادره هم برای همان موارد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دلیل دوم حرمت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استدلال مرحوم امام سه پاسخ داده‌اند؛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امام برخی روایات باب به کلی بیگانه از توضیح و استدلال قائلین به حرمت غیری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 نشانی از دخالت مقارنات با غناء در حرمت آن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العریضي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عَنْ أَخِيهِ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يَتَعَمَّدُ الْغِنَاءَ يُجْلَسُ‌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سوال راوی از هیچ مقارن و ضمیمه‌ی حرامی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سؤال و راوی هر دو مرد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عنوان حرام دیگری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ممنوع دانسته و غناء را حرام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روایت دیگری از امام صادق نقل شده است که نقضی بر استدلال امثال مرحوم سبزورای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عليّ بن الفضّال التیمي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فطحيّ ثقة من أصحاب الإجماع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 و هو إماميّ ثقة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الأعلی بن أعین مولی آل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 و هو إماميّ ثقة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الْغِنَاءِ وَ قُلْتُ إِنَّهُمْ يَزْعُمُونَ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فِي أَنْ يُقَالَ جِئْنَاكُمْ جِئْنَاكُمْ حَيُّونَا حَيُّونَا نُحَيِّكُمْ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بَيْنَهُما لاعِبِينَ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أَنْ نَتَّخِذَ لَهْواً لَاتَّخَذْناهُ مِنْ لَدُنَّا إِنْ كُنَّا فاعِلِينَ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عَلَى الْباطِلِ فَيَدْمَغُهُ فَإِذا هُوَ زاهِقٌ وَ لَكُمُ الْوَيْلُ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وَيْلٌ لِفُلَانٍ مِمَّا يَصِفُ رَجُلٌ لَمْ يَحْضُرِ الْمَجْلِسَ</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هم بحث در رابطه با یک شعر ساده است،که در آن زمان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استقبال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اثری از شرب خمر در روایت است،نه از هیچ عنوان محرّم دیگری در بیان سائل و امام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 امام همین یک بیت شعر و یا جمله را مصداق لعب و لهو و باطل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دقت بفرمایید،امام به آیاتی استناد می‌کنند،که در آنها به بعد و تحذّر خدای متعال از لهو و لعب و باطل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پاسخی بود که مرحوم امام به استدلال مرحوم سبزواری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استدلال مرحوم سبزواری ناظر به فضای صدور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زمان فضای موجود نسبت به غناء آلوده به معاصی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متن روایت نشانه‌ای از این معاصی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بر سؤال راوی و پاسخ امام حاکم است،فضایی است که نسبت به غناء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کاملا سخن شما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جاریه مغنیّه سؤال پرسیده می‌شود،به نظر می‌رسد نکته‌ای که در ذهن راوی عامل پرسش او شده است،همین فسادی است که از خواندن و تهییج و احیانا رقص و نواختن موسیقی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دو روایت هیچ ردّ و نشانی از حاکمیت چنین فضایی بر متن روایات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به صرف ادّعا و عدم توفیر شواهد از متن روایت قائل به چنین قولی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سخن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احتمال وجود دارد که همین یک بیت شعر در روایت قبلی را به جهت شکل ادای تحریم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دخترانی به خواندن آن مشغول می‌شدند و یا موسیقی و رقصی در کار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در متن روایت شاهدی بر این ادعا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امام نمی‌توان ادعای مرحوم سبزواری را مبنی بر غلبه‌ی غنای آلوده به معاصی در زمان اهل‌بیت تصدیق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همان زمان غنای به خواندن اشعار مرسوم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در دست نیست،تا فرد شایع و غالب غناء را منحصر در غنای منضمّ به معاصی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امام اگر ما بخواهیم با استدلال مرحوم سبزواری همراه شویم،باید تنها فردی از غناء را حرام بدانیم،که تمام قیود و شرائط مجالس غناء در آن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جاریه‌ی مغنّیه و خمر و موسیقی و اشعار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یک مجلس حاضر باشند،تا بتوان حکم به حرمت آن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تخصیصی است که خود قائلین به حرمت غیری هم قائل بدان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بخواهیم روایات را تنها در فضای صدور حجت بدانیم،باب فقه را بسته‌ایم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نمی‌توانید یک روایت را به صرف غلبه‌ی یک مصداق در زمان صدور آن،حمل بر همان فرد کنید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اشکالات مرحوم امام به نظر متین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تکلیفی غناء</w:t>
      </w:r>
    </w:p>
    <w:p>
      <w:pPr>
        <w:pStyle w:val="BookText"/>
        <w:rPr/>
      </w:pPr>
      <w:r>
        <w:rPr>
          <w:rFonts w:ascii="IRNazanin" w:hAnsi="IRNazanin" w:eastAsia="IRNazanin"/>
          <w:color w:val="111111"/>
          <w:sz w:val="28"/>
          <w:sz w:val="28"/>
          <w:szCs w:val="28"/>
          <w:rtl w:val="true"/>
          <w:lang w:bidi="fa-IR"/>
        </w:rPr>
        <w:t>تحریر محلّ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حکم تکلیفی غناء،دو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غناء را مطلقا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آن را فی‌الجمله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متیقّنی از غناء مشمول حکم حرمت است،و باقی مصادیق غناء را باید مباح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برخی تمام مصادیق غناء را حرام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شکلی افراطی غناء را ممنوع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نقاره‌ای که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می‌شود،به نظر ایشان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سید لاری در حرمت مطلق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لاری در حاشیه بر مکاسب،تمام مصادیق غناء را تحریم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الأظهر الأشهر حرمته مطلقاً من حيث نفسه، و من حيث أفراده المطربة و غيرها، و من حيث موارده في القرآن و غيره، و في الأعراس و غيرها، و کذلک الهوسة</w:t>
      </w:r>
      <w:r>
        <w:rPr>
          <w:rStyle w:val="FootnoteAnchor"/>
          <w:rtl w:val="true"/>
        </w:rPr>
        <w:footnoteReference w:id="28"/>
      </w:r>
      <w:r>
        <w:rPr>
          <w:rFonts w:ascii="IRNazanin" w:hAnsi="IRNazanin" w:eastAsia="IRNazanin"/>
          <w:color w:val="111111"/>
          <w:sz w:val="28"/>
          <w:sz w:val="28"/>
          <w:szCs w:val="28"/>
          <w:rtl w:val="true"/>
          <w:lang w:bidi="fa-IR"/>
        </w:rPr>
        <w:t xml:space="preserve">  لتشييد الحروب الخاصّ بالعرب، کاختصاص المزيقة</w:t>
      </w:r>
      <w:r>
        <w:rPr>
          <w:rStyle w:val="FootnoteAnchor"/>
          <w:rtl w:val="true"/>
        </w:rPr>
        <w:footnoteReference w:id="29"/>
      </w:r>
      <w:r>
        <w:rPr>
          <w:rFonts w:ascii="IRNazanin" w:hAnsi="IRNazanin" w:eastAsia="IRNazanin"/>
          <w:color w:val="111111"/>
          <w:sz w:val="28"/>
          <w:sz w:val="28"/>
          <w:szCs w:val="28"/>
          <w:rtl w:val="true"/>
          <w:lang w:bidi="fa-IR"/>
        </w:rPr>
        <w:t xml:space="preserve">  و الطبل بحروب الکفرة و الإعلام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الطبل المعمول للإعلام على سطح صحن الرضا من أعظم منکرات بدع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الترادف</w:t>
      </w:r>
      <w:r>
        <w:rPr>
          <w:rStyle w:val="FootnoteAnchor"/>
          <w:rtl w:val="true"/>
        </w:rPr>
        <w:footnoteReference w:id="30"/>
      </w:r>
      <w:r>
        <w:rPr>
          <w:rFonts w:ascii="IRNazanin" w:hAnsi="IRNazanin" w:eastAsia="IRNazanin"/>
          <w:color w:val="111111"/>
          <w:sz w:val="28"/>
          <w:sz w:val="28"/>
          <w:szCs w:val="28"/>
          <w:rtl w:val="true"/>
          <w:lang w:bidi="fa-IR"/>
        </w:rPr>
        <w:t xml:space="preserve">  و التجاوب</w:t>
      </w:r>
      <w:r>
        <w:rPr>
          <w:rStyle w:val="FootnoteAnchor"/>
          <w:rtl w:val="true"/>
        </w:rPr>
        <w:footnoteReference w:id="31"/>
      </w:r>
      <w:r>
        <w:rPr>
          <w:rFonts w:ascii="Amiri" w:hAnsi="Amiri" w:eastAsia="Amiri" w:cs="Amiri"/>
          <w:color w:val="111111"/>
          <w:sz w:val="28"/>
          <w:sz w:val="28"/>
          <w:szCs w:val="28"/>
          <w:rtl w:val="true"/>
          <w:lang w:bidi="ar-SA"/>
        </w:rPr>
        <w:t xml:space="preserve">  في اللطميّات</w:t>
      </w:r>
      <w:r>
        <w:rPr>
          <w:rStyle w:val="FootnoteAnchor"/>
          <w:rtl w:val="true"/>
        </w:rPr>
        <w:footnoteReference w:id="32"/>
      </w:r>
      <w:r>
        <w:rPr>
          <w:rFonts w:ascii="Amiri" w:hAnsi="Amiri" w:eastAsia="Amiri" w:cs="Amiri"/>
          <w:color w:val="111111"/>
          <w:sz w:val="28"/>
          <w:sz w:val="28"/>
          <w:szCs w:val="28"/>
          <w:rtl w:val="true"/>
          <w:lang w:bidi="ar-SA"/>
        </w:rPr>
        <w:t xml:space="preserve">  بجميع أنحائها من الغناء المهيّج للطرب، و أنحاء ما يسمّيه الفرس بآوازه خوانى من السرود</w:t>
      </w:r>
      <w:r>
        <w:rPr>
          <w:rStyle w:val="FootnoteAnchor"/>
          <w:rtl w:val="true"/>
        </w:rPr>
        <w:footnoteReference w:id="33"/>
      </w:r>
      <w:r>
        <w:rPr>
          <w:rFonts w:ascii="Amiri" w:hAnsi="Amiri" w:eastAsia="Amiri" w:cs="Amiri"/>
          <w:color w:val="111111"/>
          <w:sz w:val="28"/>
          <w:sz w:val="28"/>
          <w:szCs w:val="28"/>
          <w:rtl w:val="true"/>
          <w:lang w:bidi="ar-SA"/>
        </w:rPr>
        <w:t xml:space="preserve"> و التصنيف و الشلوى</w:t>
      </w:r>
      <w:r>
        <w:rPr>
          <w:rStyle w:val="FootnoteAnchor"/>
          <w:rtl w:val="true"/>
        </w:rPr>
        <w:footnoteReference w:id="34"/>
      </w:r>
      <w:r>
        <w:rPr>
          <w:rFonts w:ascii="IRNazanin" w:hAnsi="IRNazanin" w:eastAsia="IRNazanin"/>
          <w:color w:val="111111"/>
          <w:sz w:val="28"/>
          <w:sz w:val="28"/>
          <w:szCs w:val="28"/>
          <w:rtl w:val="true"/>
          <w:lang w:bidi="fa-IR"/>
        </w:rPr>
        <w:t xml:space="preserve">  و هفت بند و ذاکري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يتغنّى به النسوان لملاعبة الصبيان و مناومة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تهليلات</w:t>
      </w:r>
      <w:r>
        <w:rPr>
          <w:rStyle w:val="FootnoteAnchor"/>
          <w:rtl w:val="true"/>
        </w:rPr>
        <w:footnoteReference w:id="35"/>
      </w:r>
      <w:r>
        <w:rPr>
          <w:rFonts w:ascii="IRNazanin" w:hAnsi="IRNazanin" w:eastAsia="IRNazanin"/>
          <w:color w:val="111111"/>
          <w:sz w:val="28"/>
          <w:sz w:val="28"/>
          <w:szCs w:val="28"/>
          <w:rtl w:val="true"/>
          <w:lang w:bidi="fa-IR"/>
        </w:rPr>
        <w:t xml:space="preserve">  العامّة بهيئة الإجتماع و الإختراع، و سائر مبتدعات الصوفيّة في کيفيّة الذکر و التصدية</w:t>
      </w:r>
      <w:r>
        <w:rPr>
          <w:rStyle w:val="FootnoteAnchor"/>
          <w:rtl w:val="true"/>
        </w:rPr>
        <w:footnoteReference w:id="36"/>
      </w:r>
      <w:r>
        <w:rPr>
          <w:rFonts w:ascii="Amiri" w:hAnsi="Amiri" w:eastAsia="Amiri" w:cs="Amiri"/>
          <w:color w:val="111111"/>
          <w:sz w:val="28"/>
          <w:sz w:val="28"/>
          <w:szCs w:val="28"/>
          <w:rtl w:val="true"/>
          <w:lang w:bidi="ar-SA"/>
        </w:rPr>
        <w:t xml:space="preserve">  و الدعاء من التطريب المبتدع</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همانطور که می‌بینید،هیچ مصداقی از صدا نیست که ایشان حرام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نکته‌ی جالب این قول نسبت این حد از حرمت به مشهور فقهاء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بخواهیم در رابطه با قول ایشان و سایر فقهاء داوری درستی داشته باشیم،باید به بررسی روایات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حرمت مطلق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روایاتی است که به بررسی تعدادی از آنها می‌پردازیم؛</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Style w:val="FootnoteAnchor"/>
          <w:rtl w:val="true"/>
        </w:rPr>
        <w:footnoteReference w:id="38"/>
      </w:r>
      <w:r>
        <w:rPr>
          <w:rFonts w:ascii="Amiri" w:hAnsi="Amiri" w:eastAsia="Amiri" w:cs="Amiri"/>
          <w:color w:val="111111"/>
          <w:sz w:val="28"/>
          <w:sz w:val="28"/>
          <w:szCs w:val="28"/>
          <w:rtl w:val="true"/>
          <w:lang w:bidi="ar-SA"/>
        </w:rPr>
        <w:t xml:space="preserve">  عَنْ مُحَمَّدِ بْنِ يَحْيَى</w:t>
      </w:r>
      <w:r>
        <w:rPr>
          <w:rStyle w:val="FootnoteAnchor"/>
          <w:rtl w:val="true"/>
        </w:rPr>
        <w:footnoteReference w:id="39"/>
      </w:r>
      <w:r>
        <w:rPr>
          <w:rFonts w:ascii="Amiri" w:hAnsi="Amiri" w:eastAsia="Amiri" w:cs="Amiri"/>
          <w:color w:val="111111"/>
          <w:sz w:val="28"/>
          <w:sz w:val="28"/>
          <w:szCs w:val="28"/>
          <w:rtl w:val="true"/>
          <w:lang w:bidi="ar-SA"/>
        </w:rPr>
        <w:t xml:space="preserve">  عَنْ أَحْمَدَ بْنِ مُحَمَّدٍ</w:t>
      </w:r>
      <w:r>
        <w:rPr>
          <w:rStyle w:val="FootnoteAnchor"/>
          <w:rtl w:val="true"/>
        </w:rPr>
        <w:footnoteReference w:id="40"/>
      </w:r>
      <w:r>
        <w:rPr>
          <w:rFonts w:ascii="Amiri" w:hAnsi="Amiri" w:eastAsia="Amiri" w:cs="Amiri"/>
          <w:color w:val="111111"/>
          <w:sz w:val="28"/>
          <w:sz w:val="28"/>
          <w:szCs w:val="28"/>
          <w:rtl w:val="true"/>
          <w:lang w:bidi="ar-SA"/>
        </w:rPr>
        <w:t xml:space="preserve">  عَنِ الْحُسَيْنِ بْنِ سَعِيدٍ</w:t>
      </w:r>
      <w:r>
        <w:rPr>
          <w:rStyle w:val="FootnoteAnchor"/>
          <w:rtl w:val="true"/>
        </w:rPr>
        <w:footnoteReference w:id="41"/>
      </w:r>
      <w:r>
        <w:rPr>
          <w:rFonts w:ascii="Amiri" w:hAnsi="Amiri" w:eastAsia="Amiri" w:cs="Amiri"/>
          <w:color w:val="111111"/>
          <w:sz w:val="28"/>
          <w:sz w:val="28"/>
          <w:szCs w:val="28"/>
          <w:rtl w:val="true"/>
          <w:lang w:bidi="ar-SA"/>
        </w:rPr>
        <w:t xml:space="preserve">  عَنْ إِبْرَاهِيمَ بْنِ أَبِي الْبِلَادِ</w:t>
      </w:r>
      <w:r>
        <w:rPr>
          <w:rStyle w:val="FootnoteAnchor"/>
          <w:rtl w:val="true"/>
        </w:rPr>
        <w:footnoteReference w:id="42"/>
      </w:r>
      <w:r>
        <w:rPr>
          <w:rFonts w:ascii="Amiri" w:hAnsi="Amiri" w:eastAsia="Amiri" w:cs="Amiri"/>
          <w:color w:val="111111"/>
          <w:sz w:val="28"/>
          <w:sz w:val="28"/>
          <w:szCs w:val="28"/>
          <w:rtl w:val="true"/>
          <w:lang w:bidi="ar-SA"/>
        </w:rPr>
        <w:t xml:space="preserve">  عَنْ زَيْدٍ الشَّحَّامِ</w:t>
      </w:r>
      <w:r>
        <w:rPr>
          <w:rStyle w:val="FootnoteAnchor"/>
          <w:rtl w:val="true"/>
        </w:rPr>
        <w:footnoteReference w:id="4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الْغِنَاءِ لَا تُؤْمَنُ فِيهِ الْفَجِيعَةُ وَ لَا تُجَابُ فِيهِ الدَّعْوَةُ وَ لَا يَدْخُلُهُ الْمَلَک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همانطور که می‌بینید در این روایت خانه‌ای که در آن غناء خوانده می‌شود،از هر گونه برکت و موهبتی محروم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فرشته‌ای در آن ورود می‌کند،و نه از وقوع فجائع در آن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مطلق نسبت به تمام مصادیق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فقهاء به این روایت استدلال کرده‌اند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w:t>
      </w:r>
      <w:r>
        <w:rPr>
          <w:rStyle w:val="FootnoteAnchor"/>
          <w:rtl w:val="true"/>
        </w:rPr>
        <w:footnoteReference w:id="45"/>
      </w:r>
      <w:r>
        <w:rPr>
          <w:rFonts w:ascii="Amiri" w:hAnsi="Amiri" w:eastAsia="Amiri" w:cs="Amiri"/>
          <w:color w:val="111111"/>
          <w:sz w:val="28"/>
          <w:sz w:val="28"/>
          <w:szCs w:val="28"/>
          <w:rtl w:val="true"/>
          <w:lang w:bidi="ar-SA"/>
        </w:rPr>
        <w:t xml:space="preserve">  عَنْ أَبِيهِ</w:t>
      </w:r>
      <w:r>
        <w:rPr>
          <w:rStyle w:val="FootnoteAnchor"/>
          <w:rtl w:val="true"/>
        </w:rPr>
        <w:footnoteReference w:id="46"/>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47"/>
      </w:r>
      <w:r>
        <w:rPr>
          <w:rFonts w:ascii="Amiri" w:hAnsi="Amiri" w:eastAsia="Amiri" w:cs="Amiri"/>
          <w:color w:val="111111"/>
          <w:sz w:val="28"/>
          <w:sz w:val="28"/>
          <w:szCs w:val="28"/>
          <w:rtl w:val="true"/>
          <w:lang w:bidi="ar-SA"/>
        </w:rPr>
        <w:t xml:space="preserve">  عَنْ أَبِي أَيُّوبَ</w:t>
      </w:r>
      <w:r>
        <w:rPr>
          <w:rStyle w:val="FootnoteAnchor"/>
          <w:rtl w:val="true"/>
        </w:rPr>
        <w:footnoteReference w:id="48"/>
      </w:r>
      <w:r>
        <w:rPr>
          <w:rFonts w:ascii="Amiri" w:hAnsi="Amiri" w:eastAsia="Amiri" w:cs="Amiri"/>
          <w:color w:val="111111"/>
          <w:sz w:val="28"/>
          <w:sz w:val="28"/>
          <w:szCs w:val="28"/>
          <w:rtl w:val="true"/>
          <w:lang w:bidi="ar-SA"/>
        </w:rPr>
        <w:t xml:space="preserve">  عَنْ مُحَمَّدِ بْنِ مُسْلِمٍ</w:t>
      </w:r>
      <w:r>
        <w:rPr>
          <w:rStyle w:val="FootnoteAnchor"/>
          <w:rtl w:val="true"/>
        </w:rPr>
        <w:footnoteReference w:id="49"/>
      </w:r>
      <w:r>
        <w:rPr>
          <w:rFonts w:ascii="Amiri" w:hAnsi="Amiri" w:eastAsia="Amiri" w:cs="Amiri"/>
          <w:color w:val="111111"/>
          <w:sz w:val="28"/>
          <w:sz w:val="28"/>
          <w:szCs w:val="28"/>
          <w:rtl w:val="true"/>
          <w:lang w:bidi="ar-SA"/>
        </w:rPr>
        <w:t xml:space="preserve">  وَ أَبِي الصَّبَّاحِ الْکنَانِيِّ</w:t>
      </w:r>
      <w:r>
        <w:rPr>
          <w:rStyle w:val="FootnoteAnchor"/>
          <w:rtl w:val="true"/>
        </w:rPr>
        <w:footnoteReference w:id="50"/>
      </w:r>
      <w:r>
        <w:rPr>
          <w:rFonts w:ascii="Amiri" w:hAnsi="Amiri" w:eastAsia="Amiri" w:cs="Amiri"/>
          <w:color w:val="111111"/>
          <w:sz w:val="28"/>
          <w:sz w:val="28"/>
          <w:szCs w:val="28"/>
          <w:rtl w:val="true"/>
          <w:lang w:bidi="ar-SA"/>
        </w:rPr>
        <w:t xml:space="preserve">  عَنْ أَبِي عَبْدِ اللَّهِ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امام شهاد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در مجالس غناء تفسیر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طباطبائی صاحب ریاض به این روایت استدلال نموده‌اند</w:t>
      </w:r>
      <w:r>
        <w:rPr>
          <w:rFonts w:eastAsia="IRNazanin" w:cs="IRNazanin"/>
          <w:color w:val="111111"/>
          <w:sz w:val="28"/>
          <w:szCs w:val="28"/>
          <w:rtl w:val="true"/>
          <w:lang w:bidi="fa-IR"/>
        </w:rPr>
        <w:t>.</w:t>
      </w:r>
      <w:bookmarkStart w:id="19" w:name="pg4642_53919"/>
    </w:p>
    <w:p>
      <w:pPr>
        <w:pStyle w:val="Heading2"/>
        <w:numPr>
          <w:ilvl w:val="1"/>
          <w:numId w:val="1"/>
        </w:numPr>
        <w:rPr/>
      </w:pPr>
      <w:bookmarkStart w:id="20" w:name="__RefHeading___Toc296116_2035185390"/>
      <w:bookmarkStart w:id="21" w:name="_Toc7"/>
      <w:bookmarkEnd w:id="19"/>
      <w:bookmarkEnd w:id="20"/>
      <w:r>
        <w:rPr>
          <w:rtl w:val="true"/>
        </w:rPr>
        <w:t>بررسي حرمت تكليفي غناء</w:t>
      </w:r>
      <w:r>
        <w:rPr>
          <w:rtl w:val="true"/>
        </w:rPr>
        <w:t>/</w:t>
      </w:r>
      <w:r>
        <w:rPr>
          <w:rtl w:val="true"/>
        </w:rPr>
        <w:t>ادلّه غناء</w:t>
      </w:r>
      <w:r>
        <w:rPr>
          <w:rtl w:val="true"/>
        </w:rPr>
        <w:t>/</w:t>
      </w:r>
      <w:r>
        <w:rPr>
          <w:rtl w:val="true"/>
        </w:rPr>
        <w:t>مبحث غناء</w:t>
      </w:r>
      <w:r>
        <w:rPr>
          <w:rtl w:val="true"/>
        </w:rPr>
        <w:t xml:space="preserve">. </w:t>
      </w:r>
      <w:r>
        <w:rPr/>
        <w:t>96/07/23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حرمت تکلیفی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حرمت تکلیفی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غناء حرام است مطلقا؟یا غناء فی‌الجمله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نظر در این رابطه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قبل قولی از سید لاری در حاشیه مکاسب نقل کردیم؛به نظر ایشان حتی صدای طبل و صدای نقاره‌ای که در حرم امام رضا می‌نوازند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قولی برخی مصادیق غناء را حرام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حکم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حق،باید ابتدا به بررسی ادلّه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طائفه‌ای از ادلّه،غناء را به طور کلّی مبغوض مولی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قیدی را در تحریم غناء دخیل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غناء را با توجه به این ادلّه مطلقا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بررسی هر گونه دلیلی،باید به تحدید مفهوم غناء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مفهوم غناء تحدید شود،موضوع این حرمت مطلق در این طائفه از روایات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حدود مفهومی غناء باید به سراغ کتب و معاجم لغوی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معاجم متقدّم در لغت عرب،می‌توانند در تصحیح تصور ما از غناء خیلی اثرگذار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 غناء در کتب لغت به صوتی تعریف شد،که دارای دو قید طرب و ترجیع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طرب به سبکی و خفّتی معنی شد،که در انسان از حزن و یا سرور یک صدا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اگر در اثر شنیدن یک صدا این سبکی و خفّت در درون شما عارض گشت،آن صدا مصداق غناء و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موردی شک داشتید،مشمول اصل اباحه 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حرمت متوقف بر تحقّق همین طرب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در مصادیق مشکوک موضوع حکم محقّق نمی‌شود و می‌توان با استناد به برائت،حکم به حلّیت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در تحقّق طرب هم،تحقّق فعلی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یک صدا نسبت به شخصی ایجاد خفّت و سبکی کرده و در نتیجه در حق او حرام شود،ولی در رابطه با دیگری این حس ایجاد نشده و حرمتی هم مترتّب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ذکر این مقدّمه ضروری به بررسی ادلّه برمی‌گردیم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دو روایت برای اثبات حرمت مطلق غناء ذکر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سید طباطبائی به هر دو استدلال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جلسه روایت سومی هم در این باره مطرح می‌کنیم؛</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Style w:val="FootnoteAnchor"/>
          <w:rtl w:val="true"/>
        </w:rPr>
        <w:footnoteReference w:id="53"/>
      </w:r>
      <w:r>
        <w:rPr>
          <w:rFonts w:ascii="Amiri" w:hAnsi="Amiri" w:eastAsia="Amiri" w:cs="Amiri"/>
          <w:color w:val="111111"/>
          <w:sz w:val="28"/>
          <w:sz w:val="28"/>
          <w:szCs w:val="28"/>
          <w:rtl w:val="true"/>
          <w:lang w:bidi="ar-SA"/>
        </w:rPr>
        <w:t xml:space="preserve">  عَنْ سَهْلٍ</w:t>
      </w:r>
      <w:r>
        <w:rPr>
          <w:rStyle w:val="FootnoteAnchor"/>
          <w:rtl w:val="true"/>
        </w:rPr>
        <w:footnoteReference w:id="54"/>
      </w:r>
      <w:r>
        <w:rPr>
          <w:rFonts w:ascii="Amiri" w:hAnsi="Amiri" w:eastAsia="Amiri" w:cs="Amiri"/>
          <w:color w:val="111111"/>
          <w:sz w:val="28"/>
          <w:sz w:val="28"/>
          <w:szCs w:val="28"/>
          <w:rtl w:val="true"/>
          <w:lang w:bidi="ar-SA"/>
        </w:rPr>
        <w:t xml:space="preserve">  وَ عَنْ عَلِيِّ بْنِ إِبْرَاهِيمَ</w:t>
      </w:r>
      <w:r>
        <w:rPr>
          <w:rStyle w:val="FootnoteAnchor"/>
          <w:rtl w:val="true"/>
        </w:rPr>
        <w:footnoteReference w:id="55"/>
      </w:r>
      <w:r>
        <w:rPr>
          <w:rFonts w:ascii="Amiri" w:hAnsi="Amiri" w:eastAsia="Amiri" w:cs="Amiri"/>
          <w:color w:val="111111"/>
          <w:sz w:val="28"/>
          <w:sz w:val="28"/>
          <w:szCs w:val="28"/>
          <w:rtl w:val="true"/>
          <w:lang w:bidi="ar-SA"/>
        </w:rPr>
        <w:t xml:space="preserve">  عَنْ أَبِيهِ</w:t>
      </w:r>
      <w:r>
        <w:rPr>
          <w:rStyle w:val="FootnoteAnchor"/>
          <w:rtl w:val="true"/>
        </w:rPr>
        <w:footnoteReference w:id="56"/>
      </w:r>
      <w:r>
        <w:rPr>
          <w:rFonts w:ascii="Amiri" w:hAnsi="Amiri" w:eastAsia="Amiri" w:cs="Amiri"/>
          <w:color w:val="111111"/>
          <w:sz w:val="28"/>
          <w:sz w:val="28"/>
          <w:szCs w:val="28"/>
          <w:rtl w:val="true"/>
          <w:lang w:bidi="ar-SA"/>
        </w:rPr>
        <w:t xml:space="preserve">  جَمِيعاً عَنِ ابْنِ فَضَّالٍ</w:t>
      </w:r>
      <w:r>
        <w:rPr>
          <w:rStyle w:val="FootnoteAnchor"/>
          <w:rtl w:val="true"/>
        </w:rPr>
        <w:footnoteReference w:id="57"/>
      </w:r>
      <w:r>
        <w:rPr>
          <w:rFonts w:ascii="Amiri" w:hAnsi="Amiri" w:eastAsia="Amiri" w:cs="Amiri"/>
          <w:color w:val="111111"/>
          <w:sz w:val="28"/>
          <w:sz w:val="28"/>
          <w:szCs w:val="28"/>
          <w:rtl w:val="true"/>
          <w:lang w:bidi="ar-SA"/>
        </w:rPr>
        <w:t xml:space="preserve">  عَنْ سَعِيدِ بْنِ مُحَمَّدٍ الطَّاطَرِيِّ عَنْ أَبِيهِ</w:t>
      </w:r>
      <w:r>
        <w:rPr>
          <w:rStyle w:val="FootnoteAnchor"/>
          <w:rtl w:val="true"/>
        </w:rPr>
        <w:footnoteReference w:id="58"/>
      </w:r>
      <w:r>
        <w:rPr>
          <w:rFonts w:ascii="Amiri" w:hAnsi="Amiri" w:eastAsia="Amiri" w:cs="Amiri"/>
          <w:color w:val="111111"/>
          <w:sz w:val="28"/>
          <w:sz w:val="28"/>
          <w:szCs w:val="28"/>
          <w:rtl w:val="true"/>
          <w:lang w:bidi="ar-SA"/>
        </w:rPr>
        <w:t xml:space="preserve">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شِرَاؤُهُنَّ وَ بَيْعُهُنَّ حَرَامٌ وَ تَعْلِيمُهُنَّ کفْرٌ وَ اسْتِمَاعُهُنَّ نِفَاقٌ</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تمام آنچه پیرامون غناء از تعلیم و خرید و فروش و شنیدن شکل می‌گیرد،تحریم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همانگونه که سید طباطبائی صاحب ریاض به این روایت استدلال نموده‌اند</w:t>
      </w:r>
      <w:r>
        <w:rPr>
          <w:rStyle w:val="FootnoteAnchor"/>
          <w:rtl w:val="true"/>
        </w:rPr>
        <w:footnoteReference w:id="60"/>
      </w:r>
      <w:r>
        <w:rPr>
          <w:rFonts w:ascii="IRNazanin" w:hAnsi="IRNazanin" w:eastAsia="IRNazanin"/>
          <w:color w:val="111111"/>
          <w:sz w:val="28"/>
          <w:sz w:val="28"/>
          <w:szCs w:val="28"/>
          <w:rtl w:val="true"/>
          <w:lang w:bidi="fa-IR"/>
        </w:rPr>
        <w:t xml:space="preserve"> ،بدان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ما،این روایات برخی هم سند صحیح داشته و هم در دلالت با نقصانی روبرو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غناء مطلقا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آنجا که موضوع این تحریم مطلق غناء است،باید در حدود مفهومی آن حکم حرمت را حجّت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گذشت غناء به صوتی می‌گویند،دارای خصوصیت طرب و ترجیع،و در طرب هم تحقیقی در مقدّمه‌ی مذکور در ابتدای جلسه صورت گرفت،که بر اساس آن باید خفّت و سبکی حاصل از کشش و ترجیع صوت در شخص محقّق شود،تا این حرمت مطلق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مهم این توجه به مفهوم غناء در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هر مصداقی که ملاک غناء در آن تشخیص داده شد،مطلقا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حرمت مطلق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دلیلی که در مقام بر حرمت غناء اقامه شده است،اجماع می‌باشد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نظر ما،این دلیل معیوب است،زیرا تحقیق در اقوال خلاف 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در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فی الجمله؛</w:t>
      </w:r>
    </w:p>
    <w:p>
      <w:pPr>
        <w:pStyle w:val="BookText"/>
        <w:rPr/>
      </w:pPr>
      <w:r>
        <w:rPr>
          <w:rFonts w:ascii="IRNazanin" w:hAnsi="IRNazanin" w:eastAsia="IRNazanin"/>
          <w:color w:val="111111"/>
          <w:sz w:val="28"/>
          <w:sz w:val="28"/>
          <w:szCs w:val="28"/>
          <w:rtl w:val="true"/>
          <w:lang w:bidi="fa-IR"/>
        </w:rPr>
        <w:t>این قول غناء را فی‌الجمله حرام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فقهاء قائل به این قول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نظر مشهور مصادیقی از غناء حلال بوده و مصادیقی هم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مورد استدلال مشهور،نصوصی است که غناء را مقیّد به قیودی موضوع حرمت قرار می‌دهد؛که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حرمت فی الجمله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بر حرمت غناء،آیاتی از کتاب مجید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استدلال در آیه فقره‌ی دوم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داده شده است؛در روایات قول زور را به غناء تأویل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کلام باطل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اختلافی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قول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ناظر به محتوای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بطلان صفت محتوای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غناء تأویل کرده‌اند،آیا آنچه حرام است بر اساس این آیه،محتوای صداست،یا کیفیت صدا موضوع حکم حرمت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آیه غناء را به عنوان محتوای کلام تحریم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محتوای انحرافی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صدایی با تمام کیفیاتی که دارد،محتوای خوب و حقّی داشت،از دائره‌ی حکم غناء بیرون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نداریم،اگر یک آوازی هم کیفیت باطل داشته باشد و هم محتوای باطلی را ترویج کند،مصداق غناء بوده و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 مصداقی از آواز تنها کیفیت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محتوای درست و پسندیده‌ای در آن خوانده می‌شود،آیا بر اساس این آیه حلال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2" w:name="pg4642_53922"/>
    </w:p>
    <w:p>
      <w:pPr>
        <w:pStyle w:val="BookText"/>
        <w:rPr/>
      </w:pPr>
      <w:bookmarkEnd w:id="22"/>
      <w:r>
        <w:rPr>
          <w:rFonts w:ascii="IRNazanin" w:hAnsi="IRNazanin" w:eastAsia="IRNazanin"/>
          <w:color w:val="111111"/>
          <w:sz w:val="28"/>
          <w:sz w:val="28"/>
          <w:szCs w:val="28"/>
          <w:rtl w:val="true"/>
          <w:lang w:bidi="fa-IR"/>
        </w:rPr>
        <w:t>اشکال به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سبحانی استدلال به این آیه را در مقام نادرست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غناء به کیفیت صوت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شریفه ناظر به محتوای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زور صفت مضمون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غناء کیفیت صوت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در نظر ایشان استدلال به این آیه برای اثبات حرمت غناء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بگوییم غناء هم سبب انحراف انسان از مسیر حق می‌شود؛که در اینصورت نیازی به آیه برای اثبات حرمت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انحراف از حق در هر شکلی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آیت‌الله سبحانی توجه به روایاتی که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به غناء کرده‌اند دارد،ولی قائل‌اند تفسیر روایت ناظر به بطون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منطوق و ظاهر آیه که بتواند مورد اتکاء و استدلال فقهی قرار 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به نظر ما،فرمایش آیت‌الله سبحانی در عین متانت و درستی،ولی نمی‌توان با صدور روایات در این باب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غناء مخالفت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استدلال ایشان در برابر روایات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برخی روایات در ذیل آیه،غناء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آیه و استدلال بدان مورد مناقشاتی قرار گرفته‌اند که در جلسه بعد بدانها خواهیم پرداخت</w:t>
      </w:r>
      <w:r>
        <w:rPr>
          <w:rFonts w:eastAsia="IRNazanin" w:cs="IRNazanin"/>
          <w:color w:val="111111"/>
          <w:sz w:val="28"/>
          <w:szCs w:val="28"/>
          <w:rtl w:val="true"/>
          <w:lang w:bidi="fa-IR"/>
        </w:rPr>
        <w:t>.</w:t>
      </w:r>
    </w:p>
    <w:p>
      <w:pPr>
        <w:pStyle w:val="Heading2"/>
        <w:numPr>
          <w:ilvl w:val="1"/>
          <w:numId w:val="1"/>
        </w:numPr>
        <w:rPr/>
      </w:pPr>
      <w:bookmarkStart w:id="23" w:name="__RefHeading___Toc296118_2035185390"/>
      <w:bookmarkStart w:id="24" w:name="_Toc8"/>
      <w:bookmarkEnd w:id="23"/>
      <w:r>
        <w:rPr>
          <w:rtl w:val="true"/>
        </w:rPr>
        <w:t>بررسي حرمت غناء</w:t>
      </w:r>
      <w:r>
        <w:rPr>
          <w:rtl w:val="true"/>
        </w:rPr>
        <w:t>/</w:t>
      </w:r>
      <w:r>
        <w:rPr>
          <w:rtl w:val="true"/>
        </w:rPr>
        <w:t>ادلّه حرمت غناء</w:t>
      </w:r>
      <w:r>
        <w:rPr>
          <w:rtl w:val="true"/>
        </w:rPr>
        <w:t>/</w:t>
      </w:r>
      <w:r>
        <w:rPr>
          <w:rtl w:val="true"/>
        </w:rPr>
        <w:t>مبحث غناء</w:t>
      </w:r>
      <w:r>
        <w:rPr>
          <w:rtl w:val="true"/>
        </w:rPr>
        <w:t>/</w:t>
      </w:r>
      <w:r>
        <w:rPr>
          <w:rtl w:val="true"/>
        </w:rPr>
        <w:t xml:space="preserve">مكاسب محرّمه </w:t>
      </w:r>
      <w:r>
        <w:rPr/>
        <w:t>96/07/25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قبل به بررسی دلائل قول به حرمت فی‌الجمله غناء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آیاتی از قران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دوم رسیدیم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برای اثبات حرمت غناء به این آیه استدلال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به بررسی این آیه و دلالت آن بر مدّعی بحث می‌کنیم</w:t>
      </w:r>
    </w:p>
    <w:p>
      <w:pPr>
        <w:pStyle w:val="BookText"/>
        <w:rPr/>
      </w:pPr>
      <w:r>
        <w:rPr>
          <w:rFonts w:ascii="IRNazanin" w:hAnsi="IRNazanin" w:eastAsia="IRNazanin"/>
          <w:color w:val="111111"/>
          <w:sz w:val="28"/>
          <w:sz w:val="28"/>
          <w:szCs w:val="28"/>
          <w:rtl w:val="true"/>
          <w:lang w:bidi="fa-IR"/>
        </w:rPr>
        <w:t>اشکال به آیه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سبحانی در استدلال به این آیه برای اثبات حرمت غناء اشکالی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ایشان آیه در مقام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موضوع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باب اضافه صفت به موصوف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آیه مبغوض خداوند قلمداد شده است،کلامی است که مصداق لهو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از آیه در مقام استفاده کنیم،آیه ناظر به محتوای صدا خواهد بود،نه کیفیت صدا؛در حالی که غناء کیفیتی در صوت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برای این کیفیت از آیه حکمی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متعال در آیه حکم را معلّق بر تحقّق صفت لهویت در کلام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حکم بر وصف مشعر به علیّت وصف در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نتیجه گرفت اگر غناء هم حائز ملاک لهویت باشد،حرام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 و تفسیری که تصوّر شود،شامل غناء می‌شود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ما،بعد از آنکه روایات در ذیل آیه غناء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کرد،نمی‌توان در برابر روایات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در آیه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اضلالی است که به واسطه آن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نکته توجه داشته باشیم،غناء به معنی کیفیت صوت هم در مواردی باعث اضلال از راه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مصادیقی از غناء سبب گمراهی انسان‌ها از راه حق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توجه به غایتی که در آیه برای موضوع ذکر شده است،ما را به حرمت فی‌الجمله غناء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می‌فهمیم برخی مصادیق غناء که در غایت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است،همان حکم کلام لهو را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نمی‌توان با این استدلال حرمت مطلق غناء را ثابت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ارتباط با حرمت غناء برخی به این آیه استدلال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طائفه‌ای از روایات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تفسیر به غناء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مقام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ترکیب را برخی به ظاهر آن به شهادت باطل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به معنی شهادت و حضور در مجالس باطل هم معنی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هماهنگ با تفاسیر روایی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اشکالات بسیاری پیرامون استدلال به این آیه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فقهاء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آیات قبل –قائل به نظارت آیه به محتوای کلام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به نظر ایشان استدلال به آیه برای اثبات حکم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کیفیتی در صوت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این آیه را ناظر به مجالس زور بدانیم،در مقام نهی از مجالسی خواهد بود،که در آن عصیان خداوند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صراحتی در غناء ندارد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مکاسب محرّمه استدلال به این آیات را مخدوش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روایات ذیل این آیات جملگی ناظر به محتوای غناء بوده و در رابطه با خود غناء که کیفیت صوت باشد،بیانی ندارد؛در تمام این روایات موضوع حکم،محتوای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تأیید این استظهار مرحوم شیخ به روایاتی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استشهاد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روایت قول زور را به کلامی تفسیر می‌کنند که شخص در تأیید غنای مغنّی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از امام سجّاد می‌خوانیم که حضرت به سائل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جاریه‌ی تو با صدای خوب و خوشی که دارد تو را به یاد بهشت و خدا بیندازد،عیبی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اضافه صفت به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کلامی است که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اگر بخواهیم از این آیه حرمت غناء را ثابت کنیم،غنائی حرام خواهد بود که محتوای باطلی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سوّم نیز مجالس و مشاهد زور،مجالسی هستند که در آن اشعار باطل و فاسد ترویج داده می‌شود</w:t>
      </w:r>
      <w:r>
        <w:rPr>
          <w:rFonts w:eastAsia="IRNazanin" w:cs="IRNazanin"/>
          <w:color w:val="111111"/>
          <w:sz w:val="28"/>
          <w:szCs w:val="28"/>
          <w:rtl w:val="true"/>
          <w:lang w:bidi="fa-IR"/>
        </w:rPr>
        <w:t>.</w:t>
      </w:r>
      <w:r>
        <w:rPr>
          <w:rStyle w:val="FootnoteAnchor"/>
          <w:rtl w:val="true"/>
        </w:rPr>
        <w:footnoteReference w:id="69"/>
      </w:r>
      <w:bookmarkStart w:id="25" w:name="pg4642_53925"/>
    </w:p>
    <w:p>
      <w:pPr>
        <w:pStyle w:val="BookText"/>
        <w:rPr/>
      </w:pPr>
      <w:bookmarkEnd w:id="25"/>
      <w:r>
        <w:rPr>
          <w:rFonts w:ascii="IRNazanin" w:hAnsi="IRNazanin" w:eastAsia="IRNazanin"/>
          <w:color w:val="111111"/>
          <w:sz w:val="28"/>
          <w:sz w:val="28"/>
          <w:szCs w:val="28"/>
          <w:rtl w:val="true"/>
          <w:lang w:bidi="fa-IR"/>
        </w:rPr>
        <w:t>پس در نظر مرحوم شیخ هم این آیات و روایاتی که در ذیل آن وارد شده است،نظارتی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ما،همانطور که گذشت،بعد از انکه روایات این موارد بر غناء تطبیق دادند،می‌توان حرمت غناء فی الجمله را از آنان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در روایات ما این موارد غناء شمرده شده است،باید به آن گردن گذاشت و ملتزم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این آیات چگونه غناء را تحریم می‌کنند،نیاز به بررسی در مفهوم غناء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اصل تحریم فی‌الجمله غناء از این آیات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عَنِ اللَّغْوِ مُعْرِضُونَ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آیه هم از جمله آیاتی است که برخی در مقام بدان استدلال کرده‌اند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کسانی هستند که از لغو اعراض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غناء هم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برخی اشکال نموده‌اند که این آیه شامل غناء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غناء کیفیت صوت است و در جایی که شخصی ندای حقی را به آواز می‌خواند،نمی‌توان اطلاق لغو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حرمت غناء را از این آیه استفاده نمود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این‌جا هم وقتی روایات آیه را تطبیق بر غناء کرده‌اند،جایی برای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استفاده‌ی فی‌الجمله حرمت غناء بلااشکال است</w:t>
      </w:r>
      <w:r>
        <w:rPr>
          <w:rFonts w:eastAsia="IRNazanin" w:cs="IRNazanin"/>
          <w:color w:val="111111"/>
          <w:sz w:val="28"/>
          <w:szCs w:val="28"/>
          <w:rtl w:val="true"/>
          <w:lang w:bidi="fa-IR"/>
        </w:rPr>
        <w:t>.</w:t>
      </w:r>
    </w:p>
    <w:p>
      <w:pPr>
        <w:pStyle w:val="Heading2"/>
        <w:numPr>
          <w:ilvl w:val="1"/>
          <w:numId w:val="1"/>
        </w:numPr>
        <w:rPr/>
      </w:pPr>
      <w:bookmarkStart w:id="26" w:name="__RefHeading___Toc296120_2035185390"/>
      <w:bookmarkStart w:id="27" w:name="_Toc9"/>
      <w:bookmarkEnd w:id="26"/>
      <w:r>
        <w:rPr>
          <w:rtl w:val="true"/>
        </w:rPr>
        <w:t>جلسهبررسي حكم غناء</w:t>
      </w:r>
      <w:r>
        <w:rPr>
          <w:rtl w:val="true"/>
        </w:rPr>
        <w:t>/</w:t>
      </w:r>
      <w:r>
        <w:rPr>
          <w:rtl w:val="true"/>
        </w:rPr>
        <w:t>ادله غناء</w:t>
      </w:r>
      <w:r>
        <w:rPr>
          <w:rtl w:val="true"/>
        </w:rPr>
        <w:t>/</w:t>
      </w:r>
      <w:r>
        <w:rPr>
          <w:rtl w:val="true"/>
        </w:rPr>
        <w:t>مبحث غناء</w:t>
      </w:r>
      <w:r>
        <w:rPr>
          <w:rtl w:val="true"/>
        </w:rPr>
        <w:t>/</w:t>
      </w:r>
      <w:r>
        <w:rPr>
          <w:rtl w:val="true"/>
        </w:rPr>
        <w:t xml:space="preserve">مكاسب محرّمه؛ </w:t>
      </w:r>
      <w:r>
        <w:rPr/>
        <w:t>96/07/29</w:t>
      </w:r>
      <w:bookmarkEnd w:id="27"/>
    </w:p>
    <w:p>
      <w:pPr>
        <w:pStyle w:val="BookText"/>
        <w:rPr/>
      </w:pPr>
      <w:r>
        <w:rPr>
          <w:rFonts w:ascii="IRNazanin" w:hAnsi="IRNazanin" w:eastAsia="IRNazanin"/>
          <w:color w:val="111111"/>
          <w:sz w:val="28"/>
          <w:sz w:val="28"/>
          <w:szCs w:val="28"/>
          <w:rtl w:val="true"/>
          <w:lang w:bidi="fa-IR"/>
        </w:rPr>
        <w:t>موضوع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حکم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قبل بحث به بررسی حکم غناء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غناء را باید بنفسه حرام بدانیم؟یا از آن جهت که زمینه‌ای برای ارتکاب معاصی دیگر است،قائل به حرمت آن می‌شویم؟به نظر ما غناء فی‌نفسه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تأمل در مباحث گذشته و روایاتی که تا بحال خوانده شده است،روشن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حرمت ذاتی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چند دسته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طائفه از روایات را ذیل آیات سه گانه‌ای که خواندیم،بررسی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روایات،تعابیر قرآنی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غناء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بررسی برخی از این بیانات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w:t>
      </w:r>
      <w:r>
        <w:rPr>
          <w:rStyle w:val="FootnoteAnchor"/>
          <w:rtl w:val="true"/>
        </w:rPr>
        <w:footnoteReference w:id="73"/>
      </w:r>
      <w:r>
        <w:rPr>
          <w:rFonts w:ascii="Amiri" w:hAnsi="Amiri" w:eastAsia="Amiri" w:cs="Amiri"/>
          <w:color w:val="111111"/>
          <w:sz w:val="28"/>
          <w:sz w:val="28"/>
          <w:szCs w:val="28"/>
          <w:rtl w:val="true"/>
          <w:lang w:bidi="ar-SA"/>
        </w:rPr>
        <w:t xml:space="preserve">  عَنِ الْحُسَيْنِ بْنِ سَعِيدٍ</w:t>
      </w:r>
      <w:r>
        <w:rPr>
          <w:rStyle w:val="FootnoteAnchor"/>
          <w:rtl w:val="true"/>
        </w:rPr>
        <w:footnoteReference w:id="74"/>
      </w:r>
      <w:r>
        <w:rPr>
          <w:rFonts w:ascii="Amiri" w:hAnsi="Amiri" w:eastAsia="Amiri" w:cs="Amiri"/>
          <w:color w:val="111111"/>
          <w:sz w:val="28"/>
          <w:sz w:val="28"/>
          <w:szCs w:val="28"/>
          <w:rtl w:val="true"/>
          <w:lang w:bidi="ar-SA"/>
        </w:rPr>
        <w:t xml:space="preserve">  وَ مُحَمَّدِ بْنِ خَالِدٍ</w:t>
      </w:r>
      <w:r>
        <w:rPr>
          <w:rStyle w:val="FootnoteAnchor"/>
          <w:rtl w:val="true"/>
        </w:rPr>
        <w:footnoteReference w:id="75"/>
      </w:r>
      <w:r>
        <w:rPr>
          <w:rFonts w:ascii="Amiri" w:hAnsi="Amiri" w:eastAsia="Amiri" w:cs="Amiri"/>
          <w:color w:val="111111"/>
          <w:sz w:val="28"/>
          <w:sz w:val="28"/>
          <w:szCs w:val="28"/>
          <w:rtl w:val="true"/>
          <w:lang w:bidi="ar-SA"/>
        </w:rPr>
        <w:t xml:space="preserve">  جَمِيعاً عَنِ النَّضْرِ بْنِ سُوَيْدٍ</w:t>
      </w:r>
      <w:r>
        <w:rPr>
          <w:rStyle w:val="FootnoteAnchor"/>
          <w:rtl w:val="true"/>
        </w:rPr>
        <w:footnoteReference w:id="76"/>
      </w:r>
      <w:r>
        <w:rPr>
          <w:rFonts w:ascii="Amiri" w:hAnsi="Amiri" w:eastAsia="Amiri" w:cs="Amiri"/>
          <w:color w:val="111111"/>
          <w:sz w:val="28"/>
          <w:sz w:val="28"/>
          <w:szCs w:val="28"/>
          <w:rtl w:val="true"/>
          <w:lang w:bidi="ar-SA"/>
        </w:rPr>
        <w:t xml:space="preserve">  عَنْ دُرُسْتَ</w:t>
      </w:r>
      <w:r>
        <w:rPr>
          <w:rStyle w:val="FootnoteAnchor"/>
          <w:rtl w:val="true"/>
        </w:rPr>
        <w:footnoteReference w:id="77"/>
      </w:r>
      <w:r>
        <w:rPr>
          <w:rFonts w:ascii="Amiri" w:hAnsi="Amiri" w:eastAsia="Amiri" w:cs="Amiri"/>
          <w:color w:val="111111"/>
          <w:sz w:val="28"/>
          <w:sz w:val="28"/>
          <w:szCs w:val="28"/>
          <w:rtl w:val="true"/>
          <w:lang w:bidi="ar-SA"/>
        </w:rPr>
        <w:t xml:space="preserve"> عَنْ زَيْدٍ الشَّحَّامِ</w:t>
      </w:r>
      <w:r>
        <w:rPr>
          <w:rStyle w:val="FootnoteAnchor"/>
          <w:rtl w:val="true"/>
        </w:rPr>
        <w:footnoteReference w:id="78"/>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سند این روایت صحیحه و قابل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در مقام تفسیر آیه،غناء را مصداقی از قول زور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بر اساس همین بیان غناء را موردی برای پرهیز و اجتناب واجب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آن حکم به حرمت مطلق و ذاتی غناء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فقهاء نیز بدان استدلال کرده‌اند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w:t>
      </w:r>
      <w:r>
        <w:rPr>
          <w:rStyle w:val="FootnoteAnchor"/>
          <w:rtl w:val="true"/>
        </w:rPr>
        <w:footnoteReference w:id="82"/>
      </w:r>
      <w:r>
        <w:rPr>
          <w:rFonts w:ascii="Amiri" w:hAnsi="Amiri" w:eastAsia="Amiri" w:cs="Amiri"/>
          <w:color w:val="111111"/>
          <w:sz w:val="28"/>
          <w:sz w:val="28"/>
          <w:szCs w:val="28"/>
          <w:rtl w:val="true"/>
          <w:lang w:bidi="ar-SA"/>
        </w:rPr>
        <w:t xml:space="preserve">  عَنْ سَهْلِ بْنِ زِيَادٍ</w:t>
      </w:r>
      <w:r>
        <w:rPr>
          <w:rStyle w:val="FootnoteAnchor"/>
          <w:rtl w:val="true"/>
        </w:rPr>
        <w:footnoteReference w:id="83"/>
      </w:r>
      <w:r>
        <w:rPr>
          <w:rFonts w:ascii="Amiri" w:hAnsi="Amiri" w:eastAsia="Amiri" w:cs="Amiri"/>
          <w:color w:val="111111"/>
          <w:sz w:val="28"/>
          <w:sz w:val="28"/>
          <w:szCs w:val="28"/>
          <w:rtl w:val="true"/>
          <w:lang w:bidi="ar-SA"/>
        </w:rPr>
        <w:t xml:space="preserve">  عَنْ يَحْيَى بْنِ الْمُبَارَک</w:t>
      </w:r>
      <w:r>
        <w:rPr>
          <w:rStyle w:val="FootnoteAnchor"/>
          <w:rtl w:val="true"/>
        </w:rPr>
        <w:footnoteReference w:id="84"/>
      </w:r>
      <w:r>
        <w:rPr>
          <w:rFonts w:ascii="Amiri" w:hAnsi="Amiri" w:eastAsia="Amiri" w:cs="Amiri"/>
          <w:color w:val="111111"/>
          <w:sz w:val="28"/>
          <w:sz w:val="28"/>
          <w:szCs w:val="28"/>
          <w:rtl w:val="true"/>
          <w:lang w:bidi="ar-SA"/>
        </w:rPr>
        <w:t xml:space="preserve">  عَنْ عَبْدِ اللَّهِ بْنِ جَبَلَةَ</w:t>
      </w:r>
      <w:r>
        <w:rPr>
          <w:rStyle w:val="FootnoteAnchor"/>
          <w:rtl w:val="true"/>
        </w:rPr>
        <w:footnoteReference w:id="85"/>
      </w:r>
      <w:r>
        <w:rPr>
          <w:rFonts w:ascii="Amiri" w:hAnsi="Amiri" w:eastAsia="Amiri" w:cs="Amiri"/>
          <w:color w:val="111111"/>
          <w:sz w:val="28"/>
          <w:sz w:val="28"/>
          <w:szCs w:val="28"/>
          <w:rtl w:val="true"/>
          <w:lang w:bidi="ar-SA"/>
        </w:rPr>
        <w:t xml:space="preserve">  عَنْ سَمَاعَةَ بْنِ مِهْرَانَ</w:t>
      </w:r>
      <w:r>
        <w:rPr>
          <w:rStyle w:val="FootnoteAnchor"/>
          <w:rtl w:val="true"/>
        </w:rPr>
        <w:footnoteReference w:id="86"/>
      </w:r>
      <w:r>
        <w:rPr>
          <w:rFonts w:ascii="Amiri" w:hAnsi="Amiri" w:eastAsia="Amiri" w:cs="Amiri"/>
          <w:color w:val="111111"/>
          <w:sz w:val="28"/>
          <w:sz w:val="28"/>
          <w:szCs w:val="28"/>
          <w:rtl w:val="true"/>
          <w:lang w:bidi="ar-SA"/>
        </w:rPr>
        <w:t xml:space="preserve">  عَنْ أَبِي بَصِيرٍ</w:t>
      </w:r>
      <w:r>
        <w:rPr>
          <w:rStyle w:val="FootnoteAnchor"/>
          <w:rtl w:val="true"/>
        </w:rPr>
        <w:footnoteReference w:id="87"/>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روایت هم سندی قابل اعتماد داشته و می‌توان دلیلی برای مدّعای ما در مقام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روایت قبل،مورد استناد برخی فقهاء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سوم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89"/>
      </w:r>
      <w:r>
        <w:rPr>
          <w:rFonts w:ascii="Amiri" w:hAnsi="Amiri" w:eastAsia="Amiri" w:cs="Amiri"/>
          <w:color w:val="111111"/>
          <w:sz w:val="28"/>
          <w:sz w:val="28"/>
          <w:szCs w:val="28"/>
          <w:rtl w:val="true"/>
          <w:lang w:bidi="ar-SA"/>
        </w:rPr>
        <w:t xml:space="preserve">  عَنْ أَبِيهِ</w:t>
      </w:r>
      <w:r>
        <w:rPr>
          <w:rStyle w:val="FootnoteAnchor"/>
          <w:rtl w:val="true"/>
        </w:rPr>
        <w:footnoteReference w:id="90"/>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91"/>
      </w:r>
      <w:r>
        <w:rPr>
          <w:rFonts w:ascii="Amiri" w:hAnsi="Amiri" w:eastAsia="Amiri" w:cs="Amiri"/>
          <w:color w:val="111111"/>
          <w:sz w:val="28"/>
          <w:sz w:val="28"/>
          <w:szCs w:val="28"/>
          <w:rtl w:val="true"/>
          <w:lang w:bidi="ar-SA"/>
        </w:rPr>
        <w:t xml:space="preserve">  عَنْ بَعْضِ أَصْحَابِهِ عَنْ أَبِي عَبْدِ اللَّهِ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روایت هم در دلالت و سند تمام است و در نتیجه باید مورد استناد کسانی که مدّعایی مثل ما دارند،قرار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w:t>
      </w:r>
      <w:r>
        <w:rPr>
          <w:rStyle w:val="FootnoteAnchor"/>
          <w:rtl w:val="true"/>
        </w:rPr>
        <w:footnoteReference w:id="93"/>
      </w:r>
      <w:r>
        <w:rPr>
          <w:rFonts w:ascii="Amiri" w:hAnsi="Amiri" w:eastAsia="Amiri" w:cs="Amiri"/>
          <w:color w:val="111111"/>
          <w:sz w:val="28"/>
          <w:sz w:val="28"/>
          <w:szCs w:val="28"/>
          <w:rtl w:val="true"/>
          <w:lang w:bidi="ar-SA"/>
        </w:rPr>
        <w:t xml:space="preserve">  فِي تَفْسِيرِهِ عَنْ أَبِيهِ</w:t>
      </w:r>
      <w:r>
        <w:rPr>
          <w:rStyle w:val="FootnoteAnchor"/>
          <w:rtl w:val="true"/>
        </w:rPr>
        <w:footnoteReference w:id="94"/>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95"/>
      </w:r>
      <w:r>
        <w:rPr>
          <w:rFonts w:ascii="Amiri" w:hAnsi="Amiri" w:eastAsia="Amiri" w:cs="Amiri"/>
          <w:color w:val="111111"/>
          <w:sz w:val="28"/>
          <w:sz w:val="28"/>
          <w:szCs w:val="28"/>
          <w:rtl w:val="true"/>
          <w:lang w:bidi="ar-SA"/>
        </w:rPr>
        <w:t xml:space="preserve">  عَنْ هِشَامٍ</w:t>
      </w:r>
      <w:r>
        <w:rPr>
          <w:rStyle w:val="FootnoteAnchor"/>
          <w:rtl w:val="true"/>
        </w:rPr>
        <w:footnoteReference w:id="96"/>
      </w:r>
      <w:r>
        <w:rPr>
          <w:rFonts w:ascii="Amiri" w:hAnsi="Amiri" w:eastAsia="Amiri" w:cs="Amiri"/>
          <w:color w:val="111111"/>
          <w:sz w:val="28"/>
          <w:sz w:val="28"/>
          <w:szCs w:val="28"/>
          <w:rtl w:val="true"/>
          <w:lang w:bidi="ar-SA"/>
        </w:rPr>
        <w:t xml:space="preserve">  عَنْ أَبِي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روایت هم امام قول زور را به غناء تفسیر کرده و مورد استدلال علمای پیش گفته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Style w:val="FootnoteAnchor"/>
          <w:rtl w:val="true"/>
        </w:rPr>
        <w:footnoteReference w:id="98"/>
      </w:r>
      <w:r>
        <w:rPr>
          <w:rFonts w:ascii="Amiri" w:hAnsi="Amiri" w:eastAsia="Amiri" w:cs="Amiri"/>
          <w:color w:val="111111"/>
          <w:sz w:val="28"/>
          <w:sz w:val="28"/>
          <w:szCs w:val="28"/>
          <w:rtl w:val="true"/>
          <w:lang w:bidi="ar-SA"/>
        </w:rPr>
        <w:t xml:space="preserve"> عَنِ الْمُظَفَّرِ بْنِ جَعْفَرٍ الْعَلَوِيِّ</w:t>
      </w:r>
      <w:r>
        <w:rPr>
          <w:rStyle w:val="FootnoteAnchor"/>
          <w:rtl w:val="true"/>
        </w:rPr>
        <w:footnoteReference w:id="99"/>
      </w:r>
      <w:r>
        <w:rPr>
          <w:rFonts w:ascii="Amiri" w:hAnsi="Amiri" w:eastAsia="Amiri" w:cs="Amiri"/>
          <w:color w:val="111111"/>
          <w:sz w:val="28"/>
          <w:sz w:val="28"/>
          <w:szCs w:val="28"/>
          <w:rtl w:val="true"/>
          <w:lang w:bidi="ar-SA"/>
        </w:rPr>
        <w:t xml:space="preserve"> عَنْ جَعْفَرِ بْنِ مُحَمَّدِ بْنِ مَسْعُودٍ</w:t>
      </w:r>
      <w:r>
        <w:rPr>
          <w:rStyle w:val="FootnoteAnchor"/>
          <w:rtl w:val="true"/>
        </w:rPr>
        <w:footnoteReference w:id="100"/>
      </w:r>
      <w:r>
        <w:rPr>
          <w:rFonts w:ascii="Amiri" w:hAnsi="Amiri" w:eastAsia="Amiri" w:cs="Amiri"/>
          <w:color w:val="111111"/>
          <w:sz w:val="28"/>
          <w:sz w:val="28"/>
          <w:szCs w:val="28"/>
          <w:rtl w:val="true"/>
          <w:lang w:bidi="ar-SA"/>
        </w:rPr>
        <w:t xml:space="preserve"> عَنْ أَبِيهِ</w:t>
      </w:r>
      <w:r>
        <w:rPr>
          <w:rStyle w:val="FootnoteAnchor"/>
          <w:rtl w:val="true"/>
        </w:rPr>
        <w:footnoteReference w:id="101"/>
      </w:r>
      <w:r>
        <w:rPr>
          <w:rFonts w:ascii="Amiri" w:hAnsi="Amiri" w:eastAsia="Amiri" w:cs="Amiri"/>
          <w:color w:val="111111"/>
          <w:sz w:val="28"/>
          <w:sz w:val="28"/>
          <w:szCs w:val="28"/>
          <w:rtl w:val="true"/>
          <w:lang w:bidi="ar-SA"/>
        </w:rPr>
        <w:t xml:space="preserve"> عَنِ الْحُسَيْنِ بْنِ إِشْکيبَ</w:t>
      </w:r>
      <w:r>
        <w:rPr>
          <w:rStyle w:val="FootnoteAnchor"/>
          <w:rtl w:val="true"/>
        </w:rPr>
        <w:footnoteReference w:id="102"/>
      </w:r>
      <w:r>
        <w:rPr>
          <w:rFonts w:ascii="Amiri" w:hAnsi="Amiri" w:eastAsia="Amiri" w:cs="Amiri"/>
          <w:color w:val="111111"/>
          <w:sz w:val="28"/>
          <w:sz w:val="28"/>
          <w:szCs w:val="28"/>
          <w:rtl w:val="true"/>
          <w:lang w:bidi="ar-SA"/>
        </w:rPr>
        <w:t xml:space="preserve"> عَنْ مُحَمَّدِ بْنِ السَّرِيِّ</w:t>
      </w:r>
      <w:r>
        <w:rPr>
          <w:rStyle w:val="FootnoteAnchor"/>
          <w:rtl w:val="true"/>
        </w:rPr>
        <w:footnoteReference w:id="103"/>
      </w:r>
      <w:r>
        <w:rPr>
          <w:rFonts w:ascii="Amiri" w:hAnsi="Amiri" w:eastAsia="Amiri" w:cs="Amiri"/>
          <w:color w:val="111111"/>
          <w:sz w:val="28"/>
          <w:sz w:val="28"/>
          <w:szCs w:val="28"/>
          <w:rtl w:val="true"/>
          <w:lang w:bidi="ar-SA"/>
        </w:rPr>
        <w:t xml:space="preserve"> عَنِ الْحُسَيْنِ بْنِ سَعِيدٍ</w:t>
      </w:r>
      <w:r>
        <w:rPr>
          <w:rStyle w:val="FootnoteAnchor"/>
          <w:rtl w:val="true"/>
        </w:rPr>
        <w:footnoteReference w:id="104"/>
      </w:r>
      <w:r>
        <w:rPr>
          <w:rFonts w:ascii="Amiri" w:hAnsi="Amiri" w:eastAsia="Amiri" w:cs="Amiri"/>
          <w:color w:val="111111"/>
          <w:sz w:val="28"/>
          <w:sz w:val="28"/>
          <w:szCs w:val="28"/>
          <w:rtl w:val="true"/>
          <w:lang w:bidi="ar-SA"/>
        </w:rPr>
        <w:t xml:space="preserve"> عَنْ أَبِي أَحْمَدَ مُحَمَّدِ بْنِ أَبِي عُمَيْرٍ</w:t>
      </w:r>
      <w:r>
        <w:rPr>
          <w:rStyle w:val="FootnoteAnchor"/>
          <w:rtl w:val="true"/>
        </w:rPr>
        <w:footnoteReference w:id="105"/>
      </w:r>
      <w:r>
        <w:rPr>
          <w:rFonts w:ascii="Amiri" w:hAnsi="Amiri" w:eastAsia="Amiri" w:cs="Amiri"/>
          <w:color w:val="111111"/>
          <w:sz w:val="28"/>
          <w:sz w:val="28"/>
          <w:szCs w:val="28"/>
          <w:rtl w:val="true"/>
          <w:lang w:bidi="ar-SA"/>
        </w:rPr>
        <w:t xml:space="preserve"> عَنْ عَلِيِّ بْنِ أَبِي حَمْزَةَ</w:t>
      </w:r>
      <w:r>
        <w:rPr>
          <w:rStyle w:val="FootnoteAnchor"/>
          <w:rtl w:val="true"/>
        </w:rPr>
        <w:footnoteReference w:id="106"/>
      </w:r>
      <w:r>
        <w:rPr>
          <w:rFonts w:ascii="Amiri" w:hAnsi="Amiri" w:eastAsia="Amiri" w:cs="Amiri"/>
          <w:color w:val="111111"/>
          <w:sz w:val="28"/>
          <w:sz w:val="28"/>
          <w:szCs w:val="28"/>
          <w:rtl w:val="true"/>
          <w:lang w:bidi="ar-SA"/>
        </w:rPr>
        <w:t xml:space="preserve"> عَنْ عَبْدِ الْأَعْلَى</w:t>
      </w:r>
      <w:r>
        <w:rPr>
          <w:rStyle w:val="FootnoteAnchor"/>
          <w:rtl w:val="true"/>
        </w:rPr>
        <w:footnoteReference w:id="107"/>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الرِّجْسُ‌ مِنَ‌ الْأَوْثَانِ‌ الشِّطْرَنْجُ‌ وَ قَوْلُ‌ الزُّورِ الْغِنَاء </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دلالتی بر وزان روایات سابقه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سندش به جهت وجود محمّدبن السّری که مهمل است و امکان ارزیابی او نیست،ضعیف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Style w:val="FootnoteAnchor"/>
          <w:rtl w:val="true"/>
        </w:rPr>
        <w:footnoteReference w:id="110"/>
      </w:r>
      <w:r>
        <w:rPr>
          <w:rFonts w:ascii="Amiri" w:hAnsi="Amiri" w:eastAsia="Amiri" w:cs="Amiri"/>
          <w:color w:val="111111"/>
          <w:sz w:val="28"/>
          <w:sz w:val="28"/>
          <w:szCs w:val="28"/>
          <w:rtl w:val="true"/>
          <w:lang w:bidi="ar-SA"/>
        </w:rPr>
        <w:t xml:space="preserve"> عَنْ سَعْدِ بْنِ عَبْدِ اللَّهِ</w:t>
      </w:r>
      <w:r>
        <w:rPr>
          <w:rStyle w:val="FootnoteAnchor"/>
          <w:rtl w:val="true"/>
        </w:rPr>
        <w:footnoteReference w:id="111"/>
      </w:r>
      <w:r>
        <w:rPr>
          <w:rFonts w:ascii="Amiri" w:hAnsi="Amiri" w:eastAsia="Amiri" w:cs="Amiri"/>
          <w:color w:val="111111"/>
          <w:sz w:val="28"/>
          <w:sz w:val="28"/>
          <w:szCs w:val="28"/>
          <w:rtl w:val="true"/>
          <w:lang w:bidi="ar-SA"/>
        </w:rPr>
        <w:t xml:space="preserve"> عَنْ أَحْمَدَ بْنِ مُحَمَّدِ بْنِ عِيسَى</w:t>
      </w:r>
      <w:r>
        <w:rPr>
          <w:rStyle w:val="FootnoteAnchor"/>
          <w:rtl w:val="true"/>
        </w:rPr>
        <w:footnoteReference w:id="112"/>
      </w:r>
      <w:r>
        <w:rPr>
          <w:rFonts w:ascii="Amiri" w:hAnsi="Amiri" w:eastAsia="Amiri" w:cs="Amiri"/>
          <w:color w:val="111111"/>
          <w:sz w:val="28"/>
          <w:sz w:val="28"/>
          <w:szCs w:val="28"/>
          <w:rtl w:val="true"/>
          <w:lang w:bidi="ar-SA"/>
        </w:rPr>
        <w:t xml:space="preserve"> عَنْ مُحَمَّدِ بْنِ يَحْيَى الْخَزَّازِ</w:t>
      </w:r>
      <w:r>
        <w:rPr>
          <w:rStyle w:val="FootnoteAnchor"/>
          <w:rtl w:val="true"/>
        </w:rPr>
        <w:footnoteReference w:id="113"/>
      </w:r>
      <w:r>
        <w:rPr>
          <w:rFonts w:ascii="Amiri" w:hAnsi="Amiri" w:eastAsia="Amiri" w:cs="Amiri"/>
          <w:color w:val="111111"/>
          <w:sz w:val="28"/>
          <w:sz w:val="28"/>
          <w:szCs w:val="28"/>
          <w:rtl w:val="true"/>
          <w:lang w:bidi="ar-SA"/>
        </w:rPr>
        <w:t xml:space="preserve"> عَنْ حَمَّادِ بْنِ عُثْمَانَ</w:t>
      </w:r>
      <w:r>
        <w:rPr>
          <w:rStyle w:val="FootnoteAnchor"/>
          <w:rtl w:val="true"/>
        </w:rPr>
        <w:footnoteReference w:id="114"/>
      </w:r>
      <w:r>
        <w:rPr>
          <w:rFonts w:ascii="Amiri" w:hAnsi="Amiri" w:eastAsia="Amiri" w:cs="Amiri"/>
          <w:color w:val="111111"/>
          <w:sz w:val="28"/>
          <w:sz w:val="28"/>
          <w:szCs w:val="28"/>
          <w:rtl w:val="true"/>
          <w:lang w:bidi="ar-SA"/>
        </w:rPr>
        <w:t xml:space="preserve">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 الرَّجُلِ لِلَّذِي يُغَنِّي أَحْسَنْتَ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روایت هم سند خوبی دارد و مورد استدلال برخی نیز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معنی آن کمی 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قول زور را به تأیید کلامی کسی می‌داند،که مشغول خواندن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این تأیید به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محتوای غنای آن خواننده باشد و می‌تواند ناشی از کیفیت صدای خواننده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توضیح روایت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مصداق قول زور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این جهت که تأیید غناء می‌شود،قول زور است</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به قضاوت ایشان از مجموع دلالت آیه و روایات وارده در تفسیر آن خواهیم پرداخت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معتقدند اگر ما تنها آیه را در دست داشتیم،در این صورت فقط می‌توانستیم حکم حرمت غناء به اعتبار محتوای آن را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بیان آیه قول را به زور اضافه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روایات را به عنوان قرینه در کنار آیات ملاحظه می‌کنیم،دلالت آیه اعم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غناء هم به جهت قول باطلی که در آن به کار می‌رود،حرام است و هم به عنوان صدایی که عارض کلام و محتوای باطل می‌شود،موضوع حرمت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روایات قول زور را به عنوان غناء تفسیر کرده‌اند،پس آنچه که در آیه موضوع حرمت است باید مفهومی اعم از محتوا و کلام باطل باشد،تا بتواند غناء به عنوان یک کیفیت در صوت آدمی را هم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ایشان غناء هنگامی که همراه با محتوای باطلی باشد،به استناد این آیه حرام ذاتی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قول متین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آیات تفسیری</w:t>
      </w:r>
    </w:p>
    <w:p>
      <w:pPr>
        <w:pStyle w:val="BookText"/>
        <w:rPr/>
      </w:pPr>
      <w:r>
        <w:rPr>
          <w:rFonts w:ascii="IRNazanin" w:hAnsi="IRNazanin" w:eastAsia="IRNazanin"/>
          <w:color w:val="111111"/>
          <w:sz w:val="28"/>
          <w:sz w:val="28"/>
          <w:szCs w:val="28"/>
          <w:rtl w:val="true"/>
          <w:lang w:bidi="fa-IR"/>
        </w:rPr>
        <w:t>از روایاتی که در ذیل این آیات وارد آمده بود،نمی‌توان حرمت مطلق غناء را نتیجه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روایات دیگری که مفسّر همین آیه هستند،می‌توان فهمید مراد از قول زور اعم از غناء و سایر امور باطله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زور مفهوم عامی است که غناء هم گاهی مصداق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از کتاب معانی الاخبار صدوق ذکر کردیم،از موارد قول زور به کلمه‌ی احسنت اشاره شده بود؛که در تأیید غنای دیگری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الرَّجُلِ لِلَّذِي يُغَنِّي أَحْسَنْتَ</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موارد قول زور قول مردی است که در تأیید خواننده‌ی غناء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زور مفهومی اعم از غناء دارد،که گاهی بر تأیید غناء هم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روایت می‌توان فهمید غناء در آیه و روایات در معنی لغوی خودش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معنای سخن باطل و ناراست و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أيمن بن خريم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قام خطيباً، فقال أيّها الناس عدلت شهادة الزور بالشرك بالله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وَ اجْتَنِبُوا قَوْلَ الزُّورِ </w:t>
      </w:r>
      <w:r>
        <w:rPr>
          <w:rFonts w:eastAsia="IRNazanin" w:cs="IRNazanin"/>
          <w:color w:val="111111"/>
          <w:sz w:val="28"/>
          <w:szCs w:val="28"/>
          <w:rtl w:val="true"/>
          <w:lang w:bidi="fa-IR"/>
        </w:rPr>
        <w:t>}».</w:t>
      </w:r>
      <w:r>
        <w:rPr>
          <w:rStyle w:val="FootnoteAnchor"/>
          <w:rtl w:val="true"/>
        </w:rPr>
        <w:footnoteReference w:id="1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روایت هم نشان می‌دهد که مراد از قول زور در آیه قرآن همان قول باطل است که گاهی مصداق آن شهادت کذب می‌شود و گاهی غناء و گاهی کلامی که در تأیید غنای دیگری از انسان صادر می‌شود</w:t>
      </w:r>
      <w:r>
        <w:rPr>
          <w:rFonts w:eastAsia="IRNazanin" w:cs="IRNazanin"/>
          <w:color w:val="111111"/>
          <w:sz w:val="28"/>
          <w:szCs w:val="28"/>
          <w:rtl w:val="true"/>
          <w:lang w:bidi="fa-IR"/>
        </w:rPr>
        <w:t>.</w:t>
      </w:r>
      <w:bookmarkStart w:id="28" w:name="pg4642_53931"/>
    </w:p>
    <w:p>
      <w:pPr>
        <w:pStyle w:val="BookText"/>
        <w:rPr/>
      </w:pPr>
      <w:bookmarkEnd w:id="28"/>
      <w:r>
        <w:rPr>
          <w:rFonts w:ascii="IRNazanin" w:hAnsi="IRNazanin" w:eastAsia="IRNazanin"/>
          <w:color w:val="111111"/>
          <w:sz w:val="28"/>
          <w:sz w:val="28"/>
          <w:szCs w:val="28"/>
          <w:rtl w:val="true"/>
          <w:lang w:bidi="fa-IR"/>
        </w:rPr>
        <w:t>به علاوه استفاده حرمت مطلق غناء از این آیه معارض با روایاتی است،که غناء را به حلال و حرام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در آینده بحث خواهیم کرد</w:t>
      </w:r>
      <w:r>
        <w:rPr>
          <w:rFonts w:eastAsia="IRNazanin" w:cs="IRNazanin"/>
          <w:color w:val="111111"/>
          <w:sz w:val="28"/>
          <w:szCs w:val="28"/>
          <w:rtl w:val="true"/>
          <w:lang w:bidi="fa-IR"/>
        </w:rPr>
        <w:t>.</w:t>
      </w:r>
    </w:p>
    <w:p>
      <w:pPr>
        <w:pStyle w:val="Heading2"/>
        <w:numPr>
          <w:ilvl w:val="1"/>
          <w:numId w:val="1"/>
        </w:numPr>
        <w:rPr/>
      </w:pPr>
      <w:bookmarkStart w:id="29" w:name="__RefHeading___Toc296122_2035185390"/>
      <w:bookmarkStart w:id="30" w:name="_Toc10"/>
      <w:bookmarkEnd w:id="29"/>
      <w:r>
        <w:rPr>
          <w:rtl w:val="true"/>
        </w:rPr>
        <w:t>ادله حرمت غناء</w:t>
      </w:r>
      <w:r>
        <w:rPr>
          <w:rtl w:val="true"/>
        </w:rPr>
        <w:t>/</w:t>
      </w:r>
      <w:r>
        <w:rPr>
          <w:rtl w:val="true"/>
        </w:rPr>
        <w:t>مبحث غناء</w:t>
      </w:r>
      <w:r>
        <w:rPr>
          <w:rtl w:val="true"/>
        </w:rPr>
        <w:t>/</w:t>
      </w:r>
      <w:r>
        <w:rPr>
          <w:rtl w:val="true"/>
        </w:rPr>
        <w:t xml:space="preserve">مكاسب محرّمه </w:t>
      </w:r>
      <w:r>
        <w:rPr/>
        <w:t>96/07/30</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ادلّه حرمت مطلق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ذیل آن را بررسی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روایت ذیل این آیه را بررسی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شد دو روایت ذیل این آیه،با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نمودند معارضه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در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 عامّی معرّفی کرده که می‌تواند بر غناء و یا تأیید آن و یا شهادت باطل و کذب تطبیق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توضیح را پذیرفتیم،غناء مشروط به احتوای کلام باطل و اشعار باطل و به ملاک محتوای باطل آن تحریم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روی توجّه به این آیه و روایات ذیل آن،سبب ابهامی در بحث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آیه و طائفه‌ای از روایات که ذیل آن عرض شد،باید تحریم غناء را به محتوای آن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صوت در ترتّب حکم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را مبهم تلقّی نموده و نظریه‌ی مرحوم سبزواری و فیض کاشانی مبنی بر تحریم غناء به جهت حرمت محتوا را دارای وجه دانسته‌اند</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نظریه‌ی امام در جلسه قبل گذشت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ما این دو روایت هیچ مشکلی در استدلال ما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بنابر 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غناء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غناء هم به کیفیتی در صوت تعریف می‌شود،پس همین غناء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اول</w:t>
      </w:r>
      <w:r>
        <w:rPr>
          <w:rStyle w:val="FootnoteAnchor"/>
          <w:rtl w:val="true"/>
        </w:rPr>
        <w:footnoteReference w:id="120"/>
      </w:r>
      <w:r>
        <w:rPr>
          <w:rFonts w:ascii="IRNazanin" w:hAnsi="IRNazanin" w:eastAsia="IRNazanin"/>
          <w:color w:val="111111"/>
          <w:sz w:val="28"/>
          <w:sz w:val="28"/>
          <w:szCs w:val="28"/>
          <w:rtl w:val="true"/>
          <w:lang w:bidi="fa-IR"/>
        </w:rPr>
        <w:t xml:space="preserve"> ،امام 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غناء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غنای شخص دیگر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 را به شهادت کذب تعریف کرده بودند</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 به نظر ما اولا قابل اعتناء نیست؛چرا که سند ضعیفی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ثانیا،بر فرض صحت صدور،قدحی در استدلال ما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در مقام ذکر 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تعارضی با دیگر روایات،که غناء را هم مصداقی برای بحث معرّفی می‌کردند،ندارد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آیاتی که در باب اثبات حرمت مطلق غناء مورد استدلال برخی از فقهاء واقع شده بود،آیه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يَشْتَرِي لَهْوَ الْحَدِيثِ لِيُضِلَّ عَنْ سَبِيلِ اللّٰهِ</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بررسی برخی روایات وارده در تفسیر این آیه خواهیم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23"/>
      </w:r>
      <w:r>
        <w:rPr>
          <w:rFonts w:ascii="Amiri" w:hAnsi="Amiri" w:eastAsia="Amiri" w:cs="Amiri"/>
          <w:color w:val="111111"/>
          <w:sz w:val="28"/>
          <w:sz w:val="28"/>
          <w:szCs w:val="28"/>
          <w:rtl w:val="true"/>
          <w:lang w:bidi="ar-SA"/>
        </w:rPr>
        <w:t xml:space="preserve">  عَنْ أَبِيهِ</w:t>
      </w:r>
      <w:r>
        <w:rPr>
          <w:rStyle w:val="FootnoteAnchor"/>
          <w:rtl w:val="true"/>
        </w:rPr>
        <w:footnoteReference w:id="124"/>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125"/>
      </w:r>
      <w:r>
        <w:rPr>
          <w:rFonts w:ascii="Amiri" w:hAnsi="Amiri" w:eastAsia="Amiri" w:cs="Amiri"/>
          <w:color w:val="111111"/>
          <w:sz w:val="28"/>
          <w:sz w:val="28"/>
          <w:szCs w:val="28"/>
          <w:rtl w:val="true"/>
          <w:lang w:bidi="ar-SA"/>
        </w:rPr>
        <w:t xml:space="preserve">  عَنْ مِهْرَانَ بْنِ مُحَمَّدٍ</w:t>
      </w:r>
      <w:r>
        <w:rPr>
          <w:rStyle w:val="FootnoteAnchor"/>
          <w:rtl w:val="true"/>
        </w:rPr>
        <w:footnoteReference w:id="126"/>
      </w:r>
      <w:r>
        <w:rPr>
          <w:rFonts w:ascii="Amiri" w:hAnsi="Amiri" w:eastAsia="Amiri" w:cs="Amiri"/>
          <w:color w:val="111111"/>
          <w:sz w:val="28"/>
          <w:sz w:val="28"/>
          <w:szCs w:val="28"/>
          <w:rtl w:val="true"/>
          <w:lang w:bidi="ar-SA"/>
        </w:rPr>
        <w:t xml:space="preserve">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همانطور که می‌بینید امام در این روایت غناء را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 در تفسیر لهوالحدیث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Style w:val="FootnoteAnchor"/>
          <w:rtl w:val="true"/>
        </w:rPr>
        <w:footnoteReference w:id="128"/>
      </w:r>
      <w:r>
        <w:rPr>
          <w:rFonts w:ascii="Amiri" w:hAnsi="Amiri" w:eastAsia="Amiri" w:cs="Amiri"/>
          <w:color w:val="111111"/>
          <w:sz w:val="28"/>
          <w:sz w:val="28"/>
          <w:szCs w:val="28"/>
          <w:rtl w:val="true"/>
          <w:lang w:bidi="ar-SA"/>
        </w:rPr>
        <w:t xml:space="preserve">  عَنْ أَبِيهِ</w:t>
      </w:r>
      <w:r>
        <w:rPr>
          <w:rStyle w:val="FootnoteAnchor"/>
          <w:rtl w:val="true"/>
        </w:rPr>
        <w:footnoteReference w:id="129"/>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130"/>
      </w:r>
      <w:r>
        <w:rPr>
          <w:rFonts w:ascii="Amiri" w:hAnsi="Amiri" w:eastAsia="Amiri" w:cs="Amiri"/>
          <w:color w:val="111111"/>
          <w:sz w:val="28"/>
          <w:sz w:val="28"/>
          <w:szCs w:val="28"/>
          <w:rtl w:val="true"/>
          <w:lang w:bidi="ar-SA"/>
        </w:rPr>
        <w:t xml:space="preserve">  عَنْ عَلِيِّ بْنِ إِسْمَاعِيلَ </w:t>
      </w:r>
      <w:r>
        <w:rPr>
          <w:rStyle w:val="FootnoteAnchor"/>
          <w:rtl w:val="true"/>
        </w:rPr>
        <w:footnoteReference w:id="131"/>
      </w:r>
      <w:r>
        <w:rPr>
          <w:rFonts w:ascii="Amiri" w:hAnsi="Amiri" w:eastAsia="Amiri" w:cs="Amiri"/>
          <w:color w:val="111111"/>
          <w:sz w:val="28"/>
          <w:sz w:val="28"/>
          <w:szCs w:val="28"/>
          <w:rtl w:val="true"/>
          <w:lang w:bidi="ar-SA"/>
        </w:rPr>
        <w:t xml:space="preserve">  عَنِ ابْنِ مُسْکانَ</w:t>
      </w:r>
      <w:r>
        <w:rPr>
          <w:rStyle w:val="FootnoteAnchor"/>
          <w:rtl w:val="true"/>
        </w:rPr>
        <w:footnoteReference w:id="132"/>
      </w:r>
      <w:r>
        <w:rPr>
          <w:rFonts w:ascii="Amiri" w:hAnsi="Amiri" w:eastAsia="Amiri" w:cs="Amiri"/>
          <w:color w:val="111111"/>
          <w:sz w:val="28"/>
          <w:sz w:val="28"/>
          <w:szCs w:val="28"/>
          <w:rtl w:val="true"/>
          <w:lang w:bidi="ar-SA"/>
        </w:rPr>
        <w:t xml:space="preserve">  عَنْ مُحَمَّدِ بْنِ مُسْلِمٍ</w:t>
      </w:r>
      <w:r>
        <w:rPr>
          <w:rStyle w:val="FootnoteAnchor"/>
          <w:rtl w:val="true"/>
        </w:rPr>
        <w:footnoteReference w:id="133"/>
      </w:r>
      <w:r>
        <w:rPr>
          <w:rFonts w:ascii="Amiri" w:hAnsi="Amiri" w:eastAsia="Amiri" w:cs="Amiri"/>
          <w:color w:val="111111"/>
          <w:sz w:val="28"/>
          <w:sz w:val="28"/>
          <w:szCs w:val="28"/>
          <w:rtl w:val="true"/>
          <w:lang w:bidi="ar-SA"/>
        </w:rPr>
        <w:t xml:space="preserve">  عَنْ أَبِي جَعْفَرٍ</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عَلَيْهِ النَّارَ وَ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أُولئِک لَهُمْ عَذابٌ مُهِين‌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این روایت،امام غناء را از جمله گناهانی می‌شمارند که بر آن وعده‌ی آتش و عذاب جهنّم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مورد بحث را تلاوت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غناء هم جزو گناهانی است که بر آن عذابی خوارکننده وعده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از فقهاء هم به این آیه استناد نموده‌اند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سوم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Style w:val="FootnoteAnchor"/>
          <w:rtl w:val="true"/>
        </w:rPr>
        <w:footnoteReference w:id="137"/>
      </w:r>
      <w:r>
        <w:rPr>
          <w:rFonts w:ascii="Amiri" w:hAnsi="Amiri" w:eastAsia="Amiri" w:cs="Amiri"/>
          <w:color w:val="111111"/>
          <w:sz w:val="28"/>
          <w:sz w:val="28"/>
          <w:szCs w:val="28"/>
          <w:rtl w:val="true"/>
          <w:lang w:bidi="ar-SA"/>
        </w:rPr>
        <w:t xml:space="preserve">  عَنْ سَهْلٍ</w:t>
      </w:r>
      <w:r>
        <w:rPr>
          <w:rStyle w:val="FootnoteAnchor"/>
          <w:rtl w:val="true"/>
        </w:rPr>
        <w:footnoteReference w:id="138"/>
      </w:r>
      <w:r>
        <w:rPr>
          <w:rFonts w:ascii="Amiri" w:hAnsi="Amiri" w:eastAsia="Amiri" w:cs="Amiri"/>
          <w:color w:val="111111"/>
          <w:sz w:val="28"/>
          <w:sz w:val="28"/>
          <w:szCs w:val="28"/>
          <w:rtl w:val="true"/>
          <w:lang w:bidi="ar-SA"/>
        </w:rPr>
        <w:t xml:space="preserve">  عَنِ الْوَشَّاءِ</w:t>
      </w:r>
      <w:r>
        <w:rPr>
          <w:rStyle w:val="FootnoteAnchor"/>
          <w:rtl w:val="true"/>
        </w:rPr>
        <w:footnoteReference w:id="139"/>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 الْغِنَاءِ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140"/>
      </w:r>
      <w:bookmarkStart w:id="31" w:name="pg4642_53934"/>
    </w:p>
    <w:p>
      <w:pPr>
        <w:pStyle w:val="BookText"/>
        <w:rPr/>
      </w:pPr>
      <w:bookmarkEnd w:id="31"/>
      <w:r>
        <w:rPr>
          <w:rFonts w:ascii="IRNazanin" w:hAnsi="IRNazanin" w:eastAsia="IRNazanin"/>
          <w:color w:val="111111"/>
          <w:sz w:val="28"/>
          <w:sz w:val="28"/>
          <w:szCs w:val="28"/>
          <w:rtl w:val="true"/>
          <w:lang w:bidi="fa-IR"/>
        </w:rPr>
        <w:t xml:space="preserve">البته در این آیه توجه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نشان می‌دهد،که حرمت غناء به جهت زمینه سازی آن برای معاصی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از جهت مقدّمت و اضلالی است که برای انسان به ارمغان می‌اورد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روایات هم غناء را به عنوان نردبان زناء معرّفی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گناهان به جهت زمینه‌سازی برای گناهان دیگر تحریم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خلوت با اجنبیه به جهت زمینه‌سازی معاصی دیگر تحریم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تنهایی هیچ گناهی در آن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رابطه با این روایت مرحوم نراقی اشکالی دارند؛به نظر ایشان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بیان حکم غناء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را مصداقی از لهوالحدیث می‌داند و بیانی برای حکم غناء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نمی‌تواند مورد استدلال برای اثبات حکم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اندازه‌ی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به نظر ما،آنچه از غناء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برای اثبات حرمت فی‌الجمله غناء به این روایت استدلال نمود</w:t>
      </w:r>
      <w:r>
        <w:rPr>
          <w:rFonts w:eastAsia="IRNazanin" w:cs="IRNazanin"/>
          <w:color w:val="111111"/>
          <w:sz w:val="28"/>
          <w:szCs w:val="28"/>
          <w:rtl w:val="true"/>
          <w:lang w:bidi="fa-IR"/>
        </w:rPr>
        <w:t>.</w:t>
      </w:r>
    </w:p>
    <w:p>
      <w:pPr>
        <w:pStyle w:val="Heading2"/>
        <w:numPr>
          <w:ilvl w:val="1"/>
          <w:numId w:val="1"/>
        </w:numPr>
        <w:rPr/>
      </w:pPr>
      <w:bookmarkStart w:id="32" w:name="__RefHeading___Toc296124_2035185390"/>
      <w:bookmarkStart w:id="33" w:name="_Toc11"/>
      <w:bookmarkEnd w:id="32"/>
      <w:r>
        <w:rPr>
          <w:rtl w:val="true"/>
        </w:rPr>
        <w:t xml:space="preserve">بررسي ادله بر حرمت غناء،ادله غناء،مبحث غناء،مكاسب محرمه؛ </w:t>
      </w:r>
      <w:r>
        <w:rPr/>
        <w:t>96/08/01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بر حرمت غناء،ادله غناء،مبحث غناء،مکاسب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ادلّه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بر طوائفی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طائفه‌ای از آن روایات ذیل آیاتی وارد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آنها در جلسات پیش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این روایات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بحث از روایتی از امام رضا مطرح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در روایتی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 نقل می‌کرد،فرمودند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 </w:t>
      </w:r>
      <w:r>
        <w:rPr>
          <w:rStyle w:val="FootnoteAnchor"/>
          <w:rtl w:val="true"/>
        </w:rPr>
        <w:footnoteReference w:id="142"/>
      </w:r>
      <w:r>
        <w:rPr>
          <w:rFonts w:ascii="Amiri" w:hAnsi="Amiri" w:eastAsia="Amiri" w:cs="Amiri"/>
          <w:color w:val="111111"/>
          <w:sz w:val="28"/>
          <w:sz w:val="28"/>
          <w:szCs w:val="28"/>
          <w:rtl w:val="true"/>
          <w:lang w:bidi="ar-SA"/>
        </w:rPr>
        <w:t xml:space="preserve">  عَنْ سَهْلٍ</w:t>
      </w:r>
      <w:r>
        <w:rPr>
          <w:rStyle w:val="FootnoteAnchor"/>
          <w:rtl w:val="true"/>
        </w:rPr>
        <w:footnoteReference w:id="143"/>
      </w:r>
      <w:r>
        <w:rPr>
          <w:rFonts w:ascii="Amiri" w:hAnsi="Amiri" w:eastAsia="Amiri" w:cs="Amiri"/>
          <w:color w:val="111111"/>
          <w:sz w:val="28"/>
          <w:sz w:val="28"/>
          <w:szCs w:val="28"/>
          <w:rtl w:val="true"/>
          <w:lang w:bidi="ar-SA"/>
        </w:rPr>
        <w:t xml:space="preserve">  عَنِ الْوَشَّاءِ</w:t>
      </w:r>
      <w:r>
        <w:rPr>
          <w:rStyle w:val="FootnoteAnchor"/>
          <w:rtl w:val="true"/>
        </w:rPr>
        <w:footnoteReference w:id="144"/>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 الْغِنَاءِ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این روایت غناء را به جهت اضلالی که در آن نهفته است موضوع تحریم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 تلاوت شده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حرمت در آن غیری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روایت هم ناظر به محتوای غناء بوده و کیفیتی که در صوت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غناء به جهت زمینه سازی برای سایر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زناء و سایر عناوین محرّمه منتهی می‌شود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حرمت بر محتوای غناء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دومی هم می‌رود که معنی روایت نسبت به محتوا و یا کیفیت صوت،جامع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اساس این روایت غناء به هر صوتر به معصیتی منتهی شد،حرام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مقدمیت از باب کیفیت صوت باشد،چه از باب محتوای باطل آن به معاصی منجرّ شود،روایت هر دو صورت را تحریم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حقیقتی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احتمال می‌رود که غناء را حقیقتی شرعی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روایات و آیات،تصویری تازه و بومی از این مفهوم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مجموع روایاتی که در این باب در دست ماست،اگر یک صوت دارای دو خصوصیت باشد،مصداق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این صدا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و انسان را به گناه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قید هم در ارتباط با کیفیت صدا حاصل می‌شوند و هم در ضمن محتوای غناء محقّق می‌شوند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إِبْرَاهِيمَ</w:t>
      </w:r>
      <w:r>
        <w:rPr>
          <w:rStyle w:val="FootnoteAnchor"/>
          <w:rtl w:val="true"/>
        </w:rPr>
        <w:footnoteReference w:id="146"/>
      </w:r>
      <w:r>
        <w:rPr>
          <w:rFonts w:ascii="Amiri" w:hAnsi="Amiri" w:eastAsia="Amiri" w:cs="Amiri"/>
          <w:color w:val="111111"/>
          <w:sz w:val="28"/>
          <w:sz w:val="28"/>
          <w:szCs w:val="28"/>
          <w:rtl w:val="true"/>
          <w:lang w:bidi="ar-SA"/>
        </w:rPr>
        <w:t xml:space="preserve">  عَنْ أَبِيهِ</w:t>
      </w:r>
      <w:r>
        <w:rPr>
          <w:rStyle w:val="FootnoteAnchor"/>
          <w:rtl w:val="true"/>
        </w:rPr>
        <w:footnoteReference w:id="147"/>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148"/>
      </w:r>
      <w:r>
        <w:rPr>
          <w:rFonts w:ascii="Amiri" w:hAnsi="Amiri" w:eastAsia="Amiri" w:cs="Amiri"/>
          <w:color w:val="111111"/>
          <w:sz w:val="28"/>
          <w:sz w:val="28"/>
          <w:szCs w:val="28"/>
          <w:rtl w:val="true"/>
          <w:lang w:bidi="ar-SA"/>
        </w:rPr>
        <w:t xml:space="preserve">  عَنْ مِهْرَانَ بْنِ مُحَمَّدٍ</w:t>
      </w:r>
      <w:r>
        <w:rPr>
          <w:rStyle w:val="FootnoteAnchor"/>
          <w:rtl w:val="true"/>
        </w:rPr>
        <w:footnoteReference w:id="149"/>
      </w:r>
      <w:r>
        <w:rPr>
          <w:rFonts w:ascii="Amiri" w:hAnsi="Amiri" w:eastAsia="Amiri" w:cs="Amiri"/>
          <w:color w:val="111111"/>
          <w:sz w:val="28"/>
          <w:sz w:val="28"/>
          <w:szCs w:val="28"/>
          <w:rtl w:val="true"/>
          <w:lang w:bidi="ar-SA"/>
        </w:rPr>
        <w:t xml:space="preserve">  عَنِ الْحَسَنِ بْنِ هَارُونَ</w:t>
      </w:r>
      <w:r>
        <w:rPr>
          <w:rStyle w:val="FootnoteAnchor"/>
          <w:rtl w:val="true"/>
        </w:rPr>
        <w:footnoteReference w:id="150"/>
      </w:r>
      <w:r>
        <w:rPr>
          <w:rFonts w:ascii="Amiri" w:hAnsi="Amiri" w:eastAsia="Amiri" w:cs="Amiri"/>
          <w:color w:val="111111"/>
          <w:sz w:val="28"/>
          <w:sz w:val="28"/>
          <w:szCs w:val="28"/>
          <w:rtl w:val="true"/>
          <w:lang w:bidi="ar-SA"/>
        </w:rPr>
        <w:t xml:space="preserve">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مَجْلِسٌ لَا يَنْظُرُ اللَّهُ إِلَى أَهْلِهِ وَ هُوَ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همانطور که می‌بینید در این روایت مجلس غناء را از مجالسی شمرده است،که خداوند به ان توجهی و عنایتی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معصوم استناد به این آیه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ذیل این روایت اشکالی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روایت در رابطه با مجلس غناء وارده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 به زمانی است که مغنّیات و خوانندگان زن مجلس را گرم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حرمت و تحذیر وارده در بیان معصوم ناظر به حرمت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ما،این اشکال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تحقّق غناء همیشه منوط به جمعی و مجلسی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مجلس هیچ توقفی بر نصاب جمعیت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حرفی از حضور زنان و یا مردان در این مجلس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الْحَسَنِ الطَّبْرِسِيُّ فِي مَجْمَعِ الْبَيَانِ قَالَ رُوِيَ‌ عَنْ‌ أَبِي‌ جَعْفَرٍ وَ أَبِي‌ عَبْدِ اللَّهِ‌ وَ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يَشْتَرِي لَهْوَ الْحَدِيثِ لِيُضِلَّ عَنْ سَبِيلِ اللَّهِ بِغَيْرِ عِلْمٍ وَ يَتَّخِذَها هُزُواً أُولئِک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الْغِنَاءُ</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این رایت هم امام غناء را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می‌شمارد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امام خمینی به روایت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قائلند؛بر اساس دلالت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احادیث لهو حرام هستند،که در جهت گمراهی مردم تحصیل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 دلالتی که این روایات برای ما دارند،غناء را در زمره این نوع احادیث لهوی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این روایات نبودند،ما از آیه حکمی برای غناء نمی‌فهمیدیم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آیه از اخبار و گفته‌هایی سخن رفته است،که موجب گمراهی مردم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دلالتی بر غناء و حکمش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آنکه در روایات غناء را از مصادیق لهو الحدیث شمرده‌اند،آیه شامل کسانی که غناء را به جهت خوانندگی و اجرای آن در مجالس می‌اموزند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به جهت حرمت ذاتی غناء،یا بدین جهت که غناء زمینه‌ای برای غفلت انسان است و چه‌بسا به ارتکاب کبائر منتهی شود؛همانطور که در روایات ما از رسول خدا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رُقْيَةُ</w:t>
      </w:r>
      <w:r>
        <w:rPr>
          <w:rStyle w:val="FootnoteAnchor"/>
          <w:rtl w:val="true"/>
        </w:rPr>
        <w:footnoteReference w:id="153"/>
      </w:r>
      <w:r>
        <w:rPr>
          <w:rFonts w:ascii="IRNazanin" w:hAnsi="IRNazanin" w:eastAsia="IRNazanin"/>
          <w:color w:val="111111"/>
          <w:sz w:val="28"/>
          <w:sz w:val="28"/>
          <w:szCs w:val="28"/>
          <w:rtl w:val="true"/>
          <w:lang w:bidi="fa-IR"/>
        </w:rPr>
        <w:t xml:space="preserve">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ثابت شود این غفلت آلوده به معاصی از آثار ذات غناء است،کسی که غناء را یاد می‌گیرد،مصداق کسی می‌شود که سخنی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عن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w:t>
      </w:r>
      <w:r>
        <w:rPr>
          <w:rFonts w:eastAsia="IRNazanin" w:cs="IRNazanin"/>
          <w:color w:val="111111"/>
          <w:sz w:val="28"/>
          <w:szCs w:val="28"/>
          <w:rtl w:val="true"/>
          <w:lang w:bidi="fa-IR"/>
        </w:rPr>
        <w:t>.</w:t>
      </w:r>
      <w:bookmarkStart w:id="34" w:name="pg4642_53937"/>
    </w:p>
    <w:p>
      <w:pPr>
        <w:pStyle w:val="Heading2"/>
        <w:numPr>
          <w:ilvl w:val="1"/>
          <w:numId w:val="1"/>
        </w:numPr>
        <w:rPr/>
      </w:pPr>
      <w:bookmarkStart w:id="35" w:name="__RefHeading___Toc296126_2035185390"/>
      <w:bookmarkStart w:id="36" w:name="_Toc12"/>
      <w:bookmarkEnd w:id="34"/>
      <w:bookmarkEnd w:id="35"/>
      <w:r>
        <w:rPr>
          <w:rtl w:val="true"/>
        </w:rPr>
        <w:t>بررسي ادله حرمت غناء</w:t>
      </w:r>
      <w:r>
        <w:rPr>
          <w:rtl w:val="true"/>
        </w:rPr>
        <w:t>/</w:t>
      </w:r>
      <w:r>
        <w:rPr>
          <w:rtl w:val="true"/>
        </w:rPr>
        <w:t>ادله غناء</w:t>
      </w:r>
      <w:r>
        <w:rPr>
          <w:rtl w:val="true"/>
        </w:rPr>
        <w:t>/</w:t>
      </w:r>
      <w:r>
        <w:rPr>
          <w:rtl w:val="true"/>
        </w:rPr>
        <w:t>مبحث غناء</w:t>
      </w:r>
      <w:r>
        <w:rPr>
          <w:rtl w:val="true"/>
        </w:rPr>
        <w:t>/</w:t>
      </w:r>
      <w:r>
        <w:rPr>
          <w:rtl w:val="true"/>
        </w:rPr>
        <w:t>مكاسب محرّمه</w:t>
      </w:r>
      <w:r>
        <w:rPr>
          <w:rtl w:val="true"/>
        </w:rPr>
        <w:t xml:space="preserve">. </w:t>
      </w:r>
      <w:r>
        <w:rPr/>
        <w:t>96/08/02</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روایات مفسّره‌ای بود،که ذیل برخی آیات غناء را موضوع حرمت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وارده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می‌خواهیم به بررسی قول مرحوم نراقی در مستند بپردازیم</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پیرامون استدلال به این روایات مفسّره اشکالاتی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نراقی،آیات فی نفسه هیچ دلالتی بر حرمت غناء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وقتی روایات را ضمیمه آنها می‌کنیم،دلالت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ضمیمه روایات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يشتري الغناء ليضلّ عن سبيل اللّه و يتّخذها هزواً أولئک لهم عذاب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آیه بر حرمت غنائی دلالت دارد،که برای اضلال و گمراهی از راه خداوند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حرمت این قسم از غناء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سایر مصادیق غناء که عاری از این حیثیت اضلال است،مثل غنائی که شخص رقیق القلب برای ذکر خدا به آن گوش می‌سپرد و یا با اشعاری که مضامین عالی داشته آمیخته‌اش می‌کنند،و قلوب را متأثر و شوق به سرای اعلی در آن ایجاد می‌کنند،این قسم از غناء بنابر دلالت آیه نباید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حرمت این قسم از مصادیق غناء را می‌توان با توجه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ما،این تفکیک در مصادیق غناء مطابق با دلالت روایات مفسّر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ما توجّه به روایات مطلق باب داشته باشیم،نمی‌توانیم سخن ایشان را بپذیریم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 مرحوم نراقی مبتنی بر تعبیری است که در برخی روایات مفسّر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پنجمی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کردیم،امام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غناء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يَشْتَرِي لَهْوَ الْحَدِيثِ لِيُضِلَّ عَنْ سَبِيلِ اللَّهِ بِغَيْرِ عِلْمٍ وَ يَتَّخِذَها هُزُواً أُولئِک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الْغِنَاءُ</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دلالت این روایت،غناء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 حرمت غناء به تبع حرمت کلام لهوی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مصداق غناء حرام خواهم بود که محتوای باطلی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ما،کلام ایشان 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باب ما ادله‌ای داریم که حرمت مطلق غناء را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آن روایات کیفیت غناء هم موضوع حرمت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مرحوم نراقی دلالت این روایات بر حرمت مطلق غناء،در تعارض با روایاتی است که بر حرمت غیری غناء دلالت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روایتی که در مجمع البیان از امام صادق نقل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الطَّعْنُ فِي الْحَقِّ وَ الِاسْتِهْزَاءُ بِهِ</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جهت استهزائی که به جانب حق دارد،حرام شمرده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در روایتی که از ابوبصیر نقل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الَى الْأَعْرَاسِ لَيْسَ بِهِ بَأْسٌ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غناء منوط بر اختلاط زنان و مردان و خواندن زن برای مردان شده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این روایاتی که در ذیل آیه بر حرمت مطلق غناء دلالت دارد،با این دسته از روایات در تعارض خواهند بود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ما،همانطور که در اصول فقه این بحث تنقیح شده است،بین دو بیان که هر دو مثبت حکم هستند تعارضی شکل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روایات مطلق را با این روایات مقیّد تقیید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به حمل مطلق بر مقیّد در جایی است که میان مطلق و مقیّد تنافی باشد؛ولی در بحث ما، که هر دو مثبت حکم هستند،فرض تقیید دلالت بر قوت بیشتر ملاک در مقیّد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سه بیان مولی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تعارضی با دو بیان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یک مصداقی برای افراد واجب الاکرام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بحث ما نیز،موارد مقیّد مثل جایی که اختلاط زنان و مردان شکل می‌گیرد قطعا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بیان حرمت غناء را منحصر به این مورد نخواهد کرد</w:t>
      </w:r>
      <w:r>
        <w:rPr>
          <w:rFonts w:eastAsia="IRNazanin" w:cs="IRNazanin"/>
          <w:color w:val="111111"/>
          <w:sz w:val="28"/>
          <w:szCs w:val="28"/>
          <w:rtl w:val="true"/>
          <w:lang w:bidi="fa-IR"/>
        </w:rPr>
        <w:t>.</w:t>
      </w:r>
      <w:bookmarkStart w:id="37" w:name="pg4642_53939"/>
    </w:p>
    <w:p>
      <w:pPr>
        <w:pStyle w:val="Heading2"/>
        <w:numPr>
          <w:ilvl w:val="1"/>
          <w:numId w:val="1"/>
        </w:numPr>
        <w:rPr/>
      </w:pPr>
      <w:bookmarkStart w:id="38" w:name="__RefHeading___Toc296128_2035185390"/>
      <w:bookmarkStart w:id="39" w:name="_Toc13"/>
      <w:bookmarkEnd w:id="37"/>
      <w:bookmarkEnd w:id="38"/>
      <w:r>
        <w:rPr>
          <w:rtl w:val="true"/>
        </w:rPr>
        <w:t>بررسي اقوال پيرامون ادله غناء</w:t>
      </w:r>
      <w:r>
        <w:rPr>
          <w:rtl w:val="true"/>
        </w:rPr>
        <w:t>/</w:t>
      </w:r>
      <w:r>
        <w:rPr>
          <w:rtl w:val="true"/>
        </w:rPr>
        <w:t>ادله غناء</w:t>
      </w:r>
      <w:r>
        <w:rPr>
          <w:rtl w:val="true"/>
        </w:rPr>
        <w:t>/</w:t>
      </w:r>
      <w:r>
        <w:rPr>
          <w:rtl w:val="true"/>
        </w:rPr>
        <w:t>مبحث غناء</w:t>
      </w:r>
      <w:r>
        <w:rPr>
          <w:rtl w:val="true"/>
        </w:rPr>
        <w:t>/</w:t>
      </w:r>
      <w:r>
        <w:rPr>
          <w:rtl w:val="true"/>
        </w:rPr>
        <w:t>مكاسب محرّمه</w:t>
      </w:r>
      <w:r>
        <w:rPr>
          <w:rtl w:val="true"/>
        </w:rPr>
        <w:t xml:space="preserve">. </w:t>
      </w:r>
      <w:r>
        <w:rPr/>
        <w:t>96/08/06</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 پیرامون 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گذشته بحث ما به اشکالاتی رسید که علمای بزرگوار در ارتباط با استدلال به آیات و روایات ذیل آنها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اشکالات مرحوم نراقی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 در باب استدلال به روایات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جلسه ابتدا به بررسی سخن مرحوم امام خمینی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مرحوم امام دلالت روایاتی که ذیل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آمدند،بر حرمت ذاتی غناء بلااشکال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ولی به نظر ما،اگر مراد ایشان از دلالت بر حرمت ذاتی،حرمت فی‌الجمله باشد سخن 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مقصود ایشان از حرمت ذاتی،حرمت غناء حتی در فرضی که مصداق هیچ یک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نباشد،نمی‌توان از آیات چنین حرمتی را استنباط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آیات غناء را به شرط آنکه مصداق یکی از عناوین باشد تحریم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حرمت ذاتی می‌بایست به روایات مطلقه مراجعه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 انصاری بر استدلال به روایات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شیخ می‌توان در این روایات و دلالتشان بر مدّعی خدشه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توجه به آیاتی که توسط این روایات تفسیر می‌شوند،باید غناء را از سنخ کلام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آمده در آیه را به غناء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قول زور محتوای غناء را پوشش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روایتی دیگر غناء را به کلامی اطلاق می‌کردند،که در تأیید مغنّی ابراز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برای موضوعیت محتوا به روایتی از امام سجاد استشهاد کرد،که در آن امام حرمت غناء را بسته به محتوای غنای مغنّیه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عَلِيَّ بْن‌ الْحُسَيْنِ عَنْ شِرَاءِ جَارِيَةٍ لَهَا صَوْتٌ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عَلَيْكَ لَوِ اشْتَرَيْتَهَا فَذَكَّرَتْكَ‌ الْجَنَّةَ </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غنای او را تو را به یاد بهشت و آخرت بیندازد،مشکلی در خرید و تملّک آن و گوش دادن و بهره بردن از آوازش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توجّه به عنوانی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طائفه‌ای از روایات تفسیری بودند،اماره ای دیگر بر نظارت این دسته از ادلّه بر محتوای غناء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تعبیر غناء را به آوازی که محتوای باطلی دارد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شیخ انصاف این است که نفس غناء به عنوان یک کیفیت خاص در صدا،به واسطه‌ی این آیات و روایات وارده در تفسیر آن،حرام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واسطه‌ی اشعاری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بگوییم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شکلی که محقّق باشد،دوست ندارد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اشکال به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ایروانی اشکالی به مرحوم شیخ وارد آورده‌اند؛به نظر ایشان نمی‌توان به صرف اینکه در تفاسیر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غناء تفسیر کرده‌اند،ادعا کرد غنای مورد ادعا از مقوله کلام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نظر ایشان ما نمی‌توانیم بین کیفیت و مکیّف تکفیکی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کیفیتی که در صوت است با محتوای آن نباید جدایی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در رابطه با یک آواز قضاوت می‌کنیم،مجموع کیفیت و محتوا را مدّ نظر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حتی محتوای آواز عرفانی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چون به کیفیت و لحن اهل فسق خوانده می‌شود،ما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کلام باطل توصیفش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به صرف حقانیت محتوای آواز آن را جائز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جهت همان کیفیت نامطلوبی که دارد،آن را حرام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کیفیت و محتوا با هم اتّحاد وجودی دارند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ما،نمی‌توان از این بیان مرحوم ایروانی مشکل ما در ارتباط با استدلال به آیه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قول ایشان را بر صحت تفسیر غنای وارد در تفاسیر به کیفیت آواز در برابر قول مثل مرحوم شیخ انصاری قرار می‌دهیم که مدّعی عدم صحّت این تفسیر است،تنها دو احتمال در ارتباط با آیات و روایات وارده در تفسیر آن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احتمالات وقتی از هم پیشی نگیرند کلام به اجمال دچار می‌شود و ما تنها می‌توانیم در مورد قدر متیقّن از مفاد آیات و روایات تفسیری حکم به حرمت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غناء با محتوای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جایی که ادّعا کنیم، کلام از حیث کیفیت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است،چون صحّت این تفسیر مشکوک است،برای اثبات مطلوب باید به دلیل دیگری تمسّک کنیم</w:t>
      </w:r>
      <w:r>
        <w:rPr>
          <w:rFonts w:eastAsia="IRNazanin" w:cs="IRNazanin"/>
          <w:color w:val="111111"/>
          <w:sz w:val="28"/>
          <w:szCs w:val="28"/>
          <w:rtl w:val="true"/>
          <w:lang w:bidi="fa-IR"/>
        </w:rPr>
        <w:t>.</w:t>
      </w:r>
      <w:bookmarkStart w:id="40" w:name="pg4642_53941"/>
    </w:p>
    <w:p>
      <w:pPr>
        <w:pStyle w:val="Heading2"/>
        <w:numPr>
          <w:ilvl w:val="1"/>
          <w:numId w:val="1"/>
        </w:numPr>
        <w:rPr/>
      </w:pPr>
      <w:bookmarkStart w:id="41" w:name="__RefHeading___Toc296130_2035185390"/>
      <w:bookmarkStart w:id="42" w:name="_Toc14"/>
      <w:bookmarkEnd w:id="40"/>
      <w:bookmarkEnd w:id="41"/>
      <w:r>
        <w:rPr>
          <w:rtl w:val="true"/>
        </w:rPr>
        <w:t>بررسي اشكالات به ادلّه حرمت غناء</w:t>
      </w:r>
      <w:r>
        <w:rPr>
          <w:rtl w:val="true"/>
        </w:rPr>
        <w:t>/</w:t>
      </w:r>
      <w:r>
        <w:rPr>
          <w:rtl w:val="true"/>
        </w:rPr>
        <w:t>ادله حرمت غناء</w:t>
      </w:r>
      <w:r>
        <w:rPr>
          <w:rtl w:val="true"/>
        </w:rPr>
        <w:t>/</w:t>
      </w:r>
      <w:r>
        <w:rPr>
          <w:rtl w:val="true"/>
        </w:rPr>
        <w:t>مبحث غناء</w:t>
      </w:r>
      <w:r>
        <w:rPr>
          <w:rtl w:val="true"/>
        </w:rPr>
        <w:t>/</w:t>
      </w:r>
      <w:r>
        <w:rPr>
          <w:rtl w:val="true"/>
        </w:rPr>
        <w:t xml:space="preserve">مكاسب محرمه </w:t>
      </w:r>
      <w:r>
        <w:rPr/>
        <w:t>96/08/07</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اشکالات به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باب حرمت غناء و ادلّه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اشکالی به آیات و روایات وارده در تفسیر آن ایراد کردند مبتنی بر تفکیک بین کیفیت و محتوای غناء؛به نظر ایشان توجّه به آیات غناء را به جهت محتوای باطلی که در برخی مصادیق دارد،تحریم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ایروانی در حاشیه‌ مکاسب اشکالی به نظر شیخ انصاری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نمی‌توان بین کیفیت و محتوای غناء تفکیکی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هر دو در خارج اتحاد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شما باید مجموعه‌ی محتوا و کیفیت را بررسی کنید،اگر مجموعه داخل در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باشد،در این صورت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مجموع محتوا و کیفیت داخل در هیچ یک از این عناوین نشد،از جانب آیات دلیلی برای تحریم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سخن مرحوم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آیت‌الله فاضل دو اشکال بر سخن محقّق ایروانی وارد می‌کنند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این سخن مرحوم ایروانی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اساسا این اتحاد ظاهری در خارج نمی‌تواند دلیلی برای صحت استعمال صفت هر یک از کیفیت و یا محتوی را بر دیگری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 اتّحاد خارجی دو عنوان به ما اجازه نمی‌دهد مفاد هر یک را بر دیگری اطلاق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از صرف اتّحاد وجودی دو عنوان غصب و نماز،در نمازی که شخص در خانه‌ی دیگران می‌خواند،به غصب او عنوان نماز را اطلاق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بالوجدان می‌بینیم که این دو عنوان منفکّ از یکدیگر بوده و تنها در یک مصداق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ایروانی ما هر صفتی برای یک آواز به کار می‌بریم،برای مجموعه آن به کار برده‌ایم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محتوا و هم کیفیت،به حکم هم مبتلا و آمیخته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اگر کسی قرآن را به کیفیت غنائی بخواند،بنابر نظر ایشان باید مجموعه را متّصف به عناوینی مثل قول زور و یا حدیث لهوی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نتیجه باید کلام خداوند به عناوین شنیعی مثل قول زور و یا کلام لهوی متّصف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تالی فاسد کلام محقّق ایروانی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ما،ملاحظاتی بر اشکالات ایشان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اشکال اول به نظر می‌رسد مشکل عمیق‌تر از صحّت استعمال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استعمال متوقف بر وضع و انعقاد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ما دلیلی برای ظهور هر یک از دو عنوان نسبت به یکدیگر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رابطه با اشکال دوّم نیز،اولا دلیل ایشان عین مدّعی است و این مصادره به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این بود که اگر شخصی کلام حقّی مثل قرآن را با کیفیت غنائی بخواند،مصداق قول زور و حدیث لهوی بوده و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مقام پاسخ از این قضیّه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قرآن را به وصفی مثل قول زور و حدیث لهوی توصیف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مدّعی را به نفع خودشان نفی کرده و در دلیل قرار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بیانات عام و خاص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نکاتی که در بحث غناء از اهمیت بسیاری برخوردار است،تفاوت لسان ادلّه در تحریم مصادیق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بیان به یک مصداق غناء پرداخته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روایاتی که تعدادی از آنها را از نظر گذراندیم،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مغنّیات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تحریم شارع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دیدن این دسته روایات تصوّر کنیم مراد از غنای محرّم در شریعت،همین غنای مغنّیات است،و سایر مصادیق از دائره‌ی حرمت خارج است،تصور باطلی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غناء دائره‌ای گسترده داشته و برخی از مصادیق آن مورد تصریح شارع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مصادیق ملاک حکم را به میزان جدّی‌تری با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خصوصیتی در این مصادیق مصرّح وجود داشته و به همین جهت بیان خاصی از شارع را به خود اختصاص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غنائی که در مجلس اختلاط زنان و مردان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تصریح برخی بیانات به این مصادیق نمی‌توان حکم حرمت را منحصر در این موارد دانست</w:t>
      </w:r>
      <w:r>
        <w:rPr>
          <w:rFonts w:eastAsia="IRNazanin" w:cs="IRNazanin"/>
          <w:color w:val="111111"/>
          <w:sz w:val="28"/>
          <w:szCs w:val="28"/>
          <w:rtl w:val="true"/>
          <w:lang w:bidi="fa-IR"/>
        </w:rPr>
        <w:t>.</w:t>
      </w:r>
      <w:bookmarkStart w:id="43" w:name="pg4642_53943"/>
    </w:p>
    <w:p>
      <w:pPr>
        <w:pStyle w:val="BookText"/>
        <w:rPr/>
      </w:pPr>
      <w:bookmarkEnd w:id="43"/>
      <w:r>
        <w:rPr>
          <w:rFonts w:ascii="IRNazanin" w:hAnsi="IRNazanin" w:eastAsia="IRNazanin"/>
          <w:color w:val="111111"/>
          <w:sz w:val="28"/>
          <w:sz w:val="28"/>
          <w:szCs w:val="28"/>
          <w:rtl w:val="true"/>
          <w:lang w:bidi="fa-IR"/>
        </w:rPr>
        <w:t>مثل زنا که در تمام مصادیق و افرادش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موارد آن بخصوص مورد تصریح شارع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زنای با زن شوهر و یا زنای با محارم که مستقلّا مورد تأکید شارع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بیانات خاص،مقیّد اطلاق دلیل تحریم غناء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ها همه اثبات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با اثبات حکم نفی ماعدا را نتیجه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با اثبات حکم برای افراد خاص تقیید مطلق و عام را نتیجه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است این موارد به جهت شدت ملاک موجود در آنها مورد تصریح شارع قرار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نمی‌توان با اثبات حکم در این موارد در برخی بیانات،نفی حکم در سایر مصادیق عام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می‌رسد،حلّال مشکلات در بحث ما توجّه به همین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 بیان محتوای غناء را تحریم کرد،دلیل بر عدم حرمت سایر مصادیق غناء که کیفیت متفاوتی دارد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روایات عام و مطلق در باب وجود دارد که آن مصادیق را هم تحریم می‌کنند</w:t>
      </w:r>
      <w:r>
        <w:rPr>
          <w:rFonts w:eastAsia="IRNazanin" w:cs="IRNazanin"/>
          <w:color w:val="111111"/>
          <w:sz w:val="28"/>
          <w:szCs w:val="28"/>
          <w:rtl w:val="true"/>
          <w:lang w:bidi="fa-IR"/>
        </w:rPr>
        <w:t>.</w:t>
      </w:r>
    </w:p>
    <w:p>
      <w:pPr>
        <w:pStyle w:val="Heading2"/>
        <w:numPr>
          <w:ilvl w:val="1"/>
          <w:numId w:val="1"/>
        </w:numPr>
        <w:rPr/>
      </w:pPr>
      <w:bookmarkStart w:id="44" w:name="__RefHeading___Toc296132_2035185390"/>
      <w:bookmarkStart w:id="45" w:name="_Toc15"/>
      <w:bookmarkEnd w:id="44"/>
      <w:r>
        <w:rPr>
          <w:rtl w:val="true"/>
        </w:rPr>
        <w:t>بررسي اشكالات به ادلّه حرمت غناء</w:t>
      </w:r>
      <w:r>
        <w:rPr>
          <w:rtl w:val="true"/>
        </w:rPr>
        <w:t>/</w:t>
      </w:r>
      <w:r>
        <w:rPr>
          <w:rtl w:val="true"/>
        </w:rPr>
        <w:t>ادلّه حرمت غناء</w:t>
      </w:r>
      <w:r>
        <w:rPr>
          <w:rtl w:val="true"/>
        </w:rPr>
        <w:t>/</w:t>
      </w:r>
      <w:r>
        <w:rPr>
          <w:rtl w:val="true"/>
        </w:rPr>
        <w:t>مبحث غناء</w:t>
      </w:r>
      <w:r>
        <w:rPr>
          <w:rtl w:val="true"/>
        </w:rPr>
        <w:t>/</w:t>
      </w:r>
      <w:r>
        <w:rPr>
          <w:rtl w:val="true"/>
        </w:rPr>
        <w:t xml:space="preserve">مكاسب محرّمه؛ </w:t>
      </w:r>
      <w:r>
        <w:rPr/>
        <w:t>96/08/08</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اشکالات به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باب اشکالات مرحوم شیخ انصاری پیرامون روایات وارده در تفسیر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گذشته اشکالی از مرحوم ایروانی مطرح شده و پاسخ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جلسه،ابتدا به سراغ بررسی اشکالات دیگری بر سخن مرحوم شیخ خواهیم 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روایاتی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کردیم،با چنین روایتی مواجه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الرَّجُلِ لِلَّذِي يُغَنِّي أَحْسَنْتَ</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از این روایت استفاده می‌کردند تا ثابت کنند موضوع روایات تفسیری محتوای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ایروانی در مقام اشکال می‌فرمایند،نمی‌توان این کلمه‌ی تأیید که در روایت از مصادیق قول زور شمرده شده است را تنها ناظر به محتوای باطل غناء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در مقام تصدیق و تأیید کیفیت صدای خواننده به او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می‌توان کیفیت را هم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نظر محقّق ایروانی انحصار 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محتوای باطل،ناصحیح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روایت می‌تواند تأیید کیفیت را تحریم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ما،اگرچه سخن مرحوم ایروانی متین بوده و نفس بیان ظرفیت هر دو شکل از تأیید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 ناظر به محتوای باطل و هم کیفیت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ظهور کلام در جایی که این واژه را برای تأیید محتوای باطل یک آواز به کار می‌برند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سخن مرحوم شیخ اصح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به صرف این احتمال مرحوم ایروانی ظهور کلام را مصروف به تأیید کیفیت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توجه به این که روایت در مقام تفسیر قول زور و کلام لهوی است،برای ما ظهوری در تأیید محتوی می‌سازد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اشکال سوم محقّق ایروانی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انصاری در مقام تأیید برداشت خود از آیات به روایتی از امام سجّاد استشهاد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بابویه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عَنْ شِرَاءِ جَارِيَةٍ لَهَا صَوْتٌ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عَلَيْكَ لَوِ اشْتَرَيْتَهَا فَذَكَّرَتْكَ‌ الْجَنَّةَ </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این روایت تأییدی بر اناطه‌ی حرمت غناء به محتوای باطل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ایروانی قائلند در این روایت شاهدی بر مدعای شیخ از این روایت به دست نمی‌اید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روایت از جاریه‌ای که صدایی دارد و خرید آن نفی بأس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این جهت که لزوما تمام صوت و صدای آن جاریه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غناء یا محتوای باطلی داشته و یا ندارد و در فرض محتوای باطل حرام و در فرض محتوای حق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صدای جاریه گاهی غنائی می‌شود و گاهی غناء نبوده،و در فرض عدم احراز غنائی بودن آن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محقّق ایروانی اتفاقا روایت با این نگاه کیفی بودن غناء را ثابت می‌کند</w:t>
      </w:r>
      <w:r>
        <w:rPr>
          <w:rFonts w:eastAsia="IRNazanin" w:cs="IRNazanin"/>
          <w:color w:val="111111"/>
          <w:sz w:val="28"/>
          <w:szCs w:val="28"/>
          <w:rtl w:val="true"/>
          <w:lang w:bidi="fa-IR"/>
        </w:rPr>
        <w:t>.</w:t>
      </w:r>
      <w:bookmarkStart w:id="46" w:name="pg4642_53945"/>
    </w:p>
    <w:p>
      <w:pPr>
        <w:pStyle w:val="BookText"/>
        <w:rPr/>
      </w:pPr>
      <w:bookmarkEnd w:id="46"/>
      <w:r>
        <w:rPr>
          <w:rFonts w:ascii="IRNazanin" w:hAnsi="IRNazanin" w:eastAsia="IRNazanin"/>
          <w:color w:val="111111"/>
          <w:sz w:val="28"/>
          <w:sz w:val="28"/>
          <w:szCs w:val="28"/>
          <w:rtl w:val="true"/>
          <w:lang w:bidi="fa-IR"/>
        </w:rPr>
        <w:t>به نظر ما،سخن مرحوم ایروانی به همان اندازه غیرقابل استناد به روایت است که سخن مرحوم شیخ در نظر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اگرچه در متن روایت اشاره‌ای به محتوایی بودن غناء ندارد،ولی به کیفی بودن غناء هم اشاره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از این روایت استفاده نمود که محتوای غناء در حکم آن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امام حکم غناء را به میزان اثربخشی آن منوط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غناء انسان را به یاد بهشت بیندازد و او را با حق آمیخته کند،حلال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بیان شاهدی بر تأثیر محتوای غناء در حکم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بر اساس این روایات،غنائی که مصداق قول زور و یا کلام لهوی است،حرام بوده و نمی‌توان با آن عدم حرمت سایر مصادیق غناء را ثابت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رابطه مطلقات باب دلالت تام داشته و تعارضی میان این ادله مقیّد و مطلقات باب نیست</w:t>
      </w:r>
      <w:r>
        <w:rPr>
          <w:rFonts w:eastAsia="IRNazanin" w:cs="IRNazanin"/>
          <w:color w:val="111111"/>
          <w:sz w:val="28"/>
          <w:szCs w:val="28"/>
          <w:rtl w:val="true"/>
          <w:lang w:bidi="fa-IR"/>
        </w:rPr>
        <w:t>.</w:t>
      </w:r>
    </w:p>
    <w:p>
      <w:pPr>
        <w:pStyle w:val="Heading2"/>
        <w:numPr>
          <w:ilvl w:val="1"/>
          <w:numId w:val="1"/>
        </w:numPr>
        <w:rPr/>
      </w:pPr>
      <w:bookmarkStart w:id="47" w:name="__RefHeading___Toc296134_2035185390"/>
      <w:bookmarkStart w:id="48" w:name="_Toc16"/>
      <w:bookmarkEnd w:id="47"/>
      <w:r>
        <w:rPr>
          <w:rtl w:val="true"/>
        </w:rPr>
        <w:t>ادلّه تحريم غنا</w:t>
      </w:r>
      <w:r>
        <w:rPr>
          <w:rtl w:val="true"/>
        </w:rPr>
        <w:t>/</w:t>
      </w:r>
      <w:r>
        <w:rPr>
          <w:rtl w:val="true"/>
        </w:rPr>
        <w:t>ادلّه غنا</w:t>
      </w:r>
      <w:r>
        <w:rPr>
          <w:rtl w:val="true"/>
        </w:rPr>
        <w:t>/</w:t>
      </w:r>
      <w:r>
        <w:rPr>
          <w:rtl w:val="true"/>
        </w:rPr>
        <w:t>مبحث غنا</w:t>
      </w:r>
      <w:r>
        <w:rPr>
          <w:rtl w:val="true"/>
        </w:rPr>
        <w:t>/</w:t>
      </w:r>
      <w:r>
        <w:rPr>
          <w:rtl w:val="true"/>
        </w:rPr>
        <w:t xml:space="preserve">مكاسب محرّمه؛ </w:t>
      </w:r>
      <w:r>
        <w:rPr/>
        <w:t>96/08/09</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تحریم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ادلّه تحریم غنا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تحریم غنا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این آیات مورد استناد برخی فقهاء برای تحریم مطلق غنا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دلالت این آیات را بر تحریم غنا به عنوان یک کیفیت در صدای انسان مخدوش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مرحوم شیخ عناوینی که در این آیات و روایات مفسّر آن موضوع حکم است،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ناظر به محتوای غنا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غنا به عنوان یک کیفیت، موضوع این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اشکالاتی بر سخن مرحوم شیخ داشتند که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راه حل مسأله در این نکته نهفته است که 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در مقام بیان مصداقی برای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زنا که مفهومی عام است و تمام مصادیق آن حرام است ولی در یک بیان شارع یکی از مصادیق آن را مورد تصریح قرار می‌دهد، مثل زنای زن شوهردار که موضوع بسیاری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نمی‌توانند تنها مصداق مورد تحریم را بیان کنند بلکه یک مصداق را بیان کرده و حکمش را جداگانه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غنا هم خداوند در این آیات به ذکر برخی مصادیق آن می‌پردازد همانطور که در روایات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ادلّه مقیّد، نسبت به مطلقات، تقییدی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مثبت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 آیات خداوند قصد بیان مصداق انحصاری حرمت غنا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فرد از غنا را به تصریح جداگانه بیان می‌کنند؛ غنایی که محتوای باطلی هم دارد، باز مصداق غنا است اگرچه ملاک حرمت در آن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بحث و در رابطه با روایات تفسیری دو نظر از سوی فقهاء مطرح شد، برخی قائل بودند که این روایات بر حرمت مطلق غنا دلالت دارند و برخی مثل شیخ انصاری قائل بودند که این روایات بر حرمت غنائی که محتوای باطل هم دارد دلالت دارند و به نظر ما هم نظر شیخ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عَنِ اللَّغْوِ مُعْرِضُونَ</w:t>
      </w:r>
      <w:r>
        <w:rPr>
          <w:rFonts w:eastAsia="IRNazanin" w:cs="IRNazanin"/>
          <w:color w:val="111111"/>
          <w:sz w:val="28"/>
          <w:szCs w:val="28"/>
          <w:rtl w:val="true"/>
          <w:lang w:bidi="fa-IR"/>
        </w:rPr>
        <w:t>»</w:t>
      </w:r>
      <w:r>
        <w:rPr>
          <w:rStyle w:val="FootnoteAnchor"/>
          <w:rtl w:val="true"/>
        </w:rPr>
        <w:footnoteReference w:id="16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ذیل این آیه از سوره مؤمنون هم برخی روایات لغو را به غنا تفسیر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الْجَنَّةَ قَالَ لَهَا تَکلَّمِي، فَقَالَتْ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الغناء و الملاهي</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عین حال که مرفوعه و ضعیفه است، از روایات مطلقه در تحریم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آیه به هیچ روی بیان تحریمی نیست یعنی آیه در مقام تقابل بین ایمان و کفر نیست؛ تا از آن نتیجه بگیریم که هر کس اهل لهو است، کافر بوده و عملش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آیه در مقام برشمردن خصوصیات مقام عالی ایمان در انسانها است، یعنی مؤمنین والامرتبه از لغو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بحال در باب روایات مفسّر بررسی کردیم، طائفه اول از ادلّه تحریم مطلق غناء بود و حالا روایاتی را بررسی می‌کنیم که از غنا نهی کرده و آن را مذمّت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أمامة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بَيْعِ الْمُغَنِّيَاتِ وَ شِرَائِهِنَّ وَ التِّجَارَةِ فِيهِنَّ وَ أَکلِ أَثمانِهِنَّ و ثَمَنُهُنَّ حرام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این روایت ضعیف، پیامبر از خرید و فروش مغنّیات و ایجاد کسب و کار با ایشان و بهره بردن از اجرت آنها در قبال غنائی که برای دیگران می‌خوانند و پولی که از خرید و فروش آنها به دست می‌آید، نهی کرده و آن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ضعیف است و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إبن مسعود أنّ النبيّ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الغناء ينبت النفاق في القلب کما ينبت الماء البقل</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روایت، هم از حیث سند ضعف داشته و هم از حیث دلالت، هیچ دلالتی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نگاه اخلاقی حاکم بر روایت، انسان را به حکم تکلیفی نمی‌رساند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168"/>
      </w:r>
      <w:r>
        <w:rPr>
          <w:rFonts w:ascii="Amiri" w:hAnsi="Amiri" w:eastAsia="Amiri" w:cs="Amiri"/>
          <w:color w:val="111111"/>
          <w:sz w:val="28"/>
          <w:sz w:val="28"/>
          <w:szCs w:val="28"/>
          <w:rtl w:val="true"/>
          <w:lang w:bidi="ar-SA"/>
        </w:rPr>
        <w:t xml:space="preserve"> عَنْ مُحَمَّدِ بْنِ يَحْيَى</w:t>
      </w:r>
      <w:r>
        <w:rPr>
          <w:rStyle w:val="FootnoteAnchor"/>
          <w:rtl w:val="true"/>
        </w:rPr>
        <w:footnoteReference w:id="169"/>
      </w:r>
      <w:r>
        <w:rPr>
          <w:rFonts w:ascii="Amiri" w:hAnsi="Amiri" w:eastAsia="Amiri" w:cs="Amiri"/>
          <w:color w:val="111111"/>
          <w:sz w:val="28"/>
          <w:sz w:val="28"/>
          <w:szCs w:val="28"/>
          <w:rtl w:val="true"/>
          <w:lang w:bidi="ar-SA"/>
        </w:rPr>
        <w:t xml:space="preserve"> عَنْ أَحْمَدَ بْنِ مُحَمَّدٍ</w:t>
      </w:r>
      <w:r>
        <w:rPr>
          <w:rStyle w:val="FootnoteAnchor"/>
          <w:rtl w:val="true"/>
        </w:rPr>
        <w:footnoteReference w:id="170"/>
      </w:r>
      <w:r>
        <w:rPr>
          <w:rFonts w:ascii="Amiri" w:hAnsi="Amiri" w:eastAsia="Amiri" w:cs="Amiri"/>
          <w:color w:val="111111"/>
          <w:sz w:val="28"/>
          <w:sz w:val="28"/>
          <w:szCs w:val="28"/>
          <w:rtl w:val="true"/>
          <w:lang w:bidi="ar-SA"/>
        </w:rPr>
        <w:t xml:space="preserve"> عَنِ الْحُسَيْنِ بْنِ سَعِيدٍ</w:t>
      </w:r>
      <w:r>
        <w:rPr>
          <w:rStyle w:val="FootnoteAnchor"/>
          <w:rtl w:val="true"/>
        </w:rPr>
        <w:footnoteReference w:id="171"/>
      </w:r>
      <w:r>
        <w:rPr>
          <w:rFonts w:ascii="Amiri" w:hAnsi="Amiri" w:eastAsia="Amiri" w:cs="Amiri"/>
          <w:color w:val="111111"/>
          <w:sz w:val="28"/>
          <w:sz w:val="28"/>
          <w:szCs w:val="28"/>
          <w:rtl w:val="true"/>
          <w:lang w:bidi="ar-SA"/>
        </w:rPr>
        <w:t xml:space="preserve"> عَنْ إِبْرَاهِيمَ بْنِ أَبِي الْبِلَادِ</w:t>
      </w:r>
      <w:r>
        <w:rPr>
          <w:rStyle w:val="FootnoteAnchor"/>
          <w:rtl w:val="true"/>
        </w:rPr>
        <w:footnoteReference w:id="172"/>
      </w:r>
      <w:r>
        <w:rPr>
          <w:rFonts w:ascii="Amiri" w:hAnsi="Amiri" w:eastAsia="Amiri" w:cs="Amiri"/>
          <w:color w:val="111111"/>
          <w:sz w:val="28"/>
          <w:sz w:val="28"/>
          <w:szCs w:val="28"/>
          <w:rtl w:val="true"/>
          <w:lang w:bidi="ar-SA"/>
        </w:rPr>
        <w:t xml:space="preserve"> عَنْ زَيْدٍ الشَّحَّامِ</w:t>
      </w:r>
      <w:r>
        <w:rPr>
          <w:rStyle w:val="FootnoteAnchor"/>
          <w:rtl w:val="true"/>
        </w:rPr>
        <w:footnoteReference w:id="17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الْغِنَاءِ لَا تُؤْمَنُ فِيهِ الْفَجِيعَةُ وَ لَا تُجَابُ فِيهِ الدَّعْوَةُ وَ لَا يَدْخُلُهُ الْمَلَک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روایت سند صحیحی دارد ولی نمی‌توان از آن حرمتی استظهار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اولا موضوع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جایی صدق می‌کند که خانه‌ای را برای غنا آماده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کاباره‌ها که در حقیقت برای غنا ساخته شده است و در خانه‌ای که گاهی در آن غناء خوانده می‌شود نمی‌توان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نوع تعبیر این روایت، با کراهت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خانه‌ای سگ نگهداری شود، دعا در آن خانه بالا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نوع تعابیر با کراهت سازگار است و از آن حرمت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عَنْ سَهْلٍ</w:t>
      </w:r>
      <w:r>
        <w:rPr>
          <w:rStyle w:val="FootnoteAnchor"/>
          <w:rtl w:val="true"/>
        </w:rPr>
        <w:footnoteReference w:id="175"/>
      </w:r>
      <w:r>
        <w:rPr>
          <w:rFonts w:ascii="Amiri" w:hAnsi="Amiri" w:eastAsia="Amiri" w:cs="Amiri"/>
          <w:color w:val="111111"/>
          <w:sz w:val="28"/>
          <w:sz w:val="28"/>
          <w:szCs w:val="28"/>
          <w:rtl w:val="true"/>
          <w:lang w:bidi="ar-SA"/>
        </w:rPr>
        <w:t xml:space="preserve"> عَنْ مُحَمَّدِ بْنِ عَلِيٍّ</w:t>
      </w:r>
      <w:r>
        <w:rPr>
          <w:rStyle w:val="FootnoteAnchor"/>
          <w:rtl w:val="true"/>
        </w:rPr>
        <w:footnoteReference w:id="176"/>
      </w:r>
      <w:r>
        <w:rPr>
          <w:rFonts w:ascii="Amiri" w:hAnsi="Amiri" w:eastAsia="Amiri" w:cs="Amiri"/>
          <w:color w:val="111111"/>
          <w:sz w:val="28"/>
          <w:sz w:val="28"/>
          <w:szCs w:val="28"/>
          <w:rtl w:val="true"/>
          <w:lang w:bidi="ar-SA"/>
        </w:rPr>
        <w:t xml:space="preserve"> عَنْ أَبِي جَمِيلَةَ</w:t>
      </w:r>
      <w:r>
        <w:rPr>
          <w:rStyle w:val="FootnoteAnchor"/>
          <w:rtl w:val="true"/>
        </w:rPr>
        <w:footnoteReference w:id="177"/>
      </w:r>
      <w:r>
        <w:rPr>
          <w:rFonts w:ascii="Amiri" w:hAnsi="Amiri" w:eastAsia="Amiri" w:cs="Amiri"/>
          <w:color w:val="111111"/>
          <w:sz w:val="28"/>
          <w:sz w:val="28"/>
          <w:szCs w:val="28"/>
          <w:rtl w:val="true"/>
          <w:lang w:bidi="ar-SA"/>
        </w:rPr>
        <w:t xml:space="preserve"> عَنْ أَبِي أُسَامَةَ</w:t>
      </w:r>
      <w:r>
        <w:rPr>
          <w:rStyle w:val="FootnoteAnchor"/>
          <w:rtl w:val="true"/>
        </w:rPr>
        <w:footnoteReference w:id="178"/>
      </w:r>
      <w:r>
        <w:rPr>
          <w:rFonts w:ascii="Amiri" w:hAnsi="Amiri" w:eastAsia="Amiri" w:cs="Amiri"/>
          <w:color w:val="111111"/>
          <w:sz w:val="28"/>
          <w:sz w:val="28"/>
          <w:szCs w:val="28"/>
          <w:rtl w:val="true"/>
          <w:lang w:bidi="ar-SA"/>
        </w:rPr>
        <w:t xml:space="preserve">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غُشُّ‌</w:t>
      </w:r>
      <w:r>
        <w:rPr>
          <w:rStyle w:val="FootnoteAnchor"/>
          <w:rtl w:val="true"/>
        </w:rPr>
        <w:footnoteReference w:id="179"/>
      </w:r>
      <w:r>
        <w:rPr>
          <w:rFonts w:ascii="Amiri" w:hAnsi="Amiri" w:eastAsia="Amiri" w:cs="Amiri"/>
          <w:color w:val="111111"/>
          <w:sz w:val="28"/>
          <w:sz w:val="28"/>
          <w:szCs w:val="28"/>
          <w:rtl w:val="true"/>
          <w:lang w:bidi="ar-SA"/>
        </w:rPr>
        <w:t xml:space="preserve">  النِّفَاقِ</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در این روایت غناء را ظهور و بروز نفاق می‌شمارند ولی چون سند این روایت ضعیف است، نمی‌توان از آن استفاده حرمت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عَنْ سَهْلٍ</w:t>
      </w:r>
      <w:r>
        <w:rPr>
          <w:rStyle w:val="FootnoteAnchor"/>
          <w:rtl w:val="true"/>
        </w:rPr>
        <w:footnoteReference w:id="181"/>
      </w:r>
      <w:r>
        <w:rPr>
          <w:rFonts w:ascii="Amiri" w:hAnsi="Amiri" w:eastAsia="Amiri" w:cs="Amiri"/>
          <w:color w:val="111111"/>
          <w:sz w:val="28"/>
          <w:sz w:val="28"/>
          <w:szCs w:val="28"/>
          <w:rtl w:val="true"/>
          <w:lang w:bidi="ar-SA"/>
        </w:rPr>
        <w:t xml:space="preserve"> عَنْ إِبْرَاهِيمَ بْنِ مُحَمَّدٍ الْمَدَنِيِّ عَمَّنْ ذَکرَهُ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الْغِنَاءِ وَ 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روایت هم از دخول در خانه‌ای که خداوند از اهل آن روی‌گردان است نهی نموده است و این خانه خانه‌ای است که در آن غناء خوانده و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به جهت ضعفی که در سند دارد، مورد اعتماد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Style w:val="FootnoteAnchor"/>
          <w:rtl w:val="true"/>
        </w:rPr>
        <w:footnoteReference w:id="183"/>
      </w:r>
      <w:r>
        <w:rPr>
          <w:rFonts w:ascii="Amiri" w:hAnsi="Amiri" w:eastAsia="Amiri" w:cs="Amiri"/>
          <w:color w:val="111111"/>
          <w:sz w:val="28"/>
          <w:sz w:val="28"/>
          <w:szCs w:val="28"/>
          <w:rtl w:val="true"/>
          <w:lang w:bidi="ar-SA"/>
        </w:rPr>
        <w:t xml:space="preserve"> عَنْ سَهْلٍ</w:t>
      </w:r>
      <w:r>
        <w:rPr>
          <w:rStyle w:val="FootnoteAnchor"/>
          <w:rtl w:val="true"/>
        </w:rPr>
        <w:footnoteReference w:id="184"/>
      </w:r>
      <w:r>
        <w:rPr>
          <w:rFonts w:ascii="Amiri" w:hAnsi="Amiri" w:eastAsia="Amiri" w:cs="Amiri"/>
          <w:color w:val="111111"/>
          <w:sz w:val="28"/>
          <w:sz w:val="28"/>
          <w:szCs w:val="28"/>
          <w:rtl w:val="true"/>
          <w:lang w:bidi="ar-SA"/>
        </w:rPr>
        <w:t xml:space="preserve"> عَنْ عَلِيِّ بْنِ الرَّيَّانِ</w:t>
      </w:r>
      <w:r>
        <w:rPr>
          <w:rStyle w:val="FootnoteAnchor"/>
          <w:rtl w:val="true"/>
        </w:rPr>
        <w:footnoteReference w:id="185"/>
      </w:r>
      <w:r>
        <w:rPr>
          <w:rFonts w:ascii="Amiri" w:hAnsi="Amiri" w:eastAsia="Amiri" w:cs="Amiri"/>
          <w:color w:val="111111"/>
          <w:sz w:val="28"/>
          <w:sz w:val="28"/>
          <w:szCs w:val="28"/>
          <w:rtl w:val="true"/>
          <w:lang w:bidi="ar-SA"/>
        </w:rPr>
        <w:t xml:space="preserve"> عَنْ يُونُسَ</w:t>
      </w:r>
      <w:r>
        <w:rPr>
          <w:rStyle w:val="FootnoteAnchor"/>
          <w:rtl w:val="true"/>
        </w:rPr>
        <w:footnoteReference w:id="186"/>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ذَکرَ عَنْک أَنَّک تُرَخِّصُ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الزِّنْدِيقُ مَا هَکذَا قُلْتُ لَهُ سَأَلَنِي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فَأَيْنَ يَکونُ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حَکمْتَ</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راوی از امام در باب نظر ایشان در رابطه با غناء و صحّت قولی را که مأمون از ایشان نقل می‌کند و غناء را از نظر ایشان جائز می‌شمارد، سؤال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پاسخ مأمون را تکذیب کرده و اصل ماجرا را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در باب غناء و حکم آن می‌پرسد و امام هم در پاسخ روایتی از امام باقر نقل می‌کنند که در آن روایت امام باقر در پاسخ شخصی که از حکم غناء پرسیده بود، غناء را در زمره امور باطله معرّفی می‌کنند</w:t>
      </w:r>
      <w:r>
        <w:rPr>
          <w:rFonts w:eastAsia="IRNazanin" w:cs="IRNazanin"/>
          <w:color w:val="111111"/>
          <w:sz w:val="28"/>
          <w:szCs w:val="28"/>
          <w:rtl w:val="true"/>
          <w:lang w:bidi="fa-IR"/>
        </w:rPr>
        <w:t>.</w:t>
      </w:r>
      <w:bookmarkStart w:id="49" w:name="pg4642_53950"/>
    </w:p>
    <w:p>
      <w:pPr>
        <w:pStyle w:val="BookText"/>
        <w:rPr/>
      </w:pPr>
      <w:bookmarkEnd w:id="49"/>
      <w:r>
        <w:rPr>
          <w:rFonts w:ascii="IRNazanin" w:hAnsi="IRNazanin" w:eastAsia="IRNazanin"/>
          <w:color w:val="111111"/>
          <w:sz w:val="28"/>
          <w:sz w:val="28"/>
          <w:szCs w:val="28"/>
          <w:rtl w:val="true"/>
          <w:lang w:bidi="fa-IR"/>
        </w:rPr>
        <w:t>این روایت سند صحیحی دارد و پیرامون دلالت آن بر مطلوب بحثهایی مطرح می‌شود که در جلسه بعد بررسی خواهد شد</w:t>
      </w:r>
      <w:r>
        <w:rPr>
          <w:rFonts w:eastAsia="IRNazanin" w:cs="IRNazanin"/>
          <w:color w:val="111111"/>
          <w:sz w:val="28"/>
          <w:szCs w:val="28"/>
          <w:rtl w:val="true"/>
          <w:lang w:bidi="fa-IR"/>
        </w:rPr>
        <w:t>.</w:t>
      </w:r>
    </w:p>
    <w:p>
      <w:pPr>
        <w:pStyle w:val="Heading2"/>
        <w:numPr>
          <w:ilvl w:val="1"/>
          <w:numId w:val="1"/>
        </w:numPr>
        <w:rPr/>
      </w:pPr>
      <w:bookmarkStart w:id="50" w:name="__RefHeading___Toc296136_2035185390"/>
      <w:bookmarkStart w:id="51" w:name="_Toc17"/>
      <w:bookmarkEnd w:id="50"/>
      <w:r>
        <w:rPr>
          <w:rtl w:val="true"/>
        </w:rPr>
        <w:t xml:space="preserve">جلسه </w:t>
      </w:r>
      <w:r>
        <w:rPr/>
        <w:t>96/09/04</w:t>
      </w:r>
      <w:bookmarkEnd w:id="51"/>
    </w:p>
    <w:p>
      <w:pPr>
        <w:pStyle w:val="BookText"/>
        <w:rPr/>
      </w:pPr>
      <w:r>
        <w:rPr>
          <w:rFonts w:ascii="IRNazanin" w:hAnsi="IRNazanin" w:eastAsia="IRNazanin"/>
          <w:color w:val="111111"/>
          <w:sz w:val="28"/>
          <w:sz w:val="28"/>
          <w:szCs w:val="28"/>
          <w:rtl w:val="true"/>
          <w:lang w:bidi="fa-IR"/>
        </w:rPr>
        <w:t>موضوع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ارتباط با بررسی حکم حرمت در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موضوعات مهم در این رابطه محتوای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کیفیت صوت به حد غناء رسیده و قیود غناء در آن محقّق می‌شود،اگر محتوای آن کلام باطلی نباشد و حتی حق باشد،آیا می‌توان قائل به جواز غناء به جهت عدم بطلان محتوای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 زمینه مطرح شده است،که در استظهار از آن بین فقهاء اختلاف شکل گرفته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w:t>
      </w:r>
      <w:r>
        <w:rPr>
          <w:rStyle w:val="FootnoteAnchor"/>
          <w:rtl w:val="true"/>
        </w:rPr>
        <w:footnoteReference w:id="188"/>
      </w:r>
      <w:r>
        <w:rPr>
          <w:rFonts w:ascii="Amiri" w:hAnsi="Amiri" w:eastAsia="Amiri" w:cs="Amiri"/>
          <w:color w:val="111111"/>
          <w:sz w:val="28"/>
          <w:sz w:val="28"/>
          <w:szCs w:val="28"/>
          <w:rtl w:val="true"/>
          <w:lang w:bidi="ar-SA"/>
        </w:rPr>
        <w:t xml:space="preserve"> عَنْ سَهْلٍ</w:t>
      </w:r>
      <w:r>
        <w:rPr>
          <w:rStyle w:val="FootnoteAnchor"/>
          <w:rtl w:val="true"/>
        </w:rPr>
        <w:footnoteReference w:id="189"/>
      </w:r>
      <w:r>
        <w:rPr>
          <w:rFonts w:ascii="Amiri" w:hAnsi="Amiri" w:eastAsia="Amiri" w:cs="Amiri"/>
          <w:color w:val="111111"/>
          <w:sz w:val="28"/>
          <w:sz w:val="28"/>
          <w:szCs w:val="28"/>
          <w:rtl w:val="true"/>
          <w:lang w:bidi="ar-SA"/>
        </w:rPr>
        <w:t xml:space="preserve"> عَنْ عَلِيِّ بْنِ الرَّيَّانِ</w:t>
      </w:r>
      <w:r>
        <w:rPr>
          <w:rStyle w:val="FootnoteAnchor"/>
          <w:rtl w:val="true"/>
        </w:rPr>
        <w:footnoteReference w:id="190"/>
      </w:r>
      <w:r>
        <w:rPr>
          <w:rFonts w:ascii="Amiri" w:hAnsi="Amiri" w:eastAsia="Amiri" w:cs="Amiri"/>
          <w:color w:val="111111"/>
          <w:sz w:val="28"/>
          <w:sz w:val="28"/>
          <w:szCs w:val="28"/>
          <w:rtl w:val="true"/>
          <w:lang w:bidi="ar-SA"/>
        </w:rPr>
        <w:t xml:space="preserve"> عَنْ يُونُسَ</w:t>
      </w:r>
      <w:r>
        <w:rPr>
          <w:rStyle w:val="FootnoteAnchor"/>
          <w:rtl w:val="true"/>
        </w:rPr>
        <w:footnoteReference w:id="191"/>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ذَکرَ عَنْک أَنَّک تُرَخِّصُ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الزِّنْدِيقُ مَا هَکذَا قُلْتُ لَهُ سَأَلَنِي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فَأَيْنَ يَکونُ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حَکمْتَ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این روایت که صحیحه است،امام در رابطه با شایعه‌ای که مأمون عبّاسی در غیاب ایشان بر سر زبانها انداخته بوده است،پاسخ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شایعه حکم دروغی است که 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غناء نقل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می‌فرمایند من چنین جوازی در رابطه با غناء ندادم،بلکه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برای او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سائل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میان حق و باطل تمییز نهاده و آنها را از هم جدا کند،تو غناء را در کدام یک از دو کفه‌ی حق و باطل قرار می‌دهی؟سائل در پاسخ غناء را در زمره امور باطل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پاسخ او را تقریر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روایت می‌توان سه احتمال مطرح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 است که این روایت دلالت بر حرمت غناء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حرمت در فرض محتوای باطل می‌باشد و احتمال سوم این است که روایت دلالت بر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از این روایت حرمت مطلق غناء را استظهار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روایت امام در پاسخ شایعه‌ای که عباسی در ارتباط با جواز غناء از زبان امام نقل کرده‌ بود،پاسخ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نشان می‌دهد غناء در نظر امام حرام است و جواز کذبی است که مأمون آن را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در ذیل روایت هم امام باقر غناء را در زمره امور باطله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این بطلان در مقام بیانی دیگر از حرمت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مرحوم نراقی از این روایت،حرمت ذاتی غناء را نفهمیده و قائل هستند اگر امام قرار بود غناء را تحریم کنند،صراحتا تعبیر به حرمت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مأمون را کذّاب می‌شمارند،به جهت شکل بیانی است که او از امام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می‌فرمایند من نگفتم غناء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از مرحوم نراقی</w:t>
      </w:r>
    </w:p>
    <w:p>
      <w:pPr>
        <w:pStyle w:val="BookText"/>
        <w:rPr/>
      </w:pPr>
      <w:r>
        <w:rPr>
          <w:rFonts w:ascii="IRNazanin" w:hAnsi="IRNazanin" w:eastAsia="IRNazanin"/>
          <w:color w:val="111111"/>
          <w:sz w:val="28"/>
          <w:sz w:val="28"/>
          <w:szCs w:val="28"/>
          <w:rtl w:val="true"/>
          <w:lang w:bidi="fa-IR"/>
        </w:rPr>
        <w:t>به نظر مرحوم نراقی امام در این روایت در مقام بیان حکم حرمت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می‌خواهند غناء را در زمره امور لغوی بشمارند که می‌تواند مکروه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امام در مقام تکذیب نمی‌خواهند ضد محتوای کلام مأمون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نظر ایشان کلام مأمون با کلام امام انطباق نداشته و مأمون واقعیت را نقل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به نظر ایشان با توجه به ذیل روایت روشنتر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امام می‌توانست به صراحت بگوید غناء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دو کفه‌ی حق و باطل طرح کرده و غناء را در زمره امور لغو و باطل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اعمّ از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کراهت هم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وضوح باطل بودن غناء در نظر سائل می‌توان فهمید غنائی که در آن گفتگو موضوع بحث قرار گرفته است،غنائی است که محتوای باطل هم دارد</w:t>
      </w:r>
      <w:r>
        <w:rPr>
          <w:rFonts w:eastAsia="IRNazanin" w:cs="IRNazanin"/>
          <w:color w:val="111111"/>
          <w:sz w:val="28"/>
          <w:szCs w:val="28"/>
          <w:rtl w:val="true"/>
          <w:lang w:bidi="fa-IR"/>
        </w:rPr>
        <w:t>.</w:t>
      </w:r>
      <w:r>
        <w:rPr>
          <w:rStyle w:val="FootnoteAnchor"/>
          <w:rtl w:val="true"/>
        </w:rPr>
        <w:footnoteReference w:id="19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ما،این روایت فی نفسه دلالتی بر حرمت غناء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تعبیر به بطلان با کراهت هم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کلام لغوی که قطعا حرام نیست،می‌گوییم سخن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این تعبیر روایت بخودی دلالتی بر حرمت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فرمایش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سائل،دلالتی بر حرمت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امام سخن مأمون را کذب شمرده‌اند،شاید به جهت عدم تطابق نقل مأمون با پاسخ امام به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ادامه هم آنچه امام از پاسخشان به مأمون نقل می‌کنند،دلالتی بر حرمت ندارد و با جواز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مکروه هم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احتمالا امام به شکل بیان مأمون اشکال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تعبیر به جواز مطلق با آنچه امام از بطلان غناء در پاسخ به او گفته بودند،تطابق ندارد</w:t>
      </w:r>
      <w:r>
        <w:rPr>
          <w:rFonts w:eastAsia="IRNazanin" w:cs="IRNazanin"/>
          <w:color w:val="111111"/>
          <w:sz w:val="28"/>
          <w:szCs w:val="28"/>
          <w:rtl w:val="true"/>
          <w:lang w:bidi="fa-IR"/>
        </w:rPr>
        <w:t>.</w:t>
      </w:r>
      <w:bookmarkStart w:id="52" w:name="pg4642_53953"/>
    </w:p>
    <w:p>
      <w:pPr>
        <w:pStyle w:val="Heading2"/>
        <w:numPr>
          <w:ilvl w:val="1"/>
          <w:numId w:val="1"/>
        </w:numPr>
        <w:rPr/>
      </w:pPr>
      <w:bookmarkStart w:id="53" w:name="__RefHeading___Toc296138_2035185390"/>
      <w:bookmarkStart w:id="54" w:name="_Toc18"/>
      <w:bookmarkEnd w:id="52"/>
      <w:bookmarkEnd w:id="53"/>
      <w:r>
        <w:rPr>
          <w:rtl w:val="true"/>
        </w:rPr>
        <w:t>بررسي حكم حرمت غناء</w:t>
      </w:r>
      <w:r>
        <w:rPr>
          <w:rtl w:val="true"/>
        </w:rPr>
        <w:t>/</w:t>
      </w:r>
      <w:r>
        <w:rPr>
          <w:rtl w:val="true"/>
        </w:rPr>
        <w:t>ادله حرمت غناء</w:t>
      </w:r>
      <w:r>
        <w:rPr>
          <w:rtl w:val="true"/>
        </w:rPr>
        <w:t>/</w:t>
      </w:r>
      <w:r>
        <w:rPr>
          <w:rtl w:val="true"/>
        </w:rPr>
        <w:t>مبحث غناء</w:t>
      </w:r>
      <w:r>
        <w:rPr>
          <w:rtl w:val="true"/>
        </w:rPr>
        <w:t>/</w:t>
      </w:r>
      <w:r>
        <w:rPr>
          <w:rtl w:val="true"/>
        </w:rPr>
        <w:t xml:space="preserve">مكاسب محرّمه </w:t>
      </w:r>
      <w:r>
        <w:rPr/>
        <w:t>96/09/05</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حکم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روایتی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امام از قول امام باقر غناء را در زمره امور باطل قرار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یک روایت دیگر در این زمینه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w:t>
      </w:r>
      <w:r>
        <w:rPr>
          <w:rStyle w:val="FootnoteAnchor"/>
          <w:rtl w:val="true"/>
        </w:rPr>
        <w:footnoteReference w:id="195"/>
      </w:r>
      <w:r>
        <w:rPr>
          <w:rFonts w:ascii="Amiri" w:hAnsi="Amiri" w:eastAsia="Amiri" w:cs="Amiri"/>
          <w:color w:val="111111"/>
          <w:sz w:val="28"/>
          <w:sz w:val="28"/>
          <w:szCs w:val="28"/>
          <w:rtl w:val="true"/>
          <w:lang w:bidi="ar-SA"/>
        </w:rPr>
        <w:t xml:space="preserve">  عَنْ أَحْمَدَ بْنِ مُحَمَّدٍ</w:t>
      </w:r>
      <w:r>
        <w:rPr>
          <w:rStyle w:val="FootnoteAnchor"/>
          <w:rtl w:val="true"/>
        </w:rPr>
        <w:footnoteReference w:id="196"/>
      </w:r>
      <w:r>
        <w:rPr>
          <w:rFonts w:ascii="Amiri" w:hAnsi="Amiri" w:eastAsia="Amiri" w:cs="Amiri"/>
          <w:color w:val="111111"/>
          <w:sz w:val="28"/>
          <w:sz w:val="28"/>
          <w:szCs w:val="28"/>
          <w:rtl w:val="true"/>
          <w:lang w:bidi="ar-SA"/>
        </w:rPr>
        <w:t xml:space="preserve">  عَنِ ابْنِ فَضَّالٍ</w:t>
      </w:r>
      <w:r>
        <w:rPr>
          <w:rStyle w:val="FootnoteAnchor"/>
          <w:rtl w:val="true"/>
        </w:rPr>
        <w:footnoteReference w:id="197"/>
      </w:r>
      <w:r>
        <w:rPr>
          <w:rFonts w:ascii="Amiri" w:hAnsi="Amiri" w:eastAsia="Amiri" w:cs="Amiri"/>
          <w:color w:val="111111"/>
          <w:sz w:val="28"/>
          <w:sz w:val="28"/>
          <w:szCs w:val="28"/>
          <w:rtl w:val="true"/>
          <w:lang w:bidi="ar-SA"/>
        </w:rPr>
        <w:t xml:space="preserve">  عَنْ يُونُسَ بْنِ يَعْقُوبَ</w:t>
      </w:r>
      <w:r>
        <w:rPr>
          <w:rStyle w:val="FootnoteAnchor"/>
          <w:rtl w:val="true"/>
        </w:rPr>
        <w:footnoteReference w:id="198"/>
      </w:r>
      <w:r>
        <w:rPr>
          <w:rFonts w:ascii="Amiri" w:hAnsi="Amiri" w:eastAsia="Amiri" w:cs="Amiri"/>
          <w:color w:val="111111"/>
          <w:sz w:val="28"/>
          <w:sz w:val="28"/>
          <w:szCs w:val="28"/>
          <w:rtl w:val="true"/>
          <w:lang w:bidi="ar-SA"/>
        </w:rPr>
        <w:t xml:space="preserve">  عَنْ عَبْدِ الْأَعْلَى</w:t>
      </w:r>
      <w:r>
        <w:rPr>
          <w:rStyle w:val="FootnoteAnchor"/>
          <w:rtl w:val="true"/>
        </w:rPr>
        <w:footnoteReference w:id="199"/>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جِئْنَاکمْ جِئْنَاکمْ حَيُّونَا حَيُّونَا نُحَيِّکمْ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کنَّا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w:t>
      </w:r>
      <w:r>
        <w:rPr>
          <w:rStyle w:val="FootnoteAnchor"/>
          <w:rtl w:val="true"/>
        </w:rPr>
        <w:footnoteReference w:id="200"/>
      </w:r>
      <w:r>
        <w:rPr>
          <w:rFonts w:ascii="Amiri" w:hAnsi="Amiri" w:eastAsia="Amiri" w:cs="Amiri"/>
          <w:color w:val="111111"/>
          <w:sz w:val="28"/>
          <w:sz w:val="28"/>
          <w:szCs w:val="28"/>
          <w:rtl w:val="true"/>
          <w:lang w:bidi="ar-SA"/>
        </w:rPr>
        <w:t xml:space="preserve">  فَإِذا هُوَ زاهِقٌ وَ لَکمُ الْوَيْلُ مِمَّا تَصِفُون‌</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 رَجُلٌ لَمْ يَحْضُرِ الْمَجْلِسَ</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این روایت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صحّت نگاهی که عامّه به مقوله غناء داشتند، سوال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می‌برند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یک شعری به صورت غناء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نقل را تکذیب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آیاتی از سوره انبیاء اشاره می‌فرمایند که جملگی در نکوهش مشغولیت به لهو و لعب و همچنین در مذمّت و لعن کسانی است که نادانسته نسبتی به شخصی مثل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اینجاست که آیا این روایت دلالت بر حرمت غناء دارد؟ یا غناء به شرطی که مصداق لهو و لعب باشد حرام است؟ یا اساسا این روایت دلالت بر خصوص حرمت ندارد بلکه بر مرجوحیت غناء دلالت دارد؛ که اعم از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گویی روایاتی مثل این روایت و روایت قبل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 ناظر به شایعاتی است که در باب غناء از طرف دستگاه جور منتشر 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شایعات غناء را در یک چهره مطلوب معرفی کرده و جواز آن را از لسان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شایعات تکذیب کرده و چهره‌ی باطل و لهو غناء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توصیف لزوما به معنی حرمت نیست بلکه ممکن است دلالت بر مرجوحیت آن داشته باشد؛ 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را مخلّ به صفات راجح مؤمن می‌دانستند و مناسب شیعه نمی‌دانستند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این روایت را ظاهر در حرمت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اگر حکم جواز بود نمی‌بایست قول مشهور و عامّه را تکذیب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تمسّک می‌کنند که دلالت بر حرمت 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ما در رابطه با این استظهار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قبل هم عرض کردیم؛ شاید تکذیب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شکل بیان و تغییر نگاه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مقوله غناء باشد نه در تفاوت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امام هم قائل به جواز باشد، به آن صورت نیست که غناء را حق و مناسب شأن مؤمن بداند و تکذیب معصوم در هر دو روایت ناظر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عُيُونِ الْأَخْبَارِ بِأَسَانِيدِهِ السَّابِقَةِ فِي إِسْبَاغِ الْوُضُوءِ</w:t>
      </w:r>
      <w:r>
        <w:rPr>
          <w:rStyle w:val="FootnoteAnchor"/>
          <w:rtl w:val="true"/>
        </w:rPr>
        <w:footnoteReference w:id="204"/>
      </w:r>
      <w:r>
        <w:rPr>
          <w:rFonts w:ascii="Amiri" w:hAnsi="Amiri" w:eastAsia="Amiri" w:cs="Amiri"/>
          <w:color w:val="111111"/>
          <w:sz w:val="28"/>
          <w:sz w:val="28"/>
          <w:szCs w:val="28"/>
          <w:rtl w:val="true"/>
          <w:lang w:bidi="ar-SA"/>
        </w:rPr>
        <w:t xml:space="preserve">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عَلَيْکمُ اسْتِخْفَافاً بِالدِّينِ وَ بَيْعَ الْحُکمِ</w:t>
      </w:r>
      <w:r>
        <w:rPr>
          <w:rStyle w:val="FootnoteAnchor"/>
          <w:rtl w:val="true"/>
        </w:rPr>
        <w:footnoteReference w:id="205"/>
      </w:r>
      <w:r>
        <w:rPr>
          <w:rFonts w:ascii="Amiri" w:hAnsi="Amiri" w:eastAsia="Amiri" w:cs="Amiri"/>
          <w:color w:val="111111"/>
          <w:sz w:val="28"/>
          <w:sz w:val="28"/>
          <w:szCs w:val="28"/>
          <w:rtl w:val="true"/>
          <w:lang w:bidi="ar-SA"/>
        </w:rPr>
        <w:t xml:space="preserve">  وَ قَطِيعَةَ الرَّحِمِ وَ أَنْ تَتَّخِذُوا الْقُرْآنَ مَزَامِير تُقَدِّمُونَ أَحَدَکمْ وَ لَيْسَ بِأَفْضَلِکمْ فِي الدِّينِ</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بحرانی در حدائق به این روایت استدلال نموده‌اند</w:t>
      </w:r>
      <w:r>
        <w:rPr>
          <w:rStyle w:val="FootnoteAnchor"/>
          <w:rtl w:val="true"/>
        </w:rPr>
        <w:footnoteReference w:id="207"/>
      </w:r>
      <w:r>
        <w:rPr>
          <w:rFonts w:ascii="IRNazanin" w:hAnsi="IRNazanin" w:eastAsia="IRNazanin"/>
          <w:color w:val="111111"/>
          <w:sz w:val="28"/>
          <w:sz w:val="28"/>
          <w:szCs w:val="28"/>
          <w:rtl w:val="true"/>
          <w:lang w:bidi="fa-IR"/>
        </w:rPr>
        <w:t xml:space="preserve"> ؛که به نظر ما از موضوع بحث،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روایت موضوع غناء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مواردی که آنها را حرام می‌شمارند، به خواندن قرآن با آلات غناء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الغاء خصوصیت در قرآن نمی‌توان از این روایت برای موضوع کلّی غناء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که روایت از حیث سندی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 روایت دیگری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أَحْمدَ الْبَيْهَقِيِّ</w:t>
      </w:r>
      <w:r>
        <w:rPr>
          <w:rStyle w:val="FootnoteAnchor"/>
          <w:rtl w:val="true"/>
        </w:rPr>
        <w:footnoteReference w:id="208"/>
      </w:r>
      <w:r>
        <w:rPr>
          <w:rFonts w:ascii="Amiri" w:hAnsi="Amiri" w:eastAsia="Amiri" w:cs="Amiri"/>
          <w:color w:val="111111"/>
          <w:sz w:val="28"/>
          <w:sz w:val="28"/>
          <w:szCs w:val="28"/>
          <w:rtl w:val="true"/>
          <w:lang w:bidi="ar-SA"/>
        </w:rPr>
        <w:t xml:space="preserve">  عَنْ مُحَمَّدِ بْنِ يَحْيَى الصَّوْلِيِّ</w:t>
      </w:r>
      <w:r>
        <w:rPr>
          <w:rStyle w:val="FootnoteAnchor"/>
          <w:rtl w:val="true"/>
        </w:rPr>
        <w:footnoteReference w:id="209"/>
      </w:r>
      <w:r>
        <w:rPr>
          <w:rFonts w:ascii="Amiri" w:hAnsi="Amiri" w:eastAsia="Amiri" w:cs="Amiri"/>
          <w:color w:val="111111"/>
          <w:sz w:val="28"/>
          <w:sz w:val="28"/>
          <w:szCs w:val="28"/>
          <w:rtl w:val="true"/>
          <w:lang w:bidi="ar-SA"/>
        </w:rPr>
        <w:t xml:space="preserve">  عَنْ</w:t>
      </w:r>
    </w:p>
    <w:p>
      <w:pPr>
        <w:pStyle w:val="BookText"/>
        <w:rPr/>
      </w:pPr>
      <w:r>
        <w:rPr>
          <w:rFonts w:ascii="Amiri" w:hAnsi="Amiri" w:eastAsia="Amiri" w:cs="Amiri"/>
          <w:color w:val="111111"/>
          <w:sz w:val="28"/>
          <w:sz w:val="28"/>
          <w:szCs w:val="28"/>
          <w:rtl w:val="true"/>
          <w:lang w:bidi="ar-SA"/>
        </w:rPr>
        <w:t>عَوْنِ بْنِ مُحَمَّدٍ الْکاتِبِ</w:t>
      </w:r>
      <w:r>
        <w:rPr>
          <w:rStyle w:val="FootnoteAnchor"/>
          <w:rtl w:val="true"/>
        </w:rPr>
        <w:footnoteReference w:id="210"/>
      </w:r>
      <w:r>
        <w:rPr>
          <w:rFonts w:ascii="Amiri" w:hAnsi="Amiri" w:eastAsia="Amiri" w:cs="Amiri"/>
          <w:color w:val="111111"/>
          <w:sz w:val="28"/>
          <w:sz w:val="28"/>
          <w:szCs w:val="28"/>
          <w:rtl w:val="true"/>
          <w:lang w:bidi="ar-SA"/>
        </w:rPr>
        <w:t xml:space="preserve">  عَنْ مُحَمَّدِ بْنِ أَبِي عَبَّادٍ</w:t>
      </w:r>
      <w:r>
        <w:rPr>
          <w:rStyle w:val="FootnoteAnchor"/>
          <w:rtl w:val="true"/>
        </w:rPr>
        <w:footnoteReference w:id="211"/>
      </w:r>
      <w:r>
        <w:rPr>
          <w:rFonts w:ascii="Amiri" w:hAnsi="Amiri" w:eastAsia="Amiri" w:cs="Amiri"/>
          <w:color w:val="111111"/>
          <w:sz w:val="28"/>
          <w:sz w:val="28"/>
          <w:szCs w:val="28"/>
          <w:rtl w:val="true"/>
          <w:lang w:bidi="ar-SA"/>
        </w:rPr>
        <w:t xml:space="preserve">  وَ کانَ مُسْتَهْتَراً</w:t>
      </w:r>
      <w:r>
        <w:rPr>
          <w:rStyle w:val="FootnoteAnchor"/>
          <w:rtl w:val="true"/>
        </w:rPr>
        <w:footnoteReference w:id="212"/>
      </w:r>
      <w:r>
        <w:rPr>
          <w:rStyle w:val="FootnoteAnchor"/>
          <w:rtl w:val="true"/>
        </w:rPr>
        <w:footnoteReference w:id="213"/>
      </w:r>
      <w:r>
        <w:rPr>
          <w:rFonts w:ascii="Amiri" w:hAnsi="Amiri" w:eastAsia="Amiri" w:cs="Amiri"/>
          <w:color w:val="111111"/>
          <w:sz w:val="28"/>
          <w:sz w:val="28"/>
          <w:szCs w:val="28"/>
          <w:rtl w:val="true"/>
          <w:lang w:bidi="ar-SA"/>
        </w:rPr>
        <w:t xml:space="preserve">  بِالسَّمَاعِ وَ یشرب</w:t>
      </w:r>
      <w:r>
        <w:rPr>
          <w:rStyle w:val="FootnoteAnchor"/>
          <w:rtl w:val="true"/>
        </w:rPr>
        <w:footnoteReference w:id="214"/>
      </w:r>
      <w:r>
        <w:rPr>
          <w:rFonts w:ascii="Amiri" w:hAnsi="Amiri" w:eastAsia="Amiri" w:cs="Amiri"/>
          <w:color w:val="111111"/>
          <w:sz w:val="28"/>
          <w:sz w:val="28"/>
          <w:szCs w:val="28"/>
          <w:rtl w:val="true"/>
          <w:lang w:bidi="ar-SA"/>
        </w:rPr>
        <w:t xml:space="preserve">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الْحِجَازِ فِيهِ رَأْيٌ</w:t>
      </w:r>
      <w:r>
        <w:rPr>
          <w:rStyle w:val="FootnoteAnchor"/>
          <w:rtl w:val="true"/>
        </w:rPr>
        <w:footnoteReference w:id="215"/>
      </w:r>
      <w:r>
        <w:rPr>
          <w:rFonts w:ascii="Amiri" w:hAnsi="Amiri" w:eastAsia="Amiri" w:cs="Amiri"/>
          <w:color w:val="111111"/>
          <w:sz w:val="28"/>
          <w:sz w:val="28"/>
          <w:szCs w:val="28"/>
          <w:rtl w:val="true"/>
          <w:lang w:bidi="ar-SA"/>
        </w:rPr>
        <w:t xml:space="preserve">  وَ هُوَ فِي حَيِّزِ الْبَاطِلِ وَ اللَّهْوِ أَمَا سَمِعْتَ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علاوه بر ضعف سند، دلالتی بر حرمت غناء ندارد و نهایتا در فرض آمیختگی غناء به محتوای باطل، دلالت بر مرجوحیت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دست روایات می‌توان فهیمد که در همان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غناء پرطرفدار و رائج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آنچنان بیان تند و آمیخته با عتابی در قبال این موضوع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وضوح تسامح و نرمی در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اهل حجاز در این زمینه رأی و نظری دارند و غناء را جایز می دانند، ولی به هر حال غناء جزء لغو است و نشانگر این است که یا تقیه در کار بوده و یا اینکه حرمت ذاتی برای غناء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عوارضی که وجود داشته چون معمولا غناء مقرون به کارهای خلاف شرع بوده، مبارزه با غناء بخاطر آن مقرونات بوده است</w:t>
      </w:r>
      <w:r>
        <w:rPr>
          <w:rFonts w:eastAsia="IRNazanin" w:cs="IRNazanin"/>
          <w:color w:val="111111"/>
          <w:sz w:val="28"/>
          <w:szCs w:val="28"/>
          <w:rtl w:val="true"/>
          <w:lang w:bidi="fa-IR"/>
        </w:rPr>
        <w:t>.</w:t>
      </w:r>
      <w:bookmarkStart w:id="55" w:name="pg4642_53957"/>
    </w:p>
    <w:p>
      <w:pPr>
        <w:pStyle w:val="BookText"/>
        <w:rPr/>
      </w:pPr>
      <w:bookmarkEnd w:id="55"/>
      <w:r>
        <w:rPr>
          <w:rFonts w:ascii="Amiri" w:hAnsi="Amiri" w:eastAsia="Amiri" w:cs="Amiri"/>
          <w:color w:val="111111"/>
          <w:sz w:val="28"/>
          <w:sz w:val="28"/>
          <w:szCs w:val="28"/>
          <w:rtl w:val="true"/>
          <w:lang w:bidi="ar-SA"/>
        </w:rPr>
        <w:t>روایت بعد روایتی است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الْأَصْوَاتِ الْغِنَاءُ</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روایت هم در عین حال که سندی ضعیف دارد،دلالت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غناء را در زمره آواهای شر شمردن، نشانگر حرمت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امام صادق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 عَنْ أَبِيهِ</w:t>
      </w:r>
      <w:r>
        <w:rPr>
          <w:rStyle w:val="FootnoteAnchor"/>
          <w:rtl w:val="true"/>
        </w:rPr>
        <w:footnoteReference w:id="219"/>
      </w:r>
      <w:r>
        <w:rPr>
          <w:rFonts w:ascii="Amiri" w:hAnsi="Amiri" w:eastAsia="Amiri" w:cs="Amiri"/>
          <w:color w:val="111111"/>
          <w:sz w:val="28"/>
          <w:sz w:val="28"/>
          <w:szCs w:val="28"/>
          <w:rtl w:val="true"/>
          <w:lang w:bidi="ar-SA"/>
        </w:rPr>
        <w:t xml:space="preserve"> عَنْ سَعْدٍ</w:t>
      </w:r>
      <w:r>
        <w:rPr>
          <w:rStyle w:val="FootnoteAnchor"/>
          <w:rtl w:val="true"/>
        </w:rPr>
        <w:footnoteReference w:id="220"/>
      </w:r>
      <w:r>
        <w:rPr>
          <w:rFonts w:ascii="Amiri" w:hAnsi="Amiri" w:eastAsia="Amiri" w:cs="Amiri"/>
          <w:color w:val="111111"/>
          <w:sz w:val="28"/>
          <w:sz w:val="28"/>
          <w:szCs w:val="28"/>
          <w:rtl w:val="true"/>
          <w:lang w:bidi="ar-SA"/>
        </w:rPr>
        <w:t xml:space="preserve"> عَنْ يَعْقُوبَ بْنِ يَزِيدَ</w:t>
      </w:r>
      <w:r>
        <w:rPr>
          <w:rStyle w:val="FootnoteAnchor"/>
          <w:rtl w:val="true"/>
        </w:rPr>
        <w:footnoteReference w:id="221"/>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222"/>
      </w:r>
      <w:r>
        <w:rPr>
          <w:rFonts w:ascii="Amiri" w:hAnsi="Amiri" w:eastAsia="Amiri" w:cs="Amiri"/>
          <w:color w:val="111111"/>
          <w:sz w:val="28"/>
          <w:sz w:val="28"/>
          <w:szCs w:val="28"/>
          <w:rtl w:val="true"/>
          <w:lang w:bidi="ar-SA"/>
        </w:rPr>
        <w:t xml:space="preserve"> عَنْ مِهْرَانَ بْنِ مُحَمَّدٍ</w:t>
      </w:r>
      <w:r>
        <w:rPr>
          <w:rStyle w:val="FootnoteAnchor"/>
          <w:rtl w:val="true"/>
        </w:rPr>
        <w:footnoteReference w:id="223"/>
      </w:r>
      <w:r>
        <w:rPr>
          <w:rFonts w:ascii="Amiri" w:hAnsi="Amiri" w:eastAsia="Amiri" w:cs="Amiri"/>
          <w:color w:val="111111"/>
          <w:sz w:val="28"/>
          <w:sz w:val="28"/>
          <w:szCs w:val="28"/>
          <w:rtl w:val="true"/>
          <w:lang w:bidi="ar-SA"/>
        </w:rPr>
        <w:t xml:space="preserve"> عَنِ الْحَسَنِ بْنِ هَارُونَ</w:t>
      </w:r>
      <w:r>
        <w:rPr>
          <w:rStyle w:val="FootnoteAnchor"/>
          <w:rtl w:val="true"/>
        </w:rPr>
        <w:footnoteReference w:id="224"/>
      </w:r>
      <w:r>
        <w:rPr>
          <w:rFonts w:ascii="Amiri" w:hAnsi="Amiri" w:eastAsia="Amiri" w:cs="Amiri"/>
          <w:color w:val="111111"/>
          <w:sz w:val="28"/>
          <w:sz w:val="28"/>
          <w:szCs w:val="28"/>
          <w:rtl w:val="true"/>
          <w:lang w:bidi="ar-SA"/>
        </w:rPr>
        <w:t xml:space="preserve">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برخی از فقهاء به این روایت استدلال کرده‌اند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ولی به نظر ما، این روایت هم سند ضعیفی دارد و هم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نوع تعابیر برای بیان کراهت هم به کار می‌رود</w:t>
      </w:r>
      <w:r>
        <w:rPr>
          <w:rFonts w:eastAsia="IRNazanin" w:cs="IRNazanin"/>
          <w:color w:val="111111"/>
          <w:sz w:val="28"/>
          <w:szCs w:val="28"/>
          <w:rtl w:val="true"/>
          <w:lang w:bidi="fa-IR"/>
        </w:rPr>
        <w:t>.</w:t>
      </w:r>
    </w:p>
    <w:p>
      <w:pPr>
        <w:pStyle w:val="Heading2"/>
        <w:numPr>
          <w:ilvl w:val="1"/>
          <w:numId w:val="1"/>
        </w:numPr>
        <w:rPr/>
      </w:pPr>
      <w:bookmarkStart w:id="56" w:name="__RefHeading___Toc296140_2035185390"/>
      <w:bookmarkStart w:id="57" w:name="_Toc19"/>
      <w:bookmarkEnd w:id="56"/>
      <w:r>
        <w:rPr>
          <w:rtl w:val="true"/>
        </w:rPr>
        <w:t>بررسي ادلّه حرمت غناء</w:t>
      </w:r>
      <w:r>
        <w:rPr>
          <w:rtl w:val="true"/>
        </w:rPr>
        <w:t>/</w:t>
      </w:r>
      <w:r>
        <w:rPr>
          <w:rtl w:val="true"/>
        </w:rPr>
        <w:t>ادله غناء</w:t>
      </w:r>
      <w:r>
        <w:rPr>
          <w:rtl w:val="true"/>
        </w:rPr>
        <w:t>/</w:t>
      </w:r>
      <w:r>
        <w:rPr>
          <w:rtl w:val="true"/>
        </w:rPr>
        <w:t>مبحث غناء</w:t>
      </w:r>
      <w:r>
        <w:rPr>
          <w:rtl w:val="true"/>
        </w:rPr>
        <w:t>/</w:t>
      </w:r>
      <w:r>
        <w:rPr>
          <w:rtl w:val="true"/>
        </w:rPr>
        <w:t xml:space="preserve">مكاسب محرّمه؛ </w:t>
      </w:r>
      <w:r>
        <w:rPr/>
        <w:t>96/09/07</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روایاتی بود که بر حرمت غناء دلالت داشتند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روایتی را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بررسی خواهیم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فِي الْمَجَالِسِ وَ الْأَخْبَار عَنْ أَحْمَدَ بْنِ مُحَمَّدِ بْنِ الصَّلْتِ</w:t>
      </w:r>
      <w:r>
        <w:rPr>
          <w:rStyle w:val="FootnoteAnchor"/>
          <w:rtl w:val="true"/>
        </w:rPr>
        <w:footnoteReference w:id="227"/>
      </w:r>
      <w:r>
        <w:rPr>
          <w:rFonts w:ascii="Amiri" w:hAnsi="Amiri" w:eastAsia="Amiri" w:cs="Amiri"/>
          <w:color w:val="111111"/>
          <w:sz w:val="28"/>
          <w:sz w:val="28"/>
          <w:szCs w:val="28"/>
          <w:rtl w:val="true"/>
          <w:lang w:bidi="ar-SA"/>
        </w:rPr>
        <w:t xml:space="preserve">  عَنْ أَحْمَدَ بْنِ مُحَمَّدِ بْنِ سَعِيدِ بْنِ عُقْدَةَ</w:t>
      </w:r>
      <w:r>
        <w:rPr>
          <w:rStyle w:val="FootnoteAnchor"/>
          <w:rtl w:val="true"/>
        </w:rPr>
        <w:footnoteReference w:id="228"/>
      </w:r>
      <w:r>
        <w:rPr>
          <w:rFonts w:ascii="Amiri" w:hAnsi="Amiri" w:eastAsia="Amiri" w:cs="Amiri"/>
          <w:color w:val="111111"/>
          <w:sz w:val="28"/>
          <w:sz w:val="28"/>
          <w:szCs w:val="28"/>
          <w:rtl w:val="true"/>
          <w:lang w:bidi="ar-SA"/>
        </w:rPr>
        <w:t xml:space="preserve">  عَنْ جَعْفَرِ بْنِ عَبْدِ اللَّهِ الْعَلَوِيِّ</w:t>
      </w:r>
      <w:r>
        <w:rPr>
          <w:rStyle w:val="FootnoteAnchor"/>
          <w:rtl w:val="true"/>
        </w:rPr>
        <w:footnoteReference w:id="229"/>
      </w:r>
      <w:r>
        <w:rPr>
          <w:rFonts w:ascii="Amiri" w:hAnsi="Amiri" w:eastAsia="Amiri" w:cs="Amiri"/>
          <w:color w:val="111111"/>
          <w:sz w:val="28"/>
          <w:sz w:val="28"/>
          <w:szCs w:val="28"/>
          <w:rtl w:val="true"/>
          <w:lang w:bidi="ar-SA"/>
        </w:rPr>
        <w:t xml:space="preserve">  عَنِ الْقَاسِمِ بْنِ جَعْفَرِ بْنِ عَبْدِ اللَّهِ</w:t>
      </w:r>
      <w:r>
        <w:rPr>
          <w:rStyle w:val="FootnoteAnchor"/>
          <w:rtl w:val="true"/>
        </w:rPr>
        <w:footnoteReference w:id="230"/>
      </w:r>
      <w:r>
        <w:rPr>
          <w:rFonts w:ascii="Amiri" w:hAnsi="Amiri" w:eastAsia="Amiri" w:cs="Amiri"/>
          <w:color w:val="111111"/>
          <w:sz w:val="28"/>
          <w:sz w:val="28"/>
          <w:szCs w:val="28"/>
          <w:rtl w:val="true"/>
          <w:lang w:bidi="ar-SA"/>
        </w:rPr>
        <w:t xml:space="preserve">  عَنْ عَبْدِ اللَّهِ بْنِ مُحَمَّدِ بْنِ عَلِيٍّ الْعَلَوِيِّ</w:t>
      </w:r>
      <w:r>
        <w:rPr>
          <w:rStyle w:val="FootnoteAnchor"/>
          <w:rtl w:val="true"/>
        </w:rPr>
        <w:footnoteReference w:id="231"/>
      </w:r>
      <w:r>
        <w:rPr>
          <w:rFonts w:ascii="Amiri" w:hAnsi="Amiri" w:eastAsia="Amiri" w:cs="Amiri"/>
          <w:color w:val="111111"/>
          <w:sz w:val="28"/>
          <w:sz w:val="28"/>
          <w:szCs w:val="28"/>
          <w:rtl w:val="true"/>
          <w:lang w:bidi="ar-SA"/>
        </w:rPr>
        <w:t xml:space="preserve">  عَنْ أَبِيهِ</w:t>
      </w:r>
      <w:r>
        <w:rPr>
          <w:rStyle w:val="FootnoteAnchor"/>
          <w:rtl w:val="true"/>
        </w:rPr>
        <w:footnoteReference w:id="232"/>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بَکرٍ عَنْ مُحَمَّدِ بْنِ عَمْرِو بْنِ حَزْمٍ</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اجْتَنِبُوا الْغِنَاءَ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إجْتَنِبُوا الْغِنَاءَ إجْتَنِبُوا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بِيَ الْمَجْلِسُ وَ عَلِمْتُ أَنَّهُ يَعْنِينِي</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این روایت اولا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جعفر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علی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بوده و از حیث سندی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روایت دلالتی بر حرمت غناء به طور مطلق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در کنار امر به اجتناب از غناء، به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تقارن احتمالی را شکل می‌دهد مبنی بر این که مراد از غنای مبحوث در روایت غنای مشتمل بر محتوای باطل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بعد روایتی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Style w:val="FootnoteAnchor"/>
          <w:rtl w:val="true"/>
        </w:rPr>
        <w:footnoteReference w:id="235"/>
      </w:r>
      <w:r>
        <w:rPr>
          <w:rFonts w:ascii="Amiri" w:hAnsi="Amiri" w:eastAsia="Amiri" w:cs="Amiri"/>
          <w:color w:val="111111"/>
          <w:sz w:val="28"/>
          <w:sz w:val="28"/>
          <w:szCs w:val="28"/>
          <w:rtl w:val="true"/>
          <w:lang w:bidi="ar-SA"/>
        </w:rPr>
        <w:t xml:space="preserve">  عَنْ عَلِيِّ بْنِ مُحَمَّدٍ</w:t>
      </w:r>
      <w:r>
        <w:rPr>
          <w:rStyle w:val="FootnoteAnchor"/>
          <w:rtl w:val="true"/>
        </w:rPr>
        <w:footnoteReference w:id="236"/>
      </w:r>
      <w:r>
        <w:rPr>
          <w:rFonts w:ascii="Amiri" w:hAnsi="Amiri" w:eastAsia="Amiri" w:cs="Amiri"/>
          <w:color w:val="111111"/>
          <w:sz w:val="28"/>
          <w:sz w:val="28"/>
          <w:szCs w:val="28"/>
          <w:rtl w:val="true"/>
          <w:lang w:bidi="ar-SA"/>
        </w:rPr>
        <w:t xml:space="preserve">  عَنْ إِبْرَاهِيمَ الْأَحْمَرِ</w:t>
      </w:r>
      <w:r>
        <w:rPr>
          <w:rStyle w:val="FootnoteAnchor"/>
          <w:rtl w:val="true"/>
        </w:rPr>
        <w:footnoteReference w:id="237"/>
      </w:r>
      <w:r>
        <w:rPr>
          <w:rFonts w:ascii="Amiri" w:hAnsi="Amiri" w:eastAsia="Amiri" w:cs="Amiri"/>
          <w:color w:val="111111"/>
          <w:sz w:val="28"/>
          <w:sz w:val="28"/>
          <w:szCs w:val="28"/>
          <w:rtl w:val="true"/>
          <w:lang w:bidi="ar-SA"/>
        </w:rPr>
        <w:t xml:space="preserve">  عَنْ عَبْدِ اللَّهِ بْنِ حَمَّادٍ</w:t>
      </w:r>
      <w:r>
        <w:rPr>
          <w:rStyle w:val="FootnoteAnchor"/>
          <w:rtl w:val="true"/>
        </w:rPr>
        <w:footnoteReference w:id="238"/>
      </w:r>
      <w:r>
        <w:rPr>
          <w:rFonts w:ascii="Amiri" w:hAnsi="Amiri" w:eastAsia="Amiri" w:cs="Amiri"/>
          <w:color w:val="111111"/>
          <w:sz w:val="28"/>
          <w:sz w:val="28"/>
          <w:szCs w:val="28"/>
          <w:rtl w:val="true"/>
          <w:lang w:bidi="ar-SA"/>
        </w:rPr>
        <w:t xml:space="preserve">  عَنْ عَبْدِ اللَّهِ بْنِ سِنَانٍ</w:t>
      </w:r>
      <w:r>
        <w:rPr>
          <w:rStyle w:val="FootnoteAnchor"/>
          <w:rtl w:val="true"/>
        </w:rPr>
        <w:footnoteReference w:id="239"/>
      </w:r>
      <w:r>
        <w:rPr>
          <w:rFonts w:ascii="Amiri" w:hAnsi="Amiri" w:eastAsia="Amiri" w:cs="Amiri"/>
          <w:color w:val="111111"/>
          <w:sz w:val="28"/>
          <w:sz w:val="28"/>
          <w:szCs w:val="28"/>
          <w:rtl w:val="true"/>
          <w:lang w:bidi="ar-SA"/>
        </w:rPr>
        <w:t xml:space="preserve">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إقْرَءُوا الْقُرْآنَ بِأَلْحَانِ الْعَرَبِ‌ وَ أَصْوَاتِهَا وَ إِيَّاکمْ وَ لُحُونَ أَهْلِ الْفِسْقِ وَ أَهْلِ الْکبَائِرِ فَإِنَّهُ سَيَجِي‌ءُ مِنْ بَعْدِي أَقْوَامٌ يُرَجِّعُونَ‌ الْقُرْآنَ تَرْجِيعَ الْغِنَاءِ وَ النَّوْحِ</w:t>
      </w:r>
      <w:r>
        <w:rPr>
          <w:rStyle w:val="FootnoteAnchor"/>
          <w:rtl w:val="true"/>
        </w:rPr>
        <w:footnoteReference w:id="240"/>
      </w:r>
      <w:r>
        <w:rPr>
          <w:rFonts w:ascii="Amiri" w:hAnsi="Amiri" w:eastAsia="Amiri" w:cs="Amiri"/>
          <w:color w:val="111111"/>
          <w:sz w:val="28"/>
          <w:sz w:val="28"/>
          <w:szCs w:val="28"/>
          <w:rtl w:val="true"/>
          <w:lang w:bidi="ar-SA"/>
        </w:rPr>
        <w:t xml:space="preserve">  وَ الرَّهْبَانِيَّةِ</w:t>
      </w:r>
      <w:r>
        <w:rPr>
          <w:rStyle w:val="FootnoteAnchor"/>
          <w:rtl w:val="true"/>
        </w:rPr>
        <w:footnoteReference w:id="241"/>
      </w:r>
      <w:r>
        <w:rPr>
          <w:rFonts w:ascii="Amiri" w:hAnsi="Amiri" w:eastAsia="Amiri" w:cs="Amiri"/>
          <w:color w:val="111111"/>
          <w:sz w:val="28"/>
          <w:sz w:val="28"/>
          <w:szCs w:val="28"/>
          <w:rtl w:val="true"/>
          <w:lang w:bidi="ar-SA"/>
        </w:rPr>
        <w:t xml:space="preserve">  لَا يَجُوزُ تَرَاقِيَهُم</w:t>
      </w:r>
      <w:r>
        <w:rPr>
          <w:rStyle w:val="FootnoteAnchor"/>
          <w:rtl w:val="true"/>
        </w:rPr>
        <w:footnoteReference w:id="242"/>
      </w:r>
      <w:r>
        <w:rPr>
          <w:rFonts w:ascii="Amiri" w:hAnsi="Amiri" w:eastAsia="Amiri" w:cs="Amiri"/>
          <w:color w:val="111111"/>
          <w:sz w:val="28"/>
          <w:sz w:val="28"/>
          <w:szCs w:val="28"/>
          <w:rtl w:val="true"/>
          <w:lang w:bidi="ar-SA"/>
        </w:rPr>
        <w:t xml:space="preserve"> ، قُلُوبُهُمْ مَقْلُوبَةٌ وَ قُلُوبُ مَنْ يُعْجِبُهُ شَأْنُهُمْ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این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قرآن به شیوه‌های غناگونه نهی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سبک به شیوه‌ی خواندن انجیل توسّط راهبان مسیحی که شبیه به متصوّفه است، باشد و چه به حالت حزن آلود زنان برای سوگواری و چه به آواهای اهل فسق و فجور خوانده شود؛ تعبیری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اشکال از خواندن قرآن دارند،اینگونه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تَرَاقِيَهُم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نوع از خواندن اجازه تدبّر در قرآن را به کسی نمی‌دهد و انسان را در پیچ و خم این کیفیت خواندن حبس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را از خواندن به آوای غنائی نهی می‌کنند،سایر محتواها که دون مرتبه قرآن قرار دارند، جای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اساس مدلول این روایت غناء خصوصیتی در صوت است که علوّ مضامین آن اثری در حکمش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حتی اگر قرآن را به این کیفیت بخوانید،حرام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قابلیت استدلال برای موضوع مورد بحث ما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قرآن مقیّد است،ولی با توجّه به استدلالی که ذکر شد،غیر قرآن را به طریق اولی می‌توان داخل در حکم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w:t>
      </w:r>
      <w:r>
        <w:rPr>
          <w:rStyle w:val="FootnoteAnchor"/>
          <w:rtl w:val="true"/>
        </w:rPr>
        <w:footnoteReference w:id="244"/>
      </w:r>
      <w:r>
        <w:rPr>
          <w:rFonts w:ascii="Amiri" w:hAnsi="Amiri" w:eastAsia="Amiri" w:cs="Amiri"/>
          <w:color w:val="111111"/>
          <w:sz w:val="28"/>
          <w:sz w:val="28"/>
          <w:szCs w:val="28"/>
          <w:rtl w:val="true"/>
          <w:lang w:bidi="ar-SA"/>
        </w:rPr>
        <w:t xml:space="preserve">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Style w:val="FootnoteAnchor"/>
          <w:rtl w:val="true"/>
        </w:rPr>
        <w:footnoteReference w:id="245"/>
      </w:r>
      <w:r>
        <w:rPr>
          <w:rFonts w:ascii="Amiri" w:hAnsi="Amiri" w:eastAsia="Amiri" w:cs="Amiri"/>
          <w:color w:val="111111"/>
          <w:sz w:val="28"/>
          <w:sz w:val="28"/>
          <w:szCs w:val="28"/>
          <w:rtl w:val="true"/>
          <w:lang w:bidi="ar-SA"/>
        </w:rPr>
        <w:t xml:space="preserve">  عَنْ سُلَيْمَانَ بْنِ مُسْلِمٍ الْخَشَّابِ</w:t>
      </w:r>
      <w:r>
        <w:rPr>
          <w:rStyle w:val="FootnoteAnchor"/>
          <w:rtl w:val="true"/>
        </w:rPr>
        <w:footnoteReference w:id="246"/>
      </w:r>
      <w:r>
        <w:rPr>
          <w:rFonts w:ascii="Amiri" w:hAnsi="Amiri" w:eastAsia="Amiri" w:cs="Amiri"/>
          <w:color w:val="111111"/>
          <w:sz w:val="28"/>
          <w:sz w:val="28"/>
          <w:szCs w:val="28"/>
          <w:rtl w:val="true"/>
          <w:lang w:bidi="ar-SA"/>
        </w:rPr>
        <w:t xml:space="preserve">  عَنْ عَبْدِ اللَّهِ بْنِ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جَرِيحٍ الْمَکيِّ </w:t>
      </w:r>
      <w:r>
        <w:rPr>
          <w:rStyle w:val="FootnoteAnchor"/>
          <w:rtl w:val="true"/>
        </w:rPr>
        <w:footnoteReference w:id="247"/>
      </w:r>
      <w:r>
        <w:rPr>
          <w:rFonts w:ascii="Amiri" w:hAnsi="Amiri" w:eastAsia="Amiri" w:cs="Amiri"/>
          <w:color w:val="111111"/>
          <w:sz w:val="28"/>
          <w:sz w:val="28"/>
          <w:szCs w:val="28"/>
          <w:rtl w:val="true"/>
          <w:lang w:bidi="ar-SA"/>
        </w:rPr>
        <w:t xml:space="preserve"> عَنْ عَطَاءِ بْنِ أَبِي رِيَاحٍ</w:t>
      </w:r>
      <w:r>
        <w:rPr>
          <w:rStyle w:val="FootnoteAnchor"/>
          <w:rtl w:val="true"/>
        </w:rPr>
        <w:footnoteReference w:id="248"/>
      </w:r>
      <w:r>
        <w:rPr>
          <w:rFonts w:ascii="Amiri" w:hAnsi="Amiri" w:eastAsia="Amiri" w:cs="Amiri"/>
          <w:color w:val="111111"/>
          <w:sz w:val="28"/>
          <w:sz w:val="28"/>
          <w:szCs w:val="28"/>
          <w:rtl w:val="true"/>
          <w:lang w:bidi="ar-SA"/>
        </w:rPr>
        <w:t xml:space="preserve">  عَنْ عَبْدِ اللَّهِ بْنِ عَبَّاسٍ</w:t>
      </w:r>
      <w:r>
        <w:rPr>
          <w:rStyle w:val="FootnoteAnchor"/>
          <w:rtl w:val="true"/>
        </w:rPr>
        <w:footnoteReference w:id="249"/>
      </w:r>
      <w:r>
        <w:rPr>
          <w:rFonts w:ascii="Amiri" w:hAnsi="Amiri" w:eastAsia="Amiri" w:cs="Amiri"/>
          <w:color w:val="111111"/>
          <w:sz w:val="28"/>
          <w:sz w:val="28"/>
          <w:szCs w:val="28"/>
          <w:rtl w:val="true"/>
          <w:lang w:bidi="ar-SA"/>
        </w:rPr>
        <w:t xml:space="preserve">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أَشْرَاطِ السَّاعَةِ إِضَاعَةَ الصَّلَوَاتِ وَ اتِّبَاعَ الشَّهَوَاتِ وَ الْمَيْلَ إِلَى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يَکونُ أَقْوَامٌ يَتَعَلَّمُونَ الْقُرْآنَ لِغَيْرِ اللَّهِ وَ يَتَّخِذُونَهُ 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يَتَغَنَّوْنَ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يُدْعَوْنَ فِي مَلَکوتِ السَّمَاوَاتِ الْأَرْجَاس الْأَنْجَاسَ</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روایت از حیث سندی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راویان مجهول در سند آن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سویی دیگر دلالتی بر موضوع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بحث بر سر غنائی خواندن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حکم قرآن و غنائی خواندن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کسانی سخن به میان می‌آورند،که در دوره‌ی افول اهتمام به قرآن و اوج گرفتن لذّات و شهوات قرآن را برای غیر خدا و به کیفیت غنائی آن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الْعَيَّاشِيُّ</w:t>
      </w:r>
      <w:r>
        <w:rPr>
          <w:rStyle w:val="FootnoteAnchor"/>
          <w:rtl w:val="true"/>
        </w:rPr>
        <w:footnoteReference w:id="251"/>
      </w:r>
      <w:r>
        <w:rPr>
          <w:rFonts w:ascii="Amiri" w:hAnsi="Amiri" w:eastAsia="Amiri" w:cs="Amiri"/>
          <w:color w:val="111111"/>
          <w:sz w:val="28"/>
          <w:sz w:val="28"/>
          <w:szCs w:val="28"/>
          <w:rtl w:val="true"/>
          <w:lang w:bidi="ar-SA"/>
        </w:rPr>
        <w:t xml:space="preserve">  فِي تَفْسِيرِهِ عَنْ جَابِرِ بْنِ عَبْدِ اللَّهِ</w:t>
      </w:r>
      <w:r>
        <w:rPr>
          <w:rStyle w:val="FootnoteAnchor"/>
          <w:rtl w:val="true"/>
        </w:rPr>
        <w:footnoteReference w:id="252"/>
      </w:r>
      <w:r>
        <w:rPr>
          <w:rFonts w:ascii="Amiri" w:hAnsi="Amiri" w:eastAsia="Amiri" w:cs="Amiri"/>
          <w:color w:val="111111"/>
          <w:sz w:val="28"/>
          <w:sz w:val="28"/>
          <w:szCs w:val="28"/>
          <w:rtl w:val="true"/>
          <w:lang w:bidi="ar-SA"/>
        </w:rPr>
        <w:t xml:space="preserve">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إِبْلِيسُ أَوَّلَ مَنْ تَغَنَّى‌ وَ أَوَّلَ مَنْ نَاحَ لَمَّا أَکلَ آدَمُ مِنَ الشَّجَرَةِ تَغَنَّى فَلَمَّا هَبَطَتْ حَوَّاءُ إِلَى الْأَرْضِ نَاحَ لِذِکرِهِ مَا فِي الْجَنَّةِ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این روایت اول غناءخوان را شیطان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دلالتی بر موضوع بحث ما یعنی حرمت غناء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مرجوحیت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که سند ضعیفی هم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را ملاحظه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الدَّيْلَمِيُّ</w:t>
      </w:r>
      <w:r>
        <w:rPr>
          <w:rStyle w:val="FootnoteAnchor"/>
          <w:rtl w:val="true"/>
        </w:rPr>
        <w:footnoteReference w:id="254"/>
      </w:r>
      <w:r>
        <w:rPr>
          <w:rFonts w:ascii="Amiri" w:hAnsi="Amiri" w:eastAsia="Amiri" w:cs="Amiri"/>
          <w:color w:val="111111"/>
          <w:sz w:val="28"/>
          <w:sz w:val="28"/>
          <w:szCs w:val="28"/>
          <w:rtl w:val="true"/>
          <w:lang w:bidi="ar-SA"/>
        </w:rPr>
        <w:t xml:space="preserve">  فِي 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أُمَّتِي الْخَسْفُ</w:t>
      </w:r>
      <w:r>
        <w:rPr>
          <w:rStyle w:val="FootnoteAnchor"/>
          <w:rtl w:val="true"/>
        </w:rPr>
        <w:footnoteReference w:id="255"/>
      </w:r>
      <w:r>
        <w:rPr>
          <w:rFonts w:ascii="Amiri" w:hAnsi="Amiri" w:eastAsia="Amiri" w:cs="Amiri"/>
          <w:color w:val="111111"/>
          <w:sz w:val="28"/>
          <w:sz w:val="28"/>
          <w:szCs w:val="28"/>
          <w:rtl w:val="true"/>
          <w:lang w:bidi="ar-SA"/>
        </w:rPr>
        <w:t xml:space="preserve">  وَ الْقَذْفُ</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الْمَعَازِفُ</w:t>
      </w:r>
      <w:r>
        <w:rPr>
          <w:rStyle w:val="FootnoteAnchor"/>
          <w:rtl w:val="true"/>
        </w:rPr>
        <w:footnoteReference w:id="257"/>
      </w:r>
      <w:r>
        <w:rPr>
          <w:rFonts w:ascii="Amiri" w:hAnsi="Amiri" w:eastAsia="Amiri" w:cs="Amiri"/>
          <w:color w:val="111111"/>
          <w:sz w:val="28"/>
          <w:sz w:val="28"/>
          <w:szCs w:val="28"/>
          <w:rtl w:val="true"/>
          <w:lang w:bidi="ar-SA"/>
        </w:rPr>
        <w:t xml:space="preserve">  وَ الْقَيْنَاتُ</w:t>
      </w:r>
      <w:r>
        <w:rPr>
          <w:rStyle w:val="FootnoteAnchor"/>
          <w:rtl w:val="true"/>
        </w:rPr>
        <w:footnoteReference w:id="2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این روایت حضرت ظهور بلایای آسمانی و زمینی را در زمانی هشدارد دادند،که کاسبی نوازدندگان و خوانندگان رواج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روایت اخصّ از مدعای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بحث بر سر موسیقی و مغنّیات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از غناء به وجه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با همین بیان از رسول خدا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الدَّيْلَمِيُّ</w:t>
      </w:r>
      <w:r>
        <w:rPr>
          <w:rStyle w:val="FootnoteAnchor"/>
          <w:rtl w:val="true"/>
        </w:rPr>
        <w:footnoteReference w:id="260"/>
      </w:r>
      <w:r>
        <w:rPr>
          <w:rFonts w:ascii="Amiri" w:hAnsi="Amiri" w:eastAsia="Amiri" w:cs="Amiri"/>
          <w:color w:val="111111"/>
          <w:sz w:val="28"/>
          <w:sz w:val="28"/>
          <w:szCs w:val="28"/>
          <w:rtl w:val="true"/>
          <w:lang w:bidi="ar-SA"/>
        </w:rPr>
        <w:t xml:space="preserve">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عَمِلَتْ أُمَّتِي خَمْسَ عَشْرَةَ خَصْلَةً حَلَّ بِهِمُ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الْقَيْنَاتِ وَ الْمَعَازِفَ</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روایت هم مثل روایت قبل هم از حیث سند ضعیف است و هم از نظر دلالت اخص از مدعای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w:t>
      </w:r>
      <w:r>
        <w:rPr>
          <w:rStyle w:val="FootnoteAnchor"/>
          <w:rtl w:val="true"/>
        </w:rPr>
        <w:footnoteReference w:id="262"/>
      </w:r>
      <w:r>
        <w:rPr>
          <w:rFonts w:ascii="Amiri" w:hAnsi="Amiri" w:eastAsia="Amiri" w:cs="Amiri"/>
          <w:color w:val="111111"/>
          <w:sz w:val="28"/>
          <w:sz w:val="28"/>
          <w:szCs w:val="28"/>
          <w:rtl w:val="true"/>
          <w:lang w:bidi="ar-SA"/>
        </w:rPr>
        <w:t xml:space="preserve">  عَنْ أَحْمَدَ بْنِ مُحَمَّدٍ</w:t>
      </w:r>
      <w:r>
        <w:rPr>
          <w:rStyle w:val="FootnoteAnchor"/>
          <w:rtl w:val="true"/>
        </w:rPr>
        <w:footnoteReference w:id="263"/>
      </w:r>
      <w:r>
        <w:rPr>
          <w:rFonts w:ascii="Amiri" w:hAnsi="Amiri" w:eastAsia="Amiri" w:cs="Amiri"/>
          <w:color w:val="111111"/>
          <w:sz w:val="28"/>
          <w:sz w:val="28"/>
          <w:szCs w:val="28"/>
          <w:rtl w:val="true"/>
          <w:lang w:bidi="ar-SA"/>
        </w:rPr>
        <w:t xml:space="preserve">  عَنْ مُحَمَّدِ بْنِ سِنَانٍ</w:t>
      </w:r>
      <w:r>
        <w:rPr>
          <w:rStyle w:val="FootnoteAnchor"/>
          <w:rtl w:val="true"/>
        </w:rPr>
        <w:footnoteReference w:id="264"/>
      </w:r>
      <w:r>
        <w:rPr>
          <w:rFonts w:ascii="Amiri" w:hAnsi="Amiri" w:eastAsia="Amiri" w:cs="Amiri"/>
          <w:color w:val="111111"/>
          <w:sz w:val="28"/>
          <w:sz w:val="28"/>
          <w:szCs w:val="28"/>
          <w:rtl w:val="true"/>
          <w:lang w:bidi="ar-SA"/>
        </w:rPr>
        <w:t xml:space="preserve">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قَدْ عَرَفَ الْمَوْضِعَ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إِنِّي کنْتُ مَرَرْتُ بِفُلَانٍ فَدَخَلْتُ إِلَى دَارِهِ وَ نَظَرْتُ إِلَى جَوَارِيهِ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مَجْلِسٌ لَا يَنْظُرُ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أَمِنْتَ اللَّهَ عَلَى أَهْلِک وَ مَالِک‌</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جهت سند صحیحه است،عاصم بن حمید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می‌کند،که حضرت او را از نگاه کردن به خانه‌ای که در آن مغنّیات غناء می‌خواندند نهی کرده و از عواقب و روی‌گردانی خداوند از آن خانه پروا می‌دهد</w:t>
      </w:r>
      <w:r>
        <w:rPr>
          <w:rFonts w:eastAsia="IRNazanin" w:cs="IRNazanin"/>
          <w:color w:val="111111"/>
          <w:sz w:val="28"/>
          <w:szCs w:val="28"/>
          <w:rtl w:val="true"/>
          <w:lang w:bidi="fa-IR"/>
        </w:rPr>
        <w:t>.</w:t>
      </w:r>
      <w:bookmarkStart w:id="58" w:name="pg4642_53962"/>
    </w:p>
    <w:p>
      <w:pPr>
        <w:pStyle w:val="BookText"/>
        <w:rPr/>
      </w:pPr>
      <w:bookmarkEnd w:id="58"/>
      <w:r>
        <w:rPr>
          <w:rFonts w:ascii="IRNazanin" w:hAnsi="IRNazanin" w:eastAsia="IRNazanin"/>
          <w:color w:val="111111"/>
          <w:sz w:val="28"/>
          <w:sz w:val="28"/>
          <w:szCs w:val="28"/>
          <w:rtl w:val="true"/>
          <w:lang w:bidi="fa-IR"/>
        </w:rPr>
        <w:t>نکته‌ای که در این روایت جای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راحتی با همین متن توثیق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با صداقت تمام از گناه خودش و توبیخ معصوم برای ما گزارش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اگرچه او عدالت ندارد،ولی روشن است که صداقت و وثاقت داشته و قابل اعتماد است</w:t>
      </w:r>
      <w:r>
        <w:rPr>
          <w:rFonts w:eastAsia="IRNazanin" w:cs="IRNazanin"/>
          <w:color w:val="111111"/>
          <w:sz w:val="28"/>
          <w:szCs w:val="28"/>
          <w:rtl w:val="true"/>
          <w:lang w:bidi="fa-IR"/>
        </w:rPr>
        <w:t>.</w:t>
      </w:r>
    </w:p>
    <w:p>
      <w:pPr>
        <w:pStyle w:val="Heading2"/>
        <w:numPr>
          <w:ilvl w:val="1"/>
          <w:numId w:val="1"/>
        </w:numPr>
        <w:rPr/>
      </w:pPr>
      <w:bookmarkStart w:id="59" w:name="__RefHeading___Toc296142_2035185390"/>
      <w:bookmarkStart w:id="60" w:name="_Toc20"/>
      <w:bookmarkEnd w:id="59"/>
      <w:r>
        <w:rPr>
          <w:rtl w:val="true"/>
        </w:rPr>
        <w:t>بررسي ادلّه حرمت غناء</w:t>
      </w:r>
      <w:r>
        <w:rPr>
          <w:rtl w:val="true"/>
        </w:rPr>
        <w:t>/</w:t>
      </w:r>
      <w:r>
        <w:rPr>
          <w:rtl w:val="true"/>
        </w:rPr>
        <w:t>مبحث غناء</w:t>
      </w:r>
      <w:r>
        <w:rPr>
          <w:rtl w:val="true"/>
        </w:rPr>
        <w:t xml:space="preserve">/ </w:t>
      </w:r>
      <w:r>
        <w:rPr>
          <w:rtl w:val="true"/>
        </w:rPr>
        <w:t xml:space="preserve">مكاسب محرّمه؛ </w:t>
      </w:r>
      <w:r>
        <w:rPr/>
        <w:t>96/09/11</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بحال دو طائفه از روایات باب غناء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بررسی طائفه سوّم از روایات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 روایاتی را شامل می‌شود،که دلالت بر حرمت استماع غناء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حرمت به دلالت التزامی کشف می‌کنیم وقتی شنیدن غناء حرام باشد،باید خواندن غناء هم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گاهی حرمت غناء را با استفاده از مدلول مطابقی یک بیان استنباط می‌کنیم؛مثل همین روایاتی که غناء را تحریم می‌نمودند و ما دو طائفه از آنها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دلالت التزامی به حرمت غناء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روایات طائفه سوّم که در حقیقت از حرمت شنیدن غناء به حرمت خواندن آن منتقل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روایات باید مورد توجّه قرار گیرد،یک نکته این است که آیا خود غناء بما هو غناء حرام است یا شنیدن غنای مغنّیه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که باید به آن توجّه داشت این است که آیا خود غناء بما هو غناء حرام است و یا اگر همراه با موسیقی 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Style w:val="FootnoteAnchor"/>
          <w:rtl w:val="true"/>
        </w:rPr>
        <w:footnoteReference w:id="266"/>
      </w:r>
      <w:r>
        <w:rPr>
          <w:rFonts w:ascii="Amiri" w:hAnsi="Amiri" w:eastAsia="Amiri" w:cs="Amiri"/>
          <w:color w:val="111111"/>
          <w:sz w:val="28"/>
          <w:sz w:val="28"/>
          <w:szCs w:val="28"/>
          <w:rtl w:val="true"/>
          <w:lang w:bidi="ar-SA"/>
        </w:rPr>
        <w:t xml:space="preserve">  عَنْ عَلِيِّ بْنِ إِبْرَاهِيمَ</w:t>
      </w:r>
      <w:r>
        <w:rPr>
          <w:rStyle w:val="FootnoteAnchor"/>
          <w:rtl w:val="true"/>
        </w:rPr>
        <w:footnoteReference w:id="267"/>
      </w:r>
      <w:r>
        <w:rPr>
          <w:rFonts w:ascii="Amiri" w:hAnsi="Amiri" w:eastAsia="Amiri" w:cs="Amiri"/>
          <w:color w:val="111111"/>
          <w:sz w:val="28"/>
          <w:sz w:val="28"/>
          <w:szCs w:val="28"/>
          <w:rtl w:val="true"/>
          <w:lang w:bidi="ar-SA"/>
        </w:rPr>
        <w:t xml:space="preserve">  عَنْ هَارُونَ بْنِ مُسْلِمٍ</w:t>
      </w:r>
      <w:r>
        <w:rPr>
          <w:rStyle w:val="FootnoteAnchor"/>
          <w:rtl w:val="true"/>
        </w:rPr>
        <w:footnoteReference w:id="268"/>
      </w:r>
      <w:r>
        <w:rPr>
          <w:rFonts w:ascii="Amiri" w:hAnsi="Amiri" w:eastAsia="Amiri" w:cs="Amiri"/>
          <w:color w:val="111111"/>
          <w:sz w:val="28"/>
          <w:sz w:val="28"/>
          <w:szCs w:val="28"/>
          <w:rtl w:val="true"/>
          <w:lang w:bidi="ar-SA"/>
        </w:rPr>
        <w:t xml:space="preserve">  عَنْ مَسْعَدَةَ بْنِ زِيَادٍ</w:t>
      </w:r>
      <w:r>
        <w:rPr>
          <w:rStyle w:val="FootnoteAnchor"/>
          <w:rtl w:val="true"/>
        </w:rPr>
        <w:footnoteReference w:id="269"/>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إِنِّي أَدْخُلُ کنِيفاً</w:t>
      </w:r>
      <w:r>
        <w:rPr>
          <w:rStyle w:val="FootnoteAnchor"/>
          <w:rtl w:val="true"/>
        </w:rPr>
        <w:footnoteReference w:id="270"/>
      </w:r>
      <w:r>
        <w:rPr>
          <w:rFonts w:ascii="Amiri" w:hAnsi="Amiri" w:eastAsia="Amiri" w:cs="Amiri"/>
          <w:color w:val="111111"/>
          <w:sz w:val="28"/>
          <w:sz w:val="28"/>
          <w:szCs w:val="28"/>
          <w:rtl w:val="true"/>
          <w:lang w:bidi="ar-SA"/>
        </w:rPr>
        <w:t xml:space="preserve">  وَ لِي جِيرَانٌ وَ عِنْدَهُمْ جَوَارٍ يَتَغَنَّيْنَ وَ يَضْرِبْنَ بِالْعُودِ</w:t>
      </w:r>
      <w:r>
        <w:rPr>
          <w:rStyle w:val="FootnoteAnchor"/>
          <w:rtl w:val="true"/>
        </w:rPr>
        <w:footnoteReference w:id="271"/>
      </w:r>
      <w:r>
        <w:rPr>
          <w:rFonts w:ascii="Amiri" w:hAnsi="Amiri" w:eastAsia="Amiri" w:cs="Amiri"/>
          <w:color w:val="111111"/>
          <w:sz w:val="28"/>
          <w:sz w:val="28"/>
          <w:szCs w:val="28"/>
          <w:rtl w:val="true"/>
          <w:lang w:bidi="ar-SA"/>
        </w:rPr>
        <w:t xml:space="preserve">  فَرُبَّمَا أَطَلْتُ الْجُلُوسَ اسْتِمَاعاً مِنِّي لَهُنَّ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آتِيهِنَّ إِنَّمَا هُوَ سَمَاعٌ أَسْمَعُهُ بِأُذُنِي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w:t>
      </w:r>
      <w:r>
        <w:rPr>
          <w:rStyle w:val="FootnoteAnchor"/>
          <w:rtl w:val="true"/>
        </w:rPr>
        <w:footnoteReference w:id="272"/>
      </w:r>
      <w:r>
        <w:rPr>
          <w:rFonts w:ascii="Amiri" w:hAnsi="Amiri" w:eastAsia="Amiri" w:cs="Amiri"/>
          <w:color w:val="111111"/>
          <w:sz w:val="28"/>
          <w:sz w:val="28"/>
          <w:szCs w:val="28"/>
          <w:rtl w:val="true"/>
          <w:lang w:bidi="ar-SA"/>
        </w:rPr>
        <w:t xml:space="preserve">  أَ مَا سَمِعْتَ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لَکأَنِّي لَمْ أَسْمَعْ بِهَذِهِ الْآيَةِ مِنْ کتَابِ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وَ لَا مِنْ عَجَمِيٍّ لَا جَرَمَ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إِنْ شَاءَ اللَّهُ وَ أَنِّي أَسْتَغْفِرُ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فَاغْتَسِلْ وَ صَلِّ مَا بَدَا لَک فَإِنَّک کنْتَ مُقِيماً عَلَى أَمْرٍ عَظِيمٍ مَا کانَ أَسْوَأَ حَالَک لَوْ مِتَّ عَلَى ذَلِک احْمَدِ اللَّهَ وَ سَلْهُ التَّوْبَةَ مِنْ کلِّ مَا يَکرَهُ فَإِنَّهُ لَا يَکرَهُ إِلَّا کلَّ قَبِيحٍ وَ الْقَبِيحَ دَعْهُ لِأَهْلِهِ فَإِنَّ لِکلٍّ أَهْلاً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این روایت راوی از امام در رابطه با غنائی می‌پرسد که او از کنیزان خواننده همسایه‌اش در مستراح خانه خودش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امام عذر می‌آورد که من به نزد آن جواری و خواننده‌ها نرفته و در مجلس آنها پای نگذاشتم،تنها کمی ماندن و نشستن در مستراح خانه ام را طولانی می‌کنم تا این صدا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باز او را از همین شنیدن هم بازداشته و برای او آیه سی و ششم سوره اسراء را تلاوت می‌کنند و مسئولیت او را در قبال گوش و شنیدنی‌هایش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سندی صحیح هم دارد،بر حرمت غناء در فرض تقارن با آلات موسیقی و خوانندگی جواری مغنّیات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حصّه از حرمت و دلالت روایت بر آن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این‌که بخواهیم مطلق غناء را با این روایت تحریم کنیم،دلیل اخصّ از مدّعی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روایت قیودی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خصوصیت در رابطه با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اینکه در ذیل روایت امام حکم را معلّق بر یک قضیه‌ی کلّی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التَّوْبَةَ مِنْ کلِّ مَا يَکرَهُ فَإِنَّهُ لَا يَکرَهُ إِلَّا کلَّ 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مکروه الهی در این ذیل کمی می‌تواند در بیان تمام روایت اثرگذار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در رابطه با موضوع که غنای آمیخته با آلات موسیقی و با خوانندگی کنیزان باشد،نمی‌توان تردیدی نسبت به دلالت روایت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هم به این روایت استناد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صاحب حدائق و مرحوم ملّا احمد نراقی در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دارید که مرحوم نراقی به حرمت غناء در فرض تقارن با محرّمات دیگر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ایشان به این روایت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هم مثل مرحوم فاضل در تفصیل الشریعه به همین روایت استناد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Style w:val="FootnoteAnchor"/>
          <w:rtl w:val="true"/>
        </w:rPr>
        <w:footnoteReference w:id="275"/>
      </w:r>
      <w:r>
        <w:rPr>
          <w:rFonts w:ascii="Amiri" w:hAnsi="Amiri" w:eastAsia="Amiri" w:cs="Amiri"/>
          <w:color w:val="111111"/>
          <w:sz w:val="28"/>
          <w:sz w:val="28"/>
          <w:szCs w:val="28"/>
          <w:rtl w:val="true"/>
          <w:lang w:bidi="ar-SA"/>
        </w:rPr>
        <w:t xml:space="preserve">  عَنْ عَلِيِّ بْنِ إِبْرَاهِيمَ</w:t>
      </w:r>
      <w:r>
        <w:rPr>
          <w:rStyle w:val="FootnoteAnchor"/>
          <w:rtl w:val="true"/>
        </w:rPr>
        <w:footnoteReference w:id="276"/>
      </w:r>
      <w:r>
        <w:rPr>
          <w:rFonts w:ascii="Amiri" w:hAnsi="Amiri" w:eastAsia="Amiri" w:cs="Amiri"/>
          <w:color w:val="111111"/>
          <w:sz w:val="28"/>
          <w:sz w:val="28"/>
          <w:szCs w:val="28"/>
          <w:rtl w:val="true"/>
          <w:lang w:bidi="ar-SA"/>
        </w:rPr>
        <w:t xml:space="preserve">  عَنْ أَبِيهِ</w:t>
      </w:r>
      <w:r>
        <w:rPr>
          <w:rStyle w:val="FootnoteAnchor"/>
          <w:rtl w:val="true"/>
        </w:rPr>
        <w:footnoteReference w:id="277"/>
      </w:r>
      <w:r>
        <w:rPr>
          <w:rFonts w:ascii="Amiri" w:hAnsi="Amiri" w:eastAsia="Amiri" w:cs="Amiri"/>
          <w:color w:val="111111"/>
          <w:sz w:val="28"/>
          <w:sz w:val="28"/>
          <w:szCs w:val="28"/>
          <w:rtl w:val="true"/>
          <w:lang w:bidi="ar-SA"/>
        </w:rPr>
        <w:t xml:space="preserve">  عَنِ ابْنِ مَحْبُوبٍ</w:t>
      </w:r>
      <w:r>
        <w:rPr>
          <w:rStyle w:val="FootnoteAnchor"/>
          <w:rtl w:val="true"/>
        </w:rPr>
        <w:footnoteReference w:id="278"/>
      </w:r>
      <w:r>
        <w:rPr>
          <w:rFonts w:ascii="Amiri" w:hAnsi="Amiri" w:eastAsia="Amiri" w:cs="Amiri"/>
          <w:color w:val="111111"/>
          <w:sz w:val="28"/>
          <w:sz w:val="28"/>
          <w:szCs w:val="28"/>
          <w:rtl w:val="true"/>
          <w:lang w:bidi="ar-SA"/>
        </w:rPr>
        <w:t xml:space="preserve">  عَنْ عَنْبَسَةَ</w:t>
      </w:r>
      <w:r>
        <w:rPr>
          <w:rStyle w:val="FootnoteAnchor"/>
          <w:rtl w:val="true"/>
        </w:rPr>
        <w:footnoteReference w:id="279"/>
      </w:r>
      <w:r>
        <w:rPr>
          <w:rFonts w:ascii="Amiri" w:hAnsi="Amiri" w:eastAsia="Amiri" w:cs="Amiri"/>
          <w:color w:val="111111"/>
          <w:sz w:val="28"/>
          <w:sz w:val="28"/>
          <w:szCs w:val="28"/>
          <w:rtl w:val="true"/>
          <w:lang w:bidi="ar-SA"/>
        </w:rPr>
        <w:t xml:space="preserve">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إسْتِمَاعُ اللَّهْوِ وَ الْغِنَاءِ يُنْبِتُ النِّفَاقَ کمَا يُنْبِتُ الْمَاءُ الزَّرْعَ</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همانطور که می‌بینید نفس این بیان دلالتی بر حرمت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نکوهش‌گونه در مکروهات هم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w:t>
      </w:r>
      <w:r>
        <w:rPr>
          <w:rStyle w:val="FootnoteAnchor"/>
          <w:rtl w:val="true"/>
        </w:rPr>
        <w:footnoteReference w:id="281"/>
      </w:r>
      <w:r>
        <w:rPr>
          <w:rFonts w:ascii="Amiri" w:hAnsi="Amiri" w:eastAsia="Amiri" w:cs="Amiri"/>
          <w:color w:val="111111"/>
          <w:sz w:val="28"/>
          <w:sz w:val="28"/>
          <w:szCs w:val="28"/>
          <w:rtl w:val="true"/>
          <w:lang w:bidi="ar-SA"/>
        </w:rPr>
        <w:t xml:space="preserve">  عَنْ مُعَلَّى بْنِ مُحَمَّدٍ</w:t>
      </w:r>
      <w:r>
        <w:rPr>
          <w:rStyle w:val="FootnoteAnchor"/>
          <w:rtl w:val="true"/>
        </w:rPr>
        <w:footnoteReference w:id="282"/>
      </w:r>
      <w:r>
        <w:rPr>
          <w:rFonts w:ascii="Amiri" w:hAnsi="Amiri" w:eastAsia="Amiri" w:cs="Amiri"/>
          <w:color w:val="111111"/>
          <w:sz w:val="28"/>
          <w:sz w:val="28"/>
          <w:szCs w:val="28"/>
          <w:rtl w:val="true"/>
          <w:lang w:bidi="ar-SA"/>
        </w:rPr>
        <w:t xml:space="preserve">  عَنْ أَحْمَدَ بْنِ مُحَمَّدِ بْنِ إِبْرَاهِيمَ الْأَرْمَنِيِّ</w:t>
      </w:r>
      <w:r>
        <w:rPr>
          <w:rStyle w:val="FootnoteAnchor"/>
          <w:rtl w:val="true"/>
        </w:rPr>
        <w:footnoteReference w:id="283"/>
      </w:r>
      <w:r>
        <w:rPr>
          <w:rFonts w:ascii="Amiri" w:hAnsi="Amiri" w:eastAsia="Amiri" w:cs="Amiri"/>
          <w:color w:val="111111"/>
          <w:sz w:val="28"/>
          <w:sz w:val="28"/>
          <w:szCs w:val="28"/>
          <w:rtl w:val="true"/>
          <w:lang w:bidi="ar-SA"/>
        </w:rPr>
        <w:t xml:space="preserve">  عَنِ الْحُسَيْنِ بْنِ عَلِيِّ بْنِ يَقْطِينٍ عَنْ أَبِي جَعْفَرٍ</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w:t>
      </w:r>
      <w:r>
        <w:rPr>
          <w:rStyle w:val="FootnoteAnchor"/>
          <w:rtl w:val="true"/>
        </w:rPr>
        <w:footnoteReference w:id="285"/>
      </w:r>
      <w:r>
        <w:rPr>
          <w:rFonts w:ascii="Amiri" w:hAnsi="Amiri" w:eastAsia="Amiri" w:cs="Amiri"/>
          <w:color w:val="111111"/>
          <w:sz w:val="28"/>
          <w:sz w:val="28"/>
          <w:szCs w:val="28"/>
          <w:rtl w:val="true"/>
          <w:lang w:bidi="ar-SA"/>
        </w:rPr>
        <w:t xml:space="preserve"> ‌ إِلَى‌ نَاطِقٍ‌ فَقَدْ عَبَدَهُ؛ فَإِنْ کانَ النَّاطِقُ يُؤَدِّي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اللَّهَ وَ إِنْ کانَ النَّاطِقُ يُؤَدِّي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از حیث سندی مشکل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حیث دلالی بر حرمت غناء دلالتی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بر سر نطق و سخن کسی را شنیدن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صریحی با بحث 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مرحوم بحرانی در حدائق به آن استناد کرده است</w:t>
      </w:r>
      <w:r>
        <w:rPr>
          <w:rStyle w:val="FootnoteAnchor"/>
          <w:rtl w:val="true"/>
        </w:rPr>
        <w:footnoteReference w:id="287"/>
      </w:r>
      <w:r>
        <w:rPr>
          <w:rFonts w:ascii="IRNazanin" w:hAnsi="IRNazanin" w:eastAsia="IRNazanin"/>
          <w:color w:val="111111"/>
          <w:sz w:val="28"/>
          <w:sz w:val="28"/>
          <w:szCs w:val="28"/>
          <w:rtl w:val="true"/>
          <w:lang w:bidi="fa-IR"/>
        </w:rPr>
        <w:t xml:space="preserve"> و مرحوم فاضل در تفصیل الشریعه به عنوان مؤیّد از آن یاد کرده‌اند</w:t>
      </w:r>
      <w:r>
        <w:rPr>
          <w:rFonts w:eastAsia="IRNazanin" w:cs="IRNazanin"/>
          <w:color w:val="111111"/>
          <w:sz w:val="28"/>
          <w:szCs w:val="28"/>
          <w:rtl w:val="true"/>
          <w:lang w:bidi="fa-IR"/>
        </w:rPr>
        <w:t>.</w:t>
      </w:r>
      <w:r>
        <w:rPr>
          <w:rStyle w:val="FootnoteAnchor"/>
          <w:rtl w:val="true"/>
        </w:rPr>
        <w:footnoteReference w:id="288"/>
      </w:r>
      <w:bookmarkStart w:id="61" w:name="pg4642_53965"/>
    </w:p>
    <w:p>
      <w:pPr>
        <w:pStyle w:val="BookText"/>
        <w:rPr/>
      </w:pPr>
      <w:bookmarkEnd w:id="61"/>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جَعْفَرٍ</w:t>
      </w:r>
      <w:r>
        <w:rPr>
          <w:rStyle w:val="FootnoteAnchor"/>
          <w:rtl w:val="true"/>
        </w:rPr>
        <w:footnoteReference w:id="289"/>
      </w:r>
      <w:r>
        <w:rPr>
          <w:rFonts w:ascii="Amiri" w:hAnsi="Amiri" w:eastAsia="Amiri" w:cs="Amiri"/>
          <w:color w:val="111111"/>
          <w:sz w:val="28"/>
          <w:sz w:val="28"/>
          <w:szCs w:val="28"/>
          <w:rtl w:val="true"/>
          <w:lang w:bidi="ar-SA"/>
        </w:rPr>
        <w:t xml:space="preserve">  فِي کتَابِهِ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روایت بهترین روایتی است که در این باب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صحیح بوده و از حیث دلالت هم هیچ مشکلی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صراحت در موضوع داشته و حرمت را معلّق بر هیچ مقارنی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این بیان در زمره بهترین بیانات مطلق در باب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الْعَيَّاشِيُّ</w:t>
      </w:r>
      <w:r>
        <w:rPr>
          <w:rStyle w:val="FootnoteAnchor"/>
          <w:rtl w:val="true"/>
        </w:rPr>
        <w:footnoteReference w:id="291"/>
      </w:r>
      <w:r>
        <w:rPr>
          <w:rFonts w:ascii="Amiri" w:hAnsi="Amiri" w:eastAsia="Amiri" w:cs="Amiri"/>
          <w:color w:val="111111"/>
          <w:sz w:val="28"/>
          <w:sz w:val="28"/>
          <w:szCs w:val="28"/>
          <w:rtl w:val="true"/>
          <w:lang w:bidi="ar-SA"/>
        </w:rPr>
        <w:t xml:space="preserve">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Style w:val="FootnoteAnchor"/>
          <w:rtl w:val="true"/>
        </w:rPr>
        <w:footnoteReference w:id="292"/>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أُطِيلُ الْقُعُودَ فِي الْمَخْرَجِ لِأَسْمَعَ غِنَاءَ بَعْضِ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السَّمْعَ وَ الْبَصَرَ وَ</w:t>
      </w:r>
    </w:p>
    <w:p>
      <w:pPr>
        <w:pStyle w:val="BookText"/>
        <w:rPr/>
      </w:pPr>
      <w:r>
        <w:rPr>
          <w:rFonts w:ascii="Amiri" w:hAnsi="Amiri" w:eastAsia="Amiri" w:cs="Amiri"/>
          <w:color w:val="111111"/>
          <w:sz w:val="28"/>
          <w:sz w:val="28"/>
          <w:szCs w:val="28"/>
          <w:rtl w:val="true"/>
          <w:lang w:bidi="ar-SA"/>
        </w:rPr>
        <w:t>الْفُؤادَ کلُّ أُولئِک کانَ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السَّمْعُ وَ مَا وَعَى</w:t>
      </w:r>
      <w:r>
        <w:rPr>
          <w:rStyle w:val="FootnoteAnchor"/>
          <w:rtl w:val="true"/>
        </w:rPr>
        <w:footnoteReference w:id="293"/>
      </w:r>
      <w:r>
        <w:rPr>
          <w:rFonts w:ascii="Amiri" w:hAnsi="Amiri" w:eastAsia="Amiri" w:cs="Amiri"/>
          <w:color w:val="111111"/>
          <w:sz w:val="28"/>
          <w:sz w:val="28"/>
          <w:szCs w:val="28"/>
          <w:rtl w:val="true"/>
          <w:lang w:bidi="ar-SA"/>
        </w:rPr>
        <w:t xml:space="preserve">  وَ الْبَصَرُ وَ مَا رَأَى وَ الْفُؤَادُ وَ مَا عُقِدَ عَلَيْهِ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دراین روایت که از حیث سندی هم ضعیف است،دلالتی بر حرمت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بیان برای موارد مکروه هم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مثل روایتی که از مسعده بن زیاد نقل شد،راوی خودش را در معرض شنیدن غنای همسایه‌ها قرار می‌دهد</w:t>
      </w:r>
      <w:r>
        <w:rPr>
          <w:rFonts w:eastAsia="IRNazanin" w:cs="IRNazanin"/>
          <w:color w:val="111111"/>
          <w:sz w:val="28"/>
          <w:szCs w:val="28"/>
          <w:rtl w:val="true"/>
          <w:lang w:bidi="fa-IR"/>
        </w:rPr>
        <w:t>.</w:t>
      </w:r>
    </w:p>
    <w:p>
      <w:pPr>
        <w:pStyle w:val="Heading2"/>
        <w:numPr>
          <w:ilvl w:val="1"/>
          <w:numId w:val="1"/>
        </w:numPr>
        <w:rPr/>
      </w:pPr>
      <w:bookmarkStart w:id="62" w:name="__RefHeading___Toc296144_2035185390"/>
      <w:bookmarkStart w:id="63" w:name="_Toc21"/>
      <w:bookmarkEnd w:id="62"/>
      <w:r>
        <w:rPr>
          <w:rtl w:val="true"/>
        </w:rPr>
        <w:t>بررسي ادلّه حرمت غناء</w:t>
      </w:r>
      <w:r>
        <w:rPr>
          <w:rtl w:val="true"/>
        </w:rPr>
        <w:t>/</w:t>
      </w:r>
      <w:r>
        <w:rPr>
          <w:rtl w:val="true"/>
        </w:rPr>
        <w:t>مبحث غناء</w:t>
      </w:r>
      <w:r>
        <w:rPr>
          <w:rtl w:val="true"/>
        </w:rPr>
        <w:t>/</w:t>
      </w:r>
      <w:r>
        <w:rPr>
          <w:rtl w:val="true"/>
        </w:rPr>
        <w:t xml:space="preserve">مكاسب محرّمه؛ </w:t>
      </w:r>
      <w:r>
        <w:rPr/>
        <w:t>96/09/12</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روایاتی است که دلالت بر حرمت غناء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به بررسی طائفه سوّم از روایات نشستیم؛این جلسه به سراغ طائفه چهارم خواهیم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طائفه،شامل روایاتی است،که نهی از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پرسشی به ذهن برسد،که چرا این روایات تنها از بیع جاریه مغنّیه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امکان ندارد تا از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شود؟شاید جهت تمرکز این روایات بر جاریه مغنّیه،غلبه‌ی خرید و فروش این دسته از جواری در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پرسش اصحاب متمرکز بر آن شده و پاسخ‌ها نیز به تبع پرسش‌ها از عبد مغنّی منصرف شده و حول جاریه مغنّیه وارد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Style w:val="FootnoteAnchor"/>
          <w:rtl w:val="true"/>
        </w:rPr>
        <w:footnoteReference w:id="295"/>
      </w:r>
      <w:r>
        <w:rPr>
          <w:rFonts w:ascii="Amiri" w:hAnsi="Amiri" w:eastAsia="Amiri" w:cs="Amiri"/>
          <w:color w:val="111111"/>
          <w:sz w:val="28"/>
          <w:sz w:val="28"/>
          <w:szCs w:val="28"/>
          <w:rtl w:val="true"/>
          <w:lang w:bidi="ar-SA"/>
        </w:rPr>
        <w:t xml:space="preserve">  عَنْ سَهْلٍ</w:t>
      </w:r>
      <w:r>
        <w:rPr>
          <w:rStyle w:val="FootnoteAnchor"/>
          <w:rtl w:val="true"/>
        </w:rPr>
        <w:footnoteReference w:id="296"/>
      </w:r>
      <w:r>
        <w:rPr>
          <w:rFonts w:ascii="Amiri" w:hAnsi="Amiri" w:eastAsia="Amiri" w:cs="Amiri"/>
          <w:color w:val="111111"/>
          <w:sz w:val="28"/>
          <w:sz w:val="28"/>
          <w:szCs w:val="28"/>
          <w:rtl w:val="true"/>
          <w:lang w:bidi="ar-SA"/>
        </w:rPr>
        <w:t xml:space="preserve">  وَ عَنْ عَلِيِّ بْنِ إِبْرَاهِيمَ</w:t>
      </w:r>
      <w:r>
        <w:rPr>
          <w:rStyle w:val="FootnoteAnchor"/>
          <w:rtl w:val="true"/>
        </w:rPr>
        <w:footnoteReference w:id="297"/>
      </w:r>
      <w:r>
        <w:rPr>
          <w:rFonts w:ascii="Amiri" w:hAnsi="Amiri" w:eastAsia="Amiri" w:cs="Amiri"/>
          <w:color w:val="111111"/>
          <w:sz w:val="28"/>
          <w:sz w:val="28"/>
          <w:szCs w:val="28"/>
          <w:rtl w:val="true"/>
          <w:lang w:bidi="ar-SA"/>
        </w:rPr>
        <w:t xml:space="preserve">  عَنْ أَبِيهِ</w:t>
      </w:r>
      <w:r>
        <w:rPr>
          <w:rStyle w:val="FootnoteAnchor"/>
          <w:rtl w:val="true"/>
        </w:rPr>
        <w:footnoteReference w:id="298"/>
      </w:r>
      <w:r>
        <w:rPr>
          <w:rFonts w:ascii="Amiri" w:hAnsi="Amiri" w:eastAsia="Amiri" w:cs="Amiri"/>
          <w:color w:val="111111"/>
          <w:sz w:val="28"/>
          <w:sz w:val="28"/>
          <w:szCs w:val="28"/>
          <w:rtl w:val="true"/>
          <w:lang w:bidi="ar-SA"/>
        </w:rPr>
        <w:t xml:space="preserve">  جَمِيعاً عَنِ ابْنِ فَضَّالٍ</w:t>
      </w:r>
      <w:r>
        <w:rPr>
          <w:rStyle w:val="FootnoteAnchor"/>
          <w:rtl w:val="true"/>
        </w:rPr>
        <w:footnoteReference w:id="299"/>
      </w:r>
      <w:r>
        <w:rPr>
          <w:rFonts w:ascii="Amiri" w:hAnsi="Amiri" w:eastAsia="Amiri" w:cs="Amiri"/>
          <w:color w:val="111111"/>
          <w:sz w:val="28"/>
          <w:sz w:val="28"/>
          <w:szCs w:val="28"/>
          <w:rtl w:val="true"/>
          <w:lang w:bidi="ar-SA"/>
        </w:rPr>
        <w:t xml:space="preserve">  عَنْ سَعِيدِ بْنِ مُحَمَّدٍ الطَّاطَرِيِّ عَنْ أَبِيهِ</w:t>
      </w:r>
      <w:r>
        <w:rPr>
          <w:rStyle w:val="FootnoteAnchor"/>
          <w:rtl w:val="true"/>
        </w:rPr>
        <w:footnoteReference w:id="30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 بَيْعُهُنَّ حَرَامٌ وَ تَعْلِيمُهُنَّ کفْرٌ وَ اسْتِمَاعُهُنَّ نِفَاقٌ</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سند این روایت صحیح بوده و پاسخ امام به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بیع جاریه مغنّیه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دلالت بر تحریم خرید و فروش و تعلیم جاریه‌هایی با این صفت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فقره آخر روایت،استماع به صدای جاریه مغنّیه را نفاق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دلالتی بر حرمت نداشته و در روایات ما برای بیان کراهت هم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گذشت از این روایت نمی‌توان جواز بیع عبد مغنّی را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مورد سؤال جاریه مغنّیه بوده و امام نسبت به عبد مغنّی در مقام بیان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برخی از فقهاء مثل مرحوم صاحب حدائق و مرحوم آقای فاضل و دیگران استناد کرده‌اند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الْأَشْعَرِيِّ</w:t>
      </w:r>
      <w:r>
        <w:rPr>
          <w:rStyle w:val="FootnoteAnchor"/>
          <w:rtl w:val="true"/>
        </w:rPr>
        <w:footnoteReference w:id="303"/>
      </w:r>
      <w:r>
        <w:rPr>
          <w:rFonts w:ascii="Amiri" w:hAnsi="Amiri" w:eastAsia="Amiri" w:cs="Amiri"/>
          <w:color w:val="111111"/>
          <w:sz w:val="28"/>
          <w:sz w:val="28"/>
          <w:szCs w:val="28"/>
          <w:rtl w:val="true"/>
          <w:lang w:bidi="ar-SA"/>
        </w:rPr>
        <w:t xml:space="preserve">  عَنِ الْحَسَنِ بْنِ عَلِيٍّ</w:t>
      </w:r>
      <w:r>
        <w:rPr>
          <w:rStyle w:val="FootnoteAnchor"/>
          <w:rtl w:val="true"/>
        </w:rPr>
        <w:footnoteReference w:id="304"/>
      </w:r>
      <w:r>
        <w:rPr>
          <w:rFonts w:ascii="Amiri" w:hAnsi="Amiri" w:eastAsia="Amiri" w:cs="Amiri"/>
          <w:color w:val="111111"/>
          <w:sz w:val="28"/>
          <w:sz w:val="28"/>
          <w:szCs w:val="28"/>
          <w:rtl w:val="true"/>
          <w:lang w:bidi="ar-SA"/>
        </w:rPr>
        <w:t xml:space="preserve">  عَنْ إِسْحَاقَ بْنِ إِبْرَاهِيمَ</w:t>
      </w:r>
      <w:r>
        <w:rPr>
          <w:rStyle w:val="FootnoteAnchor"/>
          <w:rtl w:val="true"/>
        </w:rPr>
        <w:footnoteReference w:id="305"/>
      </w:r>
      <w:r>
        <w:rPr>
          <w:rFonts w:ascii="Amiri" w:hAnsi="Amiri" w:eastAsia="Amiri" w:cs="Amiri"/>
          <w:color w:val="111111"/>
          <w:sz w:val="28"/>
          <w:sz w:val="28"/>
          <w:szCs w:val="28"/>
          <w:rtl w:val="true"/>
          <w:lang w:bidi="ar-SA"/>
        </w:rPr>
        <w:t xml:space="preserve">  عَنْ نَضْرِ بْنِ قَابُوسَ</w:t>
      </w:r>
      <w:r>
        <w:rPr>
          <w:rStyle w:val="FootnoteAnchor"/>
          <w:rtl w:val="true"/>
        </w:rPr>
        <w:footnoteReference w:id="306"/>
      </w:r>
      <w:r>
        <w:rPr>
          <w:rFonts w:ascii="Amiri" w:hAnsi="Amiri" w:eastAsia="Amiri" w:cs="Amiri"/>
          <w:color w:val="111111"/>
          <w:sz w:val="28"/>
          <w:sz w:val="28"/>
          <w:szCs w:val="28"/>
          <w:rtl w:val="true"/>
          <w:lang w:bidi="ar-SA"/>
        </w:rPr>
        <w:t xml:space="preserve">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مَلْعُونَةٌ مَلْعُونٌ مَنْ أَکلَ کسْبَهَا</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اشکال سندی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بوده و حضورش در سند روایت،موجب قدح در اعتبار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مدلول آن صریح بوده و سودی که از فروش جاریه مغنّیه حاصل می‌شود،به واسطه این بیان قطعا تحریم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سویی دیگر جاریه مغنّیه را هم به بیانی لعن کرده و انتفاع حاصل از آن را تحریم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Style w:val="FootnoteAnchor"/>
          <w:rtl w:val="true"/>
        </w:rPr>
        <w:footnoteReference w:id="308"/>
      </w:r>
      <w:r>
        <w:rPr>
          <w:rFonts w:ascii="Amiri" w:hAnsi="Amiri" w:eastAsia="Amiri" w:cs="Amiri"/>
          <w:color w:val="111111"/>
          <w:sz w:val="28"/>
          <w:sz w:val="28"/>
          <w:szCs w:val="28"/>
          <w:rtl w:val="true"/>
          <w:lang w:bidi="ar-SA"/>
        </w:rPr>
        <w:t xml:space="preserve">  عَنْ مُحَمَّدِ بْنِ يَحْيَى</w:t>
      </w:r>
      <w:r>
        <w:rPr>
          <w:rStyle w:val="FootnoteAnchor"/>
          <w:rtl w:val="true"/>
        </w:rPr>
        <w:footnoteReference w:id="309"/>
      </w:r>
      <w:r>
        <w:rPr>
          <w:rFonts w:ascii="Amiri" w:hAnsi="Amiri" w:eastAsia="Amiri" w:cs="Amiri"/>
          <w:color w:val="111111"/>
          <w:sz w:val="28"/>
          <w:sz w:val="28"/>
          <w:szCs w:val="28"/>
          <w:rtl w:val="true"/>
          <w:lang w:bidi="ar-SA"/>
        </w:rPr>
        <w:t xml:space="preserve">  عَنْ بَعْضِ أَصْحَابِهِ عَنْ مُحَمَّدِ بْنِ إِسْمَاعِيلَ</w:t>
      </w:r>
      <w:r>
        <w:rPr>
          <w:rStyle w:val="FootnoteAnchor"/>
          <w:rtl w:val="true"/>
        </w:rPr>
        <w:footnoteReference w:id="310"/>
      </w:r>
      <w:r>
        <w:rPr>
          <w:rFonts w:ascii="Amiri" w:hAnsi="Amiri" w:eastAsia="Amiri" w:cs="Amiri"/>
          <w:color w:val="111111"/>
          <w:sz w:val="28"/>
          <w:sz w:val="28"/>
          <w:szCs w:val="28"/>
          <w:rtl w:val="true"/>
          <w:lang w:bidi="ar-SA"/>
        </w:rPr>
        <w:t xml:space="preserve">  عَنْ إِبْرَاهِيمَ بْنِ أَبِي الْبِلَادِ</w:t>
      </w:r>
      <w:r>
        <w:rPr>
          <w:rStyle w:val="FootnoteAnchor"/>
          <w:rtl w:val="true"/>
        </w:rPr>
        <w:footnoteReference w:id="311"/>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إِسْحَاقُ بْنُ عُمَرَ بِجَوَارٍ لَهُ مُغَنِّيَاتٍ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تَبِيعَهُنَ‌ وَ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ثَمَنُهُنَّ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فَبِعْتُ الْجَوَارِيَ بِثَلَاثِ مِائَةِ أَلْفِ دِرْهَمٍ وَ 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لَک يُقَالُ لَهُ إِسْحَاقُ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جَوَارٍ لَهُ مُغَنِّيَاتٍ وَ حَمْلِ الثَّمَنِ إِلَيْک وَ قَدْ بِعْتُهُنَّ وَ هَذَا الثَّمَنُ ثَلَاثُ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إِنَّ هَذَا سُحْتٌ وَ تَعْلِيمَهُنَّ کفْرٌ وَ الِاسْتِمَاعَ‌ مِنْهُنَ‌ نِفَاقٌ‌ وَ ثَمَنَهُنَ‌ سُحْتٌ‌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روایت مرسله بوده و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پولی که از فروش جواری مغنّیات به دست آمده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حاصل از این گونه از جاریه‌ را سحت و حرام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و انتفاع از آن را نیز حرام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در این روایت استماع صدای جواری مغنّیات با بیانی اعم از حرمت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قبل گفتیم،اعمّ از حرمت بوده و برای کراهت هم به کار می‌رود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 عَنْ سَهْلِ بْنِ زِيَادٍ</w:t>
      </w:r>
      <w:r>
        <w:rPr>
          <w:rStyle w:val="FootnoteAnchor"/>
          <w:rtl w:val="true"/>
        </w:rPr>
        <w:footnoteReference w:id="314"/>
      </w:r>
      <w:r>
        <w:rPr>
          <w:rFonts w:ascii="Amiri" w:hAnsi="Amiri" w:eastAsia="Amiri" w:cs="Amiri"/>
          <w:color w:val="111111"/>
          <w:sz w:val="28"/>
          <w:sz w:val="28"/>
          <w:szCs w:val="28"/>
          <w:rtl w:val="true"/>
          <w:lang w:bidi="ar-SA"/>
        </w:rPr>
        <w:t xml:space="preserve">  عَنِ الْحَسَنِ بْنِ عَلِيٍّ الْوَشَّاءِ</w:t>
      </w:r>
      <w:r>
        <w:rPr>
          <w:rStyle w:val="FootnoteAnchor"/>
          <w:rtl w:val="true"/>
        </w:rPr>
        <w:footnoteReference w:id="315"/>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الْمُغَنِّيَةِ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تَکونُ لِلرَّجُلِ الْجَارِيَةُ تُلْهِيهِ وَ مَا ثَمَنُهَا إِلَّا ثَمَنُ کلْبٍ وَ ثَمَنُ الْکلْبِ سُحْتٌ وَ السُّحْتُ فِي النَّارِ</w:t>
      </w:r>
      <w:r>
        <w:rPr>
          <w:rFonts w:eastAsia="Amiri" w:cs="Amiri" w:ascii="Amiri" w:hAnsi="Amiri"/>
          <w:color w:val="111111"/>
          <w:sz w:val="28"/>
          <w:szCs w:val="28"/>
          <w:rtl w:val="true"/>
          <w:lang w:bidi="ar-SA"/>
        </w:rPr>
        <w:t>».</w:t>
      </w:r>
      <w:r>
        <w:rPr>
          <w:rStyle w:val="FootnoteAnchor"/>
          <w:rtl w:val="true"/>
        </w:rPr>
        <w:footnoteReference w:id="316"/>
      </w:r>
      <w:bookmarkStart w:id="64" w:name="pg4642_53969"/>
    </w:p>
    <w:p>
      <w:pPr>
        <w:pStyle w:val="BookText"/>
        <w:rPr/>
      </w:pPr>
      <w:bookmarkEnd w:id="64"/>
      <w:r>
        <w:rPr>
          <w:rFonts w:ascii="IRNazanin" w:hAnsi="IRNazanin" w:eastAsia="IRNazanin"/>
          <w:color w:val="111111"/>
          <w:sz w:val="28"/>
          <w:sz w:val="28"/>
          <w:szCs w:val="28"/>
          <w:rtl w:val="true"/>
          <w:lang w:bidi="fa-IR"/>
        </w:rPr>
        <w:t>این روایت سند صحیحی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سؤال سائل از جاریه مغنّیه است امّا جواب امام برای ما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معصوم،این احتمال را مطرح می‌کند که چیزی بیشتر از غناء در موضوع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موسیقی و غناء توأمان دخالت در 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تعبیر به لهو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w:t>
      </w:r>
      <w:r>
        <w:rPr>
          <w:rStyle w:val="FootnoteAnchor"/>
          <w:rtl w:val="true"/>
        </w:rPr>
        <w:footnoteReference w:id="317"/>
      </w:r>
      <w:r>
        <w:rPr>
          <w:rFonts w:ascii="Amiri" w:hAnsi="Amiri" w:eastAsia="Amiri" w:cs="Amiri"/>
          <w:color w:val="111111"/>
          <w:sz w:val="28"/>
          <w:sz w:val="28"/>
          <w:szCs w:val="28"/>
          <w:rtl w:val="true"/>
          <w:lang w:bidi="ar-SA"/>
        </w:rPr>
        <w:t xml:space="preserve">  قَالَ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أَجْرَ الْمُغَنِّي وَ الْمُغَنِّيَةِ سُحْتٌ</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روایت در عین حال که مرسله بوده و سندش ضعیف است،اخصّ از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بحث در روایت ناظر به اجرتی است که بابت غنای مغنّیه پرداخت می‌شود امّا ناظر به حرمت استماع نیست</w:t>
      </w:r>
      <w:r>
        <w:rPr>
          <w:rFonts w:eastAsia="IRNazanin" w:cs="IRNazanin"/>
          <w:color w:val="111111"/>
          <w:sz w:val="28"/>
          <w:szCs w:val="28"/>
          <w:rtl w:val="true"/>
          <w:lang w:bidi="fa-IR"/>
        </w:rPr>
        <w:t>.</w:t>
      </w:r>
    </w:p>
    <w:p>
      <w:pPr>
        <w:pStyle w:val="Heading2"/>
        <w:numPr>
          <w:ilvl w:val="1"/>
          <w:numId w:val="1"/>
        </w:numPr>
        <w:rPr/>
      </w:pPr>
      <w:bookmarkStart w:id="65" w:name="__RefHeading___Toc296146_2035185390"/>
      <w:bookmarkStart w:id="66" w:name="_Toc22"/>
      <w:bookmarkEnd w:id="65"/>
      <w:r>
        <w:rPr>
          <w:rtl w:val="true"/>
        </w:rPr>
        <w:t>بررسي ادلّه حرمت غناء</w:t>
      </w:r>
      <w:r>
        <w:rPr>
          <w:rtl w:val="true"/>
        </w:rPr>
        <w:t>/</w:t>
      </w:r>
      <w:r>
        <w:rPr>
          <w:rtl w:val="true"/>
        </w:rPr>
        <w:t>مبحث غناء</w:t>
      </w:r>
      <w:r>
        <w:rPr>
          <w:rtl w:val="true"/>
        </w:rPr>
        <w:t>/</w:t>
      </w:r>
      <w:r>
        <w:rPr>
          <w:rtl w:val="true"/>
        </w:rPr>
        <w:t xml:space="preserve">مكاسب محرّمه؛ </w:t>
      </w:r>
      <w:r>
        <w:rPr/>
        <w:t>96/09/13</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روایاتی بود که برای مبحث غناء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طائفه از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اعتبار سندی داشته و برخی نداشتند،و برخی دلالت مطلق و برخی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که پیش از این در مواجهه با روایات دنبال می‌کردیم،حرمت مطلق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تا بحال از روایات بررسی کردیم،می‌توان حرمت مطلق غناء را استظهار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 قول این است که شما غناء را به شرط اشتمال بر عناوین محرّم دیگر حرام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غناء حرام نیست و تنها به شرط تقارن با محرّمات دیگر مثل موسیقی و یا دخول رجال بر نساء و یا اشتمال بر محتوای باطل و ترویج کفر،فساد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احتمال دیگر هم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غناء فی‌الجمله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رابطه با حرمت یک قدرمتیقّن داریم و مواردی که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مشکوک جملگی مشمول اصل اباحه و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قدر متیقّن از غناء محرّم است،صوتی است که دو قید ترجیع و اطراب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شرطیت قید ترجیع تردیدهایی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قید اطراب کسی شک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قید اطراب را اگر به خاطر داشته باشید،اطراب به حدّی از غناء اطلاق می‌شد که زوال عقل و یا نقصان عقل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 قدر متیقّن از مفهوم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غناء به این حدّ نرسید،نمی‌توان حکم به حرمت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احتیاط به ترک باشد،ولی حکم اباحه را نمی‌توان نفی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شخصی تنها به خوبی و زیبایی می‌خواند،ولی نه زوال عقلی و نه نقصان عقلی شکل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چنین صدایی را مشمول ادلّه حرمت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شما در هر عنوان محرّمی در شریعت به همین روال برخورد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مصداق متیقّن کذب و یا غیبت و یا تهمت است،حرام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مشکوک باشد،مشمول اصل اباحه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نمی‌توان در شبهات مصداقیه تمسّک به عامّ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محقّق بحرانی ذیل روایات باب</w:t>
      </w:r>
    </w:p>
    <w:p>
      <w:pPr>
        <w:pStyle w:val="BookText"/>
        <w:rPr/>
      </w:pPr>
      <w:r>
        <w:rPr>
          <w:rFonts w:ascii="IRNazanin" w:hAnsi="IRNazanin" w:eastAsia="IRNazanin"/>
          <w:color w:val="111111"/>
          <w:sz w:val="28"/>
          <w:sz w:val="28"/>
          <w:szCs w:val="28"/>
          <w:rtl w:val="true"/>
          <w:lang w:bidi="fa-IR"/>
        </w:rPr>
        <w:t>مرحوم بحرانی از مجموع روایات باب حرمت مطلق غناء را استظهار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اگر قرار بود نفس غناء جائز و یا حتی مستحبّ بوده و تنها به جهت عوارضی مثل موسیقی و محتوای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شود،چگونه در برخی از این روایات شنیدن غناء،اجر مغنّیه،سود حاصل از خرید و فروشش و همچنین آموزش او تحریم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ما،اگر منظور مرحوم صاحب حدائق از روایات صریحی که دلالت بر حرمت مطلق غناء می‌کند، روایات مطلقی باشد که حرمت در آن‌ها مقیّد به مغنّیه یا دخول الرجال علی النساء یا آلات موسیقی و غیره نشده باشد، کلام ایشان صحیح است به این صورت که غناء فی الجمله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منظور ایشان از حرمت مطلق غناء،حرمت غناء در تمام مصادیق متیقّن و مشکوک آن باشد،نمی‌توان از روایات چنین نکته‌ای را برداشت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نهایت دلالت روایات مطلقه،تحریم غناء فی‌الجمله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در موارد متیقّن حرام و در موارد مشکوک جائز 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مرحوم بحرانی در تقابل با امثال مرحوم نراقی قائل حرمت مطلق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غناء را در فرض اشتمال بر محتوای باطل حرام می‌دانستند و اگر محتوی حق بود و مطالب عرفانی و توحیدی بود،مشکلی در غناء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بحرانی با قول به حرمت مطلق غناء می‌خواهند دخالت محتوی را از تحریم غناء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ظهور روایات غناء را به عنوان کیفیتی در صدای خواننده،تحریم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مرحوم خوئی در رابطه با روایات باب</w:t>
      </w:r>
    </w:p>
    <w:p>
      <w:pPr>
        <w:pStyle w:val="BookText"/>
        <w:rPr/>
      </w:pPr>
      <w:r>
        <w:rPr>
          <w:rFonts w:ascii="IRNazanin" w:hAnsi="IRNazanin" w:eastAsia="IRNazanin"/>
          <w:color w:val="111111"/>
          <w:sz w:val="28"/>
          <w:sz w:val="28"/>
          <w:szCs w:val="28"/>
          <w:rtl w:val="true"/>
          <w:lang w:bidi="fa-IR"/>
        </w:rPr>
        <w:t>مرحوم خوئی قائلند که روایات باب غناء از حیث اعتبار سندی،در اکثر موارد ضعیف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ادّعای حرمت غناء فی‌الجمله،در آن مجموعه روایات صحیحه‌ای موجود است که برای 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 کلام ایشان در حرمت فی الجمله غناء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اشکالاتی به دلالت روایات</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راجع به تکثیر ادلّه در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اشکال نمی‌توان غیر از سنّت و اجماع دلیل دیگری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آنچه از آیات قرآن به عنوان دلیل بر حرمت اقامه شد،به خودی هیچ دلالتی بر حرمت نداشته و تنها با توجّه به روایات ذیل آن می‌توانستیم قائل به حرمت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به واسطه شرح اخبار و نصوص دلالت بر حرمت غناء کند،خدشه‌ای در استقلال آن در دلیلیت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مستقلّا دلیل بر حرمت است،ولی برای فهم دلیلیت آن نیاز به شرح روایات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گاهی برای فهم یک روایت به شرح لغویون از واژگان آن تکیه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 در مواردی کاملا مستقلّ از قرآن بر حرمت غناء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سنّت دو حیث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شارح دلیل است و در برخی موارد خود مستقلّا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 تعابیری وجود دارد که نمی‌توان از آنها حرمت را استظهار نمود،بلکه برای بیان کراهت هم به کار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بیاناتی که در طائفه سوّم بررسی شد،معصوم گوش سپردن به غناء را نفاق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وقت هم اشاره شد که این تعبیر اعمّ از حرمت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صحیح است،ولی در همان روایات تعابیری شدید وجود داشت که دلالت بر حرمت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آنها غناء را از کبائر می‌شمردند</w:t>
      </w:r>
      <w:r>
        <w:rPr>
          <w:rFonts w:eastAsia="IRNazanin" w:cs="IRNazanin"/>
          <w:color w:val="111111"/>
          <w:sz w:val="28"/>
          <w:szCs w:val="28"/>
          <w:rtl w:val="true"/>
          <w:lang w:bidi="fa-IR"/>
        </w:rPr>
        <w:t>.</w:t>
      </w:r>
      <w:bookmarkStart w:id="67" w:name="pg4642_53972"/>
    </w:p>
    <w:p>
      <w:pPr>
        <w:pStyle w:val="BookText"/>
        <w:rPr/>
      </w:pPr>
      <w:bookmarkEnd w:id="67"/>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باب،تحریم غناء از جهت اشتمال غناء در غالب موارد و یا حتی در تمام موارد به محرّماتی مثل موسیقی و اختلاط با زنان و ترویج فساد و فحشاء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حقیقت وصف غناء به حرمت در این روایات،از باب وصف شیء به حال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وقتی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پدرش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زید می‌آید،ولی مراد از توصیف پدر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هم وقتی غناء را به حرمت محکوم می‌کنند،به مصاحبات و مقارنات آن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بین اصحاب حرمتی مورد تسالم دارد،خود غناء بوده و در روایات هم خود غناء را موضوع حرمت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حرمت غناء را در تعابیر معصومین، از باب وصف شیء به حال متعلّق آن بدانیم،مرتکب خلاف ظاهر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غناء غالبا همراه با این عناوین محرّم است،موجب جواز خود غناء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مجلس واحدی مشتمل بر معاصی گوناگونی می‌شود،که یکی از آنها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محور تمام این معاصی را همان غناء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معمولا زمینه ساز آنها و مهیّج نفوس است</w:t>
      </w:r>
      <w:r>
        <w:rPr>
          <w:rFonts w:eastAsia="IRNazanin" w:cs="IRNazanin"/>
          <w:color w:val="111111"/>
          <w:sz w:val="28"/>
          <w:szCs w:val="28"/>
          <w:rtl w:val="true"/>
          <w:lang w:bidi="fa-IR"/>
        </w:rPr>
        <w:t>.</w:t>
      </w:r>
    </w:p>
    <w:p>
      <w:pPr>
        <w:pStyle w:val="Heading2"/>
        <w:numPr>
          <w:ilvl w:val="1"/>
          <w:numId w:val="1"/>
        </w:numPr>
        <w:rPr/>
      </w:pPr>
      <w:bookmarkStart w:id="68" w:name="__RefHeading___Toc296148_2035185390"/>
      <w:bookmarkStart w:id="69" w:name="_Toc23"/>
      <w:bookmarkEnd w:id="68"/>
      <w:r>
        <w:rPr>
          <w:rtl w:val="true"/>
        </w:rPr>
        <w:t>بررسي ادلّه حرمت غناء</w:t>
      </w:r>
      <w:r>
        <w:rPr>
          <w:rtl w:val="true"/>
        </w:rPr>
        <w:t>/</w:t>
      </w:r>
      <w:r>
        <w:rPr>
          <w:rtl w:val="true"/>
        </w:rPr>
        <w:t>مبحث غناء</w:t>
      </w:r>
      <w:r>
        <w:rPr>
          <w:rtl w:val="true"/>
        </w:rPr>
        <w:t>/</w:t>
      </w:r>
      <w:r>
        <w:rPr>
          <w:rtl w:val="true"/>
        </w:rPr>
        <w:t xml:space="preserve">مكاسب محرّمه، </w:t>
      </w:r>
      <w:r>
        <w:rPr/>
        <w:t>96/09/14</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طوائف روائی در بحث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طائفه را بررسی کردیم و در سایه آن به بررسی اقوالی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اقوالی که بررسی شد،حرمت غناء را به حرمت مقارنات غناء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حقیقت همانطور که در برخی روایات دیدید،حرمت غناء به جهت مغنّیه و یا دخول رجال بر نساء و یا آلات موسیقی بیان شده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دسته از علماء اگر ما غناء را به حرمت وصف می‌کنیم،این نه وصف غناء که وصف متعلّقات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زمانی که من برای زید وصفی بیاورم و مرادم از موصوف پدر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توصیف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به حال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هم وقتی غناء را به حرمت توصیف می‌کنند،موضوع حرمت در حقیقت متعلّقات غناء مثل آلات موسیقی و اختلاط زنان و مردان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ما،این سخن ناصحیح و بر خلاف ظاهر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روایت معصوم آنچه به عنوان موضوع حرمت بیان می‌کنند،خود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نکته خصوصا در روایات مطلق به خوبی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بیانات هیچ متعلّقی برای غناء بیان نمی‌شود و خود غناء موضوع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باقی روایات هم،آنچه به عنوان مقارنات غناء بیان می‌شود،مصادیق غناء هستند که مخصوص به 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 دلیل دیگری است که می‌توان ادّعا کرد در بین فقهای شیعه بر حرمت غناء منعقد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 بر حرمت غناء هم از جانب فقهای متعدّدی مثل مرحوم شیخ طوسی</w:t>
      </w:r>
      <w:r>
        <w:rPr>
          <w:rStyle w:val="FootnoteAnchor"/>
          <w:rtl w:val="true"/>
        </w:rPr>
        <w:footnoteReference w:id="321"/>
      </w:r>
      <w:r>
        <w:rPr>
          <w:rFonts w:ascii="IRNazanin" w:hAnsi="IRNazanin" w:eastAsia="IRNazanin"/>
          <w:color w:val="111111"/>
          <w:sz w:val="28"/>
          <w:sz w:val="28"/>
          <w:szCs w:val="28"/>
          <w:rtl w:val="true"/>
          <w:lang w:bidi="fa-IR"/>
        </w:rPr>
        <w:t xml:space="preserve"> و مرحوم نراقی</w:t>
      </w:r>
      <w:r>
        <w:rPr>
          <w:rStyle w:val="FootnoteAnchor"/>
          <w:rtl w:val="true"/>
        </w:rPr>
        <w:footnoteReference w:id="322"/>
      </w:r>
      <w:r>
        <w:rPr>
          <w:rFonts w:ascii="IRNazanin" w:hAnsi="IRNazanin" w:eastAsia="IRNazanin"/>
          <w:color w:val="111111"/>
          <w:sz w:val="28"/>
          <w:sz w:val="28"/>
          <w:szCs w:val="28"/>
          <w:rtl w:val="true"/>
          <w:lang w:bidi="fa-IR"/>
        </w:rPr>
        <w:t xml:space="preserve"> و مرحوم صاحب جواهر</w:t>
      </w:r>
      <w:r>
        <w:rPr>
          <w:rStyle w:val="FootnoteAnchor"/>
          <w:rtl w:val="true"/>
        </w:rPr>
        <w:footnoteReference w:id="323"/>
      </w:r>
      <w:r>
        <w:rPr>
          <w:rFonts w:ascii="IRNazanin" w:hAnsi="IRNazanin" w:eastAsia="IRNazanin"/>
          <w:color w:val="111111"/>
          <w:sz w:val="28"/>
          <w:sz w:val="28"/>
          <w:szCs w:val="28"/>
          <w:rtl w:val="true"/>
          <w:lang w:bidi="fa-IR"/>
        </w:rPr>
        <w:t xml:space="preserve"> ادّعا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می‌توان چنین اجماعی را در میان فقهای امامیه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که در رابطه با دلیلیت اجماع در مقام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دلالت اجماع بر حرمت غناء است؛اجماع دلیل لبّی است و اطلاقی برای مصادیق مختلف و مورد اختلاف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می‌توان حرمت فی‌الجمله غناء در موارد متیقّن از مصادیقش را به وسیله اجماع ثابت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می‌توان به وسیله اجماع در موارد اختلافی به داوری بین احتمالات پرداخته و حکمی به دست آورد؟مسلّم است که نمی‌توان چنین دلالتی را از اجماع تحصیل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حرمت فی‌الجمله غناء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به دلیلیت اجماع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را در مقام مرحوم آقای خوئی به دلیلیت اجماع وارد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اجماع در مبحث غناء مدرکی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می‌دانیم چرا فقهاء بر حرمت غناء توافق و تسالم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مدارک و ادلّه‌ی بحث موجود است و آنان در نظر و فتوای به حرمت غناء به همین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گذراندیم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نظر مرحوم خوئی اجماعی که در مقام ادّعا شده است،مدرکی بوده و تعبّدی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نمی‌تواند به عنوان دلیلی در عرض روایات و آیات برای ما مطرح باشد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بنظر ما،این سخن مرحوم خوئی صحیح بوده و اجماع مدرکی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یک نکته توجّه داشته باشید؛خود این اجماع سبب می‌شود که برخی از روایات باب که ضعیف بوده و اعتبار سندی نداشتند،تقویت شده و معتبر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مرحوم خوئی این نقش اجماع و شهرت در جبران ضعف سند روایات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بسیاری از بزرگان مثل مرحوم بروجردی قائل به این توانائی در اجماع و توافق فقهاء در جبران ضعف سند یک روایت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مرحوم بروجردی قائل بودند اگر یک روایت توسط فقهای دوران پس از غیبت کبری و قدمائی مثل ابن بابویه و ابن زهره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شده و در عمل بدان استناد دهند،ضعف سند آن توسط همین پذیرش و استناد این سطح از فقهاء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هیچ نقشی برای اجماع در مقام، در نظر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اجماع هم به عنوان مؤیّد و هم به عنوان جابر ضعف سند برخی روایات ضعیف باب می‌توان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آیا عقل می‌تواند به عنوان دلیلی برای تحریم غناء 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؟تجربه‌ی غناء برای انسان در طول تاریخ،زمینه‌ای را برای ارتکاب معاصی مختلف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کجایی انسان فساد و معصیت متمرکزی را مشاهده می‌کند،موسیقی و غناء را هم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مجلسی که غناء و موسیقی بیشتری داشته باشد،زمینه‌ی فسادهای گوناگونی در آن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تقارن معاصی با غناء سبب می‌شود که عقل ما به لزوم تحرّز و اجتناب از غناء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خمر که عقل ما در بسیاری از موارد به جهت زمینه‌سازی برای فساد و معاصی به لزوم دوری و اجتناب از آن حکم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ضروری دین است</w:t>
      </w:r>
    </w:p>
    <w:p>
      <w:pPr>
        <w:pStyle w:val="BookText"/>
        <w:rPr/>
      </w:pPr>
      <w:r>
        <w:rPr>
          <w:rFonts w:ascii="IRNazanin" w:hAnsi="IRNazanin" w:eastAsia="IRNazanin"/>
          <w:color w:val="111111"/>
          <w:sz w:val="28"/>
          <w:sz w:val="28"/>
          <w:szCs w:val="28"/>
          <w:rtl w:val="true"/>
          <w:lang w:bidi="fa-IR"/>
        </w:rPr>
        <w:t>فی‌الجمله می‌توان ادّعا کرد که حرمت غناء مورد توافق و تسالم بین تمام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ضروری مذهب است</w:t>
      </w:r>
    </w:p>
    <w:p>
      <w:pPr>
        <w:pStyle w:val="BookText"/>
        <w:rPr/>
      </w:pPr>
      <w:r>
        <w:rPr>
          <w:rFonts w:ascii="IRNazanin" w:hAnsi="IRNazanin" w:eastAsia="IRNazanin"/>
          <w:color w:val="111111"/>
          <w:sz w:val="28"/>
          <w:sz w:val="28"/>
          <w:szCs w:val="28"/>
          <w:rtl w:val="true"/>
          <w:lang w:bidi="fa-IR"/>
        </w:rPr>
        <w:t>در حقیقت همانطور که در بررسی اجماع هم گذشت،تمام فقهای شیعه بر حرمت فی‌الجمله غناء تسالم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توافق حرمت غناء را ضروری مذهب شیعه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شیخ انصاری</w:t>
      </w:r>
    </w:p>
    <w:p>
      <w:pPr>
        <w:pStyle w:val="BookText"/>
        <w:rPr/>
      </w:pPr>
      <w:r>
        <w:rPr>
          <w:rFonts w:ascii="IRNazanin" w:hAnsi="IRNazanin" w:eastAsia="IRNazanin"/>
          <w:color w:val="111111"/>
          <w:sz w:val="28"/>
          <w:sz w:val="28"/>
          <w:szCs w:val="28"/>
          <w:rtl w:val="true"/>
          <w:lang w:bidi="fa-IR"/>
        </w:rPr>
        <w:t>مرحوم شیخ انصاری در پی تعیین جهتی برای حرمت غناء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قبول داریم که غناء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حرمت غناء یک جهتی دارد،اگر در مصادیق غناء این جهت محقّق بود،حرام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جهت در برخی مصادیق غناء مفقود بود،نمی‌توان قائل به حرمت آن مصداق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شیخ غناء به جهت لهوی و باطل بودن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یک کیفیتی در صوت است که اگر مساوی با لهو و باطل باشد،تمام مصادیق آن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اعم از لهو و باطل باشد،نمی‌توان به مصادیقی از آن که فاقد خصوصیت لهو و باطل هستند،اطلاق حرمت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در یک مجلس روضه امام حسین،مدح خود را به نوعی می‌خواند که برخی ادّعای تحقّق ترجیع و طرب در آن را می‌کنند،نمی‌توان چنین نمونه‌ای را از مصادیق غناء محرّم تلقّی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شیخ غناء همین کیفیت لهوی و باطل از صوت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ادّعا کند ما مصادیقی از غناء را سراغ داریم که نمی‌توان قائل به لهوی و باطل بودن آن مصادیق شد،شیخ انصاری آن مصادیق را حرام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غنائی حرام است که از الحان اهل فسوق و معاصی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غناء اعمّ از این الحان است،باید حرمت آن را مقیّد به این فرض نمود</w:t>
      </w:r>
      <w:r>
        <w:rPr>
          <w:rFonts w:eastAsia="IRNazanin" w:cs="IRNazanin"/>
          <w:color w:val="111111"/>
          <w:sz w:val="28"/>
          <w:szCs w:val="28"/>
          <w:rtl w:val="true"/>
          <w:lang w:bidi="fa-IR"/>
        </w:rPr>
        <w:t>.</w:t>
      </w:r>
      <w:r>
        <w:rPr>
          <w:rStyle w:val="FootnoteAnchor"/>
          <w:rtl w:val="true"/>
        </w:rPr>
        <w:footnoteReference w:id="325"/>
      </w:r>
      <w:bookmarkStart w:id="70" w:name="pg4642_53976"/>
    </w:p>
    <w:p>
      <w:pPr>
        <w:pStyle w:val="Heading2"/>
        <w:numPr>
          <w:ilvl w:val="1"/>
          <w:numId w:val="1"/>
        </w:numPr>
        <w:rPr/>
      </w:pPr>
      <w:bookmarkStart w:id="71" w:name="__RefHeading___Toc296150_2035185390"/>
      <w:bookmarkStart w:id="72" w:name="_Toc24"/>
      <w:bookmarkEnd w:id="70"/>
      <w:bookmarkEnd w:id="71"/>
      <w:r>
        <w:rPr>
          <w:rtl w:val="true"/>
        </w:rPr>
        <w:t>اقوال علماء ذيل ادلّه حرمت غناء</w:t>
      </w:r>
      <w:r>
        <w:rPr>
          <w:rtl w:val="true"/>
        </w:rPr>
        <w:t>/</w:t>
      </w:r>
      <w:r>
        <w:rPr>
          <w:rtl w:val="true"/>
        </w:rPr>
        <w:t>مبحث غناء</w:t>
      </w:r>
      <w:r>
        <w:rPr>
          <w:rtl w:val="true"/>
        </w:rPr>
        <w:t>/</w:t>
      </w:r>
      <w:r>
        <w:rPr>
          <w:rtl w:val="true"/>
        </w:rPr>
        <w:t xml:space="preserve">مكاسب محرمه؛ </w:t>
      </w:r>
      <w:r>
        <w:rPr/>
        <w:t>96/09/18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علماء ذیل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به بررسی اقوالی نشستیم که ذیل روایات و ادلّه حرمت غناء شکل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علماء قائل به موضوعیت محتوای غناء در ترتّب حکم حرمت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محتوای غناء حق و توحیدی و عرفانی باشد،نمی‌توان قائل به حرمت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دیگر هم حرمت غناء را برآمده از کیفیّتی در صوت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محتوای غناء و حقّانیت آن دخلی در حکم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 آن متیقّن الحرمه و برخی دیگر مشکوک الحرمه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مصادیقی که یقین به حرمت آن داریم به یقین خود عمل می‌کنیم و در سایر موارد مشکوک باید به اصل اباحه تمسّک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کلام شیخ انصاری</w:t>
      </w:r>
    </w:p>
    <w:p>
      <w:pPr>
        <w:pStyle w:val="BookText"/>
        <w:rPr/>
      </w:pPr>
      <w:r>
        <w:rPr>
          <w:rFonts w:ascii="IRNazanin" w:hAnsi="IRNazanin" w:eastAsia="IRNazanin"/>
          <w:color w:val="111111"/>
          <w:sz w:val="28"/>
          <w:sz w:val="28"/>
          <w:szCs w:val="28"/>
          <w:rtl w:val="true"/>
          <w:lang w:bidi="fa-IR"/>
        </w:rPr>
        <w:t>در جلسه گذشته بحث به نقل کلامی از مرحوم شیخ انصاری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کلام ایشان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می‌فرمودند،غناء مشروط به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آن،حرام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غناء با لهو از حیث مصداقی مساوی بود،غناء مطلقا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برخی از مصادیق غناء از دائره‌ی مصادیق لهو بیرون بودند،باید حکم حرمت را محدود و مقیّد به مصادیقی لهوی از غناء محدود کنیم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مرحوم ایروانی در حاشیه بر مکاسب به این سخن مرحوم شیخ دو اشکال می‌کنند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بخواهیم لهو را مساوی با حرام بدانیم باید بسیاری از مصادیق مباحات را هم حرام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شیخ انصاری حرمت غناء را منوط به تحقّق عنوان لهو می‌دانند،خود عنوان لهو را نمی‌توان در تمام مصادیقش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مرحوم شیخ حرمت غناء را منوط به تحقّق عنوان لهو و باطل بدانند،باید حرمت غناء را به جهت بطلان محتوای غناء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عنوان لهو و باطل بر کیفیّت صوت اطلاق نمی‌شود،بلکه وصف محتوای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فسق و معاصی لحن و سبک خاصّی برای خواندن ندارند،بلکه محتوای باطلی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ما،عنوان لهو را هم می‌توان بر کیفیت صدا اطلاق نمود و هم بر محتوای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تنها بر محتوای غناء اطلاق می‌شود،تعبیر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خوئی</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حرمت غناء هستند به شرط آنکه از الحان و نواهای اهل فسق و معاصی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تحقّق غناء به این وصف در دو حالت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محتوای غناء به جهت اشتمال بر معانی باطله و خالی بودن از کلام صحیح،در نزد عقلاء باطل تلقّی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نوا و سبکی که شعر با آن خوانده می‌شود نیز از الحان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از محتوا و سبک خواندن در تحقّق غناء مؤثّر و دخیل‌اند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اشعار باطلی که وقتی به سبک خاصّی آن را می‌خوانند،نفس انسان را در جهات باطل تهییج کرده و شهوات انسان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کیفیّت در تحقّق غناء دخالت دارد و هم محتوای اشعار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با همان لحن و سبک قرآن را قرائت کنید،نمی‌توان قائل به حرمت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سبک و نوای خواندن بنحوی است که مصداق قول زور و لهو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نواهای مخصوص مجالس فسق و فجور که تنها به درد طرب و رقّاصی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حتّی اگر محتوای غناء حقّ باشد،باز نمی‌توان قائل به حرمت شد</w:t>
      </w:r>
      <w:r>
        <w:rPr>
          <w:rFonts w:eastAsia="IRNazanin" w:cs="IRNazanin"/>
          <w:color w:val="111111"/>
          <w:sz w:val="28"/>
          <w:szCs w:val="28"/>
          <w:rtl w:val="true"/>
          <w:lang w:bidi="fa-IR"/>
        </w:rPr>
        <w:t>.</w:t>
      </w:r>
      <w:bookmarkStart w:id="73" w:name="pg4642_53978"/>
    </w:p>
    <w:p>
      <w:pPr>
        <w:pStyle w:val="BookText"/>
        <w:rPr/>
      </w:pPr>
      <w:bookmarkEnd w:id="73"/>
      <w:r>
        <w:rPr>
          <w:rFonts w:ascii="IRNazanin" w:hAnsi="IRNazanin" w:eastAsia="IRNazanin"/>
          <w:color w:val="111111"/>
          <w:sz w:val="28"/>
          <w:sz w:val="28"/>
          <w:szCs w:val="28"/>
          <w:rtl w:val="true"/>
          <w:lang w:bidi="fa-IR"/>
        </w:rPr>
        <w:t>بنابراین بنظر مرحوم خوئی کیفیّت صوت در شکل‌گیری حکم حرمت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بنحو جزءالعلّه،در مواردی که نفس کیفیّت به تنهائی نمی‌تواند موضوع حرمت باشد و حتما باید محتوا هم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بنحو تمام العلّه در جایی که سبک و کیفیت مخصوص مجالس رقص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فرض اوّل اگر شخصی کیفیت غنائی را در خواندن قرآن و اشعار حقّه به کار برد،نمی‌توان قائل به حرمت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فرض دوّم حتّی اگر آیات قرآن را به کیفیت مخصوص مجالس فسق بخوانیم،حرام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گفت خواندن آیات قرآن به آن کیفیت ابغض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بیان مرحوم خوئی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 ملاحظاتی بر این نظر وارد است که فردا بررسی خواهد شد</w:t>
      </w:r>
      <w:r>
        <w:rPr>
          <w:rFonts w:eastAsia="IRNazanin" w:cs="IRNazanin"/>
          <w:color w:val="111111"/>
          <w:sz w:val="28"/>
          <w:szCs w:val="28"/>
          <w:rtl w:val="true"/>
          <w:lang w:bidi="fa-IR"/>
        </w:rPr>
        <w:t>.</w:t>
      </w:r>
    </w:p>
    <w:p>
      <w:pPr>
        <w:pStyle w:val="Heading2"/>
        <w:numPr>
          <w:ilvl w:val="1"/>
          <w:numId w:val="1"/>
        </w:numPr>
        <w:rPr/>
      </w:pPr>
      <w:bookmarkStart w:id="74" w:name="__RefHeading___Toc296152_2035185390"/>
      <w:bookmarkStart w:id="75" w:name="_Toc25"/>
      <w:bookmarkEnd w:id="74"/>
      <w:r>
        <w:rPr>
          <w:rtl w:val="true"/>
        </w:rPr>
        <w:t>بررسي اقوال علماء ذيل ادلّه حرمت غناء</w:t>
      </w:r>
      <w:r>
        <w:rPr>
          <w:rtl w:val="true"/>
        </w:rPr>
        <w:t>/</w:t>
      </w:r>
      <w:r>
        <w:rPr>
          <w:rtl w:val="true"/>
        </w:rPr>
        <w:t>مبحث غناء</w:t>
      </w:r>
      <w:r>
        <w:rPr>
          <w:rtl w:val="true"/>
        </w:rPr>
        <w:t>/</w:t>
      </w:r>
      <w:r>
        <w:rPr>
          <w:rtl w:val="true"/>
        </w:rPr>
        <w:t xml:space="preserve">مكاسب محرّمه؛ </w:t>
      </w:r>
      <w:r>
        <w:rPr/>
        <w:t>96/09/19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 علماء ذیل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به بررسی کلام مرحوم خوئی رسید</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قائل به دخالت محتوا و سبک خواندن در تحقّق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در مواردی نمی‌توان تنها به غنائی بودن نوای خواننده اکتفاء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محتوای آواز هم باطل بوده و در نزد عقلاء صحیح خوانده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ایشان محلّ اشکالاتی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به نظریه مرحوم خوئی</w:t>
      </w:r>
    </w:p>
    <w:p>
      <w:pPr>
        <w:pStyle w:val="BookText"/>
        <w:rPr/>
      </w:pPr>
      <w:r>
        <w:rPr>
          <w:rFonts w:ascii="IRNazanin" w:hAnsi="IRNazanin" w:eastAsia="IRNazanin"/>
          <w:color w:val="111111"/>
          <w:sz w:val="28"/>
          <w:sz w:val="28"/>
          <w:szCs w:val="28"/>
          <w:rtl w:val="true"/>
          <w:lang w:bidi="fa-IR"/>
        </w:rPr>
        <w:t>به نظر ما سه اشکال به کلام ایشان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بطلان محتوای غناء در تحقّق غناء نقشی را قائل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دخالت محتوا مخالف با مبنای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رابطه با محتوای باطل تعبیری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المعاني المهيّجة للشهوة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تعبیر اگر محتوای غناء مهیّج شهوت حقّ و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موسیقی را گوش کند تا برای حلیله‌ی خود تهییج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بر اساس کلام ایشان قائل شد این نوع غناء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بیان ایشان،ملاک حرمت کیفیتی در غناء است که مناسب مجالس رقص و تلهّی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بر اساس صدر کلام ایشان که غناء را به تحریک شهوات باطله می‌دانستند،اگر رقص و تلهّی هم برای لذّات حلال باشد،مشکلی نداشته و باید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کلام ایشان یک نحو تناقضی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 هم بر اساس همین تناقض اشکالاتی به کلام ایشان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 دو قسم از غناء را در کلام خود تعریف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قسم لحن بعلاوه مادّه حرمت را شکل می‌دادند و در قسم دوّم تنها لحن و سبک موجب حرمت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اوّلی که ایشان از غنای حرام تصویر می‌کنند،نمی‌توان دلیلی برای حرمتش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این قسم سبک به اندازه‌ای مناسب با مجالس اهل فسق و فجور باشد که نتوان به حلّیت آن قائل شد،داخل در قسم دوّم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لهوی بودن سبک و لحن به این اندازه نرسیده است،نمی‌توان دلیلی برای حرمت آن تراشید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بازگشت به کلام شیخ انصاری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کلام مرحوم شیخ انصاری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قائل بودند حرمت غناء به جهت تحقّق خصوصیت لهو و بطلان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ملاک حرمت غناء همین قید لهویّت نوا و صدا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برای این ادّعا به روایاتی استدلال می‌کنند</w:t>
      </w:r>
      <w:r>
        <w:rPr>
          <w:rFonts w:eastAsia="IRNazanin" w:cs="IRNazanin"/>
          <w:color w:val="111111"/>
          <w:sz w:val="28"/>
          <w:szCs w:val="28"/>
          <w:rtl w:val="true"/>
          <w:lang w:bidi="fa-IR"/>
        </w:rPr>
        <w:t>.</w:t>
      </w:r>
      <w:bookmarkStart w:id="76" w:name="pg4642_53980"/>
    </w:p>
    <w:p>
      <w:pPr>
        <w:pStyle w:val="BookText"/>
        <w:rPr/>
      </w:pPr>
      <w:bookmarkEnd w:id="76"/>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يَحْيَى</w:t>
      </w:r>
      <w:r>
        <w:rPr>
          <w:rStyle w:val="FootnoteAnchor"/>
          <w:rtl w:val="true"/>
        </w:rPr>
        <w:footnoteReference w:id="331"/>
      </w:r>
      <w:r>
        <w:rPr>
          <w:rFonts w:ascii="Amiri" w:hAnsi="Amiri" w:eastAsia="Amiri" w:cs="Amiri"/>
          <w:color w:val="111111"/>
          <w:sz w:val="28"/>
          <w:sz w:val="28"/>
          <w:szCs w:val="28"/>
          <w:rtl w:val="true"/>
          <w:lang w:bidi="ar-SA"/>
        </w:rPr>
        <w:t xml:space="preserve">  عَنْ أَحْمَدَ بْنِ مُحَمَّدٍ</w:t>
      </w:r>
      <w:r>
        <w:rPr>
          <w:rStyle w:val="FootnoteAnchor"/>
          <w:rtl w:val="true"/>
        </w:rPr>
        <w:footnoteReference w:id="332"/>
      </w:r>
      <w:r>
        <w:rPr>
          <w:rFonts w:ascii="Amiri" w:hAnsi="Amiri" w:eastAsia="Amiri" w:cs="Amiri"/>
          <w:color w:val="111111"/>
          <w:sz w:val="28"/>
          <w:sz w:val="28"/>
          <w:szCs w:val="28"/>
          <w:rtl w:val="true"/>
          <w:lang w:bidi="ar-SA"/>
        </w:rPr>
        <w:t xml:space="preserve">  عَنِ ابْنِ فَضَّالٍ</w:t>
      </w:r>
      <w:r>
        <w:rPr>
          <w:rStyle w:val="FootnoteAnchor"/>
          <w:rtl w:val="true"/>
        </w:rPr>
        <w:footnoteReference w:id="333"/>
      </w:r>
      <w:r>
        <w:rPr>
          <w:rFonts w:ascii="Amiri" w:hAnsi="Amiri" w:eastAsia="Amiri" w:cs="Amiri"/>
          <w:color w:val="111111"/>
          <w:sz w:val="28"/>
          <w:sz w:val="28"/>
          <w:szCs w:val="28"/>
          <w:rtl w:val="true"/>
          <w:lang w:bidi="ar-SA"/>
        </w:rPr>
        <w:t xml:space="preserve">  عَنْ يُونُسَ بْنِ يَعْقُوبَ</w:t>
      </w:r>
      <w:r>
        <w:rPr>
          <w:rStyle w:val="FootnoteAnchor"/>
          <w:rtl w:val="true"/>
        </w:rPr>
        <w:footnoteReference w:id="334"/>
      </w:r>
      <w:r>
        <w:rPr>
          <w:rFonts w:ascii="Amiri" w:hAnsi="Amiri" w:eastAsia="Amiri" w:cs="Amiri"/>
          <w:color w:val="111111"/>
          <w:sz w:val="28"/>
          <w:sz w:val="28"/>
          <w:szCs w:val="28"/>
          <w:rtl w:val="true"/>
          <w:lang w:bidi="ar-SA"/>
        </w:rPr>
        <w:t xml:space="preserve">  عَنْ عَبْدِ الْأَعْلَى</w:t>
      </w:r>
      <w:r>
        <w:rPr>
          <w:rStyle w:val="FootnoteAnchor"/>
          <w:rtl w:val="true"/>
        </w:rPr>
        <w:footnoteReference w:id="335"/>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جِئْنَاکمْ جِئْنَاکمْ حَيُّونَا حَيُّونَا نُحَيِّکمْ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کنَّا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w:t>
      </w:r>
      <w:r>
        <w:rPr>
          <w:rStyle w:val="FootnoteAnchor"/>
          <w:rtl w:val="true"/>
        </w:rPr>
        <w:footnoteReference w:id="336"/>
      </w:r>
      <w:r>
        <w:rPr>
          <w:rFonts w:ascii="Amiri" w:hAnsi="Amiri" w:eastAsia="Amiri" w:cs="Amiri"/>
          <w:color w:val="111111"/>
          <w:sz w:val="28"/>
          <w:sz w:val="28"/>
          <w:szCs w:val="28"/>
          <w:rtl w:val="true"/>
          <w:lang w:bidi="ar-SA"/>
        </w:rPr>
        <w:t xml:space="preserve">  فَإِذا هُوَ زاهِقٌ وَ لَکمُ الْوَيْلُ مِمَّا تَصِفُون‌</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 رَجُلٌ لَمْ يَحْضُرِ الْمَجْلِسَ</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مرحوم شیخ قائل هستند این روایت غناء را از افراد لهو و لعب و باطل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هم رخصت نبی را امام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جهت لهو و باطل در غناء محقّق است و نمی‌توان در ان ترخیص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296154_2035185390"/>
      <w:bookmarkStart w:id="78" w:name="_Toc26"/>
      <w:bookmarkEnd w:id="77"/>
      <w:r>
        <w:rPr>
          <w:rtl w:val="true"/>
        </w:rPr>
        <w:t>بررسي اقوال علماء ذيل ادلّه حرمت غناء</w:t>
      </w:r>
      <w:r>
        <w:rPr>
          <w:rtl w:val="true"/>
        </w:rPr>
        <w:t>/</w:t>
      </w:r>
      <w:r>
        <w:rPr>
          <w:rtl w:val="true"/>
        </w:rPr>
        <w:t>مبحث غناء</w:t>
      </w:r>
      <w:r>
        <w:rPr>
          <w:rtl w:val="true"/>
        </w:rPr>
        <w:t>/</w:t>
      </w:r>
      <w:r>
        <w:rPr>
          <w:rtl w:val="true"/>
        </w:rPr>
        <w:t xml:space="preserve">مكاسب محرّمه؛ </w:t>
      </w:r>
      <w:r>
        <w:rPr/>
        <w:t>96/09/20</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 علماء ذیل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بررسی ادلّه‌ای رسید که شیخ انصاری در اثبات مدّعای خود اقامه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قائل بود جهت حرمت در غناء لهوی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رابطه استدل به روایاتی می‌کردند؛یکی از این روایات روایتی از امام صادق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يَحْيَى</w:t>
      </w:r>
      <w:r>
        <w:rPr>
          <w:rStyle w:val="FootnoteAnchor"/>
          <w:rtl w:val="true"/>
        </w:rPr>
        <w:footnoteReference w:id="339"/>
      </w:r>
      <w:r>
        <w:rPr>
          <w:rFonts w:ascii="Amiri" w:hAnsi="Amiri" w:eastAsia="Amiri" w:cs="Amiri"/>
          <w:color w:val="111111"/>
          <w:sz w:val="28"/>
          <w:sz w:val="28"/>
          <w:szCs w:val="28"/>
          <w:rtl w:val="true"/>
          <w:lang w:bidi="ar-SA"/>
        </w:rPr>
        <w:t xml:space="preserve">  عَنْ أَحْمَدَ بْنِ مُحَمَّدٍ</w:t>
      </w:r>
      <w:r>
        <w:rPr>
          <w:rStyle w:val="FootnoteAnchor"/>
          <w:rtl w:val="true"/>
        </w:rPr>
        <w:footnoteReference w:id="340"/>
      </w:r>
      <w:r>
        <w:rPr>
          <w:rFonts w:ascii="Amiri" w:hAnsi="Amiri" w:eastAsia="Amiri" w:cs="Amiri"/>
          <w:color w:val="111111"/>
          <w:sz w:val="28"/>
          <w:sz w:val="28"/>
          <w:szCs w:val="28"/>
          <w:rtl w:val="true"/>
          <w:lang w:bidi="ar-SA"/>
        </w:rPr>
        <w:t xml:space="preserve">  عَنِ ابْنِ فَضَّالٍ</w:t>
      </w:r>
      <w:r>
        <w:rPr>
          <w:rStyle w:val="FootnoteAnchor"/>
          <w:rtl w:val="true"/>
        </w:rPr>
        <w:footnoteReference w:id="341"/>
      </w:r>
      <w:r>
        <w:rPr>
          <w:rFonts w:ascii="Amiri" w:hAnsi="Amiri" w:eastAsia="Amiri" w:cs="Amiri"/>
          <w:color w:val="111111"/>
          <w:sz w:val="28"/>
          <w:sz w:val="28"/>
          <w:szCs w:val="28"/>
          <w:rtl w:val="true"/>
          <w:lang w:bidi="ar-SA"/>
        </w:rPr>
        <w:t xml:space="preserve">  عَنْ يُونُسَ بْنِ يَعْقُوبَ</w:t>
      </w:r>
      <w:r>
        <w:rPr>
          <w:rStyle w:val="FootnoteAnchor"/>
          <w:rtl w:val="true"/>
        </w:rPr>
        <w:footnoteReference w:id="342"/>
      </w:r>
      <w:r>
        <w:rPr>
          <w:rFonts w:ascii="Amiri" w:hAnsi="Amiri" w:eastAsia="Amiri" w:cs="Amiri"/>
          <w:color w:val="111111"/>
          <w:sz w:val="28"/>
          <w:sz w:val="28"/>
          <w:szCs w:val="28"/>
          <w:rtl w:val="true"/>
          <w:lang w:bidi="ar-SA"/>
        </w:rPr>
        <w:t xml:space="preserve">  عَنْ عَبْدِ الْأَعْلَى</w:t>
      </w:r>
      <w:r>
        <w:rPr>
          <w:rStyle w:val="FootnoteAnchor"/>
          <w:rtl w:val="true"/>
        </w:rPr>
        <w:footnoteReference w:id="34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جِئْنَاکمْ جِئْنَاکمْ حَيُّونَا حَيُّونَا نُحَيِّکمْ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کنَّا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w:t>
      </w:r>
      <w:r>
        <w:rPr>
          <w:rStyle w:val="FootnoteAnchor"/>
          <w:rtl w:val="true"/>
        </w:rPr>
        <w:footnoteReference w:id="344"/>
      </w:r>
      <w:r>
        <w:rPr>
          <w:rFonts w:ascii="Amiri" w:hAnsi="Amiri" w:eastAsia="Amiri" w:cs="Amiri"/>
          <w:color w:val="111111"/>
          <w:sz w:val="28"/>
          <w:sz w:val="28"/>
          <w:szCs w:val="28"/>
          <w:rtl w:val="true"/>
          <w:lang w:bidi="ar-SA"/>
        </w:rPr>
        <w:t xml:space="preserve">  فَإِذا هُوَ زاهِقٌ وَ لَکمُ الْوَيْلُ مِمَّا تَصِفُون‌</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 رَجُلٌ لَمْ يَحْضُرِ الْمَجْلِسَ</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محتوای این روایت دقّت بفرمائید،آنچه در محضر امام صادق رخصت رسول خدا به خواندنش را نقل می‌کنند و امام هم از آن نهی کرده و قائل به جوازش را تکذیب می‌کند،محتوای باطلی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از تحیّت است و هیچ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تهییج شهوتی هم با شنیدن آن رخ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صحّت محتوای شعر می‌توان فهمید،غنائی که در روایت نهی می‌شود ناظر به کیفیّت صدا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محتوی هیچ جهت باطلی ندارد تا مشکلی برای آن از حیث شرعی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سبک خواندن این جمله به نحوی بوده باشد که غناء محقّق شده و حرمت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سوی دیگر اگر کمی روی این شعر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جِئْنَاکمْ جِئْنَاکمْ حَيُّونَا حَيُّونَا نُحَيِّکمْ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کنیم،نمی‌توان هیچ حیثیت حرامی از غناء در آن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 که گذشت محتوای این شعر هیچ مشکلی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این مقدار کم از شعر را به هر سبکی بخوانیم،نمی‌توان ملاک حرمت را در آن محقّق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مقدار قابلیت ترجیع دارد و نه قابلیت به رقص درآوردن کسی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از این جهت روایت گویا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این جمله منقول در روایت اشاره به یک شعر بلندی دارد که مثلا شاه‌بیتی داشته و این شاه بیت همین یک خط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این را با هم می‌خواندند و تکرار می‌شده و رقص و پایکوبی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از این جهت روایت با اجمالی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هم همین نکته را در ذیل روایت طرح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محتوای باطلی در این روایت نمی‌توانیم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ایروانی قائل هستند این جمله از آنجا که معنی مشخّصی ندارد،لغو است و لغو هم باطل و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 این سخن ناصحیح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ملاک ایشان برای بطلان این جمله و حرمت آن را قبول کنیم،باید قائل باشیم اکثر حرفهای روزمره مردم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حرف لغوی حرام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Style w:val="FootnoteAnchor"/>
          <w:rtl w:val="true"/>
        </w:rPr>
        <w:footnoteReference w:id="347"/>
      </w:r>
      <w:r>
        <w:rPr>
          <w:rFonts w:ascii="Amiri" w:hAnsi="Amiri" w:eastAsia="Amiri" w:cs="Amiri"/>
          <w:color w:val="111111"/>
          <w:sz w:val="28"/>
          <w:sz w:val="28"/>
          <w:szCs w:val="28"/>
          <w:rtl w:val="true"/>
          <w:lang w:bidi="ar-SA"/>
        </w:rPr>
        <w:t xml:space="preserve"> عَنْ سَهْلٍ</w:t>
      </w:r>
      <w:r>
        <w:rPr>
          <w:rStyle w:val="FootnoteAnchor"/>
          <w:rtl w:val="true"/>
        </w:rPr>
        <w:footnoteReference w:id="348"/>
      </w:r>
      <w:r>
        <w:rPr>
          <w:rFonts w:ascii="Amiri" w:hAnsi="Amiri" w:eastAsia="Amiri" w:cs="Amiri"/>
          <w:color w:val="111111"/>
          <w:sz w:val="28"/>
          <w:sz w:val="28"/>
          <w:szCs w:val="28"/>
          <w:rtl w:val="true"/>
          <w:lang w:bidi="ar-SA"/>
        </w:rPr>
        <w:t xml:space="preserve"> عَنْ عَلِيِّ بْنِ الرَّيَّانِ</w:t>
      </w:r>
      <w:r>
        <w:rPr>
          <w:rStyle w:val="FootnoteAnchor"/>
          <w:rtl w:val="true"/>
        </w:rPr>
        <w:footnoteReference w:id="349"/>
      </w:r>
      <w:r>
        <w:rPr>
          <w:rFonts w:ascii="Amiri" w:hAnsi="Amiri" w:eastAsia="Amiri" w:cs="Amiri"/>
          <w:color w:val="111111"/>
          <w:sz w:val="28"/>
          <w:sz w:val="28"/>
          <w:szCs w:val="28"/>
          <w:rtl w:val="true"/>
          <w:lang w:bidi="ar-SA"/>
        </w:rPr>
        <w:t xml:space="preserve"> عَنْ يُونُسَ</w:t>
      </w:r>
      <w:r>
        <w:rPr>
          <w:rStyle w:val="FootnoteAnchor"/>
          <w:rtl w:val="true"/>
        </w:rPr>
        <w:footnoteReference w:id="350"/>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ذَکرَ عَنْک أَنَّک تُرَخِّصُ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الزِّنْدِيقُ مَا هَکذَا قُلْتُ لَهُ سَأَلَنِي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فَأَيْنَ يَکونُ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حَکمْتَ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این روایت فی‌الجمله دلالت بر حرمت غناء دارد و پیش از این بحث از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الْبَيْهَقِيِّ</w:t>
      </w:r>
      <w:r>
        <w:rPr>
          <w:rStyle w:val="FootnoteAnchor"/>
          <w:rtl w:val="true"/>
        </w:rPr>
        <w:footnoteReference w:id="352"/>
      </w:r>
      <w:r>
        <w:rPr>
          <w:rFonts w:ascii="Amiri" w:hAnsi="Amiri" w:eastAsia="Amiri" w:cs="Amiri"/>
          <w:color w:val="111111"/>
          <w:sz w:val="28"/>
          <w:sz w:val="28"/>
          <w:szCs w:val="28"/>
          <w:rtl w:val="true"/>
          <w:lang w:bidi="ar-SA"/>
        </w:rPr>
        <w:t xml:space="preserve">  عَنْ مُحَمَّدِ بْنِ يَحْيَى الصَّوْلِيِّ</w:t>
      </w:r>
      <w:r>
        <w:rPr>
          <w:rStyle w:val="FootnoteAnchor"/>
          <w:rtl w:val="true"/>
        </w:rPr>
        <w:footnoteReference w:id="353"/>
      </w:r>
      <w:r>
        <w:rPr>
          <w:rFonts w:ascii="Amiri" w:hAnsi="Amiri" w:eastAsia="Amiri" w:cs="Amiri"/>
          <w:color w:val="111111"/>
          <w:sz w:val="28"/>
          <w:sz w:val="28"/>
          <w:szCs w:val="28"/>
          <w:rtl w:val="true"/>
          <w:lang w:bidi="ar-SA"/>
        </w:rPr>
        <w:t xml:space="preserve">  عَنْ</w:t>
      </w:r>
    </w:p>
    <w:p>
      <w:pPr>
        <w:pStyle w:val="BookText"/>
        <w:rPr/>
      </w:pPr>
      <w:r>
        <w:rPr>
          <w:rFonts w:ascii="Amiri" w:hAnsi="Amiri" w:eastAsia="Amiri" w:cs="Amiri"/>
          <w:color w:val="111111"/>
          <w:sz w:val="28"/>
          <w:sz w:val="28"/>
          <w:szCs w:val="28"/>
          <w:rtl w:val="true"/>
          <w:lang w:bidi="ar-SA"/>
        </w:rPr>
        <w:t>عَوْنِ بْنِ مُحَمَّدٍ الْکاتِبِ</w:t>
      </w:r>
      <w:r>
        <w:rPr>
          <w:rStyle w:val="FootnoteAnchor"/>
          <w:rtl w:val="true"/>
        </w:rPr>
        <w:footnoteReference w:id="354"/>
      </w:r>
      <w:r>
        <w:rPr>
          <w:rFonts w:ascii="Amiri" w:hAnsi="Amiri" w:eastAsia="Amiri" w:cs="Amiri"/>
          <w:color w:val="111111"/>
          <w:sz w:val="28"/>
          <w:sz w:val="28"/>
          <w:szCs w:val="28"/>
          <w:rtl w:val="true"/>
          <w:lang w:bidi="ar-SA"/>
        </w:rPr>
        <w:t xml:space="preserve">  عَنْ مُحَمَّدِ بْنِ أَبِي عَبَّادٍ</w:t>
      </w:r>
      <w:r>
        <w:rPr>
          <w:rStyle w:val="FootnoteAnchor"/>
          <w:rtl w:val="true"/>
        </w:rPr>
        <w:footnoteReference w:id="355"/>
      </w:r>
      <w:r>
        <w:rPr>
          <w:rFonts w:ascii="Amiri" w:hAnsi="Amiri" w:eastAsia="Amiri" w:cs="Amiri"/>
          <w:color w:val="111111"/>
          <w:sz w:val="28"/>
          <w:sz w:val="28"/>
          <w:szCs w:val="28"/>
          <w:rtl w:val="true"/>
          <w:lang w:bidi="ar-SA"/>
        </w:rPr>
        <w:t xml:space="preserve">  وَ کانَ مُسْتَهْتَراً</w:t>
      </w:r>
      <w:r>
        <w:rPr>
          <w:rStyle w:val="FootnoteAnchor"/>
          <w:rtl w:val="true"/>
        </w:rPr>
        <w:footnoteReference w:id="356"/>
      </w:r>
      <w:r>
        <w:rPr>
          <w:rStyle w:val="FootnoteAnchor"/>
          <w:rtl w:val="true"/>
        </w:rPr>
        <w:footnoteReference w:id="357"/>
      </w:r>
      <w:r>
        <w:rPr>
          <w:rFonts w:ascii="Amiri" w:hAnsi="Amiri" w:eastAsia="Amiri" w:cs="Amiri"/>
          <w:color w:val="111111"/>
          <w:sz w:val="28"/>
          <w:sz w:val="28"/>
          <w:szCs w:val="28"/>
          <w:rtl w:val="true"/>
          <w:lang w:bidi="ar-SA"/>
        </w:rPr>
        <w:t xml:space="preserve">  بِالسَّمَاعِ وَ یشرب</w:t>
      </w:r>
      <w:r>
        <w:rPr>
          <w:rStyle w:val="FootnoteAnchor"/>
          <w:rtl w:val="true"/>
        </w:rPr>
        <w:footnoteReference w:id="358"/>
      </w:r>
      <w:r>
        <w:rPr>
          <w:rFonts w:ascii="Amiri" w:hAnsi="Amiri" w:eastAsia="Amiri" w:cs="Amiri"/>
          <w:color w:val="111111"/>
          <w:sz w:val="28"/>
          <w:sz w:val="28"/>
          <w:szCs w:val="28"/>
          <w:rtl w:val="true"/>
          <w:lang w:bidi="ar-SA"/>
        </w:rPr>
        <w:t xml:space="preserve">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السَّمَاعِ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الْحِجَازِ فِيهِ رَأْيٌ</w:t>
      </w:r>
      <w:r>
        <w:rPr>
          <w:rStyle w:val="FootnoteAnchor"/>
          <w:rtl w:val="true"/>
        </w:rPr>
        <w:footnoteReference w:id="359"/>
      </w:r>
      <w:r>
        <w:rPr>
          <w:rFonts w:ascii="Amiri" w:hAnsi="Amiri" w:eastAsia="Amiri" w:cs="Amiri"/>
          <w:color w:val="111111"/>
          <w:sz w:val="28"/>
          <w:sz w:val="28"/>
          <w:szCs w:val="28"/>
          <w:rtl w:val="true"/>
          <w:lang w:bidi="ar-SA"/>
        </w:rPr>
        <w:t xml:space="preserve">  وَ هُوَ فِي حَيِّزِ الْبَاطِلِ وَ اللَّهْوِ أَمَا سَمِعْتَ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این روایت هم ضعف سندی دارد و هم صرف تطبیق عنوان لغو بر موضوعی حرمتی برای آن اثبات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لغوی حرام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الْأَعْمَشِ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شَرَائِعِ الدِّين‌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الْکبَائِرُ مُحَرَّمَةٌ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الْمَلَاهِي الَّتِي تَصُدُّ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مَکرُوهَةٌ کالْغِنَاءِ وَ ضَرْبِ الْأَوْتَارِ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روایت هم سند ضعیفی دارد و هم تصریح بر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أَصْحَابِنَا عَنْ سَهْلِ بْنِ زِيَادٍ</w:t>
      </w:r>
      <w:r>
        <w:rPr>
          <w:rStyle w:val="FootnoteAnchor"/>
          <w:rtl w:val="true"/>
        </w:rPr>
        <w:footnoteReference w:id="363"/>
      </w:r>
      <w:r>
        <w:rPr>
          <w:rFonts w:ascii="Amiri" w:hAnsi="Amiri" w:eastAsia="Amiri" w:cs="Amiri"/>
          <w:color w:val="111111"/>
          <w:sz w:val="28"/>
          <w:sz w:val="28"/>
          <w:szCs w:val="28"/>
          <w:rtl w:val="true"/>
          <w:lang w:bidi="ar-SA"/>
        </w:rPr>
        <w:t xml:space="preserve">  عَنِ الْحَسَنِ بْنِ عَلِيٍّ الْوَشَّاءِ</w:t>
      </w:r>
      <w:r>
        <w:rPr>
          <w:rStyle w:val="FootnoteAnchor"/>
          <w:rtl w:val="true"/>
        </w:rPr>
        <w:footnoteReference w:id="364"/>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الْمُغَنِّيَةِ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تَکونُ لِلرَّجُلِ الْجَارِيَةُ تُلْهِيهِ وَ مَا ثَمَنُهَا إِلَّا ثَمَنُ کلْبٍ وَ ثَمَنُ الْکلْبِ سُحْتٌ وَ السُّحْتُ فِي النَّارِ</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روایت،روایت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 بر حرمت خرید و فروش زن خواننده و مغنّیه دلالت دارد و دلالتی بر حرمت خرید و فروش عبد مغنّی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امام خمینی</w:t>
      </w:r>
    </w:p>
    <w:p>
      <w:pPr>
        <w:pStyle w:val="BookText"/>
        <w:rPr/>
      </w:pPr>
      <w:r>
        <w:rPr>
          <w:rFonts w:ascii="IRNazanin" w:hAnsi="IRNazanin" w:eastAsia="IRNazanin"/>
          <w:color w:val="111111"/>
          <w:sz w:val="28"/>
          <w:sz w:val="28"/>
          <w:szCs w:val="28"/>
          <w:rtl w:val="true"/>
          <w:lang w:bidi="fa-IR"/>
        </w:rPr>
        <w:t>مرحوم امام در مقام اشکال به شیخ انصاری،سخن ایشان را خلاف ظاهر روایات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ایشان آنچه از ادلّه حرمت غناء به دست می‌آید،حرمت غناء از آن جهت است که موضوع برای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غناء به جهت محتوای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جهت کیفیّت صوت خواننده و این برداشت مرحوم شیخ انصاری مخالف با فهمی است که عرف از این روایات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 انصاری ذیل روایات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مرحوم شیخ عنوانی که در اصل موضوع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غناء از آن جهت که لهو است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جایی غنائی محقّق شد،ولی خصوصیت لهوی در آن دیده نمی‌شد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موضوعی لهو محقّق شد،ولی غناء نبود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موضوع حرمت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غناء در نظر ایشان از جهت تحقّق لهو خواهد بود</w:t>
      </w:r>
      <w:r>
        <w:rPr>
          <w:rFonts w:eastAsia="IRNazanin" w:cs="IRNazanin"/>
          <w:color w:val="111111"/>
          <w:sz w:val="28"/>
          <w:szCs w:val="28"/>
          <w:rtl w:val="true"/>
          <w:lang w:bidi="fa-IR"/>
        </w:rPr>
        <w:t>.</w:t>
      </w:r>
      <w:r>
        <w:rPr>
          <w:rStyle w:val="FootnoteAnchor"/>
          <w:rtl w:val="true"/>
        </w:rPr>
        <w:footnoteReference w:id="366"/>
      </w:r>
      <w:bookmarkStart w:id="79" w:name="pg4642_53985"/>
    </w:p>
    <w:p>
      <w:pPr>
        <w:pStyle w:val="BookText"/>
        <w:rPr/>
      </w:pPr>
      <w:bookmarkEnd w:id="79"/>
      <w:r>
        <w:rPr>
          <w:rFonts w:ascii="IRNazanin" w:hAnsi="IRNazanin" w:eastAsia="IRNazanin"/>
          <w:color w:val="111111"/>
          <w:sz w:val="28"/>
          <w:sz w:val="28"/>
          <w:szCs w:val="28"/>
          <w:rtl w:val="true"/>
          <w:lang w:bidi="fa-IR"/>
        </w:rPr>
        <w:t>بنظر ما،این کلام شیخ انصاری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حرمت غناء را دائر مدار تحقّق لهو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نمی‌توان هر لهوی را حرام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غناء دائر مدار تحقّق قیود نفس 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یقین به صدق غنای حرام بر آن داشتیم،حرام خواهد بود و باقی مصادیق مشکوکه محکوم به اصل اباحه و جائز هستند</w:t>
      </w:r>
      <w:r>
        <w:rPr>
          <w:rFonts w:eastAsia="IRNazanin" w:cs="IRNazanin"/>
          <w:color w:val="111111"/>
          <w:sz w:val="28"/>
          <w:szCs w:val="28"/>
          <w:rtl w:val="true"/>
          <w:lang w:bidi="fa-IR"/>
        </w:rPr>
        <w:t>.</w:t>
      </w:r>
    </w:p>
    <w:p>
      <w:pPr>
        <w:pStyle w:val="Heading2"/>
        <w:numPr>
          <w:ilvl w:val="1"/>
          <w:numId w:val="1"/>
        </w:numPr>
        <w:rPr/>
      </w:pPr>
      <w:bookmarkStart w:id="80" w:name="__RefHeading___Toc296156_2035185390"/>
      <w:bookmarkStart w:id="81" w:name="_Toc27"/>
      <w:bookmarkEnd w:id="80"/>
      <w:r>
        <w:rPr>
          <w:rtl w:val="true"/>
        </w:rPr>
        <w:t>بررسي اقوال علماء ذيل روايات حرمت غناء</w:t>
      </w:r>
      <w:r>
        <w:rPr>
          <w:rtl w:val="true"/>
        </w:rPr>
        <w:t>/</w:t>
      </w:r>
      <w:r>
        <w:rPr>
          <w:rtl w:val="true"/>
        </w:rPr>
        <w:t>مبحث غناء</w:t>
      </w:r>
      <w:r>
        <w:rPr>
          <w:rtl w:val="true"/>
        </w:rPr>
        <w:t>/</w:t>
      </w:r>
      <w:r>
        <w:rPr>
          <w:rtl w:val="true"/>
        </w:rPr>
        <w:t xml:space="preserve">مكاسب محرّمه؛ </w:t>
      </w:r>
      <w:r>
        <w:rPr/>
        <w:t>96/09/21</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 علماء ذیل روایات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بحال از بررسی ادلّه حرمت غناء فارغ شده و به بررسی اقوال فقهای گرانقدر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قول مرحوم شیخ انصاری</w:t>
      </w:r>
    </w:p>
    <w:p>
      <w:pPr>
        <w:pStyle w:val="BookText"/>
        <w:rPr/>
      </w:pPr>
      <w:r>
        <w:rPr>
          <w:rFonts w:ascii="IRNazanin" w:hAnsi="IRNazanin" w:eastAsia="IRNazanin"/>
          <w:color w:val="111111"/>
          <w:sz w:val="28"/>
          <w:sz w:val="28"/>
          <w:szCs w:val="28"/>
          <w:rtl w:val="true"/>
          <w:lang w:bidi="fa-IR"/>
        </w:rPr>
        <w:t>مرحوم شیخ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المحصّل من الأدلّة المتقدّمة حرمة الصوت المرجّع فيه على سبيل اللهو؛ فإنّ اللهو کما يکون بآلة من غير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کضرب الأوتار و نحوه و بالصوت في الآلة کالمزمار و القصب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يکون بالصوت المجرّد؛ فکلّ صوت‌ يکون لهواً بکيفيّة و معدوداً من ألحان أهل الفسوق و المعاصي، فهو حرام و إن فرض أنّه ليس بغناء و کلّ ما لا يعدّ لهواً فليس بحرام و إن فرض صدق الغناء عليه فرضاً غير محقّق</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ملاک صدق حرمت غناء را لهوی بودن آن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ایشان غناء را از موضوعیت انداخته و موضوع اصلی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به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اشکالاتی که به ایشان وارد کرده‌اند ناظر به اخذ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غناء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مستشکل وجهی برای اخذ چنین قیدی در موضوع حرمت نمی‌یابد؛چرا که اساسا چنین قیدی را در روایات ندیدیم و تنها در کتب معاجم لغوی در توضیح مفهوم غناء به آن اشاره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توجّه به کلام مرحوم شیخ انصاری نشان می‌دهد که ایشان موضوع و مناط حرمت را لهو می‌دانند و برای غناء موضوعیتی قائل نیستند؛پس نمی‌توان یک قیدی را که برخی از لغویّون در رابطه با مفهوم غناء در تعریف خود آورده‌اند،به عنوان قیدی برای موضوع حرمت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مرحوم شیخ مناط و موضوع اصلی حرمت را تحقّق عنوان لهو دانستند،دلیلی برای محدود نمودن آن به صوت دارای ترجیع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لهو اعمّ از صوت دارای ترجیع بوده و فاقد آن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ما،مرحوم شیخ در باب تحدید قدر متیقّن از غناء محرّم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از روایات به دست آوردیم و در عناوین آیات اخذ شده بود،مفهوم لهو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بخواهیم قدر متیقّن از غنای محرّم را مشخّص کنیم،باید قید ترجیع را لحاظ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لهوی حرام نیست و تصوّر مرتبه‌ی حرام از لهو در یک صوت،با اخذ قید ترجیع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دیگری که این تعریف از نظر برخی گرفتار آن است،ابهامی است که سایه بر این تعریف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به دنبال تحدید موضوع غنای محرّم در لسان روایات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جای توضیح این مفهوم،ما را به مفهومی دیگر منتقل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تعریف ایشان از موضوع حرمت آمده است،به همان اندازه غیر واضح است که خود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تعریف وافی به غرض ما از تعریف موضوع حرمت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به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مرحوم شیخ انصاری آنچه موضوع حرمت است،عنوان لهو است؛امّا لهو علّت حرمت غناء است و نمی‌توان جای علل و موضوعات را با یکدیگر خلط نموده و یکی را به جای دیگری تصوّر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ما موضوع ادلّه تحریم خمر را،خودِ مایعی به نام خمر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تحریم خمر اسکاری است که در خمر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را نباید به جای یکدیگر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اسکار را نمی‌توان موضوع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 علّت تحریم 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هم آنچه موضوع است،خود غناء است و لهوی بودن صوت،علّت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اشکال از جانب آیت‌الله سبحانی به مرحوم شیخ وارد آمده است</w:t>
      </w:r>
      <w:r>
        <w:rPr>
          <w:rStyle w:val="FootnoteAnchor"/>
          <w:rtl w:val="true"/>
        </w:rPr>
        <w:footnoteReference w:id="368"/>
      </w:r>
      <w:r>
        <w:rPr>
          <w:rFonts w:ascii="IRNazanin" w:hAnsi="IRNazanin" w:eastAsia="IRNazanin"/>
          <w:color w:val="111111"/>
          <w:sz w:val="28"/>
          <w:sz w:val="28"/>
          <w:szCs w:val="28"/>
          <w:rtl w:val="true"/>
          <w:lang w:bidi="fa-IR"/>
        </w:rPr>
        <w:t xml:space="preserve"> ،که بنظر ما اشکالات ایشان در مقام بسیار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مراد شیخ انصاری از عنوان لهو</w:t>
      </w:r>
    </w:p>
    <w:p>
      <w:pPr>
        <w:pStyle w:val="BookText"/>
        <w:rPr/>
      </w:pPr>
      <w:r>
        <w:rPr>
          <w:rFonts w:ascii="IRNazanin" w:hAnsi="IRNazanin" w:eastAsia="IRNazanin"/>
          <w:color w:val="111111"/>
          <w:sz w:val="28"/>
          <w:sz w:val="28"/>
          <w:szCs w:val="28"/>
          <w:rtl w:val="true"/>
          <w:lang w:bidi="fa-IR"/>
        </w:rPr>
        <w:t xml:space="preserve">مراد مرحوم شیخ انصاری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که گذشت،در جایی دیگر توسّط خود ایشان توضیح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تحقّق لهو را به تحقّق یکی از این دو امر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 از کاری که می‌کنم قصد تلهّی داشته باشم؛همین قصد تلهّی از جانب شخص در تحقّق لهو محرّم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صوت خوانده شده،در نزد مستمعین و شنوندگان به عنوان لهو شناخته شده باشد؛در اینصورت لهو محرّم محقّق می‌شود،حتی اگر شخص خواننده از آن ایجاد لهو را قصد نکرده باشد</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نظر شیخ هر کدام از این دو به تنهایی برای صدق عنوان لهو کافی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ما،هر دو ملاکی که در نظر ایشان ملاک شناخت لهو محرّم است،ناکارآمد است؛آیا قصد به تنهایی می‌تواند حکم ارتکاب غناء محرّم را داشته باشد؟ مثلاً آیا قصد دروغ به تنهایی حکم حرمت دروغ گفتن را دارد؟ قصد حرام،حرام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هر لهوی حرام نیست،همان گونه که هر لغوی نیز حرام نیست؛ نمی‌توان صرف قصد شخص برای ایجاد لهو را دلیل بر حرمت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قصد را در تحقّق لهو مؤثّر دانستیم،نمی‌توان جایی که شخص هیچ قصدی برای ایجاد لهو ندارد،قائل به حرمت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حکم قائل و مستمع یکی نیست بلکه ممکن است برای خواننده لهو نباشد امّا برای مستمع لهو باشد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با شنیدن صدایی،برای کسی اطراب حاصل شود امّا برای کس دیگری حاصل نشود</w:t>
      </w:r>
      <w:r>
        <w:rPr>
          <w:rFonts w:eastAsia="IRNazanin" w:cs="IRNazanin"/>
          <w:color w:val="111111"/>
          <w:sz w:val="28"/>
          <w:szCs w:val="28"/>
          <w:rtl w:val="true"/>
          <w:lang w:bidi="fa-IR"/>
        </w:rPr>
        <w:t>.</w:t>
      </w:r>
      <w:bookmarkStart w:id="82" w:name="pg4642_53988"/>
    </w:p>
    <w:p>
      <w:pPr>
        <w:pStyle w:val="BookText"/>
        <w:rPr/>
      </w:pPr>
      <w:bookmarkEnd w:id="82"/>
      <w:r>
        <w:rPr>
          <w:rFonts w:ascii="IRNazanin" w:hAnsi="IRNazanin" w:eastAsia="IRNazanin"/>
          <w:color w:val="111111"/>
          <w:sz w:val="28"/>
          <w:sz w:val="28"/>
          <w:szCs w:val="28"/>
          <w:rtl w:val="true"/>
          <w:lang w:bidi="fa-IR"/>
        </w:rPr>
        <w:t>از سوی دیگر،ایشان در جایی دیگر از کلامشان ملاک تحقّق لهو را وجدان عرفی می‌دانند؛یعنی به نظر ایشان اگر عرف و وجدان شخص صوتی را مصداق لهو دانست،حرام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صوت را دارای خصوصیاتی دانست که در مجالس رقص و شهوترانی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مرحوم شیخ این وجدان مراتبی دارد و تحقق آن نسبت به افراد مختلف، متفاوت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بنظر ما،این کلام ایشان هم مشکلات سابق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کلام مرحوم شیخ به این نکته اشاره‌ای نمی‌شود،که کدام مرتبه از مراتب لهو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روشن است که هر لهوی را نمی‌توان حرام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به این اطلاقی که در کلام شیخ نشسته است،تنها اگر فاقد هر گونه غرض عقلائی باشد،مرجوح و مکروه است</w:t>
      </w:r>
      <w:r>
        <w:rPr>
          <w:rFonts w:eastAsia="IRNazanin" w:cs="IRNazanin"/>
          <w:color w:val="111111"/>
          <w:sz w:val="28"/>
          <w:szCs w:val="28"/>
          <w:rtl w:val="true"/>
          <w:lang w:bidi="fa-IR"/>
        </w:rPr>
        <w:t>.</w:t>
      </w:r>
    </w:p>
    <w:p>
      <w:pPr>
        <w:pStyle w:val="Heading2"/>
        <w:numPr>
          <w:ilvl w:val="1"/>
          <w:numId w:val="1"/>
        </w:numPr>
        <w:rPr/>
      </w:pPr>
      <w:bookmarkStart w:id="83" w:name="__RefHeading___Toc296158_2035185390"/>
      <w:bookmarkStart w:id="84" w:name="_Toc28"/>
      <w:bookmarkEnd w:id="83"/>
      <w:r>
        <w:rPr>
          <w:rtl w:val="true"/>
        </w:rPr>
        <w:t>اقوال علماء ذيل ادلّه حرمت غناء</w:t>
      </w:r>
      <w:r>
        <w:rPr>
          <w:rtl w:val="true"/>
        </w:rPr>
        <w:t>/</w:t>
      </w:r>
      <w:r>
        <w:rPr>
          <w:rtl w:val="true"/>
        </w:rPr>
        <w:t>مبحث غناء</w:t>
      </w:r>
      <w:r>
        <w:rPr>
          <w:rtl w:val="true"/>
        </w:rPr>
        <w:t>/</w:t>
      </w:r>
      <w:r>
        <w:rPr>
          <w:rtl w:val="true"/>
        </w:rPr>
        <w:t xml:space="preserve">مكاسب محرّمه؛ </w:t>
      </w:r>
      <w:r>
        <w:rPr/>
        <w:t>96/09/25</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علماء ذیل ادلّه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تابحال بحث در رابطه ادلّه حرمت غناء را بررسی کرده و سه قول را ذیل ادلّه حرمت غناء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بررسی قول سوّم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غیری غناء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هم عرض کردیم،یکی از اقوال در باب حرمت غناء حرمت غیری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فی‌نفسه جائز بوده و تنها در صورتی که مقارن با یک محرّم باشد و یا زمینه‌ی حرامی را فراهم کند،حرام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غناء مشروط به اینکه همراه با ترویج اشعار باطل و ناصحیح باشد و یا ترویج فساد کند و یا همراه با آلات موسیقی بوده باشد و یا زمینه‌ای برای اختلاط زنان و مردان بسازد،حرام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 غناء موضوع هیچ حرمتی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این قول را از شذوذ می‌دانستند</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ایشان با توجّه به اینکه غالب فقهای شیعه قائل به حرمت ذاتی غناء هستند و تقریبا می‌توان ادّعا نمود که اتّفاقی پیرامون این حرمت ذاتی آن شکل گرفته است،این قول غریب و بی‌پشتوانه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آیات و روایات می‌فهمیم که غناء حرام است و غناء در لغت صوت مطرب مرجّع لهوی است؛ اگر این عنوان تحقق پیدا 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بنظرما،هر چند که اصل مطلب صحیح است امّا این شکل غریب شمردن قول حرمت غیری بی‌جهت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جواز هم استناد به روایات می‌کنند بنحوی که مرحوم شیخ انصاری در چند موضع تا حدودی متمایل به این قول می‌شوند هر چند در نهایت آن را قبول نمی‌کنند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که ما پیش از این به این قول دادیم،مبتنی بر روایات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 در روایات باب،بیانات مطلق و معتبری بود که می‌توانست حرمت ذاتی غناء را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ما همین کافی بود برای قول به حرمت ذاتی و روایات به ظاهر متعارضی که مستمسک قول به حرمت غیری بود،به هیچ وجه ابطال ذاتی بودن حرمت غناء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آن روایات حرمت را در یک مورد ثابت می‌کرد؛و اثبات شیء نفی ماعدا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مطلق و مقیّد شما مثبتین باشند،نمی‌توان مطلق را به مقیّد تقیید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مولی جایی غناء را مطلقا حرام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بیانی دیگر یکی از مصادیق غناء را به عنوان موضوع حرمت بیان می‌کند،این دلیل بر انحصار حرمت در این مورد و مصداق خاص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ملاک حرمت را در این موضوع شدیدتر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مولی جایی غنای مغنّیه را تحریم کرد،دلیل بر انحصار حرمت غناء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جایی غنای همراه با دخول زنان بر مردان را تحریم کرد،اثبات شیء نفی ماعدا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حکم در جایی دیگر نسبت به تمام مصادیق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موارد تنها خصوصیتی در میزان مفسده و مبغوضیت مورد را به ما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مستثنیات حرمت غناء</w:t>
      </w:r>
    </w:p>
    <w:p>
      <w:pPr>
        <w:pStyle w:val="BookText"/>
        <w:rPr/>
      </w:pPr>
      <w:r>
        <w:rPr>
          <w:rFonts w:ascii="IRNazanin" w:hAnsi="IRNazanin" w:eastAsia="IRNazanin"/>
          <w:color w:val="111111"/>
          <w:sz w:val="28"/>
          <w:sz w:val="28"/>
          <w:szCs w:val="28"/>
          <w:rtl w:val="true"/>
          <w:lang w:bidi="fa-IR"/>
        </w:rPr>
        <w:t>غنای در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در بیانات از حرمت غناء استثناء شده بود،غنائی بود که جاریه مغنّیه در عروسی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سه قول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قول غنای مغنّیه در عروسی را استثناء کرده و قائل به جواز آن به شروطی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قائل به حرمت این غنای خاص بوده و آن را استثناء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سوّم قائل به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غنای در عروسی</w:t>
      </w:r>
    </w:p>
    <w:p>
      <w:pPr>
        <w:pStyle w:val="BookText"/>
        <w:rPr/>
      </w:pPr>
      <w:r>
        <w:rPr>
          <w:rFonts w:ascii="IRNazanin" w:hAnsi="IRNazanin" w:eastAsia="IRNazanin"/>
          <w:color w:val="111111"/>
          <w:sz w:val="28"/>
          <w:sz w:val="28"/>
          <w:szCs w:val="28"/>
          <w:rtl w:val="true"/>
          <w:lang w:bidi="fa-IR"/>
        </w:rPr>
        <w:t>برخی به دلیل اطلاقاتی که در باب تحریم غناء وجود داشت،عروسی را هم مصداقی از موضوع مطلق دانسته و قائل به حرمت 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نمی‌توان ادلّه‌ای که در رابطه با حرمت غناء مطلقا وارده شده است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 این ادّعا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شهید ثانی و امام خمینی هم به این نکته اشاره کرده‌اند،باید بین این مطلقات و روایاتی که غنای مغنّیه در عروسی را جائز می‌شمارند جمع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مطلقات را در مورد غنای مغنّیه در عروسی تخصیص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حرمت رباء که در رابطه با ربائی که میان فرزند و پدر شکل می‌گیرد تخصیص می‌خورد؛روشن است که حرمت غناء شدیدتر از حرمت رباء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دلیلی برای ندیدن روایات جواز غنای عروسی و تکیه به اطلاق برخی دیگر از روایات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میان دو دسته روایت را جمع کرده و غنای مغنّیه در عروسی را استثناء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غنای در عروسی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جواز از سوی قائلین آن مشروط به عدم تقارن با محرّمات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مغنّیه به اشعار باطل غناء بخواند و همچنین نباید به آلات لهو مجلس را آلوده کنند و غنای مغنّیه نباید زمینه‌ای برای اختلاط زن و مرد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تحقّق این شروط می‌توان قائل به جواز غنای مغنّیه در عروسی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مورد قبول اکثر فقهاء و تصریح بزرگانی مثل شیخ طوسی</w:t>
      </w:r>
      <w:r>
        <w:rPr>
          <w:rStyle w:val="FootnoteAnchor"/>
          <w:rtl w:val="true"/>
        </w:rPr>
        <w:footnoteReference w:id="372"/>
      </w:r>
      <w:r>
        <w:rPr>
          <w:rFonts w:ascii="Amiri" w:hAnsi="Amiri" w:eastAsia="Amiri" w:cs="Amiri"/>
          <w:color w:val="111111"/>
          <w:sz w:val="28"/>
          <w:sz w:val="28"/>
          <w:szCs w:val="28"/>
          <w:rtl w:val="true"/>
          <w:lang w:bidi="ar-SA"/>
        </w:rPr>
        <w:t xml:space="preserve"> و محقّق</w:t>
      </w:r>
      <w:r>
        <w:rPr>
          <w:rStyle w:val="FootnoteAnchor"/>
          <w:rtl w:val="true"/>
        </w:rPr>
        <w:footnoteReference w:id="373"/>
      </w:r>
      <w:r>
        <w:rPr>
          <w:rFonts w:ascii="Amiri" w:hAnsi="Amiri" w:eastAsia="Amiri" w:cs="Amiri"/>
          <w:color w:val="111111"/>
          <w:sz w:val="28"/>
          <w:sz w:val="28"/>
          <w:szCs w:val="28"/>
          <w:rtl w:val="true"/>
          <w:lang w:bidi="ar-SA"/>
        </w:rPr>
        <w:t xml:space="preserve"> و علّامه حلّی</w:t>
      </w:r>
      <w:r>
        <w:rPr>
          <w:rStyle w:val="FootnoteAnchor"/>
          <w:rtl w:val="true"/>
        </w:rPr>
        <w:footnoteReference w:id="374"/>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شروط این قول برای جواز غنای مغنّیه در عروسی،نیاز به توضیح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عدم اقتران غناء به دخول مردان بر زنان و ورود آنها به مجالس زنان،مردانی است که نامحرم با خواننده و یا زنان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می‌توان ادّعا کرد اگر خواننده و حاضرین محرم مرد باشند،مشکلی برای دخول او به مجلس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ثانی قائل‌اند مراد از عدم جواز دخول مردان بر مجلس زنان،این است که مردی صدای این زن را که قطعا حرام است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این تفسیر ایشان از شرط مذکور را هم به مردان نامحرم تخصیص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صدای زن را محرم بشنود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این مورد استثناء شده احتیاطی را لازم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این مجلس مغنّیه که در روایات از حرمت غناء بیرون آمده است،تنها باید شامل زنان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مردی حتّی محارم حقّ ورود به این مجلس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مقتضای احتیاط ممنوعیت ورود مطلق مردان به این مجلس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بنظرما،وجهی برای ممنوعیت ورود مطلق مردان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یک شخصی محرم است،به چه جهت باید از ورود او منع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هم غنای مغنّیه در عروسی را جائز می‌داند به شرطی که با عناوین محرّم دیگری همراه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شروطی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کلام باطلی را اشاعه دهد و یا همراه با آلات موسیقی باشد و یا دخول الرجال علی النّساء باشد و یا اینکه سبب تهییج شهوت باشد</w:t>
      </w:r>
      <w:r>
        <w:rPr>
          <w:rFonts w:eastAsia="IRNazanin" w:cs="IRNazanin"/>
          <w:color w:val="111111"/>
          <w:sz w:val="28"/>
          <w:szCs w:val="28"/>
          <w:rtl w:val="true"/>
          <w:lang w:bidi="fa-IR"/>
        </w:rPr>
        <w:t>.</w:t>
      </w:r>
      <w:r>
        <w:rPr>
          <w:rStyle w:val="FootnoteAnchor"/>
          <w:rtl w:val="true"/>
        </w:rPr>
        <w:footnoteReference w:id="376"/>
      </w:r>
      <w:bookmarkStart w:id="85" w:name="pg4642_53992"/>
    </w:p>
    <w:p>
      <w:pPr>
        <w:pStyle w:val="BookText"/>
        <w:rPr/>
      </w:pPr>
      <w:bookmarkEnd w:id="85"/>
      <w:r>
        <w:rPr>
          <w:rFonts w:ascii="IRNazanin" w:hAnsi="IRNazanin" w:eastAsia="IRNazanin"/>
          <w:color w:val="111111"/>
          <w:sz w:val="28"/>
          <w:sz w:val="28"/>
          <w:szCs w:val="28"/>
          <w:rtl w:val="true"/>
          <w:lang w:bidi="fa-IR"/>
        </w:rPr>
        <w:t>از کلام ایشان می‌توان استفاده کرد اگر غنای مغنّیه موجب تحریک شهوات مردان نباشد،شنیدن آن بلا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مراد ایشان از کلام باطل،کلمات حرام مثل تهمت و غیبت و دروغ است،و این شوخی‌ها و طنّازی‌هایی که امروزه در مراسمات عروسی مرسوم است از محل کلام ایشان خارج است</w:t>
      </w:r>
      <w:r>
        <w:rPr>
          <w:rFonts w:eastAsia="IRNazanin" w:cs="IRNazanin"/>
          <w:color w:val="111111"/>
          <w:sz w:val="28"/>
          <w:szCs w:val="28"/>
          <w:rtl w:val="true"/>
          <w:lang w:bidi="fa-IR"/>
        </w:rPr>
        <w:t>.</w:t>
      </w:r>
    </w:p>
    <w:p>
      <w:pPr>
        <w:pStyle w:val="Heading2"/>
        <w:numPr>
          <w:ilvl w:val="1"/>
          <w:numId w:val="1"/>
        </w:numPr>
        <w:rPr/>
      </w:pPr>
      <w:bookmarkStart w:id="86" w:name="__RefHeading___Toc296160_2035185390"/>
      <w:bookmarkStart w:id="87" w:name="_Toc29"/>
      <w:bookmarkEnd w:id="86"/>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96/09/26</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رابطه با مستثنیات از حرمت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مشهور علماء از حرمت غناء استثناء می‌کردند،خواندن مغنّیات در عروسی‌ها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جواز مشروط به شروطی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عدم تکلّم به کلمات باطل و یا استفاده از آلات موسیقی و عمل به ملاهی و اختلاط مردان با زنان شروطی بود که برای جواز غنای مغنّیه در عروسی‌ها در کلمات فقهاء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اشتراط عدم عمل به ملاهی</w:t>
      </w:r>
    </w:p>
    <w:p>
      <w:pPr>
        <w:pStyle w:val="BookText"/>
        <w:rPr/>
      </w:pPr>
      <w:r>
        <w:rPr>
          <w:rFonts w:ascii="IRNazanin" w:hAnsi="IRNazanin" w:eastAsia="IRNazanin"/>
          <w:color w:val="111111"/>
          <w:sz w:val="28"/>
          <w:sz w:val="28"/>
          <w:szCs w:val="28"/>
          <w:rtl w:val="true"/>
          <w:lang w:bidi="fa-IR"/>
        </w:rPr>
        <w:t>برخی در رابطه با این شروط اشکالی مطرح کردند؛به نظر مستشکلین شما با این شروط یک امر واضح را در کلام خود به عنوان قید اخذ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اساسا ما شک نداریم با وجود این معاصی هر فعلی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حرمت خود غناء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به لهویات و استفاده از ابزار موسیقی و حرکات موزون و رقص و اختلاط زن و مرد،واضح است که موضوع مستقلی برای حرمت هستند و خارج از غناء می‌باشند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ما،این نکته‌ که امثال مرحوم نراقی</w:t>
      </w:r>
      <w:r>
        <w:rPr>
          <w:rStyle w:val="FootnoteAnchor"/>
          <w:rtl w:val="true"/>
        </w:rPr>
        <w:footnoteReference w:id="377"/>
      </w:r>
      <w:r>
        <w:rPr>
          <w:rFonts w:ascii="IRNazanin" w:hAnsi="IRNazanin" w:eastAsia="IRNazanin"/>
          <w:color w:val="111111"/>
          <w:sz w:val="28"/>
          <w:sz w:val="28"/>
          <w:szCs w:val="28"/>
          <w:rtl w:val="true"/>
          <w:lang w:bidi="fa-IR"/>
        </w:rPr>
        <w:t xml:space="preserve"> و صاحب جواهر</w:t>
      </w:r>
      <w:r>
        <w:rPr>
          <w:rStyle w:val="FootnoteAnchor"/>
          <w:rtl w:val="true"/>
        </w:rPr>
        <w:footnoteReference w:id="378"/>
      </w:r>
      <w:r>
        <w:rPr>
          <w:rFonts w:ascii="IRNazanin" w:hAnsi="IRNazanin" w:eastAsia="IRNazanin"/>
          <w:color w:val="111111"/>
          <w:sz w:val="28"/>
          <w:sz w:val="28"/>
          <w:szCs w:val="28"/>
          <w:rtl w:val="true"/>
          <w:lang w:bidi="fa-IR"/>
        </w:rPr>
        <w:t xml:space="preserve"> بر اساس آن اشکال فوق را مطرح کرده‌اند،صحیح می‌باشد؛لکن این قیود در روایات استثنای غنای در عروسی از جانب معصومین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به این آسانی شروط ذکرشده را توضیح واضحات دانسته و اشتراط آنها را لغو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بررسی خواهد شد،شامل این شروط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اشتراطی که در روایات دیده می‌شود می‌توان به دست آورد این شروط ارشاد به فرض محرّم از غناء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غنای محرّم، غنائی است که یا دائما و یا غالبا همراه با این 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روایات و اشتراط غنای محرّم به این شروط مورد تأمّل قرار می‌گیرند،بنظر می‌رسد قول مرحوم سبزواری و فیض کاشانی خالی از قوّت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اساسا در این روایات به ما می‌گویند غناء در فرضی حرام است که همراه با این معاصی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این همراهی،فرض غالب مصادیق غنای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وقتی غنائی خوانده می‌شود،محرّماتی مثل اختلاط زن و مرد و یا رقص و عمل به ملاهی و ترویج فساد در زمینه و دامنه‌ی آن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خود بیان این شروط بنحوی حکمت حرمت غناء را به ما خواهد 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از این روایات اینگونه استظهار می‌کنیم،که تقارن غناء با این معاصی،در تمام مصادیق غناء بوده و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این شروط ذکر شده در روایات،بیان علّت تحریم غناء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مسأله روشنتر شود،به بررسی روایات جواز غناء در عروسی می‌نشینیم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Style w:val="FootnoteAnchor"/>
          <w:rtl w:val="true"/>
        </w:rPr>
        <w:footnoteReference w:id="379"/>
      </w:r>
      <w:r>
        <w:rPr>
          <w:rFonts w:ascii="Amiri" w:hAnsi="Amiri" w:eastAsia="Amiri" w:cs="Amiri"/>
          <w:color w:val="111111"/>
          <w:sz w:val="28"/>
          <w:sz w:val="28"/>
          <w:szCs w:val="28"/>
          <w:rtl w:val="true"/>
          <w:lang w:bidi="ar-SA"/>
        </w:rPr>
        <w:t xml:space="preserve"> عَنْ أَحْمَدَ</w:t>
      </w:r>
      <w:r>
        <w:rPr>
          <w:rStyle w:val="FootnoteAnchor"/>
          <w:rtl w:val="true"/>
        </w:rPr>
        <w:footnoteReference w:id="380"/>
      </w:r>
      <w:r>
        <w:rPr>
          <w:rFonts w:ascii="Amiri" w:hAnsi="Amiri" w:eastAsia="Amiri" w:cs="Amiri"/>
          <w:color w:val="111111"/>
          <w:sz w:val="28"/>
          <w:sz w:val="28"/>
          <w:szCs w:val="28"/>
          <w:rtl w:val="true"/>
          <w:lang w:bidi="ar-SA"/>
        </w:rPr>
        <w:t xml:space="preserve"> عَنِ الْحُسَيْنِ</w:t>
      </w:r>
      <w:r>
        <w:rPr>
          <w:rStyle w:val="FootnoteAnchor"/>
          <w:rtl w:val="true"/>
        </w:rPr>
        <w:footnoteReference w:id="381"/>
      </w:r>
      <w:r>
        <w:rPr>
          <w:rFonts w:ascii="Amiri" w:hAnsi="Amiri" w:eastAsia="Amiri" w:cs="Amiri"/>
          <w:color w:val="111111"/>
          <w:sz w:val="28"/>
          <w:sz w:val="28"/>
          <w:szCs w:val="28"/>
          <w:rtl w:val="true"/>
          <w:lang w:bidi="ar-SA"/>
        </w:rPr>
        <w:t xml:space="preserve"> عَنِ النَّضْرِ بْنِ سُوَيْدٍ</w:t>
      </w:r>
      <w:r>
        <w:rPr>
          <w:rStyle w:val="FootnoteAnchor"/>
          <w:rtl w:val="true"/>
        </w:rPr>
        <w:footnoteReference w:id="382"/>
      </w:r>
      <w:r>
        <w:rPr>
          <w:rFonts w:ascii="Amiri" w:hAnsi="Amiri" w:eastAsia="Amiri" w:cs="Amiri"/>
          <w:color w:val="111111"/>
          <w:sz w:val="28"/>
          <w:sz w:val="28"/>
          <w:szCs w:val="28"/>
          <w:rtl w:val="true"/>
          <w:lang w:bidi="ar-SA"/>
        </w:rPr>
        <w:t xml:space="preserve"> عَنْ يَحْيَى الْحَلَبِيِّ</w:t>
      </w:r>
      <w:r>
        <w:rPr>
          <w:rStyle w:val="FootnoteAnchor"/>
          <w:rtl w:val="true"/>
        </w:rPr>
        <w:footnoteReference w:id="383"/>
      </w:r>
      <w:r>
        <w:rPr>
          <w:rFonts w:ascii="Amiri" w:hAnsi="Amiri" w:eastAsia="Amiri" w:cs="Amiri"/>
          <w:color w:val="111111"/>
          <w:sz w:val="28"/>
          <w:sz w:val="28"/>
          <w:szCs w:val="28"/>
          <w:rtl w:val="true"/>
          <w:lang w:bidi="ar-SA"/>
        </w:rPr>
        <w:t xml:space="preserve"> عَنْ أَيُّوبَ بْنِ الْحُرِّ</w:t>
      </w:r>
      <w:r>
        <w:rPr>
          <w:rStyle w:val="FootnoteAnchor"/>
          <w:rtl w:val="true"/>
        </w:rPr>
        <w:footnoteReference w:id="384"/>
      </w:r>
      <w:r>
        <w:rPr>
          <w:rFonts w:ascii="Amiri" w:hAnsi="Amiri" w:eastAsia="Amiri" w:cs="Amiri"/>
          <w:color w:val="111111"/>
          <w:sz w:val="28"/>
          <w:sz w:val="28"/>
          <w:szCs w:val="28"/>
          <w:rtl w:val="true"/>
          <w:lang w:bidi="ar-SA"/>
        </w:rPr>
        <w:t xml:space="preserve"> عَنْ أَبِي بَصِيرٍ</w:t>
      </w:r>
      <w:r>
        <w:rPr>
          <w:rStyle w:val="FootnoteAnchor"/>
          <w:rtl w:val="true"/>
        </w:rPr>
        <w:footnoteReference w:id="385"/>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 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این روایت امام مزدی که به مغنّیه در عروسی پرداخت می‌شود را بدون اشکال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 شرط برای آن قرار می‌دهند،این که در این مجلس مردان داخل نشوند؛ یعنی همراه با محرّم خاجی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نکته‌ای در این روایت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معصوم تنها مزد و اجرت مغنّیه حلال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از این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حلّیت کسب مغنّیه در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حکم تکلیفی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شد چون اجرت مغنّیه حلال است،نفس عمل او نیز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مثل مرحوم سبزواری در مقام قائل هستند جواز کسب مغنّیه مستلزم حلّیت کسب آن هم می‌باشد</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مرحوم میرزا جواد تبریزی تفکیکی میان اکتساب به اعیان و اکتساب به افعال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حرمت یک عین ملازمه‌ای با حکم وضعی خرید و فروش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عینی حرام باشد،ولی خرید و فروش آن جائز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مثالهایی در مکاسب محرّمه شیخ انصاری در باب آن ملاحظه کرده‌اید مانند جایی که هنگام معامله نظر به نامحرم هم کند در اینجا گناه انجام داده امّا معامله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فعل و رفتاری حرام باشد و شخص با همان فعل کسب و کاری راه بیندازد،قطعا حکم وضعی کاسبی با آن رفتار ملازم با حکم تکلیفی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مقام، مغنّیه با فعل خود که غناء باشد،درآمدزایی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حیث وضعی شارع حکم به جواز چنین کسبی کرده است،می‌توان به ملازمه دریافت خود فعل در این مورد قطعا جائز 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ما،در موارد اکتساب به اعیان هم ظاهرا ملازمه میان حرمت عین و عدم جواز خرید و فروش آن برقرار است مگر آن‌که خلاف آن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رابطه با افعال قطعا ملازمه ثابت است</w:t>
      </w:r>
      <w:r>
        <w:rPr>
          <w:rFonts w:eastAsia="IRNazanin" w:cs="IRNazanin"/>
          <w:color w:val="111111"/>
          <w:sz w:val="28"/>
          <w:szCs w:val="28"/>
          <w:rtl w:val="true"/>
          <w:lang w:bidi="fa-IR"/>
        </w:rPr>
        <w:t>.</w:t>
      </w:r>
      <w:bookmarkStart w:id="88" w:name="pg4642_53995"/>
    </w:p>
    <w:p>
      <w:pPr>
        <w:pStyle w:val="Heading2"/>
        <w:numPr>
          <w:ilvl w:val="1"/>
          <w:numId w:val="1"/>
        </w:numPr>
        <w:rPr/>
      </w:pPr>
      <w:bookmarkStart w:id="89" w:name="__RefHeading___Toc296162_2035185390"/>
      <w:bookmarkStart w:id="90" w:name="_Toc30"/>
      <w:bookmarkEnd w:id="88"/>
      <w:bookmarkEnd w:id="89"/>
      <w:r>
        <w:rPr>
          <w:rtl w:val="true"/>
        </w:rPr>
        <w:t>مستثنيات حرمت غناء</w:t>
      </w:r>
      <w:r>
        <w:rPr>
          <w:rtl w:val="true"/>
        </w:rPr>
        <w:t>/</w:t>
      </w:r>
      <w:r>
        <w:rPr>
          <w:rtl w:val="true"/>
        </w:rPr>
        <w:t>مبحث غناء</w:t>
      </w:r>
      <w:r>
        <w:rPr>
          <w:rtl w:val="true"/>
        </w:rPr>
        <w:t>/</w:t>
      </w:r>
      <w:r>
        <w:rPr>
          <w:rtl w:val="true"/>
        </w:rPr>
        <w:t xml:space="preserve">مكاسب محرّمه </w:t>
      </w:r>
      <w:r>
        <w:rPr/>
        <w:t>96/09/27</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مستثنیات از حرمت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از این حرمت استثناء شد،غنای مغنّیه در عروسی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روایتی را هم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روایت اوّل و پاسخ از آن</w:t>
      </w:r>
    </w:p>
    <w:p>
      <w:pPr>
        <w:pStyle w:val="BookText"/>
        <w:rPr/>
      </w:pPr>
      <w:r>
        <w:rPr>
          <w:rFonts w:ascii="IRNazanin" w:hAnsi="IRNazanin" w:eastAsia="IRNazanin"/>
          <w:color w:val="111111"/>
          <w:sz w:val="28"/>
          <w:sz w:val="28"/>
          <w:szCs w:val="28"/>
          <w:rtl w:val="true"/>
          <w:lang w:bidi="fa-IR"/>
        </w:rPr>
        <w:t>برخی در اینجا اشکالی مطرح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مفاد اخبار متواتر بر حکم را به واسطه اخبار آحاد تخصیص زد؟یعنی مواردی مثل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به اخبار آحاد تخصیص زد؟یا اگر در رابطه با حکمی روایات متواتری داشتیم،می‌توان حکم قطعی آنها را با اخبار احاد ظنّی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تعابیر به لحاظ سنخ دلالتشان،ابای از تخصیص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نوع تعلّق حکم به موضوع را نمی‌توان توسّط هیچ بیانی تخصیص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بفرمائید کسی بگوید ظلم قبیح است،مگر در دو مورد که قبیح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این تخصیص را از او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عدل حسن است مگر در یک مورد که حسن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بیانات را نمی‌توان تخصیص زد؛نسبت حکم و موضوع بنحوی در اذهان عرف شکل می‌گیرد که موردی را به عنوان فرد تخصیص خورده از آن عام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مثلاً آیه قرآن می‌فرماید اجتنبوا قول الزورآیا می‌توان آن را به وسیله‌ی آحاد تخصیص زد؟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نوع بیانات که در میان بیانات معصومین در حرمت غناء از آن نمونه‌هایی بود را می‌توان با خبر واحد تخصیص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اخبار غناء بیاناتی ذیل آیات داشتیم که امام به امر خداوند به اجتناب از قول زور و یا باطل استدلال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که ما را از قول باطل نهی می‌کند،آبی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ادّعا توأمان در یک اشکال پیچیده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جهت نوع بیان معصومین در رابطه با حرمت غناء ادّعا دارند این بیانات وقتی به تواتر به دست ما رسیدند ابای از تخصیص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جهت تواتر و هم استحکام دلالت و تعلّق حکم به موضوع سبب شده است،روایات استثنای غنای مغنّیه در عروسی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نسبت به این اشکال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این ادّعا که چون در روایات متواتر بر حرمت غناء بیاناتی وجود دارد که آبی از تخصیص هستند،بی‌دلیل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حقیقت صرف اینک در این روایات عنوان زور و باطل را بر غناء تطبیق داده‌اند،نمی‌تواند دلیلی برای عدم جواز تخصیص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مجالس عروسی که مناسب با آن سخنانی است که بعضا لغو و باطل هم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نظر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پیشتر هم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باطل بودن و یا لغو بودن یک کلام دلیل بر حرمت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غناء شدیدتر از حرمت ربا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ربا مواردی استثناء شده است،پس به طریق اولی در غناء هم امکان استثناء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کسی اشکال کند،جواز غناء در مجالس عروسی زمینه‌ساز معاصی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می‌فرمایند روایت استثنای غنای در عروسی اطلاقی از این جهت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غناء در عروسی منحصر در مواردی است که مستلزم معاصی دیگر و فسق اهل مجلس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ما،این سخن بسیار عالی و در کمال متانت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Style w:val="FootnoteAnchor"/>
          <w:rtl w:val="true"/>
        </w:rPr>
        <w:footnoteReference w:id="389"/>
      </w:r>
      <w:r>
        <w:rPr>
          <w:rFonts w:ascii="Amiri" w:hAnsi="Amiri" w:eastAsia="Amiri" w:cs="Amiri"/>
          <w:color w:val="111111"/>
          <w:sz w:val="28"/>
          <w:sz w:val="28"/>
          <w:szCs w:val="28"/>
          <w:rtl w:val="true"/>
          <w:lang w:bidi="ar-SA"/>
        </w:rPr>
        <w:t xml:space="preserve"> عَنْ حَکمٍ الْخَيَّاطِ عَنْ أَبِي بَصِيرٍ</w:t>
      </w:r>
      <w:r>
        <w:rPr>
          <w:rStyle w:val="FootnoteAnchor"/>
          <w:rtl w:val="true"/>
        </w:rPr>
        <w:footnoteReference w:id="390"/>
      </w:r>
      <w:r>
        <w:rPr>
          <w:rFonts w:ascii="Amiri" w:hAnsi="Amiri" w:eastAsia="Amiri" w:cs="Amiri"/>
          <w:color w:val="111111"/>
          <w:sz w:val="28"/>
          <w:sz w:val="28"/>
          <w:szCs w:val="28"/>
          <w:rtl w:val="true"/>
          <w:lang w:bidi="ar-SA"/>
        </w:rPr>
        <w:t xml:space="preserve">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بِکسْبِهَا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روایت دلالت بر حلّیت غنای مغنّیه در عروسی ها و جواز کسب آنها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Style w:val="FootnoteAnchor"/>
          <w:rtl w:val="true"/>
        </w:rPr>
        <w:footnoteReference w:id="392"/>
      </w:r>
      <w:r>
        <w:rPr>
          <w:rFonts w:ascii="Amiri" w:hAnsi="Amiri" w:eastAsia="Amiri" w:cs="Amiri"/>
          <w:color w:val="111111"/>
          <w:sz w:val="28"/>
          <w:sz w:val="28"/>
          <w:szCs w:val="28"/>
          <w:rtl w:val="true"/>
          <w:lang w:bidi="ar-SA"/>
        </w:rPr>
        <w:t xml:space="preserve"> عَنْ عِدَّةٍ مِنْ أَصْحَابِنَا عَنْ أَحْمَدَ بْنِ مُحَمَّدٍ</w:t>
      </w:r>
      <w:r>
        <w:rPr>
          <w:rStyle w:val="FootnoteAnchor"/>
          <w:rtl w:val="true"/>
        </w:rPr>
        <w:footnoteReference w:id="393"/>
      </w:r>
      <w:r>
        <w:rPr>
          <w:rFonts w:ascii="Amiri" w:hAnsi="Amiri" w:eastAsia="Amiri" w:cs="Amiri"/>
          <w:color w:val="111111"/>
          <w:sz w:val="28"/>
          <w:sz w:val="28"/>
          <w:szCs w:val="28"/>
          <w:rtl w:val="true"/>
          <w:lang w:bidi="ar-SA"/>
        </w:rPr>
        <w:t xml:space="preserve"> عَنِ الْحُسَيْنِ بْنِ سَعِيدٍ</w:t>
      </w:r>
      <w:r>
        <w:rPr>
          <w:rStyle w:val="FootnoteAnchor"/>
          <w:rtl w:val="true"/>
        </w:rPr>
        <w:footnoteReference w:id="394"/>
      </w:r>
      <w:r>
        <w:rPr>
          <w:rFonts w:ascii="Amiri" w:hAnsi="Amiri" w:eastAsia="Amiri" w:cs="Amiri"/>
          <w:color w:val="111111"/>
          <w:sz w:val="28"/>
          <w:sz w:val="28"/>
          <w:szCs w:val="28"/>
          <w:rtl w:val="true"/>
          <w:lang w:bidi="ar-SA"/>
        </w:rPr>
        <w:t xml:space="preserve"> عَنْ عَلِيِّ بْنِ أَبِي حَمْزَةَ</w:t>
      </w:r>
      <w:r>
        <w:rPr>
          <w:rStyle w:val="FootnoteAnchor"/>
          <w:rtl w:val="true"/>
        </w:rPr>
        <w:footnoteReference w:id="395"/>
      </w:r>
      <w:r>
        <w:rPr>
          <w:rFonts w:ascii="Amiri" w:hAnsi="Amiri" w:eastAsia="Amiri" w:cs="Amiri"/>
          <w:color w:val="111111"/>
          <w:sz w:val="28"/>
          <w:sz w:val="28"/>
          <w:szCs w:val="28"/>
          <w:rtl w:val="true"/>
          <w:lang w:bidi="ar-SA"/>
        </w:rPr>
        <w:t xml:space="preserve"> عَنْ أَبِي بَصِيرٍ</w:t>
      </w:r>
      <w:r>
        <w:rPr>
          <w:rStyle w:val="FootnoteAnchor"/>
          <w:rtl w:val="true"/>
        </w:rPr>
        <w:footnoteReference w:id="396"/>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 ».</w:t>
      </w:r>
      <w:r>
        <w:rPr>
          <w:rStyle w:val="FootnoteAnchor"/>
          <w:rtl w:val="true"/>
        </w:rPr>
        <w:footnoteReference w:id="397"/>
      </w:r>
      <w:r>
        <w:rPr>
          <w:rStyle w:val="FootnoteAnchor"/>
          <w:rtl w:val="true"/>
        </w:rPr>
        <w:footnoteReference w:id="3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دلالتی وجود دارد بر جواز کسب مغنّیه در مجالس زنانه به طور مطلق؛زیرا در سؤال راوی از کسب مغنّیات به طور مطلق سؤال شده است،و در جواب امام هم در دو مرحله این کسب تحلیل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یکبار امام جواز کسب مغنّیات را در مجالسی که مردان در آن حضور ندارند به طور مطلق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یک مورد،یعنی عروسی را هم مخصوص به ذکر نموده و جدا گانه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فراز روایت هر دو مثبت حکم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وقتی در یک بیان از مولی 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بیان دوّم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 بیان اوّل را تقیید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دو بیان مثبت حکم هستند و تنافی و تعارضی بین دو بیان وجود ندارد تا بخواهیم با تقیید مطلق به واسطه بیان خاص تعارض را حلّ کنیم</w:t>
      </w:r>
      <w:r>
        <w:rPr>
          <w:rFonts w:eastAsia="IRNazanin" w:cs="IRNazanin"/>
          <w:color w:val="111111"/>
          <w:sz w:val="28"/>
          <w:szCs w:val="28"/>
          <w:rtl w:val="true"/>
          <w:lang w:bidi="fa-IR"/>
        </w:rPr>
        <w:t>.</w:t>
      </w:r>
      <w:bookmarkStart w:id="91" w:name="pg4642_53998"/>
    </w:p>
    <w:p>
      <w:pPr>
        <w:pStyle w:val="Heading2"/>
        <w:numPr>
          <w:ilvl w:val="1"/>
          <w:numId w:val="1"/>
        </w:numPr>
        <w:rPr/>
      </w:pPr>
      <w:bookmarkStart w:id="92" w:name="__RefHeading___Toc296164_2035185390"/>
      <w:bookmarkStart w:id="93" w:name="_Toc31"/>
      <w:bookmarkEnd w:id="91"/>
      <w:bookmarkEnd w:id="92"/>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96/10/02</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قبل بحثی در رابطه با استثنای غنای در عروسی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ابوبصیر نقل شده و مدلول آن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w:t>
      </w:r>
      <w:r>
        <w:rPr>
          <w:rStyle w:val="FootnoteAnchor"/>
          <w:rtl w:val="true"/>
        </w:rPr>
        <w:footnoteReference w:id="399"/>
      </w:r>
      <w:r>
        <w:rPr>
          <w:rFonts w:ascii="Amiri" w:hAnsi="Amiri" w:eastAsia="Amiri" w:cs="Amiri"/>
          <w:color w:val="111111"/>
          <w:sz w:val="28"/>
          <w:sz w:val="28"/>
          <w:szCs w:val="28"/>
          <w:rtl w:val="true"/>
          <w:lang w:bidi="ar-SA"/>
        </w:rPr>
        <w:t xml:space="preserve"> عَنْ عِدَّةٍ مِنْ أَصْحَابِنَا عَنْ أَحْمَدَ بْنِ مُحَمَّدٍ</w:t>
      </w:r>
      <w:r>
        <w:rPr>
          <w:rStyle w:val="FootnoteAnchor"/>
          <w:rtl w:val="true"/>
        </w:rPr>
        <w:footnoteReference w:id="400"/>
      </w:r>
      <w:r>
        <w:rPr>
          <w:rFonts w:ascii="Amiri" w:hAnsi="Amiri" w:eastAsia="Amiri" w:cs="Amiri"/>
          <w:color w:val="111111"/>
          <w:sz w:val="28"/>
          <w:sz w:val="28"/>
          <w:szCs w:val="28"/>
          <w:rtl w:val="true"/>
          <w:lang w:bidi="ar-SA"/>
        </w:rPr>
        <w:t xml:space="preserve"> عَنِ الْحُسَيْنِ بْنِ سَعِيدٍ</w:t>
      </w:r>
      <w:r>
        <w:rPr>
          <w:rStyle w:val="FootnoteAnchor"/>
          <w:rtl w:val="true"/>
        </w:rPr>
        <w:footnoteReference w:id="401"/>
      </w:r>
      <w:r>
        <w:rPr>
          <w:rFonts w:ascii="Amiri" w:hAnsi="Amiri" w:eastAsia="Amiri" w:cs="Amiri"/>
          <w:color w:val="111111"/>
          <w:sz w:val="28"/>
          <w:sz w:val="28"/>
          <w:szCs w:val="28"/>
          <w:rtl w:val="true"/>
          <w:lang w:bidi="ar-SA"/>
        </w:rPr>
        <w:t xml:space="preserve"> عَنْ عَلِيِّ بْنِ أَبِي حَمْزَةَ</w:t>
      </w:r>
      <w:r>
        <w:rPr>
          <w:rStyle w:val="FootnoteAnchor"/>
          <w:rtl w:val="true"/>
        </w:rPr>
        <w:footnoteReference w:id="402"/>
      </w:r>
      <w:r>
        <w:rPr>
          <w:rFonts w:ascii="Amiri" w:hAnsi="Amiri" w:eastAsia="Amiri" w:cs="Amiri"/>
          <w:color w:val="111111"/>
          <w:sz w:val="28"/>
          <w:sz w:val="28"/>
          <w:szCs w:val="28"/>
          <w:rtl w:val="true"/>
          <w:lang w:bidi="ar-SA"/>
        </w:rPr>
        <w:t xml:space="preserve"> عَنْ أَبِي بَصِيرٍ</w:t>
      </w:r>
      <w:r>
        <w:rPr>
          <w:rStyle w:val="FootnoteAnchor"/>
          <w:rtl w:val="true"/>
        </w:rPr>
        <w:footnoteReference w:id="40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مرحوم شیخ طوسی قائلند این روایت ترخیص در غنای عروسی را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مشروط به اینکه همراه با عناوین محرّم دیگر نباشد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دیگر قائل به عدم مقاومت این اخبار خاص در برابر عمومات حرمت غناء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دو سویه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منشأ اشکال این باشد که اخبار واحد نمی‌تواند بیانات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و تخصیص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همانطور که در محلّ آن در اصول بحث شده است،هیچ اشکالی در امکان تقیید و تخصیص ادلّه قطعی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و اخبار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خبر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اصلاً میان این دو دسته بیان تعارضی نیست تا بخواهیم تواتر عمومات حرمت غناء را دلیل بر تقدّم آن بر این دست اخبار مخصّص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اخبار یک مورد از موارد غناء را به شروطی مثل عدم اختلاط با زنان و عدم ترویج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اعلام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خاص، مطلقات را تقیید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استثنای غناء در عروسی</w:t>
      </w:r>
    </w:p>
    <w:p>
      <w:pPr>
        <w:pStyle w:val="BookText"/>
        <w:rPr/>
      </w:pPr>
      <w:r>
        <w:rPr>
          <w:rFonts w:ascii="IRNazanin" w:hAnsi="IRNazanin" w:eastAsia="IRNazanin"/>
          <w:color w:val="111111"/>
          <w:sz w:val="28"/>
          <w:sz w:val="28"/>
          <w:szCs w:val="28"/>
          <w:rtl w:val="true"/>
          <w:lang w:bidi="fa-IR"/>
        </w:rPr>
        <w:t>دلیل دوّم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هنگام شک در حرمت و شمول منع غناء نسبت به یک مورد،اباحه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یک دلیل برای اثبات حلّیت غنای در عروسی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استثنای غناء در عروسی</w:t>
      </w:r>
    </w:p>
    <w:p>
      <w:pPr>
        <w:pStyle w:val="BookText"/>
        <w:rPr/>
      </w:pPr>
      <w:r>
        <w:rPr>
          <w:rFonts w:ascii="IRNazanin" w:hAnsi="IRNazanin" w:eastAsia="IRNazanin"/>
          <w:color w:val="111111"/>
          <w:sz w:val="28"/>
          <w:sz w:val="28"/>
          <w:szCs w:val="28"/>
          <w:rtl w:val="true"/>
          <w:lang w:bidi="fa-IR"/>
        </w:rPr>
        <w:t>برخی شهرت قول به جواز غنای در عروسی را دلیل بر جواز تلقّی کرده‌اند</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این شهرت را کمک و مؤیّد بر قول به جواز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این شهرت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اگر بخواهیم ضعف سند روایت ابوبصیر را به شهرت جبران کنیم،ابتدا باید شهرت منعقد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شهرت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برخی از فقهاء از این جواز منع کرده‌اند و آنها هم که از این مسأله سکوت کردند،با توجّه به قولی که در حرمت غناء دارند،باید در دسته مانعین از جواز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شهرتی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ما،این سخن شیخ، اشکال بر مرحوم صاحب جواهر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در مقام جبران ضعف سند روایت ابوبصیر نبودند؛بلکه به دنبال تأیید قول به جواز به واسطه شهرت فتوای به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فی‌الجمله هم شهرت محقّق است و هم این تأیید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غناء در عروسی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این قول ابن برّاج است</w:t>
      </w:r>
      <w:r>
        <w:rPr>
          <w:rFonts w:eastAsia="IRNazanin" w:cs="IRNazanin"/>
          <w:color w:val="111111"/>
          <w:sz w:val="28"/>
          <w:szCs w:val="28"/>
          <w:rtl w:val="true"/>
          <w:lang w:bidi="fa-IR"/>
        </w:rPr>
        <w:t>.</w:t>
      </w:r>
      <w:bookmarkStart w:id="94" w:name="pg4642_54000"/>
    </w:p>
    <w:p>
      <w:pPr>
        <w:pStyle w:val="BookText"/>
        <w:rPr/>
      </w:pPr>
      <w:bookmarkEnd w:id="94"/>
      <w:r>
        <w:rPr>
          <w:rFonts w:ascii="IRNazanin" w:hAnsi="IRNazanin" w:eastAsia="IRNazanin"/>
          <w:color w:val="111111"/>
          <w:sz w:val="28"/>
          <w:sz w:val="28"/>
          <w:szCs w:val="28"/>
          <w:rtl w:val="true"/>
          <w:lang w:bidi="fa-IR"/>
        </w:rPr>
        <w:t>به نظر ما این قول هیچ دلیلی ندارد و نمی‌توان آن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روایت و ادلّه‌ای که پیش از این نقل کردیم،خلاف این قول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کراهت دلیل می‌خواهد و ما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غناء در عروسی</w:t>
      </w:r>
    </w:p>
    <w:p>
      <w:pPr>
        <w:pStyle w:val="BookText"/>
        <w:rPr/>
      </w:pPr>
      <w:r>
        <w:rPr>
          <w:rFonts w:ascii="IRNazanin" w:hAnsi="IRNazanin" w:eastAsia="IRNazanin"/>
          <w:color w:val="111111"/>
          <w:sz w:val="28"/>
          <w:sz w:val="28"/>
          <w:szCs w:val="28"/>
          <w:rtl w:val="true"/>
          <w:lang w:bidi="fa-IR"/>
        </w:rPr>
        <w:t>این قول حقّ در مسأله و به نظر ما بهترین برداشت از روایات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عروسی فی نفسه حلال است امّا اگر محرّم دیگری مانند دخول الرجال علی النساء در کنار غناء حاصل شود، غناء نیز به خاطر آن محرّم،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را هم در اینجا ما باز یادآوری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 غناء در سایر مجالس زنانه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ما هم همان روایتی بود که پیش از این از علی‌بن جعفر نقل کردیم که موضوع آن غنای در سایر مجالسی بود که مردی در آن داخل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جائز است،ولی احتیاط مستحب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غناء را جائز می‌شمارد،ولی قائل به حسن احتیاط در قبال آن و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ما،این احتیاط مستحبّ هم بی‌دلیل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احتیاطات ما در برخی مواقع مردم را بیزار از شریعت کرده و از آن دور می‌کند</w:t>
      </w:r>
      <w:r>
        <w:rPr>
          <w:rFonts w:eastAsia="IRNazanin" w:cs="IRNazanin"/>
          <w:color w:val="111111"/>
          <w:sz w:val="28"/>
          <w:szCs w:val="28"/>
          <w:rtl w:val="true"/>
          <w:lang w:bidi="fa-IR"/>
        </w:rPr>
        <w:t>.</w:t>
      </w:r>
    </w:p>
    <w:p>
      <w:pPr>
        <w:pStyle w:val="Heading2"/>
        <w:numPr>
          <w:ilvl w:val="1"/>
          <w:numId w:val="1"/>
        </w:numPr>
        <w:rPr/>
      </w:pPr>
      <w:bookmarkStart w:id="95" w:name="__RefHeading___Toc296166_2035185390"/>
      <w:bookmarkStart w:id="96" w:name="_Toc32"/>
      <w:bookmarkEnd w:id="95"/>
      <w:r>
        <w:rPr>
          <w:rtl w:val="true"/>
        </w:rPr>
        <w:t>مستثنيات حرمت غناء</w:t>
      </w:r>
      <w:r>
        <w:rPr>
          <w:rtl w:val="true"/>
        </w:rPr>
        <w:t>/</w:t>
      </w:r>
      <w:r>
        <w:rPr>
          <w:rtl w:val="true"/>
        </w:rPr>
        <w:t>مبحث غناء</w:t>
      </w:r>
      <w:r>
        <w:rPr>
          <w:rtl w:val="true"/>
        </w:rPr>
        <w:t>/</w:t>
      </w:r>
      <w:r>
        <w:rPr>
          <w:rtl w:val="true"/>
        </w:rPr>
        <w:t xml:space="preserve">مكاسب محرّمه؛ </w:t>
      </w:r>
      <w:r>
        <w:rPr/>
        <w:t>96/10/03</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مستثنیات از ادلّه حرمت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حدیث صحیحی هم وجود داشت که مقیّد و مخصّص ادلّه حرمت مطلق غناء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 مغنّیه در عروسی ها و کسب او را تحلیل می‌کرد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علم قائل شدند که در عین حلّیت غنای در عروسی‌ها در نگاه اسلام،ما در گفتن این دسته از حلالها به مردم احتیاط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مردم حتّی وقتی شرائط حلّیت را برایشان توضیح می‌دهی،اصل حلال بودن غناء را بهانه‌ای برای سایر معاصی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باید در این‌باره احتیاط کرده و این نوع حلالها را برای مردم آنچنان باز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اشتباه است؛ما نباید به جهت ترس از گناه مردم،آنها را از حلالی که خدا برای ایشان قرار داده است،محروم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حدود حلّیت را بیان کرده و اجازه بدهیم در آنچه خداوند اباحه قرار داده است،مردم راحتی خود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سختگیری آثار سوئی در پی خواهد داشت و مردم را از دین بیزار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جواز غناء در عروسی روایت صحیحه‌ای داشتیم که پیش از این ذکر کرده‌ بودیم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w:t>
      </w:r>
      <w:r>
        <w:rPr>
          <w:rStyle w:val="FootnoteAnchor"/>
          <w:rtl w:val="true"/>
        </w:rPr>
        <w:footnoteReference w:id="406"/>
      </w:r>
      <w:r>
        <w:rPr>
          <w:rFonts w:ascii="Amiri" w:hAnsi="Amiri" w:eastAsia="Amiri" w:cs="Amiri"/>
          <w:color w:val="111111"/>
          <w:sz w:val="28"/>
          <w:sz w:val="28"/>
          <w:szCs w:val="28"/>
          <w:rtl w:val="true"/>
          <w:lang w:bidi="ar-SA"/>
        </w:rPr>
        <w:t xml:space="preserve"> عَنْ أَحْمَدَ</w:t>
      </w:r>
      <w:r>
        <w:rPr>
          <w:rStyle w:val="FootnoteAnchor"/>
          <w:rtl w:val="true"/>
        </w:rPr>
        <w:footnoteReference w:id="407"/>
      </w:r>
      <w:r>
        <w:rPr>
          <w:rFonts w:ascii="Amiri" w:hAnsi="Amiri" w:eastAsia="Amiri" w:cs="Amiri"/>
          <w:color w:val="111111"/>
          <w:sz w:val="28"/>
          <w:sz w:val="28"/>
          <w:szCs w:val="28"/>
          <w:rtl w:val="true"/>
          <w:lang w:bidi="ar-SA"/>
        </w:rPr>
        <w:t xml:space="preserve"> عَنِ الْحُسَيْنِ</w:t>
      </w:r>
      <w:r>
        <w:rPr>
          <w:rStyle w:val="FootnoteAnchor"/>
          <w:rtl w:val="true"/>
        </w:rPr>
        <w:footnoteReference w:id="408"/>
      </w:r>
      <w:r>
        <w:rPr>
          <w:rFonts w:ascii="Amiri" w:hAnsi="Amiri" w:eastAsia="Amiri" w:cs="Amiri"/>
          <w:color w:val="111111"/>
          <w:sz w:val="28"/>
          <w:sz w:val="28"/>
          <w:szCs w:val="28"/>
          <w:rtl w:val="true"/>
          <w:lang w:bidi="ar-SA"/>
        </w:rPr>
        <w:t xml:space="preserve"> عَنِ النَّضْرِ بْنِ سُوَيْدٍ</w:t>
      </w:r>
      <w:r>
        <w:rPr>
          <w:rStyle w:val="FootnoteAnchor"/>
          <w:rtl w:val="true"/>
        </w:rPr>
        <w:footnoteReference w:id="409"/>
      </w:r>
      <w:r>
        <w:rPr>
          <w:rFonts w:ascii="Amiri" w:hAnsi="Amiri" w:eastAsia="Amiri" w:cs="Amiri"/>
          <w:color w:val="111111"/>
          <w:sz w:val="28"/>
          <w:sz w:val="28"/>
          <w:szCs w:val="28"/>
          <w:rtl w:val="true"/>
          <w:lang w:bidi="ar-SA"/>
        </w:rPr>
        <w:t xml:space="preserve"> عَنْ يَحْيَى الْحَلَبِيِّ</w:t>
      </w:r>
      <w:r>
        <w:rPr>
          <w:rStyle w:val="FootnoteAnchor"/>
          <w:rtl w:val="true"/>
        </w:rPr>
        <w:footnoteReference w:id="410"/>
      </w:r>
      <w:r>
        <w:rPr>
          <w:rFonts w:ascii="Amiri" w:hAnsi="Amiri" w:eastAsia="Amiri" w:cs="Amiri"/>
          <w:color w:val="111111"/>
          <w:sz w:val="28"/>
          <w:sz w:val="28"/>
          <w:szCs w:val="28"/>
          <w:rtl w:val="true"/>
          <w:lang w:bidi="ar-SA"/>
        </w:rPr>
        <w:t xml:space="preserve"> عَنْ أَيُّوبَ بْنِ الْحُرِّ</w:t>
      </w:r>
      <w:r>
        <w:rPr>
          <w:rStyle w:val="FootnoteAnchor"/>
          <w:rtl w:val="true"/>
        </w:rPr>
        <w:footnoteReference w:id="411"/>
      </w:r>
      <w:r>
        <w:rPr>
          <w:rFonts w:ascii="Amiri" w:hAnsi="Amiri" w:eastAsia="Amiri" w:cs="Amiri"/>
          <w:color w:val="111111"/>
          <w:sz w:val="28"/>
          <w:sz w:val="28"/>
          <w:szCs w:val="28"/>
          <w:rtl w:val="true"/>
          <w:lang w:bidi="ar-SA"/>
        </w:rPr>
        <w:t xml:space="preserve"> عَنْ أَبِي بَصِيرٍ</w:t>
      </w:r>
      <w:r>
        <w:rPr>
          <w:rStyle w:val="FootnoteAnchor"/>
          <w:rtl w:val="true"/>
        </w:rPr>
        <w:footnoteReference w:id="412"/>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 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این روایت صحیحه و تمام افراد سندش عدل امامی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سند هیچ مشکلی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آن هم صریح در جواز غناء و کسب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معصوم، اجرت او را حلال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فاضل در رابطه با این روایت،قائل بودند که این حکم منحصر به مجالس عروسی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مجالس زنانه،تنها به آن جهت که مردی داخل مجلس نیست نمی‌تواند مشمول این حلّیت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عنوان موصوف در تعبیر روایت،یعنی مجلس عروسی‌ای که مغنّیه در آن می‌خواند،با حفظ این صفت،یعنی عدم اختلاط مردان با زنان هر دو با هم در حکم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ما،این حکم در تمام مجالس زنان جاری است،چرا که روایات دیگری هم در این‌باره وارد شده که می‌توان حکم به حلّیت غناء در مجالس زنانه را از آن روایات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مطرح می‌شود؛این است که آیا می‌توان 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مغنّیه ملحق نمود؟و مسأله دیگر اینکه آیا حکم جواز غناء منحصر در مجالس عروسی است؟یا در سایر اعیاد و مناسبتهای مبارک و مناسب با شادی در میان مؤمنین حکم به جواز غناء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قائل به انحصار حکم جواز به مغنّیه و آنهم در مجلس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قائل به جواز غنای مغنّی در عروسی و حتّی سایر مجالس شادی و فرح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 شیرازی در دو کتاب عربی و استدلالی که در این موضوع بحث کرده‌اند،حکم به جواز غناء در مجالس و مناسبتهای شاد و مبارک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مناسبت آن منصوص باشد؛مثل جشن ختنه فرزند و یا اعیاد شرعی</w:t>
      </w:r>
      <w:r>
        <w:rPr>
          <w:rFonts w:eastAsia="IRNazanin" w:cs="IRNazanin"/>
          <w:color w:val="111111"/>
          <w:sz w:val="28"/>
          <w:szCs w:val="28"/>
          <w:rtl w:val="true"/>
          <w:lang w:bidi="fa-IR"/>
        </w:rPr>
        <w:t>.</w:t>
      </w:r>
      <w:r>
        <w:rPr>
          <w:rStyle w:val="FootnoteAnchor"/>
          <w:rtl w:val="true"/>
        </w:rPr>
        <w:footnoteReference w:id="414"/>
      </w:r>
      <w:bookmarkStart w:id="97" w:name="pg4642_54003"/>
    </w:p>
    <w:p>
      <w:pPr>
        <w:pStyle w:val="BookText"/>
        <w:rPr/>
      </w:pPr>
      <w:bookmarkEnd w:id="97"/>
      <w:r>
        <w:rPr>
          <w:rFonts w:ascii="IRNazanin" w:hAnsi="IRNazanin" w:eastAsia="IRNazanin"/>
          <w:color w:val="111111"/>
          <w:sz w:val="28"/>
          <w:sz w:val="28"/>
          <w:szCs w:val="28"/>
          <w:rtl w:val="true"/>
          <w:lang w:bidi="fa-IR"/>
        </w:rPr>
        <w:t>ولی به نظر ما،ضرورتی در این منصوص بودن مناسبتها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مؤمنین مجلسی برای شادی و خوشحالی به پا کردند،مادام که به معاصی دیگر آمیخته و آلوده نشده باشد،می‌توانند غناء بخوانند و این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هم صحیحه علی‌بن جعفر از امام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الْغِنَاءِ أَ يَصْلُحُ فِي الْفِطْرِ وَ الْأَضْحَى وَ الْفَرَحُ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مَا لَمْ يُؤْمَرْ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w:t>
      </w:r>
    </w:p>
    <w:p>
      <w:pPr>
        <w:pStyle w:val="Heading2"/>
        <w:numPr>
          <w:ilvl w:val="1"/>
          <w:numId w:val="1"/>
        </w:numPr>
        <w:rPr/>
      </w:pPr>
      <w:bookmarkStart w:id="98" w:name="__RefHeading___Toc296168_2035185390"/>
      <w:bookmarkStart w:id="99" w:name="_Toc33"/>
      <w:bookmarkEnd w:id="98"/>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96/10/04</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جواز غنای مغنّیه در عروسی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مطرح شد که آیا می‌توان قائل به تعدّی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مغنّیه مرد مغنّی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مغنّیه نه در عروسی بلکه در سایر مجالس زنانه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قائل به تعدّی شد؟</w:t>
      </w:r>
    </w:p>
    <w:p>
      <w:pPr>
        <w:pStyle w:val="BookText"/>
        <w:rPr/>
      </w:pPr>
      <w:r>
        <w:rPr>
          <w:rFonts w:ascii="IRNazanin" w:hAnsi="IRNazanin" w:eastAsia="IRNazanin"/>
          <w:color w:val="111111"/>
          <w:sz w:val="28"/>
          <w:sz w:val="28"/>
          <w:szCs w:val="28"/>
          <w:rtl w:val="true"/>
          <w:lang w:bidi="fa-IR"/>
        </w:rPr>
        <w:t>جواز غنای مغنّی و مغنّیه در مجالس مؤمنین</w:t>
      </w:r>
    </w:p>
    <w:p>
      <w:pPr>
        <w:pStyle w:val="BookText"/>
        <w:rPr/>
      </w:pPr>
      <w:r>
        <w:rPr>
          <w:rFonts w:ascii="IRNazanin" w:hAnsi="IRNazanin" w:eastAsia="IRNazanin"/>
          <w:color w:val="111111"/>
          <w:sz w:val="28"/>
          <w:sz w:val="28"/>
          <w:szCs w:val="28"/>
          <w:rtl w:val="true"/>
          <w:lang w:bidi="fa-IR"/>
        </w:rPr>
        <w:t>ما عرض کردیم حقّ این است که غنای مغنّیه در تمام مجالس زنانه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صحیحه علی بن جعفر بود که حضرت در اعیاد و مناسبت‌های مبارک مذهبی هم به شروط پیش‌گفته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اختلاط زنان و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مغنّیه را جائز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آیت‌الله مکارم هم در دو کتاب استدلالی خود این قول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جواهر این قول را نمی‌پذیرفتند و قائل به لزوم انحصار حکم جواز در عروسی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 مغنّیه هم حلال بود و غنای مغنّی باز نمی‌تواند جائز شمرده شود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قول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آنچه از روایات به دست می‌آید، اگر مؤمنین در یک مجلس جمع هستند و مناسبت هم مذهبی و الهی است، برای شادی با حفظ حدود و عدم اقتران به معاصی غنائی خوانده شود، اشکالی ندارد؛ زیرا آنچه مهم است و باید مورد ملاحظه قرار گیرد عدم زمینه‌سازی غناء برای سایر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فسق و فجور کارکرد متفاوتی برای غناء فراهم می‌کند؛ زیرا در این مجالس ارتکاب معاصی یک‌باره رخ نداده و غناء نقشی در تمهید و زمینه‌سازی معاصی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عده‌ای از مؤمنین جمع بوده و باتقوا هستند و مرتکب گناهی نمی‌شوند، چه ایرادی دارد که به روایات عمل کرده و قائل به جواز و حلّیت غناء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حُداء از حرمت غناء</w:t>
      </w:r>
    </w:p>
    <w:p>
      <w:pPr>
        <w:pStyle w:val="BookText"/>
        <w:rPr/>
      </w:pPr>
      <w:r>
        <w:rPr>
          <w:rFonts w:ascii="IRNazanin" w:hAnsi="IRNazanin" w:eastAsia="IRNazanin"/>
          <w:color w:val="111111"/>
          <w:sz w:val="28"/>
          <w:sz w:val="28"/>
          <w:szCs w:val="28"/>
          <w:rtl w:val="true"/>
          <w:lang w:bidi="fa-IR"/>
        </w:rPr>
        <w:t>یکی از مواردی که در کتب فقهاء به استثنای آن از حرمت غناء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حداء به آن صوتی می‌گویند که ساربان شتران برای شترها می‌خوانده است تا آن‌ها را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شده‌اند این حداء که صدای خوشی بوده و شترها با شنیدن آن حرکت می‌کردند، از حرمت غناء بیرون بوده و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اردبیلی می‌فرمایند اگر این استثناء صحیح باشد، باید در آن به مورد دلیل اقتصار کرده و در سایر چهارپایان راهرو مثل اسب و الاغ، آن را نمی‌توان جائز شمرد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مرحوم بحرانی در ذیل کلام ایشان می‌فرمایند، ما اصلاً برای این مسأله دلیلی نیافتیم تا بدانیم موردش چیست و بر آن اکتفاء کنیم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 یک روایت را بر این استثناء به عنوان دلیل ارائه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فِي سَفَرٍ، وَکانَ عَبْدُ اللَّهِ بْنُ رَوَاحَةَ جَيِّدَ الْحِدَاءِ، فَقَالَ النَّبِيُّ لِابْنِ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 بِالْقَوْمِ فَانْدَفَعَ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عبد اللّه جيّد الحداء، و کان مع الرجال، و کان أنجشة مع النساء، فلمّا سمعه أنجشة تبعه، فَقَالَ النَّبِيُّ لِأَنْجَشَةَ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رُوَيْدَک، رِفْقاً بِالْقَوَارِيرِ</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ابن رواحه نامی، که ساربان شترها بوده است در یک سفری ساربان کاروانی بوده است که رسول خدا در آن کاروان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رواحه به دستور رسول خدا با صدای خود شترها را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ساربانی دیگر که مراقب شترهای حامل زنان کاروان بوده است، مشغول خواندن برای شترهای حامل زنان می‌کند و رسول خدا هم این رفتار او را تقریر کرده و سفارش زنان را به او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به استدلال به روایت</w:t>
      </w:r>
    </w:p>
    <w:p>
      <w:pPr>
        <w:pStyle w:val="BookText"/>
        <w:rPr/>
      </w:pPr>
      <w:r>
        <w:rPr>
          <w:rFonts w:ascii="IRNazanin" w:hAnsi="IRNazanin" w:eastAsia="IRNazanin"/>
          <w:color w:val="111111"/>
          <w:sz w:val="28"/>
          <w:sz w:val="28"/>
          <w:szCs w:val="28"/>
          <w:rtl w:val="true"/>
          <w:lang w:bidi="fa-IR"/>
        </w:rPr>
        <w:t>اوّلین اشکال از جانب صاحب جواهر مبنی بر عدم تمامیت دلالت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معلوم نیست صوتی که ابن رواحه می‌خوانده است، غناء بوده و یا به حدّ غناء نمی‌رسیده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اشکال دوّم هم به دلالت نظر داشته و هم به سند؛ این روایت ضعیفه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بوده و راوی آن هم عائشه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شهرتی هم بر طبق مفاد آن محقّق نشده است تا جابر سند ضعیف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هیچ تصریحی هم در مسأله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کلّی می‌توان فهمید یک نوع خواندنی برای راه بردن شترها جائز است، ولی روایت بر وضوحی بیش از این دلالت ندارد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با دقّت در برخی از تعابیر روایت مدلولی خلاف آنچه مدّعیان به جواز حداء بدان استدلال کرده‌اند از روایت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در این روایت بحث از حداء خوانی نیست تا بتوان جوازش را به نحوی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به ابن‌رواحه امر می‌کنند تا رجز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بِالْقَوْمِ فَانْدَفَعَ يَرْتَجِزُ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تعبیر نشان می‌دهد شاید آنچه ابن رواحه می‌خواند اشعاری به وزن بحر و برای رجز بوده تا تحریک و تهییج مخاطبان برای جنگ و مثل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غناء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خفّت و طربی را می‌طلبد که در رجز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بیان می‌توان فهمید که غناء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غناء ممنوع نبود ابن رواحه می‌توانست و حتّی مناسب‌تر بود تا شترها را با خواندن حداء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حتماً منعی بوده که او مشغول به رجزخوانی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بیان راوی آمده است که ابن رواحه به خوبی حداء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می‌گویند این بیان راوی است و با توجّه به آنچه از صوت ابن رواحه نقل می‌کند، نباید منظورش حداء به سبک غناءگونه بوده باشد</w:t>
      </w:r>
      <w:r>
        <w:rPr>
          <w:rFonts w:eastAsia="IRNazanin" w:cs="IRNazanin"/>
          <w:color w:val="111111"/>
          <w:sz w:val="28"/>
          <w:szCs w:val="28"/>
          <w:rtl w:val="true"/>
          <w:lang w:bidi="fa-IR"/>
        </w:rPr>
        <w:t>.</w:t>
      </w:r>
      <w:r>
        <w:rPr>
          <w:rStyle w:val="FootnoteAnchor"/>
          <w:rtl w:val="true"/>
        </w:rPr>
        <w:footnoteReference w:id="421"/>
      </w:r>
      <w:bookmarkStart w:id="100" w:name="pg4642_54006"/>
    </w:p>
    <w:p>
      <w:pPr>
        <w:pStyle w:val="BookText"/>
        <w:rPr/>
      </w:pPr>
      <w:bookmarkEnd w:id="100"/>
      <w:r>
        <w:rPr>
          <w:rFonts w:ascii="IRNazanin" w:hAnsi="IRNazanin" w:eastAsia="IRNazanin"/>
          <w:color w:val="111111"/>
          <w:sz w:val="28"/>
          <w:sz w:val="28"/>
          <w:szCs w:val="28"/>
          <w:rtl w:val="true"/>
          <w:lang w:bidi="fa-IR"/>
        </w:rPr>
        <w:t>به نظر ما هم سخن امام خمینی صحیح بوده و این روایت نه دلالت قابل اعتمادی دارند و نه سندش اعتباری دارد؛ فلذا نمی‌توان به آن تمسّک نمود</w:t>
      </w:r>
      <w:r>
        <w:rPr>
          <w:rFonts w:eastAsia="IRNazanin" w:cs="IRNazanin"/>
          <w:color w:val="111111"/>
          <w:sz w:val="28"/>
          <w:szCs w:val="28"/>
          <w:rtl w:val="true"/>
          <w:lang w:bidi="fa-IR"/>
        </w:rPr>
        <w:t>.</w:t>
      </w:r>
    </w:p>
    <w:p>
      <w:pPr>
        <w:pStyle w:val="Heading2"/>
        <w:numPr>
          <w:ilvl w:val="1"/>
          <w:numId w:val="1"/>
        </w:numPr>
        <w:rPr/>
      </w:pPr>
      <w:bookmarkStart w:id="101" w:name="__RefHeading___Toc296170_2035185390"/>
      <w:bookmarkStart w:id="102" w:name="_Toc34"/>
      <w:bookmarkEnd w:id="101"/>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96/10/05</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مواردی بود که از حرمت غناء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استثناء شده، حداء برای شترها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بررسی کردیم از رسول خدا که در منابع اهل سنّت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بوده و دلالت صریحی هم در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در رابطه با رجزخوانی بود، و نمی‌شد برای اثبات جواز حداء به آن استثناء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ادّله‌ی منع</w:t>
      </w:r>
    </w:p>
    <w:p>
      <w:pPr>
        <w:pStyle w:val="BookText"/>
        <w:rPr/>
      </w:pPr>
      <w:r>
        <w:rPr>
          <w:rFonts w:ascii="IRNazanin" w:hAnsi="IRNazanin" w:eastAsia="IRNazanin"/>
          <w:color w:val="111111"/>
          <w:sz w:val="28"/>
          <w:sz w:val="28"/>
          <w:szCs w:val="28"/>
          <w:rtl w:val="true"/>
          <w:lang w:bidi="fa-IR"/>
        </w:rPr>
        <w:t>برخی قائل شدند چون دلیلی برای منع و تحریم این نوع از صدا نداریم، و در هیچ بیانی نه حداء را از مصادیق غناء معرّفی کرده است و نه مستقیماً به تحریم آن اشاره شده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اصل اباحه را برخی مرجع در تعیین حکم این مورد دانسته‌اند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آیت‌الله سبحانی قائل هستند، اگر سیره‌ای از زمان رسول خدا بر حداء خوانی برای شترها در بین مردم ثابت بوده است، و شارع هم بیانی بر ردع آن وارد نکرده است، پس حداء خوانی جائز 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دلیل ایشان بر اباحه حداء دلالت دارد، ولی ما نمی‌دانیم اصلاً این حداء از مصادیق غناء بوده است یا اینکه اساساً یک صوت مستقل و متفاوتی بوده است؛ چون حقیقتاً مشخص نیست که چه میزان از طرب و ترجیع در این صوت وجود دارد و چگونه می‌توان از این جهت که غناء باشد از حرمت و جوازش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دلیلی که آیت‌الله سبحانی بر این جواز اقامه کرده‌اند بهترین دلیل در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برخی استثنای حداء از مصادیق غنای محرّم را از فتاوای مشهور در شیعه دانسته‌اند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صاحب جواهر در مقام اشکال می‌فرمایند، این شهرت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تحقیق می‌توان بر خلاف این فتوا شهرت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حداء از مصادیق غناء باشد، حرام بوده و دلیلی برای جواز آن نداریم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مرحوم امام خمینی قائل‌اند نه حلّیت حداء شهرتی دارد و نه حرمت آن مورد توافق عده‌ای واقع شده است، که مشهور باشد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حداء</w:t>
      </w:r>
    </w:p>
    <w:p>
      <w:pPr>
        <w:pStyle w:val="BookText"/>
        <w:rPr/>
      </w:pPr>
      <w:r>
        <w:rPr>
          <w:rFonts w:ascii="IRNazanin" w:hAnsi="IRNazanin" w:eastAsia="IRNazanin"/>
          <w:color w:val="111111"/>
          <w:sz w:val="28"/>
          <w:sz w:val="28"/>
          <w:szCs w:val="28"/>
          <w:rtl w:val="true"/>
          <w:lang w:bidi="fa-IR"/>
        </w:rPr>
        <w:t>برخی از فقهاء قائل به حرمت حداء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حداء از مصادیق غناء باشد، دلیلی برای استثنای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حداء غناء نباشد، دلیلی برای تحریم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همین قول حق است؛ زیرا دلیل معتبری بر استثناء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می‌فرمایند اگر حداء را از مصادیق غناء بدانیم و در آن قید اطراب را اخذ کردیم، دلیلی که صلاحیت استثنای آن را از حرمت غناء داشته باشد، در دسترس نیست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حداء بدون تطبیق عنوان غناء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حداء را قسیم غناء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اباحه آن نه از جهت استثنای از حکم غناء، بلکه از جهت خروج آن از موضوع غناء می‌باشد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مرحوم سید لاری در حاشیه بر مکاسب همین خروج تخصّصی حداء از موضوع غناء را تأیید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حداء را مستثنای از غناء بدانیم از بابتخصّص و استثناء منقطع است؛ چرا که حداء از مصادیق غناء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مقوّمات غناء اطراب و خفّتی است که در عقل شخص بالفعل و یا شأنا ایجاد می‌کند، حداء را برای شترها می‌خوانند و این موجودات عقلی ندارند تا حداء برای آن‌ها خفّت و سبک‌سری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تأمّلی که ایشان در این رابطه دارند، محل اشکال است؛ چرا که اساساً بحث در رابطه با حرمت برای حیوانات نیست که به بی‌عقلی شتر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حرمت حداء از جهت غناء بودن آن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حداء از مصادیق غناء به شمار می‌رود یا نه؟ موضوع شناسی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وحدت آن دو بود، حرام خواهد بود و الّا حلال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در این رابطه فرمودند، اصل حداء صوتی است که شترها از شنیدن آن لذّت برده و بر سرعت راه رفتن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صوت هیچ ربطی به غنای محرّم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به نقل از رسول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المسافر الحُداء و الشعر ما کان منه ليس فيه خناء</w:t>
      </w:r>
      <w:r>
        <w:rPr>
          <w:rStyle w:val="FootnoteAnchor"/>
          <w:rtl w:val="true"/>
        </w:rPr>
        <w:footnoteReference w:id="4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امام حداء و شعرخوانی را توشه راه هر مسافری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می‌توان فهمید این حداء یک نوع شعر و غزلی بوده است که مسافر را سرگرم کرده و شترها هم از شنیدن آن سریع‌تر راه می‌رفتند</w:t>
      </w:r>
      <w:r>
        <w:rPr>
          <w:rFonts w:eastAsia="IRNazanin" w:cs="IRNazanin"/>
          <w:color w:val="111111"/>
          <w:sz w:val="28"/>
          <w:szCs w:val="28"/>
          <w:rtl w:val="true"/>
          <w:lang w:bidi="fa-IR"/>
        </w:rPr>
        <w:t>.</w:t>
      </w:r>
      <w:r>
        <w:rPr>
          <w:rStyle w:val="FootnoteAnchor"/>
          <w:rtl w:val="true"/>
        </w:rPr>
        <w:footnoteReference w:id="432"/>
      </w:r>
      <w:bookmarkStart w:id="103" w:name="pg4642_54009"/>
    </w:p>
    <w:p>
      <w:pPr>
        <w:pStyle w:val="BookText"/>
        <w:rPr/>
      </w:pPr>
      <w:bookmarkEnd w:id="103"/>
      <w:r>
        <w:rPr>
          <w:rFonts w:ascii="IRNazanin" w:hAnsi="IRNazanin" w:eastAsia="IRNazanin"/>
          <w:color w:val="111111"/>
          <w:sz w:val="28"/>
          <w:sz w:val="28"/>
          <w:szCs w:val="28"/>
          <w:rtl w:val="true"/>
          <w:lang w:bidi="fa-IR"/>
        </w:rPr>
        <w:t>آیت‌الله مکارم شیرازی هم موافق با این خروج تخصّصی حداء از موضوع غناء هستند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ادلّه قول سوم</w:t>
      </w:r>
    </w:p>
    <w:p>
      <w:pPr>
        <w:pStyle w:val="BookText"/>
        <w:rPr/>
      </w:pPr>
      <w:r>
        <w:rPr>
          <w:rFonts w:ascii="IRNazanin" w:hAnsi="IRNazanin" w:eastAsia="IRNazanin"/>
          <w:color w:val="111111"/>
          <w:sz w:val="28"/>
          <w:sz w:val="28"/>
          <w:szCs w:val="28"/>
          <w:rtl w:val="true"/>
          <w:lang w:bidi="fa-IR"/>
        </w:rPr>
        <w:t>دلیل اوّل روایت</w:t>
      </w:r>
    </w:p>
    <w:p>
      <w:pPr>
        <w:pStyle w:val="BookText"/>
        <w:rPr/>
      </w:pPr>
      <w:r>
        <w:rPr>
          <w:rFonts w:ascii="IRNazanin" w:hAnsi="IRNazanin" w:eastAsia="IRNazanin"/>
          <w:color w:val="111111"/>
          <w:sz w:val="28"/>
          <w:sz w:val="28"/>
          <w:szCs w:val="28"/>
          <w:rtl w:val="true"/>
          <w:lang w:bidi="fa-IR"/>
        </w:rPr>
        <w:t>برخی برای جواز حداء نه به عنوان غناء، دلیل آورده‌اند به روایتی که از عائشه نقل کردیم</w:t>
      </w:r>
      <w:r>
        <w:rPr>
          <w:rStyle w:val="FootnoteAnchor"/>
          <w:rtl w:val="true"/>
        </w:rPr>
        <w:footnoteReference w:id="4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روایت هیچ دلالت صریحی بر حداء و جواز آن نداشت و سند ضعیفی هم داشت، فلذا نمی‌توان به آن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اصال اباحه می‌گوید اگر حداء از مصادیق غناء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سیره مستمره مسلمین بر این بوده که برای راندن شتران از حداء استفاده می‌کرده‌اند و کسی از آن نهی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سیره دلیل بر جواز حداء‌ هست امّا جواز حداء که به صورت غناء باشد را ثابت نمی‌کند</w:t>
      </w:r>
      <w:r>
        <w:rPr>
          <w:rFonts w:eastAsia="IRNazanin" w:cs="IRNazanin"/>
          <w:color w:val="111111"/>
          <w:sz w:val="28"/>
          <w:szCs w:val="28"/>
          <w:rtl w:val="true"/>
          <w:lang w:bidi="fa-IR"/>
        </w:rPr>
        <w:t>.</w:t>
      </w:r>
    </w:p>
    <w:p>
      <w:pPr>
        <w:pStyle w:val="Heading2"/>
        <w:numPr>
          <w:ilvl w:val="1"/>
          <w:numId w:val="1"/>
        </w:numPr>
        <w:rPr/>
      </w:pPr>
      <w:bookmarkStart w:id="104" w:name="__RefHeading___Toc296172_2035185390"/>
      <w:bookmarkStart w:id="105" w:name="_Toc35"/>
      <w:bookmarkEnd w:id="104"/>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96/10/09</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مواردی بود که از حرمت غناء استثناء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غنای مغنّیه در مجالس زنان و عروسی‌ها بود؛ دیگری حداء یعنی آوازی که برای راه بردن شترها می‌خوانند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استثنای حداء از حرمت غناء، ادلّه‌ای اقامه کرده بودند؛ از جمله روایتی از منابع اهل سنّت که در جلسه گذشته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فرض صحّت دلالت بر وجود سیره‌ای از زمان اهل بیت دارد که مردم در راه بردن و سرعت بخشیدن به حرکت شترها به این شکل از آواز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سیره ادلّه‌ی دیگری هم اقامه شد که اگر به مجموعه آن استناد کنیم، شاید بتوان چنین استثنائی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در این ادلّه همین است که ما نمی‌توانیم غناء بودن این صوت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استثنای حداء از غناء به شرطی صحیح است که حداء را از مصادیق غناء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اثبات این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نمی‌توان از ادلّه استثناء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مطلب را می‌توان در مقام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حداء از زمان پیامبر در میان مردم خوانده می‌شده و جایگاه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مردم این صوت را از مصادیق غناء می‌دانستند و در عین حال قائل به جواز آن بودند،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غنائی خواندن قرآن</w:t>
      </w:r>
    </w:p>
    <w:p>
      <w:pPr>
        <w:pStyle w:val="BookText"/>
        <w:rPr/>
      </w:pPr>
      <w:r>
        <w:rPr>
          <w:rFonts w:ascii="IRNazanin" w:hAnsi="IRNazanin" w:eastAsia="IRNazanin"/>
          <w:color w:val="111111"/>
          <w:sz w:val="28"/>
          <w:sz w:val="28"/>
          <w:szCs w:val="28"/>
          <w:rtl w:val="true"/>
          <w:lang w:bidi="fa-IR"/>
        </w:rPr>
        <w:t>در رابطه با غنائی خواندن قرآن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حرمت غناء در قرآن را شدیدتر دانسته و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نظر بزرگانی چون مرحوم کاشف‌الغطاء</w:t>
      </w:r>
      <w:r>
        <w:rPr>
          <w:rStyle w:val="FootnoteAnchor"/>
          <w:rtl w:val="true"/>
        </w:rPr>
        <w:footnoteReference w:id="435"/>
      </w:r>
      <w:r>
        <w:rPr>
          <w:rFonts w:ascii="IRNazanin" w:hAnsi="IRNazanin" w:eastAsia="IRNazanin"/>
          <w:color w:val="111111"/>
          <w:sz w:val="28"/>
          <w:sz w:val="28"/>
          <w:szCs w:val="28"/>
          <w:rtl w:val="true"/>
          <w:lang w:bidi="fa-IR"/>
        </w:rPr>
        <w:t xml:space="preserve"> و مرحوم شیخ انصاری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آن است که غناء در قرآن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 حرمت غناء در قرآن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436"/>
      </w:r>
      <w:r>
        <w:rPr>
          <w:rFonts w:ascii="Amiri" w:hAnsi="Amiri" w:eastAsia="Amiri" w:cs="Amiri"/>
          <w:color w:val="111111"/>
          <w:sz w:val="28"/>
          <w:sz w:val="28"/>
          <w:szCs w:val="28"/>
          <w:rtl w:val="true"/>
          <w:lang w:bidi="ar-SA"/>
        </w:rPr>
        <w:t xml:space="preserve"> عَنْ عَلِيِّ بْنِ مُحَمَّدٍ</w:t>
      </w:r>
      <w:r>
        <w:rPr>
          <w:rStyle w:val="FootnoteAnchor"/>
          <w:rtl w:val="true"/>
        </w:rPr>
        <w:footnoteReference w:id="437"/>
      </w:r>
      <w:r>
        <w:rPr>
          <w:rFonts w:ascii="Amiri" w:hAnsi="Amiri" w:eastAsia="Amiri" w:cs="Amiri"/>
          <w:color w:val="111111"/>
          <w:sz w:val="28"/>
          <w:sz w:val="28"/>
          <w:szCs w:val="28"/>
          <w:rtl w:val="true"/>
          <w:lang w:bidi="ar-SA"/>
        </w:rPr>
        <w:t xml:space="preserve"> عَنْ إِبْرَاهِيمَ الْأَحْمَرِ</w:t>
      </w:r>
      <w:r>
        <w:rPr>
          <w:rStyle w:val="FootnoteAnchor"/>
          <w:rtl w:val="true"/>
        </w:rPr>
        <w:footnoteReference w:id="438"/>
      </w:r>
      <w:r>
        <w:rPr>
          <w:rFonts w:ascii="Amiri" w:hAnsi="Amiri" w:eastAsia="Amiri" w:cs="Amiri"/>
          <w:color w:val="111111"/>
          <w:sz w:val="28"/>
          <w:sz w:val="28"/>
          <w:szCs w:val="28"/>
          <w:rtl w:val="true"/>
          <w:lang w:bidi="ar-SA"/>
        </w:rPr>
        <w:t xml:space="preserve"> عَنْ عَبْدِ اللَّهِ بْنِ حَمَّادٍ</w:t>
      </w:r>
      <w:r>
        <w:rPr>
          <w:rStyle w:val="FootnoteAnchor"/>
          <w:rtl w:val="true"/>
        </w:rPr>
        <w:footnoteReference w:id="439"/>
      </w:r>
      <w:r>
        <w:rPr>
          <w:rFonts w:ascii="Amiri" w:hAnsi="Amiri" w:eastAsia="Amiri" w:cs="Amiri"/>
          <w:color w:val="111111"/>
          <w:sz w:val="28"/>
          <w:sz w:val="28"/>
          <w:szCs w:val="28"/>
          <w:rtl w:val="true"/>
          <w:lang w:bidi="ar-SA"/>
        </w:rPr>
        <w:t xml:space="preserve"> عَنْ عَبْدِ اللَّهِ بْنِ سِنَانٍ</w:t>
      </w:r>
      <w:r>
        <w:rPr>
          <w:rStyle w:val="FootnoteAnchor"/>
          <w:rtl w:val="true"/>
        </w:rPr>
        <w:footnoteReference w:id="440"/>
      </w:r>
      <w:r>
        <w:rPr>
          <w:rFonts w:ascii="Amiri" w:hAnsi="Amiri" w:eastAsia="Amiri" w:cs="Amiri"/>
          <w:color w:val="111111"/>
          <w:sz w:val="28"/>
          <w:sz w:val="28"/>
          <w:szCs w:val="28"/>
          <w:rtl w:val="true"/>
          <w:lang w:bidi="ar-SA"/>
        </w:rPr>
        <w:t xml:space="preserve">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إقْرَءُوا الْقُرْآنَ بِأَلْحَانِ الْعَرَبِ‌ وَ أَصْوَاتِهَا وَ إِيَّاکمْ وَ لُحُونَ أَهْلِ الْفِسْقِ وَ أَهْلِ الْکبَائِرِ فَإِنَّهُ سَيَجِي‌ءُ مِنْ بَعْدِي أَقْوَامٌ يُرَجِّعُونَ‌ الْقُرْآنَ تَرْجِيعَ الْغِنَاءِ وَ النَّوْحِ</w:t>
      </w:r>
      <w:r>
        <w:rPr>
          <w:rStyle w:val="FootnoteAnchor"/>
          <w:rtl w:val="true"/>
        </w:rPr>
        <w:footnoteReference w:id="441"/>
      </w:r>
      <w:r>
        <w:rPr>
          <w:rFonts w:ascii="Amiri" w:hAnsi="Amiri" w:eastAsia="Amiri" w:cs="Amiri"/>
          <w:color w:val="111111"/>
          <w:sz w:val="28"/>
          <w:sz w:val="28"/>
          <w:szCs w:val="28"/>
          <w:rtl w:val="true"/>
          <w:lang w:bidi="ar-SA"/>
        </w:rPr>
        <w:t xml:space="preserve">  وَ الرَّهْبَانِيَّةِ</w:t>
      </w:r>
      <w:r>
        <w:rPr>
          <w:rStyle w:val="FootnoteAnchor"/>
          <w:rtl w:val="true"/>
        </w:rPr>
        <w:footnoteReference w:id="442"/>
      </w:r>
      <w:r>
        <w:rPr>
          <w:rFonts w:ascii="Amiri" w:hAnsi="Amiri" w:eastAsia="Amiri" w:cs="Amiri"/>
          <w:color w:val="111111"/>
          <w:sz w:val="28"/>
          <w:sz w:val="28"/>
          <w:szCs w:val="28"/>
          <w:rtl w:val="true"/>
          <w:lang w:bidi="ar-SA"/>
        </w:rPr>
        <w:t xml:space="preserve">  لَا يَجُوزُ تَرَاقِيَهُم</w:t>
      </w:r>
      <w:r>
        <w:rPr>
          <w:rStyle w:val="FootnoteAnchor"/>
          <w:rtl w:val="true"/>
        </w:rPr>
        <w:footnoteReference w:id="443"/>
      </w:r>
      <w:r>
        <w:rPr>
          <w:rFonts w:ascii="Amiri" w:hAnsi="Amiri" w:eastAsia="Amiri" w:cs="Amiri"/>
          <w:color w:val="111111"/>
          <w:sz w:val="28"/>
          <w:sz w:val="28"/>
          <w:szCs w:val="28"/>
          <w:rtl w:val="true"/>
          <w:lang w:bidi="ar-SA"/>
        </w:rPr>
        <w:t xml:space="preserve"> ، قُلُوبُهُمْ مَقْلُوبَةٌ وَ قُلُوبُ مَنْ يُعْجِبُهُ شَأْنُهُمْ</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طبق این روایت رسول خدا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نوا و سبک عربی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قرآن را با سبک و لحن اهل فسق و کبائر بخوانید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اقوامی پس از خود خبر می‌دهد که قرآن را به سبکی غنائی و آمیخته با نوح و ترجیع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 این اقوام قرآن را بیش از یک آهنگ و سبک نمی‌فهمند و هیچ عمقی از مفاهیم آن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این اقوام واژگون است و آن‌کس که تابع ایشان باشد، همین مریضی در قلوبشان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محتوای مناسب و دلالت کامل و هم سند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استناد فقهاء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می‌فرمایند از این روایت می‌توان فهمید قرآن را به سه گونه می‌توان خواند، برخی قرآن را به سبک‌های مجالس فسق و فجور می‌خوانند و برخی در خواندن آن ترجیع در صدای خود ایجاد کرده و سبکی غناگونه در خواندن قرآن دارند و برخی هم به الحان عربی می‌خوانند که امروزه هم در کشورهای عربی چنین صوت‌هایی شنیده می‌شود؛ امثال عبدالباسط و دیگران از همین الحان عربی در خواندن زیبای قرآن بهره می‌گیرند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مرحوم محقّق سبزواری در رابطه با این روایت می‌فرمایند، که این روایت حاکم بر تمام ادلّه این موضوع است و برای کسانی که قائل به جواز غناء در قرآن هستند حجّتی است تا از قول خود برگردند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بِأَسَانِيدِهِ السَّابِقَةِ فِي إِسْبَاغِ الْوُضُوءِ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عَلَيْکمُ اسْتِخْفَافاً بِالدِّينِ وَ بَيْعَ الْحُکمِ وَ قَطِيعَةَ الرَّحِمِ وَ أَنْ تَتَّخِذُوا الْقُرْآنَ مَزَامِيرَ تُقَدِّمُونَ أَحَدَکمْ وَ لَيْسَ بِأَفْضَلِکمْ فِي الدِّينِ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این روایت سند ضعیفی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مهملی در سند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در رابطه با غنای در قرآن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حرمت موسیقی در خواندن قرآن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Style w:val="FootnoteAnchor"/>
          <w:rtl w:val="true"/>
        </w:rPr>
        <w:footnoteReference w:id="448"/>
      </w:r>
      <w:r>
        <w:rPr>
          <w:rFonts w:ascii="Amiri" w:hAnsi="Amiri" w:eastAsia="Amiri" w:cs="Amiri"/>
          <w:color w:val="111111"/>
          <w:sz w:val="28"/>
          <w:sz w:val="28"/>
          <w:szCs w:val="28"/>
          <w:rtl w:val="true"/>
          <w:lang w:bidi="ar-SA"/>
        </w:rPr>
        <w:t xml:space="preserve"> فِي تَفْسِيرِهِ عَنْ أَبِيهِ</w:t>
      </w:r>
      <w:r>
        <w:rPr>
          <w:rStyle w:val="FootnoteAnchor"/>
          <w:rtl w:val="true"/>
        </w:rPr>
        <w:footnoteReference w:id="449"/>
      </w:r>
      <w:r>
        <w:rPr>
          <w:rFonts w:ascii="Amiri" w:hAnsi="Amiri" w:eastAsia="Amiri" w:cs="Amiri"/>
          <w:color w:val="111111"/>
          <w:sz w:val="28"/>
          <w:sz w:val="28"/>
          <w:szCs w:val="28"/>
          <w:rtl w:val="true"/>
          <w:lang w:bidi="ar-SA"/>
        </w:rPr>
        <w:t xml:space="preserve"> عَنْ سُلَيْمَانَ بْنِ مُسْلِمٍ الْخَشَّابِ</w:t>
      </w:r>
      <w:r>
        <w:rPr>
          <w:rStyle w:val="FootnoteAnchor"/>
          <w:rtl w:val="true"/>
        </w:rPr>
        <w:footnoteReference w:id="450"/>
      </w:r>
      <w:r>
        <w:rPr>
          <w:rFonts w:ascii="Amiri" w:hAnsi="Amiri" w:eastAsia="Amiri" w:cs="Amiri"/>
          <w:color w:val="111111"/>
          <w:sz w:val="28"/>
          <w:sz w:val="28"/>
          <w:szCs w:val="28"/>
          <w:rtl w:val="true"/>
          <w:lang w:bidi="ar-SA"/>
        </w:rPr>
        <w:t xml:space="preserve"> عَنْ عَبْدِ اللَّهِ بْنِ</w:t>
      </w:r>
    </w:p>
    <w:p>
      <w:pPr>
        <w:pStyle w:val="BookText"/>
        <w:rPr/>
      </w:pPr>
      <w:r>
        <w:rPr>
          <w:rFonts w:ascii="Amiri" w:hAnsi="Amiri" w:eastAsia="Amiri" w:cs="Amiri"/>
          <w:color w:val="111111"/>
          <w:sz w:val="28"/>
          <w:sz w:val="28"/>
          <w:szCs w:val="28"/>
          <w:rtl w:val="true"/>
          <w:lang w:bidi="ar-SA"/>
        </w:rPr>
        <w:t>جَرِيحٍ الْمَکيِّ</w:t>
      </w:r>
      <w:r>
        <w:rPr>
          <w:rStyle w:val="FootnoteAnchor"/>
          <w:rtl w:val="true"/>
        </w:rPr>
        <w:footnoteReference w:id="451"/>
      </w:r>
      <w:r>
        <w:rPr>
          <w:rFonts w:ascii="Amiri" w:hAnsi="Amiri" w:eastAsia="Amiri" w:cs="Amiri"/>
          <w:color w:val="111111"/>
          <w:sz w:val="28"/>
          <w:sz w:val="28"/>
          <w:szCs w:val="28"/>
          <w:rtl w:val="true"/>
          <w:lang w:bidi="ar-SA"/>
        </w:rPr>
        <w:t xml:space="preserve"> عَنْ عَطَاءِ بْنِ أَبِي رِيَاحٍ</w:t>
      </w:r>
      <w:r>
        <w:rPr>
          <w:rStyle w:val="FootnoteAnchor"/>
          <w:rtl w:val="true"/>
        </w:rPr>
        <w:footnoteReference w:id="452"/>
      </w:r>
      <w:r>
        <w:rPr>
          <w:rFonts w:ascii="Amiri" w:hAnsi="Amiri" w:eastAsia="Amiri" w:cs="Amiri"/>
          <w:color w:val="111111"/>
          <w:sz w:val="28"/>
          <w:sz w:val="28"/>
          <w:szCs w:val="28"/>
          <w:rtl w:val="true"/>
          <w:lang w:bidi="ar-SA"/>
        </w:rPr>
        <w:t xml:space="preserve"> عَنْ عَبْدِ اللَّهِ بْنِ عَبَّاسٍ</w:t>
      </w:r>
      <w:r>
        <w:rPr>
          <w:rStyle w:val="FootnoteAnchor"/>
          <w:rtl w:val="true"/>
        </w:rPr>
        <w:footnoteReference w:id="453"/>
      </w:r>
      <w:r>
        <w:rPr>
          <w:rFonts w:ascii="Amiri" w:hAnsi="Amiri" w:eastAsia="Amiri" w:cs="Amiri"/>
          <w:color w:val="111111"/>
          <w:sz w:val="28"/>
          <w:sz w:val="28"/>
          <w:szCs w:val="28"/>
          <w:rtl w:val="true"/>
          <w:lang w:bidi="ar-SA"/>
        </w:rPr>
        <w:t xml:space="preserve">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السَّاعَةِ</w:t>
      </w:r>
      <w:r>
        <w:rPr>
          <w:rStyle w:val="FootnoteAnchor"/>
          <w:rtl w:val="true"/>
        </w:rPr>
        <w:footnoteReference w:id="454"/>
      </w:r>
      <w:r>
        <w:rPr>
          <w:rFonts w:ascii="Amiri" w:hAnsi="Amiri" w:eastAsia="Amiri" w:cs="Amiri"/>
          <w:color w:val="111111"/>
          <w:sz w:val="28"/>
          <w:sz w:val="28"/>
          <w:szCs w:val="28"/>
          <w:rtl w:val="true"/>
          <w:lang w:bidi="ar-SA"/>
        </w:rPr>
        <w:t xml:space="preserve">  إِضَاعَةَ الصَّلَوَاتِ وَ اتِّبَاعَ الشَّهَوَاتِ وَ الْمَيْلَ إِلَى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يَکونُ أَقْوَامٌ يَتَعَلَّمُونَ الْقُرْآنَ لِغَيْرِ اللَّهِ وَ يَتَّخِذُونَهُ 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يَتَغَنَّوْنَ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يُدْعَوْنَ فِي مَلَکوتِ السَّمَاوَاتِ الْأَرْجَاسَ الْأَنْجَاسَ</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این روایت حضرت می‌فرماید چیزهایی که در روز قیامت باعث سؤال و جواب می‌شود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تبعیّت از شهوات باظل و میل به سمت هوای نفس برای معصیت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گناهان آن است که عدّه‌ای قرآن را برای غیر خدا و همراه با موسیقی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غناء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ملکوت آسمان به رجس‌ها و نجاست‌ها خوانده می‌شند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بر حرمت غنای در قرآن دارد؛ اگرچه سند ضعیفی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همچون مرحوم امام به این روایت استناد کرده‌اند</w:t>
      </w:r>
      <w:r>
        <w:rPr>
          <w:rFonts w:eastAsia="IRNazanin" w:cs="IRNazanin"/>
          <w:color w:val="111111"/>
          <w:sz w:val="28"/>
          <w:szCs w:val="28"/>
          <w:rtl w:val="true"/>
          <w:lang w:bidi="fa-IR"/>
        </w:rPr>
        <w:t>.</w:t>
      </w:r>
      <w:r>
        <w:rPr>
          <w:rStyle w:val="FootnoteAnchor"/>
          <w:rtl w:val="true"/>
        </w:rPr>
        <w:footnoteReference w:id="456"/>
      </w:r>
      <w:bookmarkStart w:id="106" w:name="pg4642_54013"/>
    </w:p>
    <w:p>
      <w:pPr>
        <w:pStyle w:val="Heading2"/>
        <w:numPr>
          <w:ilvl w:val="1"/>
          <w:numId w:val="1"/>
        </w:numPr>
        <w:rPr/>
      </w:pPr>
      <w:bookmarkStart w:id="107" w:name="__RefHeading___Toc296174_2035185390"/>
      <w:bookmarkStart w:id="108" w:name="_Toc36"/>
      <w:bookmarkEnd w:id="106"/>
      <w:bookmarkEnd w:id="107"/>
      <w:r>
        <w:rPr>
          <w:rtl w:val="true"/>
        </w:rPr>
        <w:t>مستثنيات حرمت غناء</w:t>
      </w:r>
      <w:r>
        <w:rPr>
          <w:rtl w:val="true"/>
        </w:rPr>
        <w:t>/</w:t>
      </w:r>
      <w:r>
        <w:rPr>
          <w:rtl w:val="true"/>
        </w:rPr>
        <w:t>مبحث غناء</w:t>
      </w:r>
      <w:r>
        <w:rPr>
          <w:rtl w:val="true"/>
        </w:rPr>
        <w:t>/</w:t>
      </w:r>
      <w:r>
        <w:rPr>
          <w:rtl w:val="true"/>
        </w:rPr>
        <w:t xml:space="preserve">مكاسب محرّمه؛ </w:t>
      </w:r>
      <w:r>
        <w:rPr/>
        <w:t>96/10/10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مواردی بود که از حرمت غناء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استثنای غناء در خواندن قرآن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ریشه‌ی طرح این مسأله در باب قرآن روایاتی است که امر به خواندن زیبای قرآن و آیات الهی می‌کند؛ مثل روایاتی که امر به خواندن قرآن به لحون اهل عرب می‌کردند و یا روایاتی که سبک زیبای قرآن خواندن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می‌کنند؛ در این روایات قرآن خواندن امام را آنقدر زیبا توصیف می‌کند که عابران را متوقّف کرده و حالشان را منقلب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روایات برخی گمان کردند که می‌توان قرآن را به صوت غنائی خواند؛ چرا که در این خواندن حتماً تحریری به صدا بخشیده و ترجیع و اثرگذاری را بر آن وارد کرده، در نتیجه ممکن است به غناء هم منجر شود؛ زیرا احتمال خیلی زیاد در اثر این خواندن یک نحو طربی در شنونده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سروری و یا حزنی در شخص شنونده ایجاد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در اینجا از سوی مدّعیان جواز غنائی خواندن قرآن مغفول واقع شده است، این است که در هیچ یک از روایات این موضوع بحث غناء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در رابطه با صوت حزین و لحن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کجا ما از سیره اهل بیت گزارشی مبنی بر غنائی خواندن قرآن توسّط ایشان دریافت نکردیم؛ بلکه بحث در رابطه با زیبا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به‌گونه‌ای قرآن را بخواند که شنونده را تحت تأثیر قرار داده و عظمت آیات آن را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یک تفکیکی در مقام میان صدای خوب و صوت غنائی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مرتبه از صدا، یک حکم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کردند تا قرآن را به صوت زیبا و حسن بخوانیم، نه اینکه به کیفیت غنائی آن را تلاوت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ریشه‌یابی در این مسأله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نکته وارد بحث امروز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در باب غناء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غناء در قرآن</w:t>
      </w:r>
    </w:p>
    <w:p>
      <w:pPr>
        <w:pStyle w:val="BookText"/>
        <w:rPr/>
      </w:pPr>
      <w:r>
        <w:rPr>
          <w:rFonts w:ascii="IRNazanin" w:hAnsi="IRNazanin" w:eastAsia="IRNazanin"/>
          <w:color w:val="111111"/>
          <w:sz w:val="28"/>
          <w:sz w:val="28"/>
          <w:szCs w:val="28"/>
          <w:rtl w:val="true"/>
          <w:lang w:bidi="fa-IR"/>
        </w:rPr>
        <w:t>قائل به این قول مرحوم سبزواری و مرحوم نراقی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واحد من الأخبار يدلّ على جوازه</w:t>
      </w:r>
      <w:r>
        <w:rPr>
          <w:rStyle w:val="FootnoteAnchor"/>
          <w:rtl w:val="true"/>
        </w:rPr>
        <w:footnoteReference w:id="457"/>
      </w:r>
      <w:r>
        <w:rPr>
          <w:rFonts w:ascii="IRNazanin" w:hAnsi="IRNazanin" w:eastAsia="IRNazanin"/>
          <w:color w:val="111111"/>
          <w:sz w:val="28"/>
          <w:sz w:val="28"/>
          <w:szCs w:val="28"/>
          <w:rtl w:val="true"/>
          <w:lang w:bidi="fa-IR"/>
        </w:rPr>
        <w:t xml:space="preserve"> ، بل استحبابه في القرآن، بناءً على دلالة الروايات على جواز حسن الصوت و التحزين و الترجيع في القرآن؛ بل استحبابه و الظاهر أنّ شيئاً منها لا يوجد بدون الغناء على ما استفيد من کلام أهل اللغة و غيرهم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یعنی به نظر ایشان وقتی شما به مفاد روایاتی که ما را به زیبا خواندن قرآن امر می‌کنند دقت کنید، درمی‌یابید که این کیفیّت از زیبایی صدا با غناء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غناء در قرآن جائز باشد تا مورد امر اهل بیت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باشید که مرحوم سبزواری قائل به جواز غناء به طور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غناء در نظر ایشان به جهت تقارن دیگر عناوین محرّم بود؛ بنابراین این کلام ایشان با مبنایشان کاملاً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کلام ایشان اشکالاتی وارد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اشتباه خصوصیاتی را که در روایات اهل بیت در رابطه با خواندن قرآن سفارش می‌شوند را با خصوصیات صوت غنائی یکی می‌انگارند؛ خواندن درست و زیبای قرآن ارتباطی با غنائی خواندن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فاصله میان این دو سبک خواندن، در نگاه عرف نسبت غناء به قاریان قرآن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عرف شأن قرّاء قرآن از این نوع نسبت بعید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لغویّون صوت غنائی را به خصوصیاتی مثل مدّ و کشیدگی صوت نسبت می‌دهند، تعاریفی در حدود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غناء در نگاه عرف با مجالس خاصّ خود و امکان ترقّص و لهو و لعب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این دو را تنها به این جهت که در هر دو، گونه‌ای از کشیدگی صدا وجود دارد، یکی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صحیح بوده و به کلام مرحوم سبزواری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دائره مفهوم غناء را بسیار گسترده فرض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هر صدای زیبایی را باید غناء تلقّی نمود، در حالی که مفهوم غناء اخص از این است؛ تنها صوت زیبایی را می‌توان غناء تلقّی نمود، که در مجالس فسق و لهو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ترجیع و طرب باید قید مناسبت با مجالس ترقّص و لهو را هم ملاک قرار داد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این اشکال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دلیل هم بر جواز غنای در قرآن اقامه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460"/>
      </w:r>
      <w:r>
        <w:rPr>
          <w:rFonts w:ascii="Amiri" w:hAnsi="Amiri" w:eastAsia="Amiri" w:cs="Amiri"/>
          <w:color w:val="111111"/>
          <w:sz w:val="28"/>
          <w:sz w:val="28"/>
          <w:szCs w:val="28"/>
          <w:rtl w:val="true"/>
          <w:lang w:bidi="ar-SA"/>
        </w:rPr>
        <w:t xml:space="preserve"> عَنْ عَلِيِّ بْنِ إِبْرَاهِيمَ</w:t>
      </w:r>
      <w:r>
        <w:rPr>
          <w:rStyle w:val="FootnoteAnchor"/>
          <w:rtl w:val="true"/>
        </w:rPr>
        <w:footnoteReference w:id="461"/>
      </w:r>
      <w:r>
        <w:rPr>
          <w:rFonts w:ascii="Amiri" w:hAnsi="Amiri" w:eastAsia="Amiri" w:cs="Amiri"/>
          <w:color w:val="111111"/>
          <w:sz w:val="28"/>
          <w:sz w:val="28"/>
          <w:szCs w:val="28"/>
          <w:rtl w:val="true"/>
          <w:lang w:bidi="ar-SA"/>
        </w:rPr>
        <w:t xml:space="preserve"> عَنْ أَبِيهِ</w:t>
      </w:r>
      <w:r>
        <w:rPr>
          <w:rStyle w:val="FootnoteAnchor"/>
          <w:rtl w:val="true"/>
        </w:rPr>
        <w:footnoteReference w:id="462"/>
      </w:r>
      <w:r>
        <w:rPr>
          <w:rFonts w:ascii="Amiri" w:hAnsi="Amiri" w:eastAsia="Amiri" w:cs="Amiri"/>
          <w:color w:val="111111"/>
          <w:sz w:val="28"/>
          <w:sz w:val="28"/>
          <w:szCs w:val="28"/>
          <w:rtl w:val="true"/>
          <w:lang w:bidi="ar-SA"/>
        </w:rPr>
        <w:t xml:space="preserve"> عَنِ ابْنِ أَبِي عُمَيْرٍ</w:t>
      </w:r>
      <w:r>
        <w:rPr>
          <w:rStyle w:val="FootnoteAnchor"/>
          <w:rtl w:val="true"/>
        </w:rPr>
        <w:footnoteReference w:id="463"/>
      </w:r>
      <w:r>
        <w:rPr>
          <w:rFonts w:ascii="Amiri" w:hAnsi="Amiri" w:eastAsia="Amiri" w:cs="Amiri"/>
          <w:color w:val="111111"/>
          <w:sz w:val="28"/>
          <w:sz w:val="28"/>
          <w:szCs w:val="28"/>
          <w:rtl w:val="true"/>
          <w:lang w:bidi="ar-SA"/>
        </w:rPr>
        <w:t xml:space="preserve"> عَمَّنْ ذَکرَهُ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فَاقْرَءُوهُ بِالْحُزْنِ</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فقهاء به این روایت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می‌کردند که هر حزنی را باید از آثار غناء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تعریف غناء آمد که شدت حزن و یا سرور از قیود مفهوم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توضیحات لفظی، برخی تصوّر کردند که باید این روایت ناظر به غناء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سخنی از غناء در رابطه با قرآن به میان نمی‌آورد؛ بلکه بحث در رابطه با خواندن قرآن به شکلی است که حزنی در صدا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سخنی از جواز غناء در قرآن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65"/>
      </w:r>
      <w:r>
        <w:rPr>
          <w:rFonts w:ascii="Amiri" w:hAnsi="Amiri" w:eastAsia="Amiri" w:cs="Amiri"/>
          <w:color w:val="111111"/>
          <w:sz w:val="28"/>
          <w:sz w:val="28"/>
          <w:szCs w:val="28"/>
          <w:rtl w:val="true"/>
          <w:lang w:bidi="ar-SA"/>
        </w:rPr>
        <w:t xml:space="preserve"> عَنْ أَبِيهِ</w:t>
      </w:r>
      <w:r>
        <w:rPr>
          <w:rStyle w:val="FootnoteAnchor"/>
          <w:rtl w:val="true"/>
        </w:rPr>
        <w:footnoteReference w:id="466"/>
      </w:r>
      <w:r>
        <w:rPr>
          <w:rFonts w:ascii="Amiri" w:hAnsi="Amiri" w:eastAsia="Amiri" w:cs="Amiri"/>
          <w:color w:val="111111"/>
          <w:sz w:val="28"/>
          <w:sz w:val="28"/>
          <w:szCs w:val="28"/>
          <w:rtl w:val="true"/>
          <w:lang w:bidi="ar-SA"/>
        </w:rPr>
        <w:t xml:space="preserve"> عَنْ عَلِيِّ بْنِ مَعْبَدٍ</w:t>
      </w:r>
      <w:r>
        <w:rPr>
          <w:rStyle w:val="FootnoteAnchor"/>
          <w:rtl w:val="true"/>
        </w:rPr>
        <w:footnoteReference w:id="467"/>
      </w:r>
      <w:r>
        <w:rPr>
          <w:rFonts w:ascii="Amiri" w:hAnsi="Amiri" w:eastAsia="Amiri" w:cs="Amiri"/>
          <w:color w:val="111111"/>
          <w:sz w:val="28"/>
          <w:sz w:val="28"/>
          <w:szCs w:val="28"/>
          <w:rtl w:val="true"/>
          <w:lang w:bidi="ar-SA"/>
        </w:rPr>
        <w:t xml:space="preserve"> عَنْ عَبْدِ اللَّهِ بْنِ الْقَاسِمِ</w:t>
      </w:r>
      <w:r>
        <w:rPr>
          <w:rStyle w:val="FootnoteAnchor"/>
          <w:rtl w:val="true"/>
        </w:rPr>
        <w:footnoteReference w:id="468"/>
      </w:r>
      <w:r>
        <w:rPr>
          <w:rFonts w:ascii="Amiri" w:hAnsi="Amiri" w:eastAsia="Amiri" w:cs="Amiri"/>
          <w:color w:val="111111"/>
          <w:sz w:val="28"/>
          <w:sz w:val="28"/>
          <w:szCs w:val="28"/>
          <w:rtl w:val="true"/>
          <w:lang w:bidi="ar-SA"/>
        </w:rPr>
        <w:t xml:space="preserve"> عَنْ عَبْدِ اللَّهِ بْنِ سِنَانٍ</w:t>
      </w:r>
      <w:r>
        <w:rPr>
          <w:rStyle w:val="FootnoteAnchor"/>
          <w:rtl w:val="true"/>
        </w:rPr>
        <w:footnoteReference w:id="46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بَيْنَ يَدَيَّ فَقِفْ مَوْقِفَ الذَّلِيلِ الْفَقِيرِ وَ إِذَا قَرَأْتَ التَّوْرَاةَ فَأَسْمِعْنِيهَا بِصَوْتٍ حَزِينٍ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برخی این روایت را به جهت امر خداوند به خواندن تورات به صدای حزین، مورد استدلال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روایت هم به جهت عبدالله بن قاسم که واقفی بوده و کذّاب است و هم به جهت تفاوت موضوع وارد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حزین خواندن آیات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غناء در قرآن نمی‌تواند مورد استدلال قرار گیرد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71"/>
      </w:r>
      <w:r>
        <w:rPr>
          <w:rFonts w:ascii="Amiri" w:hAnsi="Amiri" w:eastAsia="Amiri" w:cs="Amiri"/>
          <w:color w:val="111111"/>
          <w:sz w:val="28"/>
          <w:sz w:val="28"/>
          <w:szCs w:val="28"/>
          <w:rtl w:val="true"/>
          <w:lang w:bidi="ar-SA"/>
        </w:rPr>
        <w:t xml:space="preserve"> عَنْ أَبِيهِ</w:t>
      </w:r>
      <w:r>
        <w:rPr>
          <w:rStyle w:val="FootnoteAnchor"/>
          <w:rtl w:val="true"/>
        </w:rPr>
        <w:footnoteReference w:id="472"/>
      </w:r>
      <w:r>
        <w:rPr>
          <w:rFonts w:ascii="Amiri" w:hAnsi="Amiri" w:eastAsia="Amiri" w:cs="Amiri"/>
          <w:color w:val="111111"/>
          <w:sz w:val="28"/>
          <w:sz w:val="28"/>
          <w:szCs w:val="28"/>
          <w:rtl w:val="true"/>
          <w:lang w:bidi="ar-SA"/>
        </w:rPr>
        <w:t xml:space="preserve"> عَنِ الْقَاسِمِ بْنِ مُحَمَّدٍ</w:t>
      </w:r>
      <w:r>
        <w:rPr>
          <w:rStyle w:val="FootnoteAnchor"/>
          <w:rtl w:val="true"/>
        </w:rPr>
        <w:footnoteReference w:id="473"/>
      </w:r>
      <w:r>
        <w:rPr>
          <w:rFonts w:ascii="Amiri" w:hAnsi="Amiri" w:eastAsia="Amiri" w:cs="Amiri"/>
          <w:color w:val="111111"/>
          <w:sz w:val="28"/>
          <w:sz w:val="28"/>
          <w:szCs w:val="28"/>
          <w:rtl w:val="true"/>
          <w:lang w:bidi="ar-SA"/>
        </w:rPr>
        <w:t xml:space="preserve"> عَنْ سُلَيْمَانَ بْنِ دَاوُدَ‌ الْمِنْقَرِيِّ</w:t>
      </w:r>
      <w:r>
        <w:rPr>
          <w:rStyle w:val="FootnoteAnchor"/>
          <w:rtl w:val="true"/>
        </w:rPr>
        <w:footnoteReference w:id="474"/>
      </w:r>
      <w:r>
        <w:rPr>
          <w:rFonts w:ascii="Amiri" w:hAnsi="Amiri" w:eastAsia="Amiri" w:cs="Amiri"/>
          <w:color w:val="111111"/>
          <w:sz w:val="28"/>
          <w:sz w:val="28"/>
          <w:szCs w:val="28"/>
          <w:rtl w:val="true"/>
          <w:lang w:bidi="ar-SA"/>
        </w:rPr>
        <w:t xml:space="preserve"> عَنْ حَفْصٍ</w:t>
      </w:r>
      <w:r>
        <w:rPr>
          <w:rStyle w:val="FootnoteAnchor"/>
          <w:rtl w:val="true"/>
        </w:rPr>
        <w:footnoteReference w:id="475"/>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أَشَدَّ خَوْفاً عَلَى نَفْسِهِ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أَرْجَى لِلنَّاسِ مِنْهُ وَ کانَتْ قِرَاءَتُهُ حَزَناً فَإِذَا قَرَأَ فَکأَنَّهُ يُخَاطِبُ إِنْسَاناً</w:t>
      </w:r>
      <w:r>
        <w:rPr>
          <w:rFonts w:eastAsia="Amiri" w:cs="Amiri" w:ascii="Amiri" w:hAnsi="Amiri"/>
          <w:color w:val="111111"/>
          <w:sz w:val="28"/>
          <w:szCs w:val="28"/>
          <w:rtl w:val="true"/>
          <w:lang w:bidi="ar-SA"/>
        </w:rPr>
        <w:t>».</w:t>
      </w:r>
      <w:r>
        <w:rPr>
          <w:rStyle w:val="FootnoteAnchor"/>
          <w:rtl w:val="true"/>
        </w:rPr>
        <w:footnoteReference w:id="476"/>
      </w:r>
      <w:bookmarkStart w:id="109" w:name="pg4642_54017"/>
    </w:p>
    <w:p>
      <w:pPr>
        <w:pStyle w:val="BookText"/>
        <w:rPr/>
      </w:pPr>
      <w:bookmarkEnd w:id="109"/>
      <w:r>
        <w:rPr>
          <w:rFonts w:ascii="IRNazanin" w:hAnsi="IRNazanin" w:eastAsia="IRNazanin"/>
          <w:color w:val="111111"/>
          <w:sz w:val="28"/>
          <w:sz w:val="28"/>
          <w:szCs w:val="28"/>
          <w:rtl w:val="true"/>
          <w:lang w:bidi="fa-IR"/>
        </w:rPr>
        <w:t>برخی از فقهاء به این روایت استدلال کرده‌اند</w:t>
      </w:r>
      <w:r>
        <w:rPr>
          <w:rFonts w:eastAsia="IRNazanin" w:cs="IRNazanin"/>
          <w:color w:val="111111"/>
          <w:sz w:val="28"/>
          <w:szCs w:val="28"/>
          <w:rtl w:val="true"/>
          <w:lang w:bidi="fa-IR"/>
        </w:rPr>
        <w:t>.</w:t>
      </w:r>
      <w:r>
        <w:rPr>
          <w:rStyle w:val="FootnoteAnchor"/>
          <w:rtl w:val="true"/>
        </w:rPr>
        <w:footnoteReference w:id="477"/>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هم سند ضعیفی دارد و هم مفهوم آن ارتباطی با بحث غناء ندارد؛ زیرا دلیل روایی نیست بلکه مفاد آن گزارش یک رفتار معصوم است که نمی‌تواند دلیل بر یک حکم قرار گیرد زیرا بحث از غناء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روایات تنها بر رجحان قرائت قرآن به صوت حزین دلالت می‌کند و این امر با غناء تباین دارد</w:t>
      </w:r>
      <w:r>
        <w:rPr>
          <w:rFonts w:eastAsia="IRNazanin" w:cs="IRNazanin"/>
          <w:color w:val="111111"/>
          <w:sz w:val="28"/>
          <w:szCs w:val="28"/>
          <w:rtl w:val="true"/>
          <w:lang w:bidi="fa-IR"/>
        </w:rPr>
        <w:t>.</w:t>
      </w:r>
    </w:p>
    <w:p>
      <w:pPr>
        <w:pStyle w:val="Heading2"/>
        <w:numPr>
          <w:ilvl w:val="1"/>
          <w:numId w:val="1"/>
        </w:numPr>
        <w:rPr/>
      </w:pPr>
      <w:bookmarkStart w:id="110" w:name="__RefHeading___Toc296176_2035185390"/>
      <w:bookmarkStart w:id="111" w:name="_Toc37"/>
      <w:bookmarkEnd w:id="110"/>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96/10/11</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استثنای غنای در قرآن از حرمت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در این رابطه بررسی کردیم و عرض کردیم موضوع این روایات که معمولاً لحن عربی و یا لحن حزین بود، از غناء متباین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اطلاق لحن، به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استعمالات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استدلال کرده‌اند که این لحن حزین که در رابطه با قرآن سفارش شده است، همان غناء است؛ یعنی با توجّه به خصوصیات مشترکی مثل ترجیع در هر دو و برخی اطلاقات مشابه، باید این توصیه و سفارش اهل‌بیت در روایات را به معنی جواز غناء بدانیم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استدلال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روایاتی که این دسته بدان استناد می‌کنند، لحن عربی و یا لحن حزین را در برابر لحون اهل فسوق و عصیان قرار می‌دهند؛ پس از همین تقابل در روایت می‌توان به تفکیکی میان انواع لحن و سبکِ خواندن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لحون مناسب با مجالس لهو و فسق است؛ و برخی از نواها و سبک‌ها مغایر با مجالس اهل فسق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تمییز این دو قسم از لحون، عرف است؛ یعنی عرف می‌فهمند که این سبک و لحن را برای مجالس رقص و لهو و معصیت به کار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را به خواندن قرآن به سبکی می‌کنند که مناسب با مجالس فساد و فسق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چنین سبک و لحن زیبایی را غناء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 حسن در لسان ادلّه شیعی غیر از غنائی است که ادلّه متواتری بر تحریمش وارد شده بود؛ زیرا اگر چنین باشد، باید تمام مادحین اهل بیت را مغنّی خواند، در حالی که عرف از این نسبت به شدّت اباء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ملاک تمییز صوت غنائی از غیر آن، به نظر عرف بستگی دارد؛ و عرف در این تشخیص بر مجلسی که صوت در آن خوانده می‌شود، خیلی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بر عناصری مثل محتوای غناء و هدف کسانی که در آن مجلس جمع شده‌اند و موسیقی همراه با آن نیز در نظر عرف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برخی از کسانی که صدای قرآن امام سجاد را می‌شنیدند، از حال رفته و مدهوش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قرآن خواندن امام را از باب غناء نمی‌دانست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w:t>
      </w:r>
      <w:r>
        <w:rPr>
          <w:rStyle w:val="FootnoteAnchor"/>
          <w:rtl w:val="true"/>
        </w:rPr>
        <w:footnoteReference w:id="479"/>
      </w:r>
      <w:r>
        <w:rPr>
          <w:rFonts w:ascii="Amiri" w:hAnsi="Amiri" w:eastAsia="Amiri" w:cs="Amiri"/>
          <w:color w:val="111111"/>
          <w:sz w:val="28"/>
          <w:sz w:val="28"/>
          <w:szCs w:val="28"/>
          <w:rtl w:val="true"/>
          <w:lang w:bidi="ar-SA"/>
        </w:rPr>
        <w:t xml:space="preserve"> عَنْ عَلِيِّ بْنِ مُحَمَّدٍ</w:t>
      </w:r>
      <w:r>
        <w:rPr>
          <w:rStyle w:val="FootnoteAnchor"/>
          <w:rtl w:val="true"/>
        </w:rPr>
        <w:footnoteReference w:id="480"/>
      </w:r>
      <w:r>
        <w:rPr>
          <w:rFonts w:ascii="Amiri" w:hAnsi="Amiri" w:eastAsia="Amiri" w:cs="Amiri"/>
          <w:color w:val="111111"/>
          <w:sz w:val="28"/>
          <w:sz w:val="28"/>
          <w:szCs w:val="28"/>
          <w:rtl w:val="true"/>
          <w:lang w:bidi="ar-SA"/>
        </w:rPr>
        <w:t xml:space="preserve"> عَنْ إِبْرَاهِيمَ الْأَحْمَرِ</w:t>
      </w:r>
      <w:r>
        <w:rPr>
          <w:rStyle w:val="FootnoteAnchor"/>
          <w:rtl w:val="true"/>
        </w:rPr>
        <w:footnoteReference w:id="481"/>
      </w:r>
      <w:r>
        <w:rPr>
          <w:rFonts w:ascii="Amiri" w:hAnsi="Amiri" w:eastAsia="Amiri" w:cs="Amiri"/>
          <w:color w:val="111111"/>
          <w:sz w:val="28"/>
          <w:sz w:val="28"/>
          <w:szCs w:val="28"/>
          <w:rtl w:val="true"/>
          <w:lang w:bidi="ar-SA"/>
        </w:rPr>
        <w:t xml:space="preserve"> عَنْ عَبْدِ اللَّهِ بْنِ حَمَّادٍ</w:t>
      </w:r>
      <w:r>
        <w:rPr>
          <w:rStyle w:val="FootnoteAnchor"/>
          <w:rtl w:val="true"/>
        </w:rPr>
        <w:footnoteReference w:id="482"/>
      </w:r>
      <w:r>
        <w:rPr>
          <w:rFonts w:ascii="Amiri" w:hAnsi="Amiri" w:eastAsia="Amiri" w:cs="Amiri"/>
          <w:color w:val="111111"/>
          <w:sz w:val="28"/>
          <w:sz w:val="28"/>
          <w:szCs w:val="28"/>
          <w:rtl w:val="true"/>
          <w:lang w:bidi="ar-SA"/>
        </w:rPr>
        <w:t xml:space="preserve"> عَنْ عَبْدِ اللَّهِ بْنِ سِنَانٍ</w:t>
      </w:r>
      <w:r>
        <w:rPr>
          <w:rStyle w:val="FootnoteAnchor"/>
          <w:rtl w:val="true"/>
        </w:rPr>
        <w:footnoteReference w:id="48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إقْرَءُوا الْقُرْآنَ بِأَلْحَانِ الْعَرَبِ‌ وَ أَصْوَاتِهَا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مرحوم سبزواری این روایت را مبتنی بر یکی بودن لحن و غناء دلیل بر جواز غناء در قرآن دانسته‌اند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مرحوم بحرانی پیش فرض مرحوم سبزواری را مردود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لحن تنها به معنی غناء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معاجم لغوی معانی دیگری هم برای لحن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لغت است؛ یعنی اگر در روایت امر به خواندن قرآن به لحن عربی می‌کند، ما را امر به عربی خواندن قرآن با رعایت قواعد زبان عربی و چگونگی ادای حروف و کلمات در زبان عربی و لهجه عربی است؛ اما در مقابل که از لحون اهل فسوق نهی می‌کند، مراد معصوم از این لحن همان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ایشان لحن صدر روایت به معنی قواعد ادای حروف و کلمات مناسب با لهجه عربی است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مقام اشکال به مرحوم بحرانی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ایشان لحن در روایت را به معنی لغت و زبان و در حقیقت لهجه گرفته‌اند، این توهّم بود که اگر لحن را به معنی خودش که سبک خواندن باشد حفظ کنند، جواز غنای در قرآن از روایت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لحن تنها در فرض مناسبت با مجالس لهو و فسوق غناء بوده و حرام خواهد بود؛ و به نظر شیخ توجّه به ذیل روایت این نکته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از خواندن قرآن به لحون مجالس فسق و فجور نهی می‌کنند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به نظر ما، این بیان ایشان صحیح بوده و در کمال متانت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سبحانی در رابطه با معنی لحن تحقیقی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ألحان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صيغ من الأصوات و أمّا اللحن بمعنى الخطأ في الکلام أو القراءة فهو 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يجمع على 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الحديث الأنغام العربيّة، فإنّ لکلّ أمّة نغماً خاصّةً تعرف به و ليس کلّ نغمة عربيّة غناءً و إلّا لما ذيله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إيّاکم و لحون أهل الفسق و أهل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لحون هذه الطائفة لو لم تکن کلّها غناءً، فلا شکّ أنّ بعضها غناء و أوضح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يرجّعون القرآن ترجيع الغناء و النوح و الرهبانيّة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يدلّ على أنّ المراد من اللحون العربيّة هي اللحون العارية عن الغناء و ما يناسبها کالترجيع</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تحقیق ایشان مادّه لحن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معنی نغمه و سبکی است که انسان در صدای خود ایجاد می‌کند؛ و اگر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خطا و اشتباه در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روایات وارد شده است، استعمال اوّل از این دو استعمال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این استعمال مادّه لحن به معنی نغمه است؛ و اگر در حدیث امر به رعایت الحان عربی در قرائت قرآن می‌شود، منظور نغمه‌هایی است که در میان اعراب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هر قوم و طائفه‌ای نغمه‌ای مخصوص به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لر و ترک و گیلکی هر یک نغمه‌ای مختصّ به خود دارند و اشعاری به آن نغمه‌ها در میانشان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چنین هستند؛ و این نغمه‌ها گاهی از مصادیق غناء به شمار می‌روند و گاهی هم مصداق غناء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روایات پس از امر به رعایت این نغمه‌ها در خواندن قرآن بلافاصله ما را از خواندن به لحون اهل فسق و معاصی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 فهمید که معصومین از نغمه‌های عربی آنچه مناسب با مجالس فسق و فجور نبوده و خصوصیات غنائی ندارند را مورد توصیه و سفارش و رعایت در قرائت قرآن قرار می‌دهند</w:t>
      </w:r>
      <w:r>
        <w:rPr>
          <w:rFonts w:eastAsia="IRNazanin" w:cs="IRNazanin"/>
          <w:color w:val="111111"/>
          <w:sz w:val="28"/>
          <w:szCs w:val="28"/>
          <w:rtl w:val="true"/>
          <w:lang w:bidi="fa-IR"/>
        </w:rPr>
        <w:t>.</w:t>
      </w:r>
      <w:bookmarkStart w:id="112" w:name="pg4642_54021"/>
    </w:p>
    <w:p>
      <w:pPr>
        <w:pStyle w:val="BookText"/>
        <w:rPr/>
      </w:pPr>
      <w:bookmarkEnd w:id="112"/>
      <w:r>
        <w:rPr>
          <w:rFonts w:ascii="IRNazanin" w:hAnsi="IRNazanin" w:eastAsia="IRNazanin"/>
          <w:color w:val="111111"/>
          <w:sz w:val="28"/>
          <w:sz w:val="28"/>
          <w:szCs w:val="28"/>
          <w:rtl w:val="true"/>
          <w:lang w:bidi="fa-IR"/>
        </w:rPr>
        <w:t>این تحقیق آیت‌الله سبحانی بسیار مفید است</w:t>
      </w:r>
      <w:r>
        <w:rPr>
          <w:rFonts w:eastAsia="IRNazanin" w:cs="IRNazanin"/>
          <w:color w:val="111111"/>
          <w:sz w:val="28"/>
          <w:szCs w:val="28"/>
          <w:rtl w:val="true"/>
          <w:lang w:bidi="fa-IR"/>
        </w:rPr>
        <w:t>.</w:t>
      </w:r>
    </w:p>
    <w:p>
      <w:pPr>
        <w:pStyle w:val="Heading2"/>
        <w:numPr>
          <w:ilvl w:val="1"/>
          <w:numId w:val="1"/>
        </w:numPr>
        <w:rPr/>
      </w:pPr>
      <w:bookmarkStart w:id="113" w:name="__RefHeading___Toc296178_2035185390"/>
      <w:bookmarkStart w:id="114" w:name="_Toc38"/>
      <w:bookmarkEnd w:id="113"/>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96/10/12</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غنای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ادلّه در این رابطه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برخی گمان کردند غنای در قرآن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تعابیری که در روایات وارد شده بود، حاکی از رجحان خواندن قرآن به صوت حسن و صدای زیبا است؛ و این صدای زیبا که گاهی سبب تغییر حالتی در انسان می‌شود، خصوصیات صوت غنائی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در رابطه با قرآن خواندن امام سجّاد و یا خواندن زبور توسّط حضرت داوود، تعابیری داریم که شنوندگان از شنیدن آیات الهی از نوای ایشان مدهوش شده و از حالت عادّی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خصوصیاتی است که ما پیش از این در بررسی طرب و در خصوصیات غناء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می‌توان فهمید که چگونه برخی تصوّر کردند که این روایات جواز ناظر به غنای در قرآن بوده و می‌توان با آن اثبات جواز و اباحه برای غنائی خواندن قرآن را استظهار نمود؛ از همین برداشت هم شاید به این نتیجه رسیدند که اساساً غناء نباید امر مذمومی باشد؛ چون در قرآن تجویز شده است و حتّی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در روایات ما تعابیری در تحریم آن وارد شده است، همگی در رابطه با مقارنات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غناء زمینه‌ای برای فسوق و معاصی باشد، حرام خواهد بود؛ ولی فی‌نفسه و با چشم‌پوشی از آنچه مقارن با آن است، حلال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همین جهت است که اخیراً علمای 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نموده‌اند؛ یعنی نظر به میزان زمینه‌سازی غناء بر ارتکاب معاصی است؛ و خود غناء به تنهائی مورد حکم قرار نمی‌گیرد؛ و اگر در یک مجلس مصیبت و یا شادی و سرور مؤمنین غنائی صورت بگیرد نمی‌توان حکم به حرمت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زِيَادٍ</w:t>
      </w:r>
      <w:r>
        <w:rPr>
          <w:rStyle w:val="FootnoteAnchor"/>
          <w:rtl w:val="true"/>
        </w:rPr>
        <w:footnoteReference w:id="489"/>
      </w:r>
      <w:r>
        <w:rPr>
          <w:rFonts w:ascii="Amiri" w:hAnsi="Amiri" w:eastAsia="Amiri" w:cs="Amiri"/>
          <w:color w:val="111111"/>
          <w:sz w:val="28"/>
          <w:sz w:val="28"/>
          <w:szCs w:val="28"/>
          <w:rtl w:val="true"/>
          <w:lang w:bidi="ar-SA"/>
        </w:rPr>
        <w:t xml:space="preserve"> عَنْ مُحَمَّدِ بْنِ الْحَسَنِ بْنِ شَمُّونٍ</w:t>
      </w:r>
      <w:r>
        <w:rPr>
          <w:rStyle w:val="FootnoteAnchor"/>
          <w:rtl w:val="true"/>
        </w:rPr>
        <w:footnoteReference w:id="490"/>
      </w:r>
      <w:r>
        <w:rPr>
          <w:rFonts w:ascii="Amiri" w:hAnsi="Amiri" w:eastAsia="Amiri" w:cs="Amiri"/>
          <w:color w:val="111111"/>
          <w:sz w:val="28"/>
          <w:sz w:val="28"/>
          <w:szCs w:val="28"/>
          <w:rtl w:val="true"/>
          <w:lang w:bidi="ar-SA"/>
        </w:rPr>
        <w:t xml:space="preserve"> عَنْ عَلِيِّ بْنِ مُحَمَّدٍ النَّوْفَلِيِّ</w:t>
      </w:r>
      <w:r>
        <w:rPr>
          <w:rStyle w:val="FootnoteAnchor"/>
          <w:rtl w:val="true"/>
        </w:rPr>
        <w:footnoteReference w:id="491"/>
      </w:r>
      <w:r>
        <w:rPr>
          <w:rFonts w:ascii="Amiri" w:hAnsi="Amiri" w:eastAsia="Amiri" w:cs="Amiri"/>
          <w:color w:val="111111"/>
          <w:sz w:val="28"/>
          <w:sz w:val="28"/>
          <w:szCs w:val="28"/>
          <w:rtl w:val="true"/>
          <w:lang w:bidi="ar-SA"/>
        </w:rPr>
        <w:t xml:space="preserve"> عَنْ أَبِي الْحَسَنِ</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ذَکرْتُ الصَّوْتَ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يَقْرَأُ فَرُبَّمَا مَرَّ بِهِ الْمَارُّ فَصَعِقَ مِنْ حُسْنِ صَوْتِهِ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عین حال که به محمد بن حسن شمّون که غالی و فاسد المذهب بوده و ضعیف است و ابن سلیمان نوفلی که مهمل است سند ضعیفی دارد، مورد استناد برخی فقهاء قرار گرفته است؛ چرا که پنداشته‌اند مراد از حسن صوت، غنای در صوت است؛ و مرحوم کاشف‌الغطاء از همین نکته بسیار تعجّب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حسن صدای امام سجّاد تا جایی که شنوندگان از فرط مشغولیت به زیبایی آن تعادل خود را از دست داده و به زمین می‌خوردند، ارتباطی با 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این صدای زیبا موهبتی الهی بوده و جمال و زیبایی شخص محسوب می‌شود؛ اما آن ترجیع غنائی از دعوت شیطان و به انگیزه‌ی او حاصل می‌شود؛ یعنی این زیبایی در ساخت و بافت انسان و مخلوق خداوندی است؛ اما آن غناء و زیبایی و تحسین آن به جهت تحریک شیطان و نفس انسان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95"/>
      </w:r>
      <w:r>
        <w:rPr>
          <w:rFonts w:ascii="Amiri" w:hAnsi="Amiri" w:eastAsia="Amiri" w:cs="Amiri"/>
          <w:color w:val="111111"/>
          <w:sz w:val="28"/>
          <w:sz w:val="28"/>
          <w:szCs w:val="28"/>
          <w:rtl w:val="true"/>
          <w:lang w:bidi="ar-SA"/>
        </w:rPr>
        <w:t xml:space="preserve"> عَنْ عَلِيِّ بْنِ مَعْبَدٍ</w:t>
      </w:r>
      <w:r>
        <w:rPr>
          <w:rStyle w:val="FootnoteAnchor"/>
          <w:rtl w:val="true"/>
        </w:rPr>
        <w:footnoteReference w:id="496"/>
      </w:r>
      <w:r>
        <w:rPr>
          <w:rFonts w:ascii="Amiri" w:hAnsi="Amiri" w:eastAsia="Amiri" w:cs="Amiri"/>
          <w:color w:val="111111"/>
          <w:sz w:val="28"/>
          <w:sz w:val="28"/>
          <w:szCs w:val="28"/>
          <w:rtl w:val="true"/>
          <w:lang w:bidi="ar-SA"/>
        </w:rPr>
        <w:t xml:space="preserve"> عَنْ عَبْدِ اللَّهِ بْنِ الْقَاسِمِ</w:t>
      </w:r>
      <w:r>
        <w:rPr>
          <w:rStyle w:val="FootnoteAnchor"/>
          <w:rtl w:val="true"/>
        </w:rPr>
        <w:footnoteReference w:id="497"/>
      </w:r>
      <w:r>
        <w:rPr>
          <w:rFonts w:ascii="Amiri" w:hAnsi="Amiri" w:eastAsia="Amiri" w:cs="Amiri"/>
          <w:color w:val="111111"/>
          <w:sz w:val="28"/>
          <w:sz w:val="28"/>
          <w:szCs w:val="28"/>
          <w:rtl w:val="true"/>
          <w:lang w:bidi="ar-SA"/>
        </w:rPr>
        <w:t xml:space="preserve"> عَنْ عَبْدِ اللَّهِ بْنِ سِنَانٍ</w:t>
      </w:r>
      <w:r>
        <w:rPr>
          <w:rStyle w:val="FootnoteAnchor"/>
          <w:rtl w:val="true"/>
        </w:rPr>
        <w:footnoteReference w:id="498"/>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يُعْطَ أُمَّتِي أَقَلَّ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الصَّوْتِ الْحَسَنِ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99"/>
      </w:r>
      <w:r>
        <w:rPr>
          <w:rFonts w:ascii="Amiri" w:hAnsi="Amiri" w:eastAsia="Amiri" w:cs="Amiri"/>
          <w:color w:val="111111"/>
          <w:sz w:val="28"/>
          <w:sz w:val="28"/>
          <w:szCs w:val="28"/>
          <w:rtl w:val="true"/>
          <w:lang w:bidi="ar-SA"/>
        </w:rPr>
        <w:t xml:space="preserve"> عَنْ أَبِيهِ</w:t>
      </w:r>
      <w:r>
        <w:rPr>
          <w:rStyle w:val="FootnoteAnchor"/>
          <w:rtl w:val="true"/>
        </w:rPr>
        <w:footnoteReference w:id="500"/>
      </w:r>
      <w:r>
        <w:rPr>
          <w:rFonts w:ascii="Amiri" w:hAnsi="Amiri" w:eastAsia="Amiri" w:cs="Amiri"/>
          <w:color w:val="111111"/>
          <w:sz w:val="28"/>
          <w:sz w:val="28"/>
          <w:szCs w:val="28"/>
          <w:rtl w:val="true"/>
          <w:lang w:bidi="ar-SA"/>
        </w:rPr>
        <w:t xml:space="preserve"> عَنْ عَلِيِّ بْنِ مَعْبَدٍ</w:t>
      </w:r>
      <w:r>
        <w:rPr>
          <w:rStyle w:val="FootnoteAnchor"/>
          <w:rtl w:val="true"/>
        </w:rPr>
        <w:footnoteReference w:id="501"/>
      </w:r>
      <w:r>
        <w:rPr>
          <w:rFonts w:ascii="Amiri" w:hAnsi="Amiri" w:eastAsia="Amiri" w:cs="Amiri"/>
          <w:color w:val="111111"/>
          <w:sz w:val="28"/>
          <w:sz w:val="28"/>
          <w:szCs w:val="28"/>
          <w:rtl w:val="true"/>
          <w:lang w:bidi="ar-SA"/>
        </w:rPr>
        <w:t xml:space="preserve"> عَنْ يُونُسَ</w:t>
      </w:r>
      <w:r>
        <w:rPr>
          <w:rStyle w:val="FootnoteAnchor"/>
          <w:rtl w:val="true"/>
        </w:rPr>
        <w:footnoteReference w:id="502"/>
      </w:r>
      <w:r>
        <w:rPr>
          <w:rFonts w:ascii="Amiri" w:hAnsi="Amiri" w:eastAsia="Amiri" w:cs="Amiri"/>
          <w:color w:val="111111"/>
          <w:sz w:val="28"/>
          <w:sz w:val="28"/>
          <w:szCs w:val="28"/>
          <w:rtl w:val="true"/>
          <w:lang w:bidi="ar-SA"/>
        </w:rPr>
        <w:t xml:space="preserve"> عَنْ عَبْدِ اللَّهِ بْنِ مُسْکانَ</w:t>
      </w:r>
      <w:r>
        <w:rPr>
          <w:rStyle w:val="FootnoteAnchor"/>
          <w:rtl w:val="true"/>
        </w:rPr>
        <w:footnoteReference w:id="503"/>
      </w:r>
      <w:r>
        <w:rPr>
          <w:rFonts w:ascii="Amiri" w:hAnsi="Amiri" w:eastAsia="Amiri" w:cs="Amiri"/>
          <w:color w:val="111111"/>
          <w:sz w:val="28"/>
          <w:sz w:val="28"/>
          <w:szCs w:val="28"/>
          <w:rtl w:val="true"/>
          <w:lang w:bidi="ar-SA"/>
        </w:rPr>
        <w:t xml:space="preserve"> عَنْ أَبِي بَصِيرٍ</w:t>
      </w:r>
      <w:r>
        <w:rPr>
          <w:rStyle w:val="FootnoteAnchor"/>
          <w:rtl w:val="true"/>
        </w:rPr>
        <w:footnoteReference w:id="504"/>
      </w:r>
      <w:r>
        <w:rPr>
          <w:rFonts w:ascii="Amiri" w:hAnsi="Amiri" w:eastAsia="Amiri" w:cs="Amiri"/>
          <w:color w:val="111111"/>
          <w:sz w:val="28"/>
          <w:sz w:val="28"/>
          <w:szCs w:val="28"/>
          <w:rtl w:val="true"/>
          <w:lang w:bidi="ar-SA"/>
        </w:rPr>
        <w:t xml:space="preserve"> عَنْ أَبِي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أَجْمَلِ الْجَمَالِ الشَّعْرَ الْحَسَنَ وَ نَغْمَةَ الصَّوْتِ الْحَسَنِ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Style w:val="FootnoteAnchor"/>
          <w:rtl w:val="true"/>
        </w:rPr>
        <w:footnoteReference w:id="505"/>
      </w:r>
      <w:r>
        <w:rPr>
          <w:rFonts w:ascii="Amiri" w:hAnsi="Amiri" w:eastAsia="Amiri" w:cs="Amiri"/>
          <w:color w:val="111111"/>
          <w:sz w:val="28"/>
          <w:sz w:val="28"/>
          <w:szCs w:val="28"/>
          <w:rtl w:val="true"/>
          <w:lang w:bidi="ar-SA"/>
        </w:rPr>
        <w:t xml:space="preserve"> عَنْ أَبِيهِ</w:t>
      </w:r>
      <w:r>
        <w:rPr>
          <w:rStyle w:val="FootnoteAnchor"/>
          <w:rtl w:val="true"/>
        </w:rPr>
        <w:footnoteReference w:id="506"/>
      </w:r>
      <w:r>
        <w:rPr>
          <w:rFonts w:ascii="Amiri" w:hAnsi="Amiri" w:eastAsia="Amiri" w:cs="Amiri"/>
          <w:color w:val="111111"/>
          <w:sz w:val="28"/>
          <w:sz w:val="28"/>
          <w:szCs w:val="28"/>
          <w:rtl w:val="true"/>
          <w:lang w:bidi="ar-SA"/>
        </w:rPr>
        <w:t xml:space="preserve"> عَنْ عَلِيِّ بْنِ مَعْبَدٍ</w:t>
      </w:r>
      <w:r>
        <w:rPr>
          <w:rStyle w:val="FootnoteAnchor"/>
          <w:rtl w:val="true"/>
        </w:rPr>
        <w:footnoteReference w:id="507"/>
      </w:r>
      <w:r>
        <w:rPr>
          <w:rFonts w:ascii="Amiri" w:hAnsi="Amiri" w:eastAsia="Amiri" w:cs="Amiri"/>
          <w:color w:val="111111"/>
          <w:sz w:val="28"/>
          <w:sz w:val="28"/>
          <w:szCs w:val="28"/>
          <w:rtl w:val="true"/>
          <w:lang w:bidi="ar-SA"/>
        </w:rPr>
        <w:t xml:space="preserve"> عَنْ عَبْدِ اللَّهِ بْنِ الْقَاسِمِ</w:t>
      </w:r>
      <w:r>
        <w:rPr>
          <w:rStyle w:val="FootnoteAnchor"/>
          <w:rtl w:val="true"/>
        </w:rPr>
        <w:footnoteReference w:id="508"/>
      </w:r>
      <w:r>
        <w:rPr>
          <w:rFonts w:ascii="Amiri" w:hAnsi="Amiri" w:eastAsia="Amiri" w:cs="Amiri"/>
          <w:color w:val="111111"/>
          <w:sz w:val="28"/>
          <w:sz w:val="28"/>
          <w:szCs w:val="28"/>
          <w:rtl w:val="true"/>
          <w:lang w:bidi="ar-SA"/>
        </w:rPr>
        <w:t xml:space="preserve"> عَنْ عَبْدِ اللَّهِ بْنِ سِنَانٍ</w:t>
      </w:r>
      <w:r>
        <w:rPr>
          <w:rStyle w:val="FootnoteAnchor"/>
          <w:rtl w:val="true"/>
        </w:rPr>
        <w:footnoteReference w:id="50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شَيْ‌ءٍ حِلْيَةٌ وَ حِلْيَةُ الْقُرْآنِ الصَّوْتُ الْحَسَنُ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روایت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w:t>
      </w:r>
      <w:r>
        <w:rPr>
          <w:rStyle w:val="FootnoteAnchor"/>
          <w:rtl w:val="true"/>
        </w:rPr>
        <w:footnoteReference w:id="511"/>
      </w:r>
      <w:r>
        <w:rPr>
          <w:rFonts w:ascii="Amiri" w:hAnsi="Amiri" w:eastAsia="Amiri" w:cs="Amiri"/>
          <w:color w:val="111111"/>
          <w:sz w:val="28"/>
          <w:sz w:val="28"/>
          <w:szCs w:val="28"/>
          <w:rtl w:val="true"/>
          <w:lang w:bidi="ar-SA"/>
        </w:rPr>
        <w:t xml:space="preserve"> عَنْ مُوسَى بْنِ عُمَرَ الصَّيْقَلِ</w:t>
      </w:r>
      <w:r>
        <w:rPr>
          <w:rStyle w:val="FootnoteAnchor"/>
          <w:rtl w:val="true"/>
        </w:rPr>
        <w:footnoteReference w:id="512"/>
      </w:r>
      <w:r>
        <w:rPr>
          <w:rFonts w:ascii="Amiri" w:hAnsi="Amiri" w:eastAsia="Amiri" w:cs="Amiri"/>
          <w:color w:val="111111"/>
          <w:sz w:val="28"/>
          <w:sz w:val="28"/>
          <w:szCs w:val="28"/>
          <w:rtl w:val="true"/>
          <w:lang w:bidi="ar-SA"/>
        </w:rPr>
        <w:t xml:space="preserve"> عَنْ مُحَمَّدِ بْنِ عِيسَى</w:t>
      </w:r>
      <w:r>
        <w:rPr>
          <w:rStyle w:val="FootnoteAnchor"/>
          <w:rtl w:val="true"/>
        </w:rPr>
        <w:footnoteReference w:id="513"/>
      </w:r>
      <w:r>
        <w:rPr>
          <w:rFonts w:ascii="Amiri" w:hAnsi="Amiri" w:eastAsia="Amiri" w:cs="Amiri"/>
          <w:color w:val="111111"/>
          <w:sz w:val="28"/>
          <w:sz w:val="28"/>
          <w:szCs w:val="28"/>
          <w:rtl w:val="true"/>
          <w:lang w:bidi="ar-SA"/>
        </w:rPr>
        <w:t xml:space="preserve"> عَنِ السَّکونِيِّ</w:t>
      </w:r>
      <w:r>
        <w:rPr>
          <w:rStyle w:val="FootnoteAnchor"/>
          <w:rtl w:val="true"/>
        </w:rPr>
        <w:footnoteReference w:id="514"/>
      </w:r>
      <w:r>
        <w:rPr>
          <w:rFonts w:ascii="Amiri" w:hAnsi="Amiri" w:eastAsia="Amiri" w:cs="Amiri"/>
          <w:color w:val="111111"/>
          <w:sz w:val="28"/>
          <w:sz w:val="28"/>
          <w:szCs w:val="28"/>
          <w:rtl w:val="true"/>
          <w:lang w:bidi="ar-SA"/>
        </w:rPr>
        <w:t xml:space="preserve"> عَنْ عَلِيِّ بْنِ إِسْمَاعِيلَ الْمِيثَمِيِّ</w:t>
      </w:r>
      <w:r>
        <w:rPr>
          <w:rStyle w:val="FootnoteAnchor"/>
          <w:rtl w:val="true"/>
        </w:rPr>
        <w:footnoteReference w:id="515"/>
      </w:r>
      <w:r>
        <w:rPr>
          <w:rFonts w:ascii="Amiri" w:hAnsi="Amiri" w:eastAsia="Amiri" w:cs="Amiri"/>
          <w:color w:val="111111"/>
          <w:sz w:val="28"/>
          <w:sz w:val="28"/>
          <w:szCs w:val="28"/>
          <w:rtl w:val="true"/>
          <w:lang w:bidi="ar-SA"/>
        </w:rPr>
        <w:t xml:space="preserve">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إِلَّا حَسَنَ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سَهْلٍ</w:t>
      </w:r>
      <w:r>
        <w:rPr>
          <w:rStyle w:val="FootnoteAnchor"/>
          <w:rtl w:val="true"/>
        </w:rPr>
        <w:footnoteReference w:id="516"/>
      </w:r>
      <w:r>
        <w:rPr>
          <w:rFonts w:ascii="Amiri" w:hAnsi="Amiri" w:eastAsia="Amiri" w:cs="Amiri"/>
          <w:color w:val="111111"/>
          <w:sz w:val="28"/>
          <w:sz w:val="28"/>
          <w:szCs w:val="28"/>
          <w:rtl w:val="true"/>
          <w:lang w:bidi="ar-SA"/>
        </w:rPr>
        <w:t xml:space="preserve"> عَنِ الْحَجَّالِ</w:t>
      </w:r>
      <w:r>
        <w:rPr>
          <w:rStyle w:val="FootnoteAnchor"/>
          <w:rtl w:val="true"/>
        </w:rPr>
        <w:footnoteReference w:id="517"/>
      </w:r>
      <w:r>
        <w:rPr>
          <w:rFonts w:ascii="Amiri" w:hAnsi="Amiri" w:eastAsia="Amiri" w:cs="Amiri"/>
          <w:color w:val="111111"/>
          <w:sz w:val="28"/>
          <w:sz w:val="28"/>
          <w:szCs w:val="28"/>
          <w:rtl w:val="true"/>
          <w:lang w:bidi="ar-SA"/>
        </w:rPr>
        <w:t xml:space="preserve"> عَنْ عَلِيِّ بْنِ عُقْبَةَ</w:t>
      </w:r>
      <w:r>
        <w:rPr>
          <w:rStyle w:val="FootnoteAnchor"/>
          <w:rtl w:val="true"/>
        </w:rPr>
        <w:footnoteReference w:id="518"/>
      </w:r>
      <w:r>
        <w:rPr>
          <w:rFonts w:ascii="Amiri" w:hAnsi="Amiri" w:eastAsia="Amiri" w:cs="Amiri"/>
          <w:color w:val="111111"/>
          <w:sz w:val="28"/>
          <w:sz w:val="28"/>
          <w:szCs w:val="28"/>
          <w:rtl w:val="true"/>
          <w:lang w:bidi="ar-SA"/>
        </w:rPr>
        <w:t xml:space="preserve">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عَلِيُّ بْنُ الْحُسَيْنِ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أَحْسَنَ‌ النَّاسِ‌ صَوْتاً بِالْقُرْآنِ‌ وَ کانَ‌ السَّقَّاءُونَ يَمُرُّونَ فَيَقِفُونَ بِبَابِهِ يَسْتَمِعُونَ قِرَاءَتَهُ</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Style w:val="FootnoteAnchor"/>
          <w:rtl w:val="true"/>
        </w:rPr>
        <w:footnoteReference w:id="520"/>
      </w:r>
      <w:r>
        <w:rPr>
          <w:rFonts w:ascii="Amiri" w:hAnsi="Amiri" w:eastAsia="Amiri" w:cs="Amiri"/>
          <w:color w:val="111111"/>
          <w:sz w:val="28"/>
          <w:sz w:val="28"/>
          <w:szCs w:val="28"/>
          <w:rtl w:val="true"/>
          <w:lang w:bidi="ar-SA"/>
        </w:rPr>
        <w:t xml:space="preserve">  عَنْ أَبِيهِ</w:t>
      </w:r>
      <w:r>
        <w:rPr>
          <w:rStyle w:val="FootnoteAnchor"/>
          <w:rtl w:val="true"/>
        </w:rPr>
        <w:footnoteReference w:id="521"/>
      </w:r>
      <w:r>
        <w:rPr>
          <w:rFonts w:ascii="Amiri" w:hAnsi="Amiri" w:eastAsia="Amiri" w:cs="Amiri"/>
          <w:color w:val="111111"/>
          <w:sz w:val="28"/>
          <w:sz w:val="28"/>
          <w:szCs w:val="28"/>
          <w:rtl w:val="true"/>
          <w:lang w:bidi="ar-SA"/>
        </w:rPr>
        <w:t xml:space="preserve">  عَنِ ابْنِ مَحْبُوبٍ</w:t>
      </w:r>
      <w:r>
        <w:rPr>
          <w:rStyle w:val="FootnoteAnchor"/>
          <w:rtl w:val="true"/>
        </w:rPr>
        <w:footnoteReference w:id="522"/>
      </w:r>
      <w:r>
        <w:rPr>
          <w:rFonts w:ascii="Amiri" w:hAnsi="Amiri" w:eastAsia="Amiri" w:cs="Amiri"/>
          <w:color w:val="111111"/>
          <w:sz w:val="28"/>
          <w:sz w:val="28"/>
          <w:szCs w:val="28"/>
          <w:rtl w:val="true"/>
          <w:lang w:bidi="ar-SA"/>
        </w:rPr>
        <w:t xml:space="preserve">  عَنْ عَلِيِّ بْنِ أَبِي حَمْزَةَ</w:t>
      </w:r>
      <w:r>
        <w:rPr>
          <w:rStyle w:val="FootnoteAnchor"/>
          <w:rtl w:val="true"/>
        </w:rPr>
        <w:footnoteReference w:id="523"/>
      </w:r>
      <w:r>
        <w:rPr>
          <w:rFonts w:ascii="Amiri" w:hAnsi="Amiri" w:eastAsia="Amiri" w:cs="Amiri"/>
          <w:color w:val="111111"/>
          <w:sz w:val="28"/>
          <w:sz w:val="28"/>
          <w:szCs w:val="28"/>
          <w:rtl w:val="true"/>
          <w:lang w:bidi="ar-SA"/>
        </w:rPr>
        <w:t xml:space="preserve">  عَنْ أَبِي بَصِيرٍ</w:t>
      </w:r>
      <w:r>
        <w:rPr>
          <w:rStyle w:val="FootnoteAnchor"/>
          <w:rtl w:val="true"/>
        </w:rPr>
        <w:footnoteReference w:id="524"/>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صَوْتِي جَاءَنِي الشَّيْطَانُ فَقَالَ إِنَّمَا تُرَائِي بِهَذَا أَهْلَک وَ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اقْرَأْ قِرَاءَةً مَا بَيْنَ الْقِرَاءَتَيْنِ تُسْمِعُ أَهْلَک وَ رَجِّعْ بِالْقُرْآنِ صَوْتَک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الصَّوْتَ الْحَسَنَ يُرَجَّعُ فِيهِ تَرْجِيعاً</w:t>
      </w:r>
      <w:r>
        <w:rPr>
          <w:rFonts w:eastAsia="Amiri" w:cs="Amiri" w:ascii="Amiri" w:hAnsi="Amiri"/>
          <w:color w:val="111111"/>
          <w:sz w:val="28"/>
          <w:szCs w:val="28"/>
          <w:rtl w:val="true"/>
          <w:lang w:bidi="ar-SA"/>
        </w:rPr>
        <w:t>».</w:t>
      </w:r>
      <w:r>
        <w:rPr>
          <w:rStyle w:val="FootnoteAnchor"/>
          <w:rtl w:val="true"/>
        </w:rPr>
        <w:footnoteReference w:id="525"/>
      </w:r>
      <w:bookmarkStart w:id="115" w:name="pg4642_54025"/>
    </w:p>
    <w:p>
      <w:pPr>
        <w:pStyle w:val="BookText"/>
        <w:rPr/>
      </w:pPr>
      <w:bookmarkEnd w:id="115"/>
      <w:r>
        <w:rPr>
          <w:rFonts w:ascii="IRNazanin" w:hAnsi="IRNazanin" w:eastAsia="IRNazanin"/>
          <w:color w:val="111111"/>
          <w:sz w:val="28"/>
          <w:sz w:val="28"/>
          <w:szCs w:val="28"/>
          <w:rtl w:val="true"/>
          <w:lang w:bidi="fa-IR"/>
        </w:rPr>
        <w:t>از تمامی این روایات استفاده می‌شود که صدای زیبا یک نعمت الهی است و خواندن قرآن با صدای زیبا توصیه شده است؛ امّا دلالتی بر جواز قرائت غنائی ندارند</w:t>
      </w:r>
      <w:r>
        <w:rPr>
          <w:rFonts w:eastAsia="IRNazanin" w:cs="IRNazanin"/>
          <w:color w:val="111111"/>
          <w:sz w:val="28"/>
          <w:szCs w:val="28"/>
          <w:rtl w:val="true"/>
          <w:lang w:bidi="fa-IR"/>
        </w:rPr>
        <w:t>.</w:t>
      </w:r>
    </w:p>
    <w:p>
      <w:pPr>
        <w:pStyle w:val="Heading2"/>
        <w:numPr>
          <w:ilvl w:val="1"/>
          <w:numId w:val="1"/>
        </w:numPr>
        <w:rPr/>
      </w:pPr>
      <w:bookmarkStart w:id="116" w:name="__RefHeading___Toc296180_2035185390"/>
      <w:bookmarkStart w:id="117" w:name="_Toc39"/>
      <w:bookmarkEnd w:id="116"/>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96/10/16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استثنای غناء در قرآن، از حرمت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غنا، در قرآن را جایز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آن‌ها روایاتی بود که تعدادی از آن‌ها را در جلسات گذشته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ادامه این روایات خواهیم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w:t>
      </w:r>
      <w:r>
        <w:rPr>
          <w:rStyle w:val="FootnoteAnchor"/>
          <w:rtl w:val="true"/>
        </w:rPr>
        <w:footnoteReference w:id="526"/>
      </w:r>
      <w:r>
        <w:rPr>
          <w:rFonts w:ascii="Amiri" w:hAnsi="Amiri" w:eastAsia="Amiri" w:cs="Amiri"/>
          <w:color w:val="111111"/>
          <w:sz w:val="28"/>
          <w:sz w:val="28"/>
          <w:szCs w:val="28"/>
          <w:rtl w:val="true"/>
          <w:lang w:bidi="ar-SA"/>
        </w:rPr>
        <w:t xml:space="preserve"> فِي آخِرِ السَّرَائِرِ</w:t>
      </w:r>
      <w:r>
        <w:rPr>
          <w:rStyle w:val="FootnoteAnchor"/>
          <w:rtl w:val="true"/>
        </w:rPr>
        <w:footnoteReference w:id="527"/>
      </w:r>
      <w:r>
        <w:rPr>
          <w:rFonts w:ascii="Amiri" w:hAnsi="Amiri" w:eastAsia="Amiri" w:cs="Amiri"/>
          <w:color w:val="111111"/>
          <w:sz w:val="28"/>
          <w:sz w:val="28"/>
          <w:szCs w:val="28"/>
          <w:rtl w:val="true"/>
          <w:lang w:bidi="ar-SA"/>
        </w:rPr>
        <w:t xml:space="preserve"> نَقْلا مِنْ کتَابِ مُحَمَّدِ بْنِ عَلِيِّ بْنِ مَحْبُوبٍ</w:t>
      </w:r>
      <w:r>
        <w:rPr>
          <w:rStyle w:val="FootnoteAnchor"/>
          <w:rtl w:val="true"/>
        </w:rPr>
        <w:footnoteReference w:id="528"/>
      </w:r>
      <w:r>
        <w:rPr>
          <w:rFonts w:ascii="Amiri" w:hAnsi="Amiri" w:eastAsia="Amiri" w:cs="Amiri"/>
          <w:color w:val="111111"/>
          <w:sz w:val="28"/>
          <w:sz w:val="28"/>
          <w:szCs w:val="28"/>
          <w:rtl w:val="true"/>
          <w:lang w:bidi="ar-SA"/>
        </w:rPr>
        <w:t xml:space="preserve"> عَنِ الْعَبَّاسِ</w:t>
      </w:r>
      <w:r>
        <w:rPr>
          <w:rStyle w:val="FootnoteAnchor"/>
          <w:rtl w:val="true"/>
        </w:rPr>
        <w:footnoteReference w:id="529"/>
      </w:r>
      <w:r>
        <w:rPr>
          <w:rFonts w:ascii="Amiri" w:hAnsi="Amiri" w:eastAsia="Amiri" w:cs="Amiri"/>
          <w:color w:val="111111"/>
          <w:sz w:val="28"/>
          <w:sz w:val="28"/>
          <w:szCs w:val="28"/>
          <w:rtl w:val="true"/>
          <w:lang w:bidi="ar-SA"/>
        </w:rPr>
        <w:t xml:space="preserve"> عَنْ حَمَّادِ بْنِ عِيسَى</w:t>
      </w:r>
      <w:r>
        <w:rPr>
          <w:rStyle w:val="FootnoteAnchor"/>
          <w:rtl w:val="true"/>
        </w:rPr>
        <w:footnoteReference w:id="530"/>
      </w:r>
      <w:r>
        <w:rPr>
          <w:rFonts w:ascii="Amiri" w:hAnsi="Amiri" w:eastAsia="Amiri" w:cs="Amiri"/>
          <w:color w:val="111111"/>
          <w:sz w:val="28"/>
          <w:sz w:val="28"/>
          <w:szCs w:val="28"/>
          <w:rtl w:val="true"/>
          <w:lang w:bidi="ar-SA"/>
        </w:rPr>
        <w:t xml:space="preserve"> عَنْ مُعَاوِيَةَ بْنِ عَمَّارٍ</w:t>
      </w:r>
      <w:r>
        <w:rPr>
          <w:rStyle w:val="FootnoteAnchor"/>
          <w:rtl w:val="true"/>
        </w:rPr>
        <w:footnoteReference w:id="531"/>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يَرَى أَنَّهُ صَنَعَ شَيْئاً فِي الدُّعَاءِ وَ فِي الْقِرَاءَةِ حَتَّى يَرْفَعَ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أَحْسَنَ النَّاسِ صَوْتاً بِالْقُرْآنِ وَ کانَ يَرْفَعُ صَوْتَهُ حَتَّى يُسْمِعَهُ أَهْلَ الدَّارِ وَ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أَحْسَنَ النَّاسِ صَوْتاً بِالْقُرْآنِ وَ کانَ إِذَا قَامَ مِنَ‌ اللَّيْلِ وَ قَرَأَ رَفَعَ صَوْتَهُ فَيَمُرُّ بِهِ مَارُّ الطَّرِيقِ مِنَ السَّاقِينَ وَ غَيْرِهِمْ فَيَقُومُونَ فَيَسْتَمِعُونَ إِلَى قِرَاءَتِهِ</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راوی از امام می‌پرسد که آیا می‌توان قرآن و دعاء را با صدای بلند خواند؟ امام در پاسخ این شکل خواندن قرآن را جائز شمرده و آن را به عنوان سیره اهل بیت معرّفی می‌کنند؛ و از امام سجّاد و امام باقر نقل می‌کنند که ایشان نیز قرآن را با صدای بلند می‌خواندند و آن‌قدر صدای ایشان زیبا بوده است که عابرین نمی‌توانستند از شنیدن آن صرف‌نظر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 صحیحی دارد؛ ولی نظارتی بر بحث 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بر رجحان خواندن قرآن به صوت حسن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برخی از فقهاء مثل مرحوم نراقی بدان استناد کرده‌اند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روایت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w:t>
      </w:r>
      <w:r>
        <w:rPr>
          <w:rStyle w:val="FootnoteAnchor"/>
          <w:rtl w:val="true"/>
        </w:rPr>
        <w:footnoteReference w:id="534"/>
      </w:r>
      <w:r>
        <w:rPr>
          <w:rFonts w:ascii="Amiri" w:hAnsi="Amiri" w:eastAsia="Amiri" w:cs="Amiri"/>
          <w:color w:val="111111"/>
          <w:sz w:val="28"/>
          <w:sz w:val="28"/>
          <w:szCs w:val="28"/>
          <w:rtl w:val="true"/>
          <w:lang w:bidi="ar-SA"/>
        </w:rPr>
        <w:t xml:space="preserve"> فِي مَجْمَعِ الْبَيَان</w:t>
      </w:r>
      <w:r>
        <w:rPr>
          <w:rStyle w:val="FootnoteAnchor"/>
          <w:rtl w:val="true"/>
        </w:rPr>
        <w:footnoteReference w:id="535"/>
      </w:r>
      <w:r>
        <w:rPr>
          <w:rFonts w:ascii="Amiri" w:hAnsi="Amiri" w:eastAsia="Amiri" w:cs="Amiri"/>
          <w:color w:val="111111"/>
          <w:sz w:val="28"/>
          <w:sz w:val="28"/>
          <w:szCs w:val="28"/>
          <w:rtl w:val="true"/>
          <w:lang w:bidi="ar-SA"/>
        </w:rPr>
        <w:t xml:space="preserve"> عَنْ أَبِي بَصِيرٍ</w:t>
      </w:r>
      <w:r>
        <w:rPr>
          <w:rStyle w:val="FootnoteAnchor"/>
          <w:rtl w:val="true"/>
        </w:rPr>
        <w:footnoteReference w:id="53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تَتَمَکثَ فِيهِ وَ تُحَسِّنَ بِهِ صَوْتَک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روایت مرفوعه بوده و سند ضعیفی دارد؛ و قابل اتّکاء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رابطه با غناء می‌بود به عنوان مؤیّد می‌تواند مطرح باشد در حالی که این روایت در تفسیر چگونه ترتیل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w:t>
      </w:r>
      <w:r>
        <w:rPr>
          <w:rStyle w:val="FootnoteAnchor"/>
          <w:rtl w:val="true"/>
        </w:rPr>
        <w:footnoteReference w:id="538"/>
      </w:r>
      <w:r>
        <w:rPr>
          <w:rFonts w:ascii="Amiri" w:hAnsi="Amiri" w:eastAsia="Amiri" w:cs="Amiri"/>
          <w:color w:val="111111"/>
          <w:sz w:val="28"/>
          <w:sz w:val="28"/>
          <w:szCs w:val="28"/>
          <w:rtl w:val="true"/>
          <w:lang w:bidi="ar-SA"/>
        </w:rPr>
        <w:t xml:space="preserve"> في عیون الأخبار عَنْ مُحَمَّدِ بْنِ عُمَرَ الْجِعَابِيِّ</w:t>
      </w:r>
      <w:r>
        <w:rPr>
          <w:rStyle w:val="FootnoteAnchor"/>
          <w:rtl w:val="true"/>
        </w:rPr>
        <w:footnoteReference w:id="539"/>
      </w:r>
      <w:r>
        <w:rPr>
          <w:rFonts w:ascii="Amiri" w:hAnsi="Amiri" w:eastAsia="Amiri" w:cs="Amiri"/>
          <w:color w:val="111111"/>
          <w:sz w:val="28"/>
          <w:sz w:val="28"/>
          <w:szCs w:val="28"/>
          <w:rtl w:val="true"/>
          <w:lang w:bidi="ar-SA"/>
        </w:rPr>
        <w:t xml:space="preserve"> عَنِ الْحَسَنِ بْنِ عَبْدِ اللَّهِ التَّمِيمِيِّ</w:t>
      </w:r>
      <w:r>
        <w:rPr>
          <w:rStyle w:val="FootnoteAnchor"/>
          <w:rtl w:val="true"/>
        </w:rPr>
        <w:footnoteReference w:id="540"/>
      </w:r>
      <w:r>
        <w:rPr>
          <w:rFonts w:ascii="Amiri" w:hAnsi="Amiri" w:eastAsia="Amiri" w:cs="Amiri"/>
          <w:color w:val="111111"/>
          <w:sz w:val="28"/>
          <w:sz w:val="28"/>
          <w:szCs w:val="28"/>
          <w:rtl w:val="true"/>
          <w:lang w:bidi="ar-SA"/>
        </w:rPr>
        <w:t xml:space="preserve"> عَنْ أَبِيهِ</w:t>
      </w:r>
      <w:r>
        <w:rPr>
          <w:rStyle w:val="FootnoteAnchor"/>
          <w:rtl w:val="true"/>
        </w:rPr>
        <w:footnoteReference w:id="541"/>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 الْقُرْآنَ بِأَصْوَاتِکمْ فَإِنَّ الصَّوْتَ الْحَسَنَ يَزِيدُ الْقُرْآنَ حُسْناً</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به جهت دو نفر مهمل در طریق آن، ضعیف است و هم ارتباطی با بحث غناء ندارد؛ بحث از خوب خواندن و زیبا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بصائر الدرجات، مُوسَى بْنُ عُمَرَ</w:t>
      </w:r>
      <w:r>
        <w:rPr>
          <w:rStyle w:val="FootnoteAnchor"/>
          <w:rtl w:val="true"/>
        </w:rPr>
        <w:footnoteReference w:id="543"/>
      </w:r>
      <w:r>
        <w:rPr>
          <w:rFonts w:ascii="Amiri" w:hAnsi="Amiri" w:eastAsia="Amiri" w:cs="Amiri"/>
          <w:color w:val="111111"/>
          <w:sz w:val="28"/>
          <w:sz w:val="28"/>
          <w:szCs w:val="28"/>
          <w:rtl w:val="true"/>
          <w:lang w:bidi="ar-SA"/>
        </w:rPr>
        <w:t xml:space="preserve"> عَنِ الْمِيثَمِيِّ</w:t>
      </w:r>
      <w:r>
        <w:rPr>
          <w:rStyle w:val="FootnoteAnchor"/>
          <w:rtl w:val="true"/>
        </w:rPr>
        <w:footnoteReference w:id="544"/>
      </w:r>
      <w:r>
        <w:rPr>
          <w:rFonts w:ascii="Amiri" w:hAnsi="Amiri" w:eastAsia="Amiri" w:cs="Amiri"/>
          <w:color w:val="111111"/>
          <w:sz w:val="28"/>
          <w:sz w:val="28"/>
          <w:szCs w:val="28"/>
          <w:rtl w:val="true"/>
          <w:lang w:bidi="ar-SA"/>
        </w:rPr>
        <w:t xml:space="preserve"> عَنْ سَمَاعَةَ</w:t>
      </w:r>
      <w:r>
        <w:rPr>
          <w:rStyle w:val="FootnoteAnchor"/>
          <w:rtl w:val="true"/>
        </w:rPr>
        <w:footnoteReference w:id="545"/>
      </w:r>
      <w:r>
        <w:rPr>
          <w:rFonts w:ascii="Amiri" w:hAnsi="Amiri" w:eastAsia="Amiri" w:cs="Amiri"/>
          <w:color w:val="111111"/>
          <w:sz w:val="28"/>
          <w:sz w:val="28"/>
          <w:szCs w:val="28"/>
          <w:rtl w:val="true"/>
          <w:lang w:bidi="ar-SA"/>
        </w:rPr>
        <w:t xml:space="preserve"> عَنْ شَيْخٍ مِنْ أَصْحَابِنَا عَنْ أَبِي جَعْفَرٍ</w:t>
      </w:r>
      <w:r>
        <w:rPr>
          <w:rStyle w:val="FootnoteAnchor"/>
          <w:rtl w:val="true"/>
        </w:rPr>
        <w:footnoteReference w:id="5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نُرِيدُ الدُّخُولَ عَلَيْهِ فَلَمَّا صِرْنَا بِالدِّهْلِيزِ سَمِعْنَا قِرَاءَةً بِالسُّرْيَانِيَّةِ بِصَوْتٍ حَسَنٍ يَقْرَأُ وَ يَبْکي حَتَّى أَبْکى بَعْضَنَا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این روایت که البته به جهت ارسالی که دارد، نمی‌تواند مورد استناد قرار گیرد؛ و در ثانی این گزارشی که از قرائت امام می‌شود، هیچ ارتباطی به بحث غناء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بصائر الدرجات مُحَمَّدُ بْنُ الْحُسَيْنِ</w:t>
      </w:r>
      <w:r>
        <w:rPr>
          <w:rStyle w:val="FootnoteAnchor"/>
          <w:rtl w:val="true"/>
        </w:rPr>
        <w:footnoteReference w:id="548"/>
      </w:r>
      <w:r>
        <w:rPr>
          <w:rFonts w:ascii="Amiri" w:hAnsi="Amiri" w:eastAsia="Amiri" w:cs="Amiri"/>
          <w:color w:val="111111"/>
          <w:sz w:val="28"/>
          <w:sz w:val="28"/>
          <w:szCs w:val="28"/>
          <w:rtl w:val="true"/>
          <w:lang w:bidi="ar-SA"/>
        </w:rPr>
        <w:t xml:space="preserve"> عَنْ أَحْمَدَ بْنِ الْحَسَنِ الْمِيثَمِيِّ عَنْ أَبَانِ بْنِ عُثْمَانَ</w:t>
      </w:r>
      <w:r>
        <w:rPr>
          <w:rStyle w:val="FootnoteAnchor"/>
          <w:rtl w:val="true"/>
        </w:rPr>
        <w:footnoteReference w:id="549"/>
      </w:r>
      <w:r>
        <w:rPr>
          <w:rFonts w:ascii="Amiri" w:hAnsi="Amiri" w:eastAsia="Amiri" w:cs="Amiri"/>
          <w:color w:val="111111"/>
          <w:sz w:val="28"/>
          <w:sz w:val="28"/>
          <w:szCs w:val="28"/>
          <w:rtl w:val="true"/>
          <w:lang w:bidi="ar-SA"/>
        </w:rPr>
        <w:t xml:space="preserve"> عَنْ مُوسَى النُّمَيْرِيِّ</w:t>
      </w:r>
      <w:r>
        <w:rPr>
          <w:rStyle w:val="FootnoteAnchor"/>
          <w:rtl w:val="true"/>
        </w:rPr>
        <w:footnoteReference w:id="550"/>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إِلَى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نَسْتَأْذِنُ عَلَيْهِ فَسَمِعْنَا صَوْتاً حَزِيناً يَقْرَأُ بِالْعِبْرَانِيَّةِ فَبَکيْنَا حَيْثُ سَمِعْنَا الصَّوْتَ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ظَنَنَّا أَنَّهُ بَعَثَ إِلَى رَجُلٍ مِنْ أَهْلِ الْکتَابِ يَسْتَقْرِئُهُ فَأَذِنَ لَنَا فَدَخَلْنَا عَلَيْهِ فَلَمْ نَرَ عِنْدَهُ أَحَداً فَقُلْنَا أَصْلَحَک اللَّهُ سَمِعْنَا صَوْتاً بِالْعِبْرَانِيَّةِ فَظَنَنَّا أَنَّک بَعَثْتَ إِلَى رَجُلٍ مِنْ أَهْلِ الْکتَابِ تَسْتَقْرِئُهُ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ذَکرْتُ مُنَاجَاةَ إِلْيَا لِرَبِّهِ فَبَکيْتُ مِنْ ذَلِک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مانند روایت قبل گزارشی است از خواندن مناجاتی از الیاس نبی به زبان عبری به صوتی زیبا که شنوندگان را متأثّر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بحث از غناء نیست تا بتوانیم بدان استناد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عَلَيْکَ لَوِ اشْتَرَيْتَهَا فَذَکّرَتْک‌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بِقِرَاءَةِ الْقُرْآنِ وَ الزُّهْدِ وَ الْفَضَائِلِ الَّتِي لَيْسَتْ بِغِنَاءٍ فَأَمَّا الْغِنَاءُ فَمَحْظُورٌ</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این جمله‌ای که در پرانتز قرارش دادیم، دارای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در آن این است که کلام صدوق ذیل روایت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امام تا جایی که می‌فرماید تو را به یاد بهشت بیندازد، تمام می‌شود؛ اما احتمال دیگر این است که این کلام خود امام سجّاد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خود امام باشد، حجّت بوده و این روایت اساس در باب می‌شود؛ زیرا جمع در روایات باب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به سبکی بخوانیم که ما را به یاد خدا بیندازد، حلال بوده و در غیر این صورت و غنائی بودن صوت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مصدر این جمله ذیل از کلام مرحوم صدوق بوده و از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در رابطه با جاریه‌ای است که شخص را به یاد خدا می‌اندازد و ربطی به بحث غناء نخواهد داشت</w:t>
      </w:r>
      <w:r>
        <w:rPr>
          <w:rFonts w:eastAsia="IRNazanin" w:cs="IRNazanin"/>
          <w:color w:val="111111"/>
          <w:sz w:val="28"/>
          <w:szCs w:val="28"/>
          <w:rtl w:val="true"/>
          <w:lang w:bidi="fa-IR"/>
        </w:rPr>
        <w:t>.</w:t>
      </w:r>
      <w:r>
        <w:rPr>
          <w:rStyle w:val="FootnoteAnchor"/>
          <w:rtl w:val="true"/>
        </w:rPr>
        <w:footnoteReference w:id="55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نیز این روایت را اگر ذیل آن از کلام امام سجاد بوده باشد، شاهد بر تمام روایات وارد در این موضوع و جمع میان آن‌ها می‌پندارد؛ اما اگر از کلام صدوق باشد که خود ایشان اقرب را همین می‌دانند، صوت جاریه که در روایت از آن سؤال می‌شود محمول بر صدای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اساساً صوت به معنی غناء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رایج نبوده است؛ و پس از آن و در دوران هارون‌الرشید به این معنی رایج شد؛ و از سویی دیگر نکره بودن صوت در بیان روایت، دلالت بر همین نوعی از زیبایی در صدا می‌کند</w:t>
      </w:r>
      <w:r>
        <w:rPr>
          <w:rFonts w:eastAsia="IRNazanin" w:cs="IRNazanin"/>
          <w:color w:val="111111"/>
          <w:sz w:val="28"/>
          <w:szCs w:val="28"/>
          <w:rtl w:val="true"/>
          <w:lang w:bidi="fa-IR"/>
        </w:rPr>
        <w:t>.</w:t>
      </w:r>
      <w:r>
        <w:rPr>
          <w:rStyle w:val="FootnoteAnchor"/>
          <w:rtl w:val="true"/>
        </w:rPr>
        <w:footnoteReference w:id="554"/>
      </w:r>
      <w:bookmarkStart w:id="118" w:name="pg4642_54029"/>
    </w:p>
    <w:p>
      <w:pPr>
        <w:pStyle w:val="Heading2"/>
        <w:numPr>
          <w:ilvl w:val="1"/>
          <w:numId w:val="1"/>
        </w:numPr>
        <w:rPr/>
      </w:pPr>
      <w:bookmarkStart w:id="119" w:name="__RefHeading___Toc296182_2035185390"/>
      <w:bookmarkStart w:id="120" w:name="_Toc40"/>
      <w:bookmarkEnd w:id="118"/>
      <w:bookmarkEnd w:id="119"/>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96/10/17</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رابطه با روایاتی بود که برخی به استناد آن غنای در قرآن را از حرمت غناء استثناء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روایات علاوه بر ضعف سندی که در بسیاری دیده می‌شد ضعف دلالت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این روایات امر به خواند قرآن به صوت حزین و یا صوت حسن بود؛ که هیچ یک از این دو معنی مرادف با غناء نیست؛ و نمی‌توان تساوی آن با غناء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علمای بزرگوار اثبات استثنای غنای در قرآن را مستند به دلیلی قوی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این روایت هم اشاره‌ای کنیم</w:t>
      </w:r>
    </w:p>
    <w:p>
      <w:pPr>
        <w:pStyle w:val="BookText"/>
        <w:rPr/>
      </w:pPr>
      <w:r>
        <w:rPr>
          <w:rFonts w:ascii="Amiri" w:hAnsi="Amiri" w:eastAsia="Amiri" w:cs="Amiri"/>
          <w:color w:val="111111"/>
          <w:sz w:val="28"/>
          <w:sz w:val="28"/>
          <w:szCs w:val="28"/>
          <w:rtl w:val="true"/>
          <w:lang w:bidi="ar-SA"/>
        </w:rPr>
        <w:t>روایت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عَنْ عَبْدِ الرَّحْمَنِ بْنِ سَائِبٍ</w:t>
      </w:r>
      <w:r>
        <w:rPr>
          <w:rStyle w:val="FootnoteAnchor"/>
          <w:rtl w:val="true"/>
        </w:rPr>
        <w:footnoteReference w:id="555"/>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عَلَيْنَا سَعْدُ بْنُ أَبِي وَقَّاصٍ فَأَتَيْتُهُ مُسَلِّماً عَلَيْهِ فَقَالَ مَرْحَباً بِابْنِ أَخِي بَلَغَنِي أَنَّک حَسَنُ الصَّوْتِ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الْحَمْدُ لِلَّهِ قَالَ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بِالْحُزْنِ فَإِذَا قَرَأْتُمُوهُ فَابْکوا فَإِنْ لَمْ تَبْکوا فَتَبَاکوْا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يَتَغَنَّ بِالْقُرْآنِ فَلَيْسَ مِنَّا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این روایت از سعد بن ابی وقّاص نقل شده و راوی هم مهمل است و در منابع عامّی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سند ضعیفی دارد؛ و اگرچه دلالت بسیار صریحی دارد؛ اما نمی‌توان به جهت همین ضعف طریق به آن استناد جست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بحرانی این روایت را از حیث سندی ضعیف دانسته و از حیث دلالی هم معارض با اخباری می‌داند که دلالت بر حرمت غناء در قرآن می‌کنند؛ و اگر به روایات باب مراجعه کنیم، ما را تا جایی که صوت زیبا و حزین در خواندن قرآن به حدّ غناء نرسیده باشد امر به این شکل خواندن قرآن می‌کردند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مرحوم طباطبائی در ریاض نیز مانند همین اشکال را بر استدلال به این روایت و روایات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این روایات با اطلاقات مورد اجماع بر حرمت غناء معارض بوده و معمولاً سندهای ضعیفی هم دارند؛ و از سویی دیگر مفاد این اخبار دائر بین امر به قرآن خواندن به صوت حزین و یا صوت حسن است؛ و هر دو امر غیر از غناء مصطلح و حرام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مرحوم امام در رابطه با این روایات تأمّل حقّی بر مفهوم صوت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مدار روایات جواز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نظر ایشان صوت حسن در روایات در برابر قرآن خواندن به مزامیر و در تقابل با غنائی خواندن قرآن است؛ و مراد از صوت حسن در روایت متفاهم عرفی از این اصطلاح است؛ یعنی صدایی که عرف آن را زیبا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لزوماً غناء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صدای خوبی در نظر عرف غناء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خوب صدایی است که سکت و وصل آن و به اصطلاح ضرب آهنگین آن به تناسب رعایت شود و این مفهوم اعمّ از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 عربی غیر از غناء است، ولی خالی از ضر آهنگین نیست</w:t>
      </w:r>
      <w:r>
        <w:rPr>
          <w:rFonts w:eastAsia="IRNazanin" w:cs="IRNazanin"/>
          <w:color w:val="111111"/>
          <w:sz w:val="28"/>
          <w:szCs w:val="28"/>
          <w:rtl w:val="true"/>
          <w:lang w:bidi="fa-IR"/>
        </w:rPr>
        <w:t>.</w:t>
      </w:r>
      <w:r>
        <w:rPr>
          <w:rStyle w:val="FootnoteAnchor"/>
          <w:rtl w:val="true"/>
        </w:rPr>
        <w:footnoteReference w:id="5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هم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نیز میان صوت حسن و غناء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صوت حسن از مصادیق غناء هم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هر غنائی در نظر عرف زیبا است و نه هر صدای زیبایی مصداق غنای است</w:t>
      </w:r>
      <w:r>
        <w:rPr>
          <w:rFonts w:eastAsia="IRNazanin" w:cs="IRNazanin"/>
          <w:color w:val="111111"/>
          <w:sz w:val="28"/>
          <w:szCs w:val="28"/>
          <w:rtl w:val="true"/>
          <w:lang w:bidi="fa-IR"/>
        </w:rPr>
        <w:t>.</w:t>
      </w:r>
      <w:r>
        <w:rPr>
          <w:rStyle w:val="FootnoteAnchor"/>
          <w:rtl w:val="true"/>
        </w:rPr>
        <w:footnoteReference w:id="560"/>
      </w:r>
      <w:bookmarkStart w:id="121" w:name="pg4642_54031"/>
    </w:p>
    <w:p>
      <w:pPr>
        <w:pStyle w:val="BookText"/>
        <w:rPr/>
      </w:pPr>
      <w:bookmarkEnd w:id="121"/>
      <w:r>
        <w:rPr>
          <w:rFonts w:ascii="IRNazanin" w:hAnsi="IRNazanin" w:eastAsia="IRNazanin"/>
          <w:color w:val="111111"/>
          <w:sz w:val="28"/>
          <w:sz w:val="28"/>
          <w:szCs w:val="28"/>
          <w:rtl w:val="true"/>
          <w:lang w:bidi="fa-IR"/>
        </w:rPr>
        <w:t>به نظر می‌رسد نمی‌توان بر این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غنای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مناسبی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که در رابطه با غناء خیلی اهمّیت دارد، همین قید مجلس است؛ یعنی غناء در مجالس لهو موضوع حرمت است؛ و صرف تحقّق قیود غناء در مجالس مؤمنین و عزاداری و سرور اهل بیت نمی‌تواند مصداقی برای غنای محرّم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عرف است که تشخیص دهد یک صوت برای مجالس فسق و فجور است و یا اینکه مناسب مجالس مؤمنین است؛ یعنی قید لهو را باید عرف تشخیص دهد؛ و تا این قید که مرتبط با مجالس اهل فسق و فجور است محقّق نشود، نمی‌توان به حرمت حکم کرد</w:t>
      </w:r>
      <w:r>
        <w:rPr>
          <w:rFonts w:eastAsia="IRNazanin" w:cs="IRNazanin"/>
          <w:color w:val="111111"/>
          <w:sz w:val="28"/>
          <w:szCs w:val="28"/>
          <w:rtl w:val="true"/>
          <w:lang w:bidi="fa-IR"/>
        </w:rPr>
        <w:t>.</w:t>
      </w:r>
    </w:p>
    <w:p>
      <w:pPr>
        <w:pStyle w:val="Heading2"/>
        <w:numPr>
          <w:ilvl w:val="1"/>
          <w:numId w:val="1"/>
        </w:numPr>
        <w:rPr/>
      </w:pPr>
      <w:bookmarkStart w:id="122" w:name="__RefHeading___Toc296184_2035185390"/>
      <w:bookmarkStart w:id="123" w:name="_Toc41"/>
      <w:bookmarkEnd w:id="122"/>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96/10/18</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روایاتی بود که برخی ادّعا داشتند آن روایات بر جواز غناء در قرآن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تا جلسه گذشته بررسی کردیم، این روایات بر رجحان خواندن قرآن به صدای زیبا دلالت دارند؛ و هیچ نسبتی هم با غنای در قرآن ندارند؛ چرا که اساساً زیبا خواندن قرآن ارتباطی با غنائی بودن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روایتی که دلالت بر غنای در قرآن داشت،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منابع عامّی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در رجحان غنای در قرآن داشت، ولی سند ضعیفی داشته و قابل اعتماد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از هیچ یک از این روایات جواز غنای در قرآن را استفاده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که در رابطه با غناء خیلی اهمّیت دارد، همین قید مجلس است؛ یعنی غناء در مجالس لهو موضوع حرمت است؛ و صرف تحقّق قیود غناء در مجالس مؤمنین و عزاداری و سرور اهل بیت نمی‌تواند مصداقی برای غنای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عرف است که تشخیص دهد یک صوت برای مجالس فسق و فجور است و یا اینکه مناسب مجالس مؤمنین است؛ یعنی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عرف تشخیص دهد؛ و تا این قید که مرتبط با مجالس اهل فسق و فجور است محقّق نشود، نمی‌توان به حرمت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صرف اینکه متخصّصین تشخیص دهند یک مرثیه از مدّاحی شبیه و یا به سبک فلان خواننده است که در خارج از کشور و یا داخل با آلات موسیقی خوانده و در مجالس لهو و رقص به کار می‌رود، برای تعیین مصداق غناء کفایت نمی‌کند؛ چرا که نمی‌توان به چنین مرثیه‌ای که در مجلس عزای اهل‌بیت خوانده می‌شود و مردم با آن گریه کرده و حزنی مجلس را در بر می‌گیرد، اطلاق لهو مطرب کرده و مجلس لهوی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برخی مصادیق به تشخیص عرف ممکن است یک مجلس عزای اهل بیت هم به جهت شکل خواندن مدّاح شبیه مجالس لهوی شود؛ در این فرض دیگر نمی‌توان قائل به جواز شد؛ و مصداق غناء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مجالس قرائت قرآن، صوت قاری قرآن به هر اندازه اثربخش هم باشد، قید مجلس لهوی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شأن قاریان قرآن و مجلس قرائت قرآن تعبیر غناء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تعریف غناء باید علاوه بر قید ترجیع و طرب که گذشت، قید لهوی بودن را هم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سبزواری در جمع بین روایات تحریم غناء و روایات جواز</w:t>
      </w:r>
    </w:p>
    <w:p>
      <w:pPr>
        <w:pStyle w:val="BookText"/>
        <w:rPr/>
      </w:pPr>
      <w:r>
        <w:rPr>
          <w:rFonts w:ascii="IRNazanin" w:hAnsi="IRNazanin" w:eastAsia="IRNazanin"/>
          <w:color w:val="111111"/>
          <w:sz w:val="28"/>
          <w:sz w:val="28"/>
          <w:szCs w:val="28"/>
          <w:rtl w:val="true"/>
          <w:lang w:bidi="fa-IR"/>
        </w:rPr>
        <w:t>مرحوم سبزواری قائل‌اند میان این روایات که گذشت و اخبار تحریم غناء به دو شکل می‌توان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تحریم را حمل بر غیر غناء در قرآن کنیم؛ و روایاتی که در رابطه با غنای در قرآن حکم به حرمت کرده بودند را حمل بر شکلی از خواندن قرآن به سبک‌های غنائی کنیم که مخصوص مجالس لهوی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محور ادلّه تحریم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مفردی محلّی به الف و 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مفرد محلّی به الف و لام با جمع محلّی به الف و لام در این است که افاده عموم در مفرد مبتنی بر مقدمات حکمت و به اطلاق است؛ بنابراین اگر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حکم حرمت را به تمام مصادیق آن حتّی غنای در قرآن سرایت دهیم، نباید قرینه‌ای بر اراده‌ی خاص و انصراف لفظ به حصّه‌ای از مصادیقش در کلام وجود داشته باشد</w:t>
      </w:r>
      <w:r>
        <w:rPr>
          <w:rFonts w:eastAsia="IRNazanin" w:cs="IRNazanin"/>
          <w:color w:val="111111"/>
          <w:sz w:val="28"/>
          <w:szCs w:val="28"/>
          <w:rtl w:val="true"/>
          <w:lang w:bidi="fa-IR"/>
        </w:rPr>
        <w:t>.</w:t>
      </w:r>
      <w:bookmarkStart w:id="124" w:name="pg4642_54033"/>
    </w:p>
    <w:p>
      <w:pPr>
        <w:pStyle w:val="BookText"/>
        <w:rPr/>
      </w:pPr>
      <w:bookmarkEnd w:id="124"/>
      <w:r>
        <w:rPr>
          <w:rFonts w:ascii="IRNazanin" w:hAnsi="IRNazanin" w:eastAsia="IRNazanin"/>
          <w:color w:val="111111"/>
          <w:sz w:val="28"/>
          <w:sz w:val="28"/>
          <w:szCs w:val="28"/>
          <w:rtl w:val="true"/>
          <w:lang w:bidi="fa-IR"/>
        </w:rPr>
        <w:t xml:space="preserve">در روایات ما قرینه بر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آنچه از غناء در روایات ما به کار رفته است، به جهت شیوع غناء در مجالس لهو و فسوق و خمور، غنائی است که در آن مجالس به کار می‌رفته است؛ بنابراین این روایات حرمت غناء اساساً دلالتی بر غنای در قرآن که نسبتی با لهویات ندارد، نخواهد داشت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به نظر ما، این‌که ایشان غنای در زمان اهل بیت را غنای در مجالس لهوی می‌شمارد صحیح نیست؛ بلکه قید لهو در غناء مأخوذ بوده و حصّه‌ای از مصادیق غناء حرام است که مناسب مجالس لهو باشد؛ و این شکل از غناء در قرآن هم اگر محقّق شود حرام بوده و حتّی می‌توان حرمتش را شدیدتر 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شیوع و غلبه‌ی وجودی غنای در مجالس لهوی در زمان اهل بیت سبب انصراف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جواز غناء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برخی از علماء می‌گویند ما در مورد حرمت غناء در قرآن شک داریم پس اصل اباحه می‌گوید که غناء در قرآن جایز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مرحوم مامقانی می‌فرماید با وجود مطلقات حرمت غناء، اصل در جواز نسیت بلکه اصل در حرمت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مرحوم سبزواری نیز اصل اباحه را در این‌جا جاری نمی‌دانند</w:t>
      </w:r>
      <w:r>
        <w:rPr>
          <w:rFonts w:eastAsia="IRNazanin" w:cs="IRNazanin"/>
          <w:color w:val="111111"/>
          <w:sz w:val="28"/>
          <w:szCs w:val="28"/>
          <w:rtl w:val="true"/>
          <w:lang w:bidi="fa-IR"/>
        </w:rPr>
        <w:t>.</w:t>
      </w:r>
      <w:r>
        <w:rPr>
          <w:rStyle w:val="FootnoteAnchor"/>
          <w:rtl w:val="true"/>
        </w:rPr>
        <w:footnoteReference w:id="564"/>
      </w:r>
    </w:p>
    <w:p>
      <w:pPr>
        <w:pStyle w:val="Heading2"/>
        <w:numPr>
          <w:ilvl w:val="1"/>
          <w:numId w:val="1"/>
        </w:numPr>
        <w:rPr/>
      </w:pPr>
      <w:bookmarkStart w:id="125" w:name="__RefHeading___Toc296186_2035185390"/>
      <w:bookmarkStart w:id="126" w:name="_Toc42"/>
      <w:bookmarkEnd w:id="125"/>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96/10/19</w:t>
      </w:r>
      <w:bookmarkEnd w:id="12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مواردی بود که از حرمت غناء استثناء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مراثی و اشعاری است که به سبک غناء در مجالس اهل‌بیت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مراثی اهل‌بیت و نسبت آن با غناء دو شکل می‌توان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با توجّه به قید غناء که سبُکیِ حاصل از شدّت سرور بود، مراثی اهل بیت از آنجا که ناظر به حزن و اندوه اهل‌بیت و اشک بر مصیبت ایشان است، تخصّصاً از موضوع غناء خارج است؛ یعنی اساساً این مجالس و مراثی خوانده شده در آن مصداق غناء نیستند تا بخواهد مورد تخصیص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قائل به وجود غناء در مراثی بوده و قائل به تخصیص آن است؛ و بر این تخصیص ادلّه‌ای اقامه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r>
        <w:rPr>
          <w:rStyle w:val="FootnoteAnchor"/>
          <w:rtl w:val="true"/>
        </w:rPr>
        <w:footnoteReference w:id="565"/>
      </w:r>
      <w:r>
        <w:rPr>
          <w:rFonts w:ascii="Amiri" w:hAnsi="Amiri" w:eastAsia="Amiri" w:cs="Amiri"/>
          <w:color w:val="111111"/>
          <w:sz w:val="28"/>
          <w:sz w:val="28"/>
          <w:szCs w:val="28"/>
          <w:rtl w:val="true"/>
          <w:lang w:bidi="ar-SA"/>
        </w:rPr>
        <w:t xml:space="preserve"> فِي ثَوَابِ الْأَعْمَالِ عَنْ أَبِيهِ</w:t>
      </w:r>
      <w:r>
        <w:rPr>
          <w:rStyle w:val="FootnoteAnchor"/>
          <w:rtl w:val="true"/>
        </w:rPr>
        <w:footnoteReference w:id="566"/>
      </w:r>
      <w:r>
        <w:rPr>
          <w:rFonts w:ascii="Amiri" w:hAnsi="Amiri" w:eastAsia="Amiri" w:cs="Amiri"/>
          <w:color w:val="111111"/>
          <w:sz w:val="28"/>
          <w:sz w:val="28"/>
          <w:szCs w:val="28"/>
          <w:rtl w:val="true"/>
          <w:lang w:bidi="ar-SA"/>
        </w:rPr>
        <w:t xml:space="preserve"> عَنْ سَعْدٍ</w:t>
      </w:r>
      <w:r>
        <w:rPr>
          <w:rStyle w:val="FootnoteAnchor"/>
          <w:rtl w:val="true"/>
        </w:rPr>
        <w:footnoteReference w:id="567"/>
      </w:r>
      <w:r>
        <w:rPr>
          <w:rFonts w:ascii="Amiri" w:hAnsi="Amiri" w:eastAsia="Amiri" w:cs="Amiri"/>
          <w:color w:val="111111"/>
          <w:sz w:val="28"/>
          <w:sz w:val="28"/>
          <w:szCs w:val="28"/>
          <w:rtl w:val="true"/>
          <w:lang w:bidi="ar-SA"/>
        </w:rPr>
        <w:t xml:space="preserve"> عَنْ مُحَمَّدِ بْنِ الْحُسَيْنِ</w:t>
      </w:r>
      <w:r>
        <w:rPr>
          <w:rStyle w:val="FootnoteAnchor"/>
          <w:rtl w:val="true"/>
        </w:rPr>
        <w:footnoteReference w:id="568"/>
      </w:r>
      <w:r>
        <w:rPr>
          <w:rFonts w:ascii="Amiri" w:hAnsi="Amiri" w:eastAsia="Amiri" w:cs="Amiri"/>
          <w:color w:val="111111"/>
          <w:sz w:val="28"/>
          <w:sz w:val="28"/>
          <w:szCs w:val="28"/>
          <w:rtl w:val="true"/>
          <w:lang w:bidi="ar-SA"/>
        </w:rPr>
        <w:t xml:space="preserve"> عَنْ مُحَمَّدِ بْنِ إِسْمَاعِيلَ</w:t>
      </w:r>
      <w:r>
        <w:rPr>
          <w:rStyle w:val="FootnoteAnchor"/>
          <w:rtl w:val="true"/>
        </w:rPr>
        <w:footnoteReference w:id="569"/>
      </w:r>
      <w:r>
        <w:rPr>
          <w:rFonts w:ascii="Amiri" w:hAnsi="Amiri" w:eastAsia="Amiri" w:cs="Amiri"/>
          <w:color w:val="111111"/>
          <w:sz w:val="28"/>
          <w:sz w:val="28"/>
          <w:szCs w:val="28"/>
          <w:rtl w:val="true"/>
          <w:lang w:bidi="ar-SA"/>
        </w:rPr>
        <w:t xml:space="preserve"> عَنْ صَالِحِ بْنِ‌ عُقْبَةَ</w:t>
      </w:r>
      <w:r>
        <w:rPr>
          <w:rStyle w:val="FootnoteAnchor"/>
          <w:rtl w:val="true"/>
        </w:rPr>
        <w:footnoteReference w:id="570"/>
      </w:r>
      <w:r>
        <w:rPr>
          <w:rFonts w:ascii="Amiri" w:hAnsi="Amiri" w:eastAsia="Amiri" w:cs="Amiri"/>
          <w:color w:val="111111"/>
          <w:sz w:val="28"/>
          <w:sz w:val="28"/>
          <w:szCs w:val="28"/>
          <w:rtl w:val="true"/>
          <w:lang w:bidi="ar-SA"/>
        </w:rPr>
        <w:t xml:space="preserve"> عَنْ أَبِي هَارُونَ الْمَکفُوفِ</w:t>
      </w:r>
      <w:r>
        <w:rPr>
          <w:rStyle w:val="FootnoteAnchor"/>
          <w:rtl w:val="true"/>
        </w:rPr>
        <w:footnoteReference w:id="571"/>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أَنْشِدْنِي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کمَا تُنْشِدُونَ يَعْنِي بِالرّقَّة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این روایت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تا برای او با رقّت و حزن، مرثیه حسین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هیچ ربطی به غناء ندارد؛ چرا که در غناء سرور مطرح بوده و این مورد تخصّصاً از مصادیق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که این روایت به خاطر ابو هارون مکفوف که مهمل است ضعیف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بسیار حائز اهمّیت است که آیا اعراب در زمان اهل‌بیت مراثی امام حسین را به شکل غنائی می‌خواندند؟</w:t>
      </w:r>
    </w:p>
    <w:p>
      <w:pPr>
        <w:pStyle w:val="BookText"/>
        <w:rPr/>
      </w:pPr>
      <w:r>
        <w:rPr>
          <w:rFonts w:ascii="IRNazanin" w:hAnsi="IRNazanin" w:eastAsia="IRNazanin"/>
          <w:color w:val="111111"/>
          <w:sz w:val="28"/>
          <w:sz w:val="28"/>
          <w:szCs w:val="28"/>
          <w:rtl w:val="true"/>
          <w:lang w:bidi="fa-IR"/>
        </w:rPr>
        <w:t>مرحوم مامقانی مبتنی بر همین پرسش به اشکالی پرداخته‌اند؛ به نظر ایشان اگر ما بتوانیم اثبات کنیم که در عراق و در میان اعراب در زمان اهل‌بیت نوحه و مراثی اهل بیت را به صورت غنائی می‌خواندند، می‌توان امر امام به خواندن مرثیه در این روایت را حمل بر غناء نمود؛ در حالی که این ادعا را نمی‌توان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نمی‌توان ادّعا کرد که در میان نواهای مرسوم برای مرثیه‌خوانی اهل‌بیت شکل غنائی وجود داشته باشد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به نظر ما، این اشکال ایشان صحیح و کلام ایشان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حرمت غناء دلیل لبّی است؛ یعنی فاقد لسان است و در این نوع ادلّه باید به قدر متیقّن أخذ نمود؛ و قدر متیقّن از اجماع، غناء در غیر مراثی اهل‌بیت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شاید جهت اینکه اجماع، غناء در مراثی را در برنمی‌گیرد، به این دلیل است که اساساً مراثی اهل‌بیت نسبتی با غناء نداشته و تخصّصاً از موضوع غناء خارج است؛ زیرا غناء به سبُکیِ و خفّتی اطلاق می‌شد که از فرط سرور حاصل شود؛ و این با مراثی نسبتی ندارد</w:t>
      </w:r>
      <w:r>
        <w:rPr>
          <w:rFonts w:eastAsia="IRNazanin" w:cs="IRNazanin"/>
          <w:color w:val="111111"/>
          <w:sz w:val="28"/>
          <w:szCs w:val="28"/>
          <w:rtl w:val="true"/>
          <w:lang w:bidi="fa-IR"/>
        </w:rPr>
        <w:t>.</w:t>
      </w:r>
      <w:bookmarkStart w:id="127" w:name="pg4642_54036"/>
    </w:p>
    <w:p>
      <w:pPr>
        <w:pStyle w:val="BookText"/>
        <w:rPr/>
      </w:pPr>
      <w:bookmarkEnd w:id="127"/>
      <w:r>
        <w:rPr>
          <w:rFonts w:ascii="IRNazanin" w:hAnsi="IRNazanin" w:eastAsia="IRNazanin"/>
          <w:color w:val="111111"/>
          <w:sz w:val="28"/>
          <w:sz w:val="28"/>
          <w:szCs w:val="28"/>
          <w:rtl w:val="true"/>
          <w:lang w:bidi="fa-IR"/>
        </w:rPr>
        <w:t>آیت‌الله سبحانی در مقام اشکال به این دلیل، به اطلاقات موجود در تحریم غناء استناد می‌جویند؛ به نظر ایشان ما در جایی به قدر متیقّن از اجماع اخذ می‌کنیم که چاره‌ای از اجماع نداشته باشیم؛ امّا ما در این بحث تنها دلیلی که داشتیم اجماع نبود تا به آن محصور شویم؛ به مطلقات أخذ می‌کنیم که غنای در مراثی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قائل باشیم اصلاً بر مراثی اهل‌بیت غناء صدق نمی‌کند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به نظر ما، این اشکال صحیح و کلام ایشان در نهایت متانت است</w:t>
      </w:r>
      <w:r>
        <w:rPr>
          <w:rFonts w:eastAsia="IRNazanin" w:cs="IRNazanin"/>
          <w:color w:val="111111"/>
          <w:sz w:val="28"/>
          <w:szCs w:val="28"/>
          <w:rtl w:val="true"/>
          <w:lang w:bidi="fa-IR"/>
        </w:rPr>
        <w:t>.</w:t>
      </w:r>
    </w:p>
    <w:p>
      <w:pPr>
        <w:pStyle w:val="Heading2"/>
        <w:numPr>
          <w:ilvl w:val="1"/>
          <w:numId w:val="1"/>
        </w:numPr>
        <w:rPr/>
      </w:pPr>
      <w:bookmarkStart w:id="128" w:name="__RefHeading___Toc296188_2035185390"/>
      <w:bookmarkStart w:id="129" w:name="_Toc43"/>
      <w:bookmarkEnd w:id="128"/>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96/10/23</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استثناء غناء در مراثی اهل‌بیت از حرمت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در این رابطه از سوی مدّعیان آن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برخی مانند مرحوم محقّق اردبیلی در مجمع ‌الفائده آنجا که شکّ در حرمت غناء در مراثی کنیم را مشمول اصل اباحه دانسته و به همین جهت در مراثی اهل بیت اگر خصوصیات غناء محقّق شود، نمی‌توان به جهت شکّ در حرمت، قائل به حرمت شد، بلکه باید اصل اباحه را جاری کنیم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به نظر ما، این اصل در این موضوع که ادلّه محرز برای اثبات حکم آن در دسترس است،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دلیل وجود داشته باشد، مجالی برای تمسّک به اصل باقی نمی‌ماند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بنا بر نظر این دسته از فقهاء،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ادلّه حرمت غناء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الف و لام است، افاده عموم نمی‌کند؛ بنابراین وقتی به غنای در مراثی می‌رسیم در شمول ادلّه نسبت بدان شک می‌کنیم و دیگر عام در این مصداق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عامّ از حجّیت نوبت به اصل در مسأله می‌رسد که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هم درست نیست؛ چرا که ما غناء را به جهت لهوی بودن و قول زور بودن حرام می‌دانیم؛ و این عنوان عامّ بوده و همه مصادیق غناء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این مصداق را هم شامل شده و جایی برای تمسّک به اصل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بسا مراد محقّق اردبیلی از اجرای اصل، جریان اصل نسبت به مازاد از قدرمتیقّن ادلّه حرمت غناء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در روایات به یک نتیجه رسیدیم؛ قدرمتیقّنی در روایات این باب تحریم می‌شد، شدّت سروری که به زوال عقل و یا خروج از حالت طبیعی منجرّ شود؛ و مازاد از این قدرمتیقّن مجرای اصل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غنای در مراثی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موضوع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مراثی موجب حزن می‌شوند و سروری نمی‌آفریند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غنای در مراثی اهل‌بیت شبهه مصداقیه نسبت به عموم غناء می‌شود؛ یعنی صدق غنای محرّم بر آن مورد تردید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مجال برای تمسّک به اصل جواز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نیز جای تأمّل دارد چرا که مرحوم اردبیلی صدق غناء در مراثی را پذیرفته و حال در صدد استثناء مراثی است بنابراین شک در مصداق ندارد که بخواهد اصل را جاری کند بلکه شک در حکم حرمت است که با وجود ادلّه مطلقه در حرمت نمی‌تواند اصل جواز را جاری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جانب مرحوم نراقی اقامه شده است</w:t>
      </w:r>
      <w:r>
        <w:rPr>
          <w:rStyle w:val="FootnoteAnchor"/>
          <w:rtl w:val="true"/>
        </w:rPr>
        <w:footnoteReference w:id="5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غنای در مراثی اهل‌بیت از آن‌جهت که به بکاء و اشک بر مصائب ایشان کمک می‌کند و مطلوبی را در نظر شارع محقّق می‌کند، می‌توان قائل به جواز این مصداق از غناء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استدلال به نظر ما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هدف و مقصود مطلوبی در نگاه شارع با غناء محقّق شود، سبب در جواز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مطلوب شارع را باید با راهی محقّق کرد که او می‌پسندد و جائز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غناء در این مورد با توجّه به ادلّه جائز باشد، در اینکه آن را در راستای رونق‌بخشی به مراثی اهل‌بیت به خدمت بگیریم، جائز است؛ اما اگر غناء حرام باشد، نمی‌تواند مایه‌ی تحقّق مطلوب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خوب، بدی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در پاسخ به منافقین که قائل بودند هدف وسیله را توجیه می‌کند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هدف خوب را از راه خوب تحصیل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هیچ‌گاه در سیره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منشی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می‌توانست به طریقت شیخین ملتزم شود و قبل از عثمان به خلافت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انجام ندادند و برای یک هدف بزرگ به هر وسیله و سیاستی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توضیح برای تجویز غناء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حکم غناء را در ادلّه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بر تأیید جواز</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قائل هستند که چون گریه بر مصیبت اهل‌بیت ثوابی عظیم دارد و غناء به حصول این اشک کمک می‌کند، مؤیّدی بر جواز آن است</w:t>
      </w:r>
      <w:r>
        <w:rPr>
          <w:rFonts w:eastAsia="IRNazanin" w:cs="IRNazanin"/>
          <w:color w:val="111111"/>
          <w:sz w:val="28"/>
          <w:szCs w:val="28"/>
          <w:rtl w:val="true"/>
          <w:lang w:bidi="fa-IR"/>
        </w:rPr>
        <w:t>.</w:t>
      </w:r>
      <w:r>
        <w:rPr>
          <w:rStyle w:val="FootnoteAnchor"/>
          <w:rtl w:val="true"/>
        </w:rPr>
        <w:footnoteReference w:id="57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مقام پاسخ به این وجه تأیید، می‌فرمایند این‌که غناء بر اشک بر مصیبت اهل‌بیت کمک کند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مراد از غناء صوتی لهوی باشد که شادی شدیدی در شنونده برمی‌انگیزد، چگونه می‌تواند کمک بر حزن شخص بر مصائب اهل‌بیت باشد</w:t>
      </w:r>
      <w:r>
        <w:rPr>
          <w:rFonts w:eastAsia="IRNazanin" w:cs="IRNazanin"/>
          <w:color w:val="111111"/>
          <w:sz w:val="28"/>
          <w:szCs w:val="28"/>
          <w:rtl w:val="true"/>
          <w:lang w:bidi="fa-IR"/>
        </w:rPr>
        <w:t>.</w:t>
      </w:r>
      <w:r>
        <w:rPr>
          <w:rStyle w:val="FootnoteAnchor"/>
          <w:rtl w:val="true"/>
        </w:rPr>
        <w:footnoteReference w:id="578"/>
      </w:r>
      <w:bookmarkStart w:id="130" w:name="pg4642_54039"/>
    </w:p>
    <w:p>
      <w:pPr>
        <w:pStyle w:val="BookText"/>
        <w:rPr/>
      </w:pPr>
      <w:bookmarkEnd w:id="130"/>
      <w:r>
        <w:rPr>
          <w:rFonts w:ascii="IRNazanin" w:hAnsi="IRNazanin" w:eastAsia="IRNazanin"/>
          <w:color w:val="111111"/>
          <w:sz w:val="28"/>
          <w:sz w:val="28"/>
          <w:szCs w:val="28"/>
          <w:rtl w:val="true"/>
          <w:lang w:bidi="fa-IR"/>
        </w:rPr>
        <w:t>مرحوم شیخ انصاری در جایی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استحباب توان مقاومت در برابر ادلّه حرمت ندارد؛ یعنی استحباب اشک بر مصیبت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سبب تخصیص عمومات حرمت غناء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استحباب، اشک بر مصیبت را اگر به تنهایی مطمح نظر باشد جائز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دلیلی همین موضوع را متعیّن در حرمت و لزوم ترک آن نمود، باید از ادلّه استحباب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نیز، ما اگر مرثیه‌ اهل‌بیت را به تنهایی بنگریم، گوش دادن و ندادن به آن جائز و گوش دادن و اشک بر آن راجح است؛ اما اگر کیفیّت غنائی بر آن عارض شد، دیگر ادلّه استحباب شامل این مصداق نمی‌شود و ادلّه حرمت ترک آن را واجب می‌کنند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به نظر ما، کلام شیخ انصاری در کمال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گفته شود در رابطه با مرثیه‌ی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سختگیری کرده و مردم را در عزاداری محدود نمود؛ زیرا در نظر مردم مرثیه اباعبدالله به هر سنّتی که در میان ایشان رایج است، از تمام ادلّه حرمت و ترک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در مورد عزای امام حسین آن‌چه که در جاهای دیگر جایز نیست،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بروجردی در یکی از سال‌ها پیش از محرّم هیئات را ملزم کردند که این عَلم‌ها را بیرون نیاورند و برخی محدودیت‌ها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هیئات گفتند تمام سال ما مقلّد شما هستیم این یک ده روز را خیر</w:t>
      </w:r>
      <w:r>
        <w:rPr>
          <w:rFonts w:eastAsia="IRNazanin" w:cs="IRNazanin"/>
          <w:color w:val="111111"/>
          <w:sz w:val="28"/>
          <w:szCs w:val="28"/>
          <w:rtl w:val="true"/>
          <w:lang w:bidi="fa-IR"/>
        </w:rPr>
        <w:t>.</w:t>
      </w:r>
    </w:p>
    <w:p>
      <w:pPr>
        <w:pStyle w:val="Heading2"/>
        <w:numPr>
          <w:ilvl w:val="1"/>
          <w:numId w:val="1"/>
        </w:numPr>
        <w:rPr/>
      </w:pPr>
      <w:bookmarkStart w:id="131" w:name="__RefHeading___Toc296190_2035185390"/>
      <w:bookmarkStart w:id="132" w:name="_Toc44"/>
      <w:bookmarkEnd w:id="131"/>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96/10/24</w:t>
      </w:r>
      <w:bookmarkEnd w:id="13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استثنای غنای در مراثی اهل بیت از حرمت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ادلّه‌ای که از سوی مدّعیان استثناء بر این نکته اقامه شده بود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گذشته برخی وجوه را در تأیید این استثناء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 در مراثی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مسلمین و شیعیان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بزرگان از اصحاب چنین اموری معروف بوده است و تا امروز پایدار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به نظر ما، شاید به این جهت رایج است که اساساً از سوی عرف غنائی در مراثی اهل‌بیت تشخیص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غناء قید سرور، مطرح است و این مراثی حزن و اندوه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 مبنای کسانی که قید اطراب را در تحقّق غناء دخیل می‌شمارند اشکال مهمی است؛ چرا که اطراب همان شدّت سرور حاصل از 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 اشکال متوجّه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حیث صغروی مشکل دارد؛ چرا که نمی‌توان ملتزم به شیوع و رواج غنای در مراثی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در میان علماء و متدیّنین رایج و متداول بوده و هست آمیخته به غناء نبوده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 شیوع یک امر در میان مؤمنین به تنهائی حجّت نیست، بلکه تنها در فرض رسوخ و ثبات این رفتار به مثابه‌ی یک سیره در میان شیعیان و به نحوی که مثل یک سیره در میان متشرّعه رواج یابد و در ثانی در حضور معصوم اتّفاق بیفتد و معصوم هم ردع و نهی از آن نکند می‌توان قائل به حجّیت آن از باب حجّیت سیره متشرّعه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چنین مسأله‌ای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می‌فرمایند جواز نوحه به سبک غنائی بر مردگان و جواز أخذ اجرت بر آن، مؤیّد جواز غنای در مراثی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به نظر ما، اگر مراد ایشان از ذکر این وجه برای تأیید جواز غنای در مراثی این است که مراثی را تحت عنوان نوحه‌خوانی برای مردگان قرار دهد،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انتقال موضوع مراد ایشان نباشد، نمی‌توان از این جواز نوحه، وجه تأییدی برای جواز غنای در مراثی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دو روایت هم در این زمینه استناد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w:t>
      </w:r>
      <w:r>
        <w:rPr>
          <w:rStyle w:val="FootnoteAnchor"/>
          <w:rtl w:val="true"/>
        </w:rPr>
        <w:footnoteReference w:id="582"/>
      </w:r>
      <w:r>
        <w:rPr>
          <w:rFonts w:ascii="Amiri" w:hAnsi="Amiri" w:eastAsia="Amiri" w:cs="Amiri"/>
          <w:color w:val="111111"/>
          <w:sz w:val="28"/>
          <w:sz w:val="28"/>
          <w:szCs w:val="28"/>
          <w:rtl w:val="true"/>
          <w:lang w:bidi="ar-SA"/>
        </w:rPr>
        <w:t xml:space="preserve"> عَنِ النَّضْرِ</w:t>
      </w:r>
      <w:r>
        <w:rPr>
          <w:rStyle w:val="FootnoteAnchor"/>
          <w:rtl w:val="true"/>
        </w:rPr>
        <w:footnoteReference w:id="583"/>
      </w:r>
      <w:r>
        <w:rPr>
          <w:rFonts w:ascii="Amiri" w:hAnsi="Amiri" w:eastAsia="Amiri" w:cs="Amiri"/>
          <w:color w:val="111111"/>
          <w:sz w:val="28"/>
          <w:sz w:val="28"/>
          <w:szCs w:val="28"/>
          <w:rtl w:val="true"/>
          <w:lang w:bidi="ar-SA"/>
        </w:rPr>
        <w:t xml:space="preserve"> عَنِ الْحَلَبِيِّ</w:t>
      </w:r>
      <w:r>
        <w:rPr>
          <w:rStyle w:val="FootnoteAnchor"/>
          <w:rtl w:val="true"/>
        </w:rPr>
        <w:footnoteReference w:id="584"/>
      </w:r>
      <w:r>
        <w:rPr>
          <w:rFonts w:ascii="Amiri" w:hAnsi="Amiri" w:eastAsia="Amiri" w:cs="Amiri"/>
          <w:color w:val="111111"/>
          <w:sz w:val="28"/>
          <w:sz w:val="28"/>
          <w:szCs w:val="28"/>
          <w:rtl w:val="true"/>
          <w:lang w:bidi="ar-SA"/>
        </w:rPr>
        <w:t xml:space="preserve"> عَنْ أَيُّوبَ بْنِ الْحُرِّ</w:t>
      </w:r>
      <w:r>
        <w:rPr>
          <w:rStyle w:val="FootnoteAnchor"/>
          <w:rtl w:val="true"/>
        </w:rPr>
        <w:footnoteReference w:id="585"/>
      </w:r>
      <w:r>
        <w:rPr>
          <w:rFonts w:ascii="Amiri" w:hAnsi="Amiri" w:eastAsia="Amiri" w:cs="Amiri"/>
          <w:color w:val="111111"/>
          <w:sz w:val="28"/>
          <w:sz w:val="28"/>
          <w:szCs w:val="28"/>
          <w:rtl w:val="true"/>
          <w:lang w:bidi="ar-SA"/>
        </w:rPr>
        <w:t xml:space="preserve"> عَنْ أَبِي بَصِيرٍ</w:t>
      </w:r>
      <w:r>
        <w:rPr>
          <w:rStyle w:val="FootnoteAnchor"/>
          <w:rtl w:val="true"/>
        </w:rPr>
        <w:footnoteReference w:id="586"/>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این روایت که سند خوبی هم دارد، دلالت بر جواز نوحه بر اموات و جواز أخذ اجرت بر آن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Style w:val="FootnoteAnchor"/>
          <w:rtl w:val="true"/>
        </w:rPr>
        <w:footnoteReference w:id="588"/>
      </w:r>
      <w:r>
        <w:rPr>
          <w:rFonts w:ascii="Amiri" w:hAnsi="Amiri" w:eastAsia="Amiri" w:cs="Amiri"/>
          <w:color w:val="111111"/>
          <w:sz w:val="28"/>
          <w:sz w:val="28"/>
          <w:szCs w:val="28"/>
          <w:rtl w:val="true"/>
          <w:lang w:bidi="ar-SA"/>
        </w:rPr>
        <w:t xml:space="preserve"> عَنْ أَبِيهِ</w:t>
      </w:r>
      <w:r>
        <w:rPr>
          <w:rStyle w:val="FootnoteAnchor"/>
          <w:rtl w:val="true"/>
        </w:rPr>
        <w:footnoteReference w:id="589"/>
      </w:r>
      <w:r>
        <w:rPr>
          <w:rFonts w:ascii="Amiri" w:hAnsi="Amiri" w:eastAsia="Amiri" w:cs="Amiri"/>
          <w:color w:val="111111"/>
          <w:sz w:val="28"/>
          <w:sz w:val="28"/>
          <w:szCs w:val="28"/>
          <w:rtl w:val="true"/>
          <w:lang w:bidi="ar-SA"/>
        </w:rPr>
        <w:t xml:space="preserve"> وَ عَنْ مُحَمَّدِ بْنِ يَحْيَى</w:t>
      </w:r>
      <w:r>
        <w:rPr>
          <w:rStyle w:val="FootnoteAnchor"/>
          <w:rtl w:val="true"/>
        </w:rPr>
        <w:footnoteReference w:id="590"/>
      </w:r>
      <w:r>
        <w:rPr>
          <w:rFonts w:ascii="Amiri" w:hAnsi="Amiri" w:eastAsia="Amiri" w:cs="Amiri"/>
          <w:color w:val="111111"/>
          <w:sz w:val="28"/>
          <w:sz w:val="28"/>
          <w:szCs w:val="28"/>
          <w:rtl w:val="true"/>
          <w:lang w:bidi="ar-SA"/>
        </w:rPr>
        <w:t xml:space="preserve"> عَنْ أَحْمَدَ بْنِ مُحَمَّدٍ</w:t>
      </w:r>
      <w:r>
        <w:rPr>
          <w:rStyle w:val="FootnoteAnchor"/>
          <w:rtl w:val="true"/>
        </w:rPr>
        <w:footnoteReference w:id="591"/>
      </w:r>
      <w:r>
        <w:rPr>
          <w:rFonts w:ascii="Amiri" w:hAnsi="Amiri" w:eastAsia="Amiri" w:cs="Amiri"/>
          <w:color w:val="111111"/>
          <w:sz w:val="28"/>
          <w:sz w:val="28"/>
          <w:szCs w:val="28"/>
          <w:rtl w:val="true"/>
          <w:lang w:bidi="ar-SA"/>
        </w:rPr>
        <w:t xml:space="preserve"> عَنْ مُحَمَّدِ بْنِ إِسْمَاعِيلَ</w:t>
      </w:r>
      <w:r>
        <w:rPr>
          <w:rStyle w:val="FootnoteAnchor"/>
          <w:rtl w:val="true"/>
        </w:rPr>
        <w:footnoteReference w:id="592"/>
      </w:r>
      <w:r>
        <w:rPr>
          <w:rFonts w:ascii="Amiri" w:hAnsi="Amiri" w:eastAsia="Amiri" w:cs="Amiri"/>
          <w:color w:val="111111"/>
          <w:sz w:val="28"/>
          <w:sz w:val="28"/>
          <w:szCs w:val="28"/>
          <w:rtl w:val="true"/>
          <w:lang w:bidi="ar-SA"/>
        </w:rPr>
        <w:t xml:space="preserve"> جَمِيعاً عَنْ حَنَانِ بْنِ سَدِيرٍ</w:t>
      </w:r>
      <w:r>
        <w:rPr>
          <w:rStyle w:val="FootnoteAnchor"/>
          <w:rtl w:val="true"/>
        </w:rPr>
        <w:footnoteReference w:id="59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امْرَأَةٌ مَعَنَا فِي‌ الْحَيِّ‌ وَ لَهَا جَارِيَةٌ نَائِحَةٌ فَجَاءَتْ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أَنْتَ تَعْلَمُ أَنَّ مَعِيشَتِي مِنَ اللَّهِ ثُمَّ مِنْ هَذِهِ الْجَارِيَةِ فَأُحِبُّ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فَإِنْ کانَ حَلَالاً وَ إِلَّا بِعْتُهَا وَ أَکلْتُ مِنْ ثَمَنِهَا حَتَّى يَأْتِيَ اللَّهُ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أَبِي وَ اللَّهِ إِنِّي لَأُعْظِمُ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عَلَيْهِ أَخْبَرْتُهُ أَنَا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تُشَارِطُ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لَا تُشَارِطْ وَ تَقْبَلُ مَا أُعْطِيَتْ</w:t>
      </w:r>
      <w:r>
        <w:rPr>
          <w:rFonts w:eastAsia="Amiri" w:cs="Amiri" w:ascii="Amiri" w:hAnsi="Amiri"/>
          <w:color w:val="111111"/>
          <w:sz w:val="28"/>
          <w:szCs w:val="28"/>
          <w:rtl w:val="true"/>
          <w:lang w:bidi="ar-SA"/>
        </w:rPr>
        <w:t>».</w:t>
      </w:r>
      <w:r>
        <w:rPr>
          <w:rStyle w:val="FootnoteAnchor"/>
          <w:rtl w:val="true"/>
        </w:rPr>
        <w:footnoteReference w:id="594"/>
      </w:r>
      <w:bookmarkStart w:id="133" w:name="pg4642_54042"/>
    </w:p>
    <w:p>
      <w:pPr>
        <w:pStyle w:val="BookText"/>
        <w:rPr/>
      </w:pPr>
      <w:bookmarkEnd w:id="133"/>
      <w:r>
        <w:rPr>
          <w:rFonts w:ascii="IRNazanin" w:hAnsi="IRNazanin" w:eastAsia="IRNazanin"/>
          <w:color w:val="111111"/>
          <w:sz w:val="28"/>
          <w:sz w:val="28"/>
          <w:szCs w:val="28"/>
          <w:rtl w:val="true"/>
          <w:lang w:bidi="fa-IR"/>
        </w:rPr>
        <w:t>در این روایت ابو بصیر در همسایگی زنی زندگی می‌کند که گذران معیشت او از نوحه‌خوانی یک جاریه بر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می‌خواهد تا حکم این پول را از امام صادق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این سؤال را در شأن امام معصوم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راوی خود از امام حکم این کسب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در صورتی که بر میزان پول شرط نکند،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از این دو روایت استظهار می‌کنند که اصل نوحه خواندن یک زن حتّی در فرض غنائی بودن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اینکه مقارن با محرّمات دیگری نشود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مرحوم امام در مقام اشکال به این استدلال می‌فرمایند که اصلاً در این دو روایت بحثی از غناء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نوحه‌خوانی زن برای زنان است که جائز است؛ و صحبت از غناء نیست</w:t>
      </w:r>
      <w:r>
        <w:rPr>
          <w:rFonts w:eastAsia="IRNazanin" w:cs="IRNazanin"/>
          <w:color w:val="111111"/>
          <w:sz w:val="28"/>
          <w:szCs w:val="28"/>
          <w:rtl w:val="true"/>
          <w:lang w:bidi="fa-IR"/>
        </w:rPr>
        <w:t>.</w:t>
      </w:r>
    </w:p>
    <w:p>
      <w:pPr>
        <w:pStyle w:val="Heading2"/>
        <w:numPr>
          <w:ilvl w:val="1"/>
          <w:numId w:val="1"/>
        </w:numPr>
        <w:rPr/>
      </w:pPr>
      <w:bookmarkStart w:id="134" w:name="__RefHeading___Toc296192_2035185390"/>
      <w:bookmarkStart w:id="135" w:name="_Toc45"/>
      <w:bookmarkEnd w:id="134"/>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96/10/25</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مواردی که از حرمت غناء استثناء شده است، به مرثیه‌خوانی بر اهل بیت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مؤیّداتی که بر استثنای غنای در مراثی اقامه شده بود، جواز نوحه‌خوانی بر اموات در روایات ما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در مقام اشکال به این ادّعا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بر استثنای نوحه‌خوانی از حرمت 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بر جواز نوحه می‌کند چون نوحه ربطی به غناء ندارد؛ و حتّی اگر این نوحه آمیخته به غناء شود،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 نوحه‌خوانی دو موضوع متفاوت هستند که یکی را روایات حرام کرده و دیگری را جائز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این تفکیک میان غناء و نوحه‌خوانی روایاتی است که در آن میان غناء و نوحه‌خوانی تفکیک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إقْرَءُوا الْقُرْآنَ بِأَلْحَانِ الْعَرَبِ‌ وَ أَصْوَاتِهَا وَ إِيَّاکمْ وَ لُحُونَ أَهْلِ الْفِسْقِ وَ أَهْلِ الْکبَائِرِ فَإِنَّهُ 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همان‌طور که می‌بینید در این روایت حضرت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بودند؛ بنابراین می‌توان قائل شد که این دو موضوع حقائق مختلفی بودند؛ و اگر در روایتی نوح جائز شمرده شده است و در روایتی غناء تحریم گردیده است، نمی‌توان حکم یکی را به دیگری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قائل به یکی بودن این دو و تعارض روایات تحریم غناء و تجویز نوحه باشیم، روایات تحریم غناء مقدّم هستند؛ چون در موافقت با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مشهور در تحریم غناء مطلق بوده و تنها غنای در عروسی و حداء‌خوانی را استثناء کرده‌اند؛ بنابراین سبب ترجیح روایات تحریم غناء در فرض تعارض با روایات تجویز نوحه می‌شوند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به کلام شخص محقّق اردبیلی نگاه داشته باشیم، اگر ایشان قید اطراب را در تعریف غناء أخذ کنند؛ بنابراین نباید اساساً مراثی و نوحه‌خوانی را داخل در مصادیق غناء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مرثیه و نوحه را در غایت حس و زیبایی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هم که کسی در رابطه با نوحه‌خوانی و مرثیه‌خوانی شک کند، باز مجرای اصل اباحه و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عرض کردیم مازاد بر قدر متیقّن از حرمت غناء مشمول اصل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ظاهر برخی تعابیر ایشان برمی‌آید که قید طرب را دخیل در معنا نمی‌داند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مؤیّد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مسلمین از زمان اهل بیت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را در این رابطه مورد استشهاد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598"/>
      </w:r>
      <w:r>
        <w:rPr>
          <w:rFonts w:ascii="Amiri" w:hAnsi="Amiri" w:eastAsia="Amiri" w:cs="Amiri"/>
          <w:color w:val="111111"/>
          <w:sz w:val="28"/>
          <w:sz w:val="28"/>
          <w:szCs w:val="28"/>
          <w:rtl w:val="true"/>
          <w:lang w:bidi="ar-SA"/>
        </w:rPr>
        <w:t xml:space="preserve"> عَنْ عِدَّةٍ مِنْ أَصْحَابِنَا عَنْ أَحْمَدَ بْنِ مُحَمَّدٍ</w:t>
      </w:r>
      <w:r>
        <w:rPr>
          <w:rStyle w:val="FootnoteAnchor"/>
          <w:rtl w:val="true"/>
        </w:rPr>
        <w:footnoteReference w:id="599"/>
      </w:r>
      <w:r>
        <w:rPr>
          <w:rFonts w:ascii="Amiri" w:hAnsi="Amiri" w:eastAsia="Amiri" w:cs="Amiri"/>
          <w:color w:val="111111"/>
          <w:sz w:val="28"/>
          <w:sz w:val="28"/>
          <w:szCs w:val="28"/>
          <w:rtl w:val="true"/>
          <w:lang w:bidi="ar-SA"/>
        </w:rPr>
        <w:t xml:space="preserve"> عَنْ عَلِيِّ بْنِ الْحَکمِ</w:t>
      </w:r>
      <w:r>
        <w:rPr>
          <w:rStyle w:val="FootnoteAnchor"/>
          <w:rtl w:val="true"/>
        </w:rPr>
        <w:footnoteReference w:id="600"/>
      </w:r>
      <w:r>
        <w:rPr>
          <w:rFonts w:ascii="Amiri" w:hAnsi="Amiri" w:eastAsia="Amiri" w:cs="Amiri"/>
          <w:color w:val="111111"/>
          <w:sz w:val="28"/>
          <w:sz w:val="28"/>
          <w:szCs w:val="28"/>
          <w:rtl w:val="true"/>
          <w:lang w:bidi="ar-SA"/>
        </w:rPr>
        <w:t xml:space="preserve"> عَنْ يُونُسَ بْنِ يَعْقُوبَ</w:t>
      </w:r>
      <w:r>
        <w:rPr>
          <w:rStyle w:val="FootnoteAnchor"/>
          <w:rtl w:val="true"/>
        </w:rPr>
        <w:footnoteReference w:id="60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أَبِي يَا جَعْفَرُ أَوْقِفْ لِي مِنْ مَالِي کذَا وَ کذَا لِنَوَادِبَ تَنْدُبُنِي عَشْرَ سِنِينَ بِمِنًى أَيَّامَ مِنىً</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اگر به مفاد این روایت دقّت شود، می‌بینید که حضرت دستور می‌دهند تا از اموالشان برای مرثیه‌خوانی در عزای ایشان سهمی را 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غناء در این موارد بود، حضرت این‌گونه امر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عَلِيِّ بْنِ الْحَکمِ عَنْ مَالِک بْنِ عَطِيَّةَ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الْوَلِيدُ بْنُ الْمُغِيرَةِ فَقَالَتْ أُمُّ سَلَمَةَ لِلنَّبِيِّ إِنَّ آلَ الْمُغِيرَةِ قَدْ أَقَامُوا مَنَاحَةً فَأَذْهَبُ إِلَيْهِمْ فَأَذِنَ لَهَا فَلَبِسَتْ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فَنَدَبَتِ ابْنَ عَمِّهَا بَيْنَ يَدَيْ رَسُولِ اللَّهِ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عَابَ رَسُولُ اللَّهِ ذَلِک وَ لَا قَالَ شَيْئاً</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حضرت رسول در ازای ندبه‌ای که در برابرشان خوانده می‌شود، هیچ ایرادی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این دو روایت را به عنوان شاهد بر بحث آورده‌اند</w:t>
      </w:r>
      <w:r>
        <w:rPr>
          <w:rFonts w:eastAsia="IRNazanin" w:cs="IRNazanin"/>
          <w:color w:val="111111"/>
          <w:sz w:val="28"/>
          <w:szCs w:val="28"/>
          <w:rtl w:val="true"/>
          <w:lang w:bidi="fa-IR"/>
        </w:rPr>
        <w:t>.</w:t>
      </w:r>
      <w:r>
        <w:rPr>
          <w:rStyle w:val="FootnoteAnchor"/>
          <w:rtl w:val="true"/>
        </w:rPr>
        <w:footnoteReference w:id="604"/>
      </w:r>
      <w:bookmarkStart w:id="136" w:name="pg4642_54045"/>
    </w:p>
    <w:p>
      <w:pPr>
        <w:pStyle w:val="BookText"/>
        <w:rPr/>
      </w:pPr>
      <w:bookmarkEnd w:id="136"/>
      <w:r>
        <w:rPr>
          <w:rFonts w:ascii="IRNazanin" w:hAnsi="IRNazanin" w:eastAsia="IRNazanin"/>
          <w:color w:val="111111"/>
          <w:sz w:val="28"/>
          <w:sz w:val="28"/>
          <w:szCs w:val="28"/>
          <w:rtl w:val="true"/>
          <w:lang w:bidi="fa-IR"/>
        </w:rPr>
        <w:t>ولی به نظر ما، این دو روایت نهایتاً بر جواز ندبه و مرثیه دلالت دارند؛ و ارتباطی میان این دو عنوان با غناء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از جواز این دو به جواز غناء رسید؛ یعنی در حقیقت خود این ندبه و مرثیه اگر مقترن با غناء باشند، قطعاً حرام خواهند بود؛ و نمی‌توان تصوّر نمود که در مجلسی غناء باشد و رسول خدا هم در آن مجلس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همین اشکال را به این دو روایت صاحب غایة‌الآمال کرده است</w:t>
      </w:r>
      <w:r>
        <w:rPr>
          <w:rFonts w:eastAsia="IRNazanin" w:cs="IRNazanin"/>
          <w:color w:val="111111"/>
          <w:sz w:val="28"/>
          <w:szCs w:val="28"/>
          <w:rtl w:val="true"/>
          <w:lang w:bidi="fa-IR"/>
        </w:rPr>
        <w:t>.</w:t>
      </w:r>
      <w:r>
        <w:rPr>
          <w:rStyle w:val="FootnoteAnchor"/>
          <w:rtl w:val="true"/>
        </w:rPr>
        <w:footnoteReference w:id="605"/>
      </w:r>
    </w:p>
    <w:p>
      <w:pPr>
        <w:pStyle w:val="Heading2"/>
        <w:numPr>
          <w:ilvl w:val="1"/>
          <w:numId w:val="1"/>
        </w:numPr>
        <w:rPr/>
      </w:pPr>
      <w:bookmarkStart w:id="137" w:name="__RefHeading___Toc296194_2035185390"/>
      <w:bookmarkStart w:id="138" w:name="_Toc46"/>
      <w:bookmarkEnd w:id="137"/>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96/10/26</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استثنا شده از حرمت غناء، غنای در مراثی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ممکن است جواز مطرح در مراثی اهل‌بیت از این جهت باشد که اساساً غنائی اتّفاق نمی‌افتد؛ یعنی مراثی اهل‌بیت تخصّصاً از مصادیق غناء خارج است و نه تخصیص از مصادیق آن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اطراب را اگر شدّت سرور باشد، مراثی اهل‌بیت تخصّصاً از بحث بیرون خواهد بود؛ امّا مرحوم امام خمینی می‌فرمودند که طرب آن خفّت و سبکی حاصل از سرور و یا حزن است؛ بنابراین نمی‌توان غناء را در مراثی ممتنع تصوّر کرد؛ زیرا گاهی یک صوت محزون مطرب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برای اهل‌بیت چیزی خوانده شود و محتوای غناء حقّ باشد اثری در موضوع و حکم 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به نظر مرحوم امام محتوا دخالتی در تحقّق غنای محرّم ندارد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به نظر ما، اوّلاً به صوتی که گریه‌آور باشد، صوت مطرب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محتوای غناء در خروج یک مصداق از اطراب و غناء به صورت جزء العلّه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 منافی با کلام مشهور در عدم تأثیر محتوا در غناء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مراد آن‌ها از عدم تأثیر محتوا این است که اگر جایی غناء صدق کرد، در صدق آن محتوی اثری ندارد؛ اما اگر جایی محتوای شعر آن‌قدر در نظر عرف جایگاه والایی داشته باشد که نتوان قائل به غناء بودن آن شد، صدق عنوان غناء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مشهور هم مخالفتی در تأثیر فی‌الجمله محتوی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خوئی</w:t>
      </w:r>
    </w:p>
    <w:p>
      <w:pPr>
        <w:pStyle w:val="BookText"/>
        <w:rPr/>
      </w:pPr>
      <w:r>
        <w:rPr>
          <w:rFonts w:ascii="IRNazanin" w:hAnsi="IRNazanin" w:eastAsia="IRNazanin"/>
          <w:color w:val="111111"/>
          <w:sz w:val="28"/>
          <w:sz w:val="28"/>
          <w:szCs w:val="28"/>
          <w:rtl w:val="true"/>
          <w:lang w:bidi="fa-IR"/>
        </w:rPr>
        <w:t>مرحوم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مصداقی از مرثیه‌خوانی اهل‌بیت در نگاه عرف غناء تشخیص داده شود، شکّی نیست که اطلاقات تحریم غناء شامل آن خواهند شد و حرام خواهد بود؛ و دلیلی هم بر استثنای آن از دایره حرمت نداریم؛ و صرف اینکه عزاداری و مرثیه‌خوانی بر اهل‌بیت در میان مسلمین و شهرهای آنان رایج است، دلیلی بر جواز غناء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ملازمه‌ای میان عزاداری اهل‌بیت و غناء نیست؛ و آنچه از روایات بر جواز این مرثیه‌خوانی و یا نوحه‌خوانی بر مردگان دلالت دارد تعارضی با روایات تحریم غناء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این دو دسته از ادلّه با هم تفاوت دارد</w:t>
      </w:r>
      <w:r>
        <w:rPr>
          <w:rFonts w:eastAsia="IRNazanin" w:cs="IRNazanin"/>
          <w:color w:val="111111"/>
          <w:sz w:val="28"/>
          <w:szCs w:val="28"/>
          <w:rtl w:val="true"/>
          <w:lang w:bidi="fa-IR"/>
        </w:rPr>
        <w:t>.</w:t>
      </w:r>
      <w:r>
        <w:rPr>
          <w:rStyle w:val="FootnoteAnchor"/>
          <w:rtl w:val="true"/>
        </w:rPr>
        <w:footnoteReference w:id="60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وقتی اطراب در مراثی اهل‌بیت محقّق نشود، دلیلی بر تحریم آن به واسطه ادلّه تحریم غناء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در صدق غناء بر این موارد شک می‌کنیم که مشمول اصل جواز و اباحه است</w:t>
      </w:r>
      <w:r>
        <w:rPr>
          <w:rFonts w:eastAsia="IRNazanin" w:cs="IRNazanin"/>
          <w:color w:val="111111"/>
          <w:sz w:val="28"/>
          <w:szCs w:val="28"/>
          <w:rtl w:val="true"/>
          <w:lang w:bidi="fa-IR"/>
        </w:rPr>
        <w:t>.</w:t>
      </w:r>
      <w:bookmarkStart w:id="139" w:name="pg4642_54047"/>
    </w:p>
    <w:p>
      <w:pPr>
        <w:pStyle w:val="Heading2"/>
        <w:numPr>
          <w:ilvl w:val="1"/>
          <w:numId w:val="1"/>
        </w:numPr>
        <w:rPr/>
      </w:pPr>
      <w:bookmarkStart w:id="140" w:name="__RefHeading___Toc296196_2035185390"/>
      <w:bookmarkStart w:id="141" w:name="_Toc47"/>
      <w:bookmarkEnd w:id="139"/>
      <w:bookmarkEnd w:id="140"/>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96/10/30</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رابطه با استثنای مراثی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استثنای مراثی از مصادیق غنای محرّم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 ادلّه‌ی آن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در مراثی استثناء نشده و به حکم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این رابطه قائل هستند که ما وقتی غناء را کیفیّتی در صدای شخص خواننده دانستیم، محتوای آنچه حقّ و چه باطل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آن صوت لهوی است که همراه با ترجیع باشد؛ و در این رابطه تفاوتی میان اشعار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موارد حرمت آکد است؛ چرا که در مقام طاعت به معصیت دست زده‌اند و مراثی اهل‌بیت را به واسطه غنائی خواندنش مورد وهن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شیخ اطلاقی است که ادلّه منع دارند؛ و دلیلی در روایات وجود نداشت تا مراثی را استثناء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اطراب را اعمّ از سرور و حزن می‌دانستند، به همین خاطر می‌توانند قائل به شمول ادلّه حرمت غناء نسبت به مراثی باشند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برخی در مقام اشکال به ایشان منکر وجود اطلاق در ادلّه غناء شدند</w:t>
      </w:r>
      <w:r>
        <w:rPr>
          <w:rStyle w:val="FootnoteAnchor"/>
          <w:rtl w:val="true"/>
        </w:rPr>
        <w:footnoteReference w:id="6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عرض کردیم، این اشکال از سوی کسانی ایراد می‌شود که قائل به حرمت غیری غناء بودند؛ بنابراین اشکال به مبنا بازگشت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مراثی به جهت خروج تخصّصی از موضوع غناء</w:t>
      </w:r>
    </w:p>
    <w:p>
      <w:pPr>
        <w:pStyle w:val="BookText"/>
        <w:rPr/>
      </w:pPr>
      <w:r>
        <w:rPr>
          <w:rFonts w:ascii="IRNazanin" w:hAnsi="IRNazanin" w:eastAsia="IRNazanin"/>
          <w:color w:val="111111"/>
          <w:sz w:val="28"/>
          <w:sz w:val="28"/>
          <w:szCs w:val="28"/>
          <w:rtl w:val="true"/>
          <w:lang w:bidi="fa-IR"/>
        </w:rPr>
        <w:t>مرحوم خوئی ذکر مراثی در زمره مستثنیات از حرمت غناء را بی‌وجه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غناء نیست</w:t>
      </w:r>
      <w:r>
        <w:rPr>
          <w:rStyle w:val="FootnoteAnchor"/>
          <w:rtl w:val="true"/>
        </w:rPr>
        <w:footnoteReference w:id="610"/>
      </w:r>
      <w:r>
        <w:rPr>
          <w:rFonts w:ascii="IRNazanin" w:hAnsi="IRNazanin" w:eastAsia="IRNazanin"/>
          <w:color w:val="111111"/>
          <w:sz w:val="28"/>
          <w:sz w:val="28"/>
          <w:szCs w:val="28"/>
          <w:rtl w:val="true"/>
          <w:lang w:bidi="fa-IR"/>
        </w:rPr>
        <w:t xml:space="preserve"> ؛ و به نظر ما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ملاک اطراب در این مجالس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اطراب شدّت سروری بود که مناسب با مجالس اهل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هم به همین قول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هم اشعاری که در مجالس حزن و نوحه‌خوانی بر اموات خوانده می‌شود مشمول ادلّه حرمت غناء نخواهد بود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مستثنای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p>
    <w:p>
      <w:pPr>
        <w:pStyle w:val="BookText"/>
        <w:rPr/>
      </w:pPr>
      <w:r>
        <w:rPr>
          <w:rFonts w:ascii="IRNazanin" w:hAnsi="IRNazanin" w:eastAsia="IRNazanin"/>
          <w:color w:val="111111"/>
          <w:sz w:val="28"/>
          <w:sz w:val="28"/>
          <w:szCs w:val="28"/>
          <w:rtl w:val="true"/>
          <w:lang w:bidi="fa-IR"/>
        </w:rPr>
        <w:t>در رابطه با این مورد هم ابتدا باید پرسید که آیا می‌توان بر مجالسی که این سرودها در آن خوانده می‌شود، مجلس فسق و لهو اطلاق نمود؟ اگر صدق این عنوان محرز شد باید قائل به شمول ادلّه حرمت نسبت به آن شد؛ هیچ وجهی هم برای استثناء وجود ندارد؛ اگر این مجالس مجالس فسق و لهو نباشند، در این صورت موضوعا با غناء متباین بوده و حلّیت آن از جهت اصل جواز است و نه استثنای از ادلّه حرمت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و ذکر خداوند و اهل‌بیت و فضائل ایشان</w:t>
      </w:r>
    </w:p>
    <w:p>
      <w:pPr>
        <w:pStyle w:val="BookText"/>
        <w:rPr/>
      </w:pPr>
      <w:r>
        <w:rPr>
          <w:rFonts w:ascii="IRNazanin" w:hAnsi="IRNazanin" w:eastAsia="IRNazanin"/>
          <w:color w:val="111111"/>
          <w:sz w:val="28"/>
          <w:sz w:val="28"/>
          <w:szCs w:val="28"/>
          <w:rtl w:val="true"/>
          <w:lang w:bidi="fa-IR"/>
        </w:rPr>
        <w:t>در این مورد هم همان سخنان گذشته پیش می‌آید؛ چون نمی‌توان این مجالس را مجالس لهو و فسق دانست، اصلاً مشمول ادلّه حرمت غناء نمی‌شود؛ و تخصّصاً از غناء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اینجا بررسی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جَارِيَةٍ لَهَا صَوْتٌ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عَلَيْک لَوِ اشْتَرَيْتَهَا فَذَکّرَتْک‌ الْجَنَّةَ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142" w:name="pg4642_54049"/>
    </w:p>
    <w:p>
      <w:pPr>
        <w:pStyle w:val="BookText"/>
        <w:rPr/>
      </w:pPr>
      <w:bookmarkEnd w:id="142"/>
      <w:r>
        <w:rPr>
          <w:rFonts w:ascii="IRNazanin" w:hAnsi="IRNazanin" w:eastAsia="IRNazanin"/>
          <w:color w:val="111111"/>
          <w:sz w:val="28"/>
          <w:sz w:val="28"/>
          <w:szCs w:val="28"/>
          <w:rtl w:val="true"/>
          <w:lang w:bidi="fa-IR"/>
        </w:rPr>
        <w:t>این روایت از لحاظ سندی ضعیف و مرفوعه است؛ و از حیث دلالت هم چون در آن بحثی از غناء مطرح نشده است، نظارتی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در آن بحث غناء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تساوی صوت و غناء در زمان اهل‌بیت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روایت از حیث دلالی این مشکل را نداشت و از حیث سندی هم قوّتی داشت، می‌توانست بر تأثیر و دخالت محتوا در شکل‌گیری موضوع غناء دلالت کند</w:t>
      </w:r>
      <w:r>
        <w:rPr>
          <w:rFonts w:eastAsia="IRNazanin" w:cs="IRNazanin"/>
          <w:color w:val="111111"/>
          <w:sz w:val="28"/>
          <w:szCs w:val="28"/>
          <w:rtl w:val="true"/>
          <w:lang w:bidi="fa-IR"/>
        </w:rPr>
        <w:t>.</w:t>
      </w:r>
    </w:p>
    <w:p>
      <w:pPr>
        <w:pStyle w:val="Heading2"/>
        <w:numPr>
          <w:ilvl w:val="1"/>
          <w:numId w:val="1"/>
        </w:numPr>
        <w:rPr/>
      </w:pPr>
      <w:bookmarkStart w:id="143" w:name="__RefHeading___Toc296198_2035185390"/>
      <w:bookmarkStart w:id="144" w:name="_Toc48"/>
      <w:bookmarkEnd w:id="143"/>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96/11/01</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استثنای حرمت غناء در اذکار و فضائل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کسانی که مدّعی استثناء بودند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6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به راوی که از حکم خرید جاریه‌ای صاحب صدا سؤال می‌کند، می‌فرمایند اگر این جاریه تو را به یاد بهشت می‌اندازد، خرید او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مقام اشکال به این استناد و استدلال، می‌فرمایند دلالت این روایت بیشتر بر خلاف مطلوب مدّعیان استثناء می‌باشد؛ زیرا حضرت می‌فرمایند به فکر بهشت و آخرت خود باش و در رعایت و مراقبت از آن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قطعاً با غناء سازگار نیست؛ آنجا که غناء محقّق شود، دیگر ذکری از آخرت در میان نیست</w:t>
      </w:r>
      <w:r>
        <w:rPr>
          <w:rFonts w:eastAsia="IRNazanin" w:cs="IRNazanin"/>
          <w:color w:val="111111"/>
          <w:sz w:val="28"/>
          <w:szCs w:val="28"/>
          <w:rtl w:val="true"/>
          <w:lang w:bidi="fa-IR"/>
        </w:rPr>
        <w:t>.</w:t>
      </w:r>
      <w:r>
        <w:rPr>
          <w:rStyle w:val="FootnoteAnchor"/>
          <w:rtl w:val="true"/>
        </w:rPr>
        <w:footnoteReference w:id="61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اولاً این روایت ضعیف است و نمی‌توان به آن اتّکا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دلالت آن می‌توان نکته‌ای را استظهار نمود؛ از مرحوم خوئی این قول را نقل کردیم که ایشان برای محتوای آواز، دخالتی در شکل‌گیری موضوع غناء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محتوای غناء دخالت تامّ در شکل‌گیری موضوع غناء ندارد، ولی وقتی یک آوازی دارای محتوای حقّی بود، می‌تواند تا حدودی مانع از تحقق اطراب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برای جواز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شک کردیم که غناء آیا در ذکر و دعا حرام است یا خیر، اصل آن است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ممکن است که شک در موضوع باشد یعنی شک می‌کنیم که آیا غناء محقق شده است یا خیر، اصل بر عدم تحقق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غناء در ذکر دعاء و فضائل</w:t>
      </w:r>
    </w:p>
    <w:p>
      <w:pPr>
        <w:pStyle w:val="BookText"/>
        <w:rPr/>
      </w:pPr>
      <w:r>
        <w:rPr>
          <w:rFonts w:ascii="IRNazanin" w:hAnsi="IRNazanin" w:eastAsia="IRNazanin"/>
          <w:color w:val="111111"/>
          <w:sz w:val="28"/>
          <w:sz w:val="28"/>
          <w:szCs w:val="28"/>
          <w:rtl w:val="true"/>
          <w:lang w:bidi="fa-IR"/>
        </w:rPr>
        <w:t xml:space="preserve">مرحوم شیخ انصاری قائل هستند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محقّق شود، حکم حرمت مترتّب خواهد شد؛ و در رابطه با دعاء و فضائل نمی‌توان دلیلی برای استثنای حکم یافت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به نظر ما نیز این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غناء محقّق شود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داشتیم، اصل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w:t>
      </w:r>
    </w:p>
    <w:p>
      <w:pPr>
        <w:pStyle w:val="BookText"/>
        <w:rPr/>
      </w:pPr>
      <w:r>
        <w:rPr>
          <w:rFonts w:ascii="IRNazanin" w:hAnsi="IRNazanin" w:eastAsia="IRNazanin"/>
          <w:color w:val="111111"/>
          <w:sz w:val="28"/>
          <w:sz w:val="28"/>
          <w:szCs w:val="28"/>
          <w:rtl w:val="true"/>
          <w:lang w:bidi="fa-IR"/>
        </w:rPr>
        <w:t>در این رابطه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مرحوم صاحب جواهر قائل به جواز این صوت هستند</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هلهله اصلاً عنوان لفظ و کلمه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صدق عنوان کلام بر آن تحقق عنوان لهو و لعب بر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 در این رابطه اشکالی دارند، به نظر ایشان اگرچه جواز هلهله به جهت اصل برائت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آن را در زمره الحان اهل فسوق و در نتیجه مصادیق غناء تلقّی نمود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لاری در حاشیه بر مکاسب قائل به منع از این صدای زنان در مجالس شادی شدند؛ و حتّی در عروسی هم آن را ممنوع اعلام کردند</w:t>
      </w:r>
      <w:r>
        <w:rPr>
          <w:rFonts w:eastAsia="IRNazanin" w:cs="IRNazanin"/>
          <w:color w:val="111111"/>
          <w:sz w:val="28"/>
          <w:szCs w:val="28"/>
          <w:rtl w:val="true"/>
          <w:lang w:bidi="fa-IR"/>
        </w:rPr>
        <w:t>.</w:t>
      </w:r>
      <w:r>
        <w:rPr>
          <w:rStyle w:val="FootnoteAnchor"/>
          <w:rtl w:val="true"/>
        </w:rPr>
        <w:footnoteReference w:id="618"/>
      </w:r>
      <w:bookmarkStart w:id="145" w:name="pg4642_54051"/>
    </w:p>
    <w:p>
      <w:pPr>
        <w:pStyle w:val="BookText"/>
        <w:rPr/>
      </w:pPr>
      <w:bookmarkEnd w:id="145"/>
      <w:r>
        <w:rPr>
          <w:rFonts w:ascii="IRNazanin" w:hAnsi="IRNazanin" w:eastAsia="IRNazanin"/>
          <w:color w:val="111111"/>
          <w:sz w:val="28"/>
          <w:sz w:val="28"/>
          <w:szCs w:val="28"/>
          <w:rtl w:val="true"/>
          <w:lang w:bidi="fa-IR"/>
        </w:rPr>
        <w:t>به نظر ما، مادامی که این صدا را مصداق یکی از عناوین محرّم قرار ندهیم، نمی‌توان دلیلی بر حرمت 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مخصوص جنگ</w:t>
      </w:r>
    </w:p>
    <w:p>
      <w:pPr>
        <w:pStyle w:val="BookText"/>
        <w:rPr/>
      </w:pPr>
      <w:r>
        <w:rPr>
          <w:rFonts w:ascii="IRNazanin" w:hAnsi="IRNazanin" w:eastAsia="IRNazanin"/>
          <w:color w:val="111111"/>
          <w:sz w:val="28"/>
          <w:sz w:val="28"/>
          <w:szCs w:val="28"/>
          <w:rtl w:val="true"/>
          <w:lang w:bidi="fa-IR"/>
        </w:rPr>
        <w:t>شما بعد از این همه بحث در رابطه با مستثنیات، می‌توانید با تطبیق قواعد تکلیف این مورد را هم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مطرب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موضوع حرمت محقّق شده است؛ امّا در غیر این صورت دلیلی برای تحریم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سرودهای جنگی چه‌بسا بتوان ادّعا کرد که صوت لهوی به جهت وجود میدان جنگ و التهاب کارزار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ما مصداقی از غناء نداریم تا از حرمت استثناء کنیم</w:t>
      </w:r>
      <w:r>
        <w:rPr>
          <w:rFonts w:eastAsia="IRNazanin" w:cs="IRNazanin"/>
          <w:color w:val="111111"/>
          <w:sz w:val="28"/>
          <w:szCs w:val="28"/>
          <w:rtl w:val="true"/>
          <w:lang w:bidi="fa-IR"/>
        </w:rPr>
        <w:t>.</w:t>
      </w:r>
    </w:p>
    <w:p>
      <w:pPr>
        <w:pStyle w:val="Heading2"/>
        <w:numPr>
          <w:ilvl w:val="1"/>
          <w:numId w:val="1"/>
        </w:numPr>
        <w:rPr/>
      </w:pPr>
      <w:bookmarkStart w:id="146" w:name="__RefHeading___Toc296200_2035185390"/>
      <w:bookmarkStart w:id="147" w:name="_Toc49"/>
      <w:bookmarkEnd w:id="146"/>
      <w:r>
        <w:rPr>
          <w:rtl w:val="true"/>
        </w:rPr>
        <w:t>مستثنيات از حرمت غناء</w:t>
      </w:r>
      <w:r>
        <w:rPr>
          <w:rtl w:val="true"/>
        </w:rPr>
        <w:t>/</w:t>
      </w:r>
      <w:r>
        <w:rPr>
          <w:rtl w:val="true"/>
        </w:rPr>
        <w:t>مبحث غناء</w:t>
      </w:r>
      <w:r>
        <w:rPr>
          <w:rtl w:val="true"/>
        </w:rPr>
        <w:t>/</w:t>
      </w:r>
      <w:r>
        <w:rPr>
          <w:rtl w:val="true"/>
        </w:rPr>
        <w:t xml:space="preserve">مكاسب محرّمه؛ </w:t>
      </w:r>
      <w:r>
        <w:rPr/>
        <w:t>96/11/02</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از حرمت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مواردی بود که از حرمت غناء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نغمه‌های مادرانه برای کودکان و نواهای بنّاها</w:t>
      </w:r>
    </w:p>
    <w:p>
      <w:pPr>
        <w:pStyle w:val="BookText"/>
        <w:rPr/>
      </w:pPr>
      <w:r>
        <w:rPr>
          <w:rFonts w:ascii="IRNazanin" w:hAnsi="IRNazanin" w:eastAsia="IRNazanin"/>
          <w:color w:val="111111"/>
          <w:sz w:val="28"/>
          <w:sz w:val="28"/>
          <w:szCs w:val="28"/>
          <w:rtl w:val="true"/>
          <w:lang w:bidi="fa-IR"/>
        </w:rPr>
        <w:t>در این رابطه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مرحوم مامقانی به جهت سیره مستمرّی که از زمان اهل‌بیت در این‌باره در میان مردم رایج بوده است، قائل به جواز این نغمه‌ها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حتّی اگر این آواها مشوب به غناء هم باشند، باز مشکلی پیش نمی‌آید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p>
    <w:p>
      <w:pPr>
        <w:pStyle w:val="BookText"/>
        <w:rPr/>
      </w:pPr>
      <w:r>
        <w:rPr>
          <w:rFonts w:ascii="IRNazanin" w:hAnsi="IRNazanin" w:eastAsia="IRNazanin"/>
          <w:color w:val="111111"/>
          <w:sz w:val="28"/>
          <w:sz w:val="28"/>
          <w:szCs w:val="28"/>
          <w:rtl w:val="true"/>
          <w:lang w:bidi="fa-IR"/>
        </w:rPr>
        <w:t>مرحوم لاری در حاشیه مکاسب قائل به حرمت این صداها هستند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مورد دلیل مستقلّی که استثنای آن را از ادلّه عام حرمت غناء ثابت کند، ندارد؛ بنابراین اگر ملاک اطراب در آن محقّق شد، ما قائل به حرمت هستیم و اگر موضوع غناء احراز نشد باید قائل به جواز آن باشیم؛ چرا که مشمول اصل اباحه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سائر صداهای لهوی</w:t>
      </w:r>
    </w:p>
    <w:p>
      <w:pPr>
        <w:pStyle w:val="BookText"/>
        <w:rPr/>
      </w:pPr>
      <w:r>
        <w:rPr>
          <w:rFonts w:ascii="IRNazanin" w:hAnsi="IRNazanin" w:eastAsia="IRNazanin"/>
          <w:color w:val="111111"/>
          <w:sz w:val="28"/>
          <w:sz w:val="28"/>
          <w:szCs w:val="28"/>
          <w:rtl w:val="true"/>
          <w:lang w:bidi="fa-IR"/>
        </w:rPr>
        <w:t>مرحوم امام خمینی بحثی در رابطه با صداها و نغمه‌هایی دارند که در میان بسیاری از مردم خواندن آن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آوازها هیچ جذّابیتی برای شنونده نخواهند داشت؛ و معمولاً صدای عامّه مردم آن‌قدر زیبا نیست که خواندن این‌گونه اشعار سبب ایجاد سبکی و خفّت و طرب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اگرچه احتیاط بر این است که هر آنچه انسان را از یاد خدا غافل می‌کند، مورد اجتناب قرار گیرد و انسان از این‌گونه نغمه‌ها و زمزمه‌ها دوری کند، ولی دلیلی برای حرمت چنین صداهایی نداریم؛ زیرا نمی‌توان موضوع غنای محرّم را در اینجا محقّق دانست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به نظر ما، باید از قاعده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ملاک اطراب محقّق شد و موضوع غناء احراز شد، آن صوت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از اصل اباحه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مستثنای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جشن و اعیاد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 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صحیحه علی‌بن‌جعفر</w:t>
      </w:r>
      <w:r>
        <w:rPr>
          <w:rStyle w:val="FootnoteAnchor"/>
          <w:rtl w:val="true"/>
        </w:rPr>
        <w:footnoteReference w:id="622"/>
      </w:r>
      <w:r>
        <w:rPr>
          <w:rFonts w:ascii="IRNazanin" w:hAnsi="IRNazanin" w:eastAsia="IRNazanin"/>
          <w:color w:val="111111"/>
          <w:sz w:val="28"/>
          <w:sz w:val="28"/>
          <w:szCs w:val="28"/>
          <w:rtl w:val="true"/>
          <w:lang w:bidi="fa-IR"/>
        </w:rPr>
        <w:t xml:space="preserve"> بر جواز غناء در چنین موضوعی دلالت دارد، نمی‌توان قائل به حرمت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مجلس شادی و جشن، هر مجلسی نیست که استثنای اکثر لازم آمده و ادلّه حرمت مستهجن شوند؛ بلکه باید مجالس خاصّی را مثل مجالس عید و ختنه سوران و عروسی‌ها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معصوم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ایشان موافق با احتیاط را دوری از سبک‌های مناسب مجالس فسق و فجور حتّی در این روزها می‌دانند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به نظر ما، اگر شما قائل به وجود دلیل معتبر در مقام هستید، باید به آن عمل کنید و در حدود آن قائل به جواز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روایت معتبر حتّی اگر واحد باشد، می‌تواند عامّ قرآنی و سنّت متواتر را تخصیص و تقیید بزند؛ و ادلّه حرمت غناء بر فرض که متواتر هم باشد، با این روایت می‌تواند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وقتی در نفس مفهوم و معنای غنای محرّم اختلاف باشد، در مواردی که قدر متیقّن از غناء احراز نمی‌شود، شبهه مصداقیه پیش می‌آید و در هنگام شک، مرجع، اصل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ایشان از تخصیص اکثر بی‌مورد است؛ چرا که مراد روایت از مجلس شادی، مجالس مؤمنین است که از مجالس اهل فسق و فجور جدا و مباین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از مجالس اگر از معاصی دیگر خالی باشد و همراه با خواندن کلام‌های باطل و اختلاط زنان و 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مشمول روایت شده و صوت مرجّع در آن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امام در روایت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است که این مجلس با مجالس فسق و فجور متفاوت است؛ چرا که در آن مجالس ابزار و آلات موسیقی استفاده می‌شود و سبب تحقّق غنای محرم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احتیاط هم باید بگوییم اگر مجلس مقارن با معاصی باشد، غناء محقّق شده و باید مورد اجتناب واقع شود و اگر غیر از این باشد دلیلی برای لزوم احتیاط نداریم؛ چرا که این نوع توصیه به احتیاط و سخت‌گیری‌هایی از این دست سبب زدگی جوانان از دین می‌شود؛ زیرا بالاخره این نغمه‌ها برای جوانان مطلوب است و اگر بتوان از ادلّه صورت حلالی برای آن احراز کرد، نباید در قبال آن سخت‌گیری کنیم</w:t>
      </w:r>
      <w:r>
        <w:rPr>
          <w:rFonts w:eastAsia="IRNazanin" w:cs="IRNazanin"/>
          <w:color w:val="111111"/>
          <w:sz w:val="28"/>
          <w:szCs w:val="28"/>
          <w:rtl w:val="true"/>
          <w:lang w:bidi="fa-IR"/>
        </w:rPr>
        <w:t>.</w:t>
      </w:r>
      <w:bookmarkStart w:id="148" w:name="pg4642_54054"/>
    </w:p>
    <w:p>
      <w:pPr>
        <w:pStyle w:val="Heading2"/>
        <w:numPr>
          <w:ilvl w:val="1"/>
          <w:numId w:val="1"/>
        </w:numPr>
        <w:rPr/>
      </w:pPr>
      <w:bookmarkStart w:id="149" w:name="__RefHeading___Toc296202_2035185390"/>
      <w:bookmarkStart w:id="150" w:name="_Toc50"/>
      <w:bookmarkEnd w:id="148"/>
      <w:bookmarkEnd w:id="149"/>
      <w:r>
        <w:rPr>
          <w:rtl w:val="true"/>
        </w:rPr>
        <w:t>تكسب به غناء</w:t>
      </w:r>
      <w:r>
        <w:rPr>
          <w:rtl w:val="true"/>
        </w:rPr>
        <w:t>/</w:t>
      </w:r>
      <w:r>
        <w:rPr>
          <w:rtl w:val="true"/>
        </w:rPr>
        <w:t>مبحث غناء</w:t>
      </w:r>
      <w:r>
        <w:rPr>
          <w:rtl w:val="true"/>
        </w:rPr>
        <w:t>/</w:t>
      </w:r>
      <w:r>
        <w:rPr>
          <w:rtl w:val="true"/>
        </w:rPr>
        <w:t xml:space="preserve">مكاسب محرّمه؛ </w:t>
      </w:r>
      <w:r>
        <w:rPr/>
        <w:t>96/11/03</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تکسب به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استثنای غناء در ایّام شادی و سرور 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دلیل بر مسأله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الحسن، عن علي 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الغناء هل يصلح في الفطر والأضحى والفرح؟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سندش به جهت عبدالله بن الحسن که مهمل است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جواز غناء در مجالس فرح و شادی مؤمنین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رابطه یک تقییدی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مادامی است که با غناء معصیتی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غناء را مقدّمه‌ای بر عصیان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می‌خواهد شخصی زنا کند، با غناء خود را تهییج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سندش صحیحه است – نیز به همین شکل جواز غناء را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عَلِيُّ بْنُ جَعْفَرٍ فِي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أَ يَصْلُحُ فِي الْفِطْرِ وَ الْأَضْحَى وَ الْفَرَحُ يَکونُ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يُؤْمَرْ بِهِ‌</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سند دیگر از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آمیختگی موسیقی با غناء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روایتی که ما نقل کردیم در مصدر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 بودن آن از جانب سلاطین و مجالس فجور ایشان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کاشف الغطاء</w:t>
      </w:r>
    </w:p>
    <w:p>
      <w:pPr>
        <w:pStyle w:val="BookText"/>
        <w:rPr/>
      </w:pPr>
      <w:r>
        <w:rPr>
          <w:rFonts w:ascii="IRNazanin" w:hAnsi="IRNazanin" w:eastAsia="IRNazanin"/>
          <w:color w:val="111111"/>
          <w:sz w:val="28"/>
          <w:sz w:val="28"/>
          <w:szCs w:val="28"/>
          <w:rtl w:val="true"/>
          <w:lang w:bidi="fa-IR"/>
        </w:rPr>
        <w:t>مرحوم کاشف‌الغطاء در این رابطه اشکالی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این یک بیان آن‌قدر توان و قوّت ندارد تا بتواند در برابر آن‌ روایات مطلق تحریم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متنوّع و متعدّدی را بر تحریم غناء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مصادیق زیادی از آن را از دایره حرمت خارج می‌کند؛ چرا که مجالس شادی بسیار پرمصداق بوده و عملاً اگر این روایت را حجّت تلقّی کنیم، از آن اطلاق حرمت غناء چیزی باقی نمی‌ماند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به همین خاطر مرحوم کاشف‌الغطاء امکان تخصیص به واسطه این روایت را بعید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استبعاد ایشان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بر اعتراف اصولیون می‌توان با خبر واحد معتبر عامّ قرآنی و عامّ متواتر را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عمومات حرمت غناء که آن‌قدر هم در دلالت بر مطلوب قوی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در بیانات نسبت به حرمت غناء وجود داشت، موجب ضعف دلالت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درآمد حاصل از غناء</w:t>
      </w:r>
    </w:p>
    <w:p>
      <w:pPr>
        <w:pStyle w:val="BookText"/>
        <w:rPr/>
      </w:pPr>
      <w:r>
        <w:rPr>
          <w:rFonts w:ascii="IRNazanin" w:hAnsi="IRNazanin" w:eastAsia="IRNazanin"/>
          <w:color w:val="111111"/>
          <w:sz w:val="28"/>
          <w:sz w:val="28"/>
          <w:szCs w:val="28"/>
          <w:rtl w:val="true"/>
          <w:lang w:bidi="fa-IR"/>
        </w:rPr>
        <w:t>اگر شخصی غناء خواند و ما از شنیدن آن لذّت هم بردیم و در ازای آن پولی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درآمدی که این خواننده از غنای خود تحصیل کرده است، چیست؟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به بررسی یک قاعده اصولی در مقام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از عبادات نهی کند، شکّی وجود ندارد که این نهی موجب بطلان آن و عدم فراغ ذمّه از امر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از مصداقی از نماز ظهر نهی کرد؛ و مکلّف بخواهد با همان مصداق نماز ظهر را امتثال کند، این نماز مجزی از امر 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هم به نظر ما وقتی نهی به اصل سبب وارد شود، نتیجه آن چیزی جز تحریم ثمن و فساد آن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وقتی شارع از غناء نهی کرده و آن را حرام بداند و خواننده با همان مصداق حرام، درآمد کسب کند این کسب، حرام و فاسد بوده و مالکیتی برای خواننده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اوّل حرمت این تکسّب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همین حرمت را قائل است، ولی در مواردی مثل عروسی که حرمت استثناء شده است، مادام که به اباطیل شعری نخوانند و اختلاط زنان و مردان پیش نیاید، درآمد از آن نیز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صاحب جواهر این شروط ربطی به خواننده و درآمدی که بر کارش می‌گیرد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داخل در مجلس زنانه شده است و این ربطی به خواننده ندارد که درآمد او حرام شود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به نظر ما این سخن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مصداق غنای محرّم محقّق شد دیگر نمی‌توان قائل به جواز کسب او بود؛ و نباید در ازای محرّمات اجرت پرداخت کرد و در صورت پرداخت خواننده غناء مالک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برای اثبات مطلوبشان به دو روایت استناد کرده‌اند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عَنْ أَحْمَدَ</w:t>
      </w:r>
      <w:r>
        <w:rPr>
          <w:rStyle w:val="FootnoteAnchor"/>
          <w:rtl w:val="true"/>
        </w:rPr>
        <w:footnoteReference w:id="628"/>
      </w:r>
      <w:r>
        <w:rPr>
          <w:rFonts w:ascii="Amiri" w:hAnsi="Amiri" w:eastAsia="Amiri" w:cs="Amiri"/>
          <w:color w:val="111111"/>
          <w:sz w:val="28"/>
          <w:sz w:val="28"/>
          <w:szCs w:val="28"/>
          <w:rtl w:val="true"/>
          <w:lang w:bidi="ar-SA"/>
        </w:rPr>
        <w:t xml:space="preserve"> عَنِ الْحُسَيْنِ</w:t>
      </w:r>
      <w:r>
        <w:rPr>
          <w:rStyle w:val="FootnoteAnchor"/>
          <w:rtl w:val="true"/>
        </w:rPr>
        <w:footnoteReference w:id="629"/>
      </w:r>
      <w:r>
        <w:rPr>
          <w:rFonts w:ascii="Amiri" w:hAnsi="Amiri" w:eastAsia="Amiri" w:cs="Amiri"/>
          <w:color w:val="111111"/>
          <w:sz w:val="28"/>
          <w:sz w:val="28"/>
          <w:szCs w:val="28"/>
          <w:rtl w:val="true"/>
          <w:lang w:bidi="ar-SA"/>
        </w:rPr>
        <w:t xml:space="preserve"> عَنِ النَّضْرِ بْنِ سُوَيْدٍ</w:t>
      </w:r>
      <w:r>
        <w:rPr>
          <w:rStyle w:val="FootnoteAnchor"/>
          <w:rtl w:val="true"/>
        </w:rPr>
        <w:footnoteReference w:id="630"/>
      </w:r>
      <w:r>
        <w:rPr>
          <w:rFonts w:ascii="Amiri" w:hAnsi="Amiri" w:eastAsia="Amiri" w:cs="Amiri"/>
          <w:color w:val="111111"/>
          <w:sz w:val="28"/>
          <w:sz w:val="28"/>
          <w:szCs w:val="28"/>
          <w:rtl w:val="true"/>
          <w:lang w:bidi="ar-SA"/>
        </w:rPr>
        <w:t xml:space="preserve"> عَنْ يَحْيَى الْحَلَبِيِّ</w:t>
      </w:r>
      <w:r>
        <w:rPr>
          <w:rStyle w:val="FootnoteAnchor"/>
          <w:rtl w:val="true"/>
        </w:rPr>
        <w:footnoteReference w:id="631"/>
      </w:r>
      <w:r>
        <w:rPr>
          <w:rFonts w:ascii="Amiri" w:hAnsi="Amiri" w:eastAsia="Amiri" w:cs="Amiri"/>
          <w:color w:val="111111"/>
          <w:sz w:val="28"/>
          <w:sz w:val="28"/>
          <w:szCs w:val="28"/>
          <w:rtl w:val="true"/>
          <w:lang w:bidi="ar-SA"/>
        </w:rPr>
        <w:t xml:space="preserve"> عَنْ أَيُّوبَ بْنِ الْحُرِّ</w:t>
      </w:r>
      <w:r>
        <w:rPr>
          <w:rStyle w:val="FootnoteAnchor"/>
          <w:rtl w:val="true"/>
        </w:rPr>
        <w:footnoteReference w:id="632"/>
      </w:r>
      <w:r>
        <w:rPr>
          <w:rFonts w:ascii="Amiri" w:hAnsi="Amiri" w:eastAsia="Amiri" w:cs="Amiri"/>
          <w:color w:val="111111"/>
          <w:sz w:val="28"/>
          <w:sz w:val="28"/>
          <w:szCs w:val="28"/>
          <w:rtl w:val="true"/>
          <w:lang w:bidi="ar-SA"/>
        </w:rPr>
        <w:t xml:space="preserve"> عَنْ أَبِي بَصِيرٍ</w:t>
      </w:r>
      <w:r>
        <w:rPr>
          <w:rStyle w:val="FootnoteAnchor"/>
          <w:rtl w:val="true"/>
        </w:rPr>
        <w:footnoteReference w:id="63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أَجْرُ الْمُغَنِّيَةِ الَّتِي تَزُفُّ الْعَرَائِسَ لَيْسَ بِهِ بَأْسٌ وَ 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634"/>
      </w:r>
      <w:bookmarkStart w:id="151" w:name="pg4642_54057"/>
    </w:p>
    <w:p>
      <w:pPr>
        <w:pStyle w:val="BookText"/>
        <w:rPr/>
      </w:pPr>
      <w:bookmarkEnd w:id="151"/>
      <w:r>
        <w:rPr>
          <w:rFonts w:ascii="IRNazanin" w:hAnsi="IRNazanin" w:eastAsia="IRNazanin"/>
          <w:color w:val="111111"/>
          <w:sz w:val="28"/>
          <w:sz w:val="28"/>
          <w:szCs w:val="28"/>
          <w:rtl w:val="true"/>
          <w:lang w:bidi="fa-IR"/>
        </w:rPr>
        <w:t>علّامه حلّی به این روایت استناد کرده و از ذیل آن استفاده کرده‌اند که اگر در مجلس عروسی مردان داخل شوند، کسب مغنّیه حرام خواهد بود</w:t>
      </w:r>
      <w:r>
        <w:rPr>
          <w:rFonts w:eastAsia="IRNazanin" w:cs="IRNazanin"/>
          <w:color w:val="111111"/>
          <w:sz w:val="28"/>
          <w:szCs w:val="28"/>
          <w:rtl w:val="true"/>
          <w:lang w:bidi="fa-IR"/>
        </w:rPr>
        <w:t>.</w:t>
      </w:r>
      <w:r>
        <w:rPr>
          <w:rStyle w:val="FootnoteAnchor"/>
          <w:rtl w:val="true"/>
        </w:rPr>
        <w:footnoteReference w:id="635"/>
      </w:r>
    </w:p>
    <w:p>
      <w:pPr>
        <w:pStyle w:val="Heading2"/>
        <w:numPr>
          <w:ilvl w:val="1"/>
          <w:numId w:val="1"/>
        </w:numPr>
        <w:rPr/>
      </w:pPr>
      <w:bookmarkStart w:id="152" w:name="__RefHeading___Toc296204_2035185390"/>
      <w:bookmarkStart w:id="153" w:name="_Toc51"/>
      <w:bookmarkEnd w:id="152"/>
      <w:r>
        <w:rPr>
          <w:rtl w:val="true"/>
        </w:rPr>
        <w:t>اجرت بر غناء</w:t>
      </w:r>
      <w:r>
        <w:rPr>
          <w:rtl w:val="true"/>
        </w:rPr>
        <w:t>/</w:t>
      </w:r>
      <w:r>
        <w:rPr>
          <w:rtl w:val="true"/>
        </w:rPr>
        <w:t>مبحث غناء</w:t>
      </w:r>
      <w:r>
        <w:rPr>
          <w:rtl w:val="true"/>
        </w:rPr>
        <w:t>/</w:t>
      </w:r>
      <w:r>
        <w:rPr>
          <w:rtl w:val="true"/>
        </w:rPr>
        <w:t xml:space="preserve">مكاسب محرّمه؛ </w:t>
      </w:r>
      <w:r>
        <w:rPr/>
        <w:t>96/11/07</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بر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اقوال در حکم درآمد مغنّیه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حرمت تکلیفی و وضعی غناء بود؛ یعنی هم نفس عمل حرام است و عقاب دارد و هم درآمدی که از آن حاصل می‌شود، ملک صاحبش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غنای مغنّیه و درآمد حاصل از آن را حرام وضعی و تکلیفی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غنای مغنّیه در عروسی‌ها به شرط آنکه با محرّماتی مثل تکلّم به اباطیل، لعب بالملاهی و یا اختلاط زن و مرد، مقارن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چند روایت استناد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روایت دیگری را بررسی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سند موثّقی دارد و صحیح است و هم دلالت بر صحّت کسب درآمد برای مغنّیه دارد؛ و غنای مغنّیه، تنها در فرضی حرام است که بین زنان و مردان اختلاط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غنای در عروسی‌ها را از حرمت غناء و تکسّب از آن استثناء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اجر و درآمد حاصل از غنای در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می‌شمارد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این روایت با نظر مختار ما منافاتی ندارد؛ زیرا ما هم قائل بودیم که غنای مغنّیه در مجالس عروسی حلال است و درآمد حاصل از حلال هم طبیعتاً حلال خواهد بود؛ مگر آن‌که غنای در عروسی هم مصداقی برای غنای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روایاتی استناد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عَنْهُمْ عَنْ أَحْمَدَ عَنِ الْحُسَيْنِ عَنِ النَّضْرِ بْنِ سُوَيْدٍ عَنْ يَحْيَى الْحَلَبِيِّ عَنْ أَيُّوبَ بْنِ الْحُرِّ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 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عَنْ حَکمٍ الْخَيَّاطِ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بِکسْبِهَا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مرحوم صاحب جواهر به این روایات استناد کرده است؛ و این روایات اسناد صحیحی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امام خمینی اگر غناء و محرّم صورت گرفته با آن در خارج متّحد باشند مثل این‌که در هنگام غناء فحاشی کند یا دروغ بگوید، در این صورت احتیاط در ترک چنین تکسبی است امّا درآمدی که در ازای نفس غناء اخذ می‌شود اگر این غناء همراه با محرّمات دیگر باشد که متّحد با غناء نیست را جائز می‌شمارند؛ مثل اینکه با موسیقی همراه باشد و یا خود مغنّیه با ضرب و مضرابی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که دریافت می‌کند در ازای خود غناء باشد و نه در مقابل محرّمات مقارن با آن، این درآمد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نظر ایشان احتیاط موافق با ترک چنین درآمدی و عدم جواز اخذ آن است</w:t>
      </w:r>
      <w:r>
        <w:rPr>
          <w:rFonts w:eastAsia="IRNazanin" w:cs="IRNazanin"/>
          <w:color w:val="111111"/>
          <w:sz w:val="28"/>
          <w:szCs w:val="28"/>
          <w:rtl w:val="true"/>
          <w:lang w:bidi="fa-IR"/>
        </w:rPr>
        <w:t>.</w:t>
      </w:r>
      <w:r>
        <w:rPr>
          <w:rStyle w:val="FootnoteAnchor"/>
          <w:rtl w:val="true"/>
        </w:rPr>
        <w:footnoteReference w:id="6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قول مرحوم امام را در هیچ فرضی نمی‌توان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طبق روایات غنائی که مقارن با محرّمات باشد، حرام بوده و نمی‌توان از آن کسب درآمد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نفس عمل و محرّمات مقارن با آن می‌توان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شخصی در نماز جماعت حاضر می‌شود و در اثنای جماعت با دیگران غیبت هم می‌کند، یک رفتار حرام صورت داده و یک عبادت که هر یک پاداش و عقاب خودش را داشته و همدیگر را متأثّر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غناء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وقتی همراه با تکلّم به اباطیل و ضرب بالملاهی باشد، خودش حرام خواهد بود و نمی‌توان میان حکم خودش و مقارنات آن تفکیکی قائل شد؛ وقتی نفس غناء حرام بود دیگر نمی‌توان قائل به جواز درآمد و کسب از آن شد</w:t>
      </w:r>
      <w:r>
        <w:rPr>
          <w:rFonts w:eastAsia="IRNazanin" w:cs="IRNazanin"/>
          <w:color w:val="111111"/>
          <w:sz w:val="28"/>
          <w:szCs w:val="28"/>
          <w:rtl w:val="true"/>
          <w:lang w:bidi="fa-IR"/>
        </w:rPr>
        <w:t>.</w:t>
      </w:r>
      <w:bookmarkStart w:id="154" w:name="pg4642_54060"/>
    </w:p>
    <w:p>
      <w:pPr>
        <w:pStyle w:val="Heading2"/>
        <w:numPr>
          <w:ilvl w:val="1"/>
          <w:numId w:val="1"/>
        </w:numPr>
        <w:rPr/>
      </w:pPr>
      <w:bookmarkStart w:id="155" w:name="__RefHeading___Toc296206_2035185390"/>
      <w:bookmarkStart w:id="156" w:name="_Toc52"/>
      <w:bookmarkEnd w:id="154"/>
      <w:bookmarkEnd w:id="155"/>
      <w:r>
        <w:rPr>
          <w:rtl w:val="true"/>
        </w:rPr>
        <w:t>اجرت بر غناء</w:t>
      </w:r>
      <w:r>
        <w:rPr>
          <w:rtl w:val="true"/>
        </w:rPr>
        <w:t>/</w:t>
      </w:r>
      <w:r>
        <w:rPr>
          <w:rtl w:val="true"/>
        </w:rPr>
        <w:t>مبحث غناء</w:t>
      </w:r>
      <w:r>
        <w:rPr>
          <w:rtl w:val="true"/>
        </w:rPr>
        <w:t>/</w:t>
      </w:r>
      <w:r>
        <w:rPr>
          <w:rtl w:val="true"/>
        </w:rPr>
        <w:t xml:space="preserve">مكاسب محرّمه؛ </w:t>
      </w:r>
      <w:r>
        <w:rPr/>
        <w:t>96/11/08</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بر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حکم اخذ اجرت بر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غناء گاهی حلال و در مصادیقی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نفس غناء حلال است، درآمد نیز حلال بوده و اخذ اجرت بر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غناء حرام باشد، درآمد حاصل از آن نیز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امام خمینی</w:t>
      </w:r>
    </w:p>
    <w:p>
      <w:pPr>
        <w:pStyle w:val="BookText"/>
        <w:rPr/>
      </w:pPr>
      <w:r>
        <w:rPr>
          <w:rFonts w:ascii="IRNazanin" w:hAnsi="IRNazanin" w:eastAsia="IRNazanin"/>
          <w:color w:val="111111"/>
          <w:sz w:val="28"/>
          <w:sz w:val="28"/>
          <w:szCs w:val="28"/>
          <w:rtl w:val="true"/>
          <w:lang w:bidi="fa-IR"/>
        </w:rPr>
        <w:t>قول چهارم در این مسأله قول مرحوم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گاهی معاصی مقارن با غناء غیرقابل تفکیک از غناء هستند؛ مثل فرضی که محتوای غناء فحش و اشعار دروغ است؛ یعنی غناء همان فحشی است که از زبان خواننده شنیده می‌شود؛ و در بعضی مصادیق، می‌توان بین غناء و حرام مقارن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هنگام غناء اختلاط زن و مرد اتّفاق بیفتد؛ و یا شخص خواننده در کنار غناء تار بزند و یا از آلات موسیقی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اجرت غناء در این دو فرض طبق نظر ایشان تفاوت دارد؛ یعنی اگر حرام مقارن به گونه‌ای باشد که با غناء اتّحاد داشته باشد، اجرت بر غناء طبق احتیاطی که ایشان قائل هستند،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حرامی که مقارن با غناء اتّفاق می‌افتد متّحد با غناء نباشد، اخذ اجرت بر آن حلال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غناء هم در این فرض حرام نمی‌شود</w:t>
      </w:r>
      <w:r>
        <w:rPr>
          <w:rFonts w:eastAsia="IRNazanin" w:cs="IRNazanin"/>
          <w:color w:val="111111"/>
          <w:sz w:val="28"/>
          <w:szCs w:val="28"/>
          <w:rtl w:val="true"/>
          <w:lang w:bidi="fa-IR"/>
        </w:rPr>
        <w:t>.</w:t>
      </w:r>
      <w:r>
        <w:rPr>
          <w:rStyle w:val="FootnoteAnchor"/>
          <w:rtl w:val="true"/>
        </w:rPr>
        <w:footnoteReference w:id="6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سخن مرحوم امام خمینی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روایت این شروطی که ایشان برای آن‌ها دخالتی در حکم اجرت غناء و حتّی حکم خود غناء قائل نبودند، باعث تحریم نفس غناء می‌شود؛ و اگر غناء حرام باشد کسب از حرام هم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در برخی موارد مثل معاملاتی که در ضمن آن حرامی اتّفاق می‌افتد، صحیح است؛ چرا که حرمت آن فعل ربطی به نفوذ معامله و صحّت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فرض ما این مقارنات محرّم طبق نصّ روایت موجب حرمت غناء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یدخل الرجال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یضمر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خودِ غناء حرام می‌شود</w:t>
      </w:r>
      <w:r>
        <w:rPr>
          <w:rFonts w:eastAsia="IRNazanin" w:cs="IRNazanin"/>
          <w:color w:val="111111"/>
          <w:sz w:val="28"/>
          <w:szCs w:val="28"/>
          <w:rtl w:val="true"/>
          <w:lang w:bidi="fa-IR"/>
        </w:rPr>
        <w:t>.</w:t>
      </w:r>
      <w:bookmarkStart w:id="157" w:name="pg4642_54061"/>
    </w:p>
    <w:p>
      <w:pPr>
        <w:pStyle w:val="BookText"/>
        <w:rPr/>
      </w:pPr>
      <w:bookmarkEnd w:id="157"/>
      <w:r>
        <w:rPr>
          <w:rFonts w:ascii="IRNazanin" w:hAnsi="IRNazanin" w:eastAsia="IRNazanin"/>
          <w:color w:val="111111"/>
          <w:sz w:val="28"/>
          <w:sz w:val="28"/>
          <w:szCs w:val="28"/>
          <w:rtl w:val="true"/>
          <w:lang w:bidi="fa-IR"/>
        </w:rPr>
        <w:t>حکم آموزش و تعلیم غناء</w:t>
      </w:r>
    </w:p>
    <w:p>
      <w:pPr>
        <w:pStyle w:val="BookText"/>
        <w:rPr/>
      </w:pPr>
      <w:r>
        <w:rPr>
          <w:rFonts w:ascii="IRNazanin" w:hAnsi="IRNazanin" w:eastAsia="IRNazanin"/>
          <w:color w:val="111111"/>
          <w:sz w:val="28"/>
          <w:sz w:val="28"/>
          <w:szCs w:val="28"/>
          <w:rtl w:val="true"/>
          <w:lang w:bidi="fa-IR"/>
        </w:rPr>
        <w:t>در رابطه با آموزش غناء هم باید نکته ای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آموزش غناء مستلزم خواندن و شنیدن غنای محرّم باشد، حکم حرمت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آموزش مستلزم خواندن و شنیدن غناء حرام نیست، بلکه می‌توان با تکیه بر قواعد علمی، آن را آموزش داد و فرض کنیم کسی که آموزش می‌بیند، قصد دارد تا غنای حلال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قائل به حرمت آموزش غناء شد؟</w:t>
      </w:r>
    </w:p>
    <w:p>
      <w:pPr>
        <w:pStyle w:val="BookText"/>
        <w:rPr/>
      </w:pPr>
      <w:r>
        <w:rPr>
          <w:rFonts w:ascii="IRNazanin" w:hAnsi="IRNazanin" w:eastAsia="IRNazanin"/>
          <w:color w:val="111111"/>
          <w:sz w:val="28"/>
          <w:sz w:val="28"/>
          <w:szCs w:val="28"/>
          <w:rtl w:val="true"/>
          <w:lang w:bidi="fa-IR"/>
        </w:rPr>
        <w:t>اکثر علماء مطلقا قائل به حرمت تعلیم و تعلّم غناء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قائل به تفکیک شدند؛ یعنی در این فرض که هیچ محرّمی در آموزش محقّق نشده است و قصد شخص هم از آموزش حرام نیست، می‌توان قائل به حلّیت 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به نظر ما، قول حقّ همین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غنای حلال را در جایی که شخص قصد حرامی ندارد، دلیلی برای تحریمش وجود ندارد</w:t>
      </w:r>
      <w:r>
        <w:rPr>
          <w:rFonts w:eastAsia="IRNazanin" w:cs="IRNazanin"/>
          <w:color w:val="111111"/>
          <w:sz w:val="28"/>
          <w:szCs w:val="28"/>
          <w:rtl w:val="true"/>
          <w:lang w:bidi="fa-IR"/>
        </w:rPr>
        <w:t>.</w:t>
      </w:r>
    </w:p>
    <w:p>
      <w:pPr>
        <w:pStyle w:val="Heading2"/>
        <w:numPr>
          <w:ilvl w:val="1"/>
          <w:numId w:val="1"/>
        </w:numPr>
        <w:rPr/>
      </w:pPr>
      <w:bookmarkStart w:id="158" w:name="__RefHeading___Toc296208_2035185390"/>
      <w:bookmarkStart w:id="159" w:name="_Toc53"/>
      <w:bookmarkEnd w:id="158"/>
      <w:r>
        <w:rPr>
          <w:rtl w:val="true"/>
        </w:rPr>
        <w:t>استماع غناء</w:t>
      </w:r>
      <w:r>
        <w:rPr>
          <w:rtl w:val="true"/>
        </w:rPr>
        <w:t>/</w:t>
      </w:r>
      <w:r>
        <w:rPr>
          <w:rtl w:val="true"/>
        </w:rPr>
        <w:t>مبحث غناء</w:t>
      </w:r>
      <w:r>
        <w:rPr>
          <w:rtl w:val="true"/>
        </w:rPr>
        <w:t>/</w:t>
      </w:r>
      <w:r>
        <w:rPr>
          <w:rtl w:val="true"/>
        </w:rPr>
        <w:t xml:space="preserve">مكاسب محرّمه؛ </w:t>
      </w:r>
      <w:r>
        <w:rPr/>
        <w:t>96/11/09</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آموزش دیدن و آموختن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اگر شخص برای آموختن غناء مرتکب حرامی نشود و قواعد موسیقی را آموزش دهد و نفس غنای محرّم خوانده نشود، اگر هم خوانده می‌شود در جایی باشد که حلال است مثل اینکه استاد به عروسی رفته و شاگردان هم با او بروند و به ظرایف خواندن استاد گوش دهند، شاگرد هم برای آموزش غناء هدف حلالی دارد، قصد دارد در مجالسی که غناء حلال شده است غناء بخواند؛ در این صورت از قول بزرگانی مثل مرحوم خویی که این آموزش و آموختن غناء حلال بوده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آموزش و آموختن غناء در مواردی که خود غناء حلال است مشکلی نداشته و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غناء</w:t>
      </w:r>
    </w:p>
    <w:p>
      <w:pPr>
        <w:pStyle w:val="BookText"/>
        <w:rPr/>
      </w:pPr>
      <w:r>
        <w:rPr>
          <w:rFonts w:ascii="IRNazanin" w:hAnsi="IRNazanin" w:eastAsia="IRNazanin"/>
          <w:color w:val="111111"/>
          <w:sz w:val="28"/>
          <w:sz w:val="28"/>
          <w:szCs w:val="28"/>
          <w:rtl w:val="true"/>
          <w:lang w:bidi="fa-IR"/>
        </w:rPr>
        <w:t>این بحث هم به نحوی تطبیق مباحث گذشته است؛ یعنی اگر غناء حلال باشد، استماع آن هم حلال خواهد و اگر غناء حرام باشد، استماع آن نیز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هم در این رابطه بررسی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عَنْ سَهْلٍ وَ عَنْ عَلِيِّ بْنِ إِبْرَاهِيمَ عَنْ أَبِيهِ جَمِيعاً عَنِ ابْنِ فَضَّالٍ عَنْ سَعِيدِ بْنِ مُحَمَّدٍ الطَّاطَرِيِّ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 بَيْعُهُنَّ حَرَامٌ وَ تَعْلِيمُهُنَّ کفْرٌ وَ اسْتِمَاعُهُنَّ نِفَاقٌ</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صحیحه بوده و مورد استدلال برخی از علماء واقع شده است</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 روایت بر حرمت استماع غناء ضعیف است؛ چرا که در رابطه با خرید و فروش جاریه مغنّیه حکم حرمت را بیان می‌دارد و در رابطه با تعلیم آن‌ها تعبیر به کفر دارد، ولی در مورد استماع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سایر روایات و بیانات معصومین اعمّ از حرمت است؛ یعنی در مواردی هم استعمال شده است که بر کراهت دلالت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هَارُونَ بْنِ مُسْلِمٍ عَنْ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إِنِّي أَدْخُلُ کنِيفاً وَ لِي جِيرَانٌ وَ عِنْدَهُمْ جَوَارٍ يَتَغَنَّيْنَ وَ يَضْرِبْنَ بِالْعُودِ فَرُبَّمَا أَطَلْتُ الْجُلُوسَ اسْتِمَاعاً مِنِّي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آتِيهِنَّ إِنَّمَا هُوَ سَمَاعٌ أَسْمَعُهُ بِأُذُنِي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 أَ مَا سَمِعْتَ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لَکأَنِّي لَمْ أَسْمَعْ بِهَذِهِ الْآيَةِ مِنْ کتَابِ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وَ لَا مِنْ عَجَمِيٍّ لَا جَرَمَ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إِنْ شَاءَ اللَّهُ وَ أَنِّي أَسْتَغْفِرُ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فَاغْتَسِلْ وَ صَلِّ مَا بَدَا لَک فَإِنَّک کنْتَ مُقِيماً عَلَى أَمْرٍ عَظِيمٍ مَا کانَ أَسْوَأَ حَالَک لَوْ مِتَّ عَلَى ذَلِک احْمَدِ اللَّهَ وَ سَلْهُ التَّوْبَةَ مِنْ کلِّ مَا يَکرَهُ فَإِنَّهُ لَا يَکرَهُ إِلَّا کلَّ قَبِيحٍ وَ الْقَبِيحَ دَعْهُ لِأَهْلِهِ فَإِنَّ لِکلٍّ أَهْلاً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نسبت به کسی که به استماع غنای محرّم می‌نشسته، عتاب می‌کنند و از او می‌خواهند تا توبه کند و از خدا طلب بخشش کرده و امر به غسل به او می‌کنند و برای او آیه‌ای از قرآن می‌خوانند که دلالت بر بازخواست شنیده‌های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قرائن دلالت بر حرمت استماع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روایت حضرت به راوی امر می‌کنند تا از مکروهات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کمی دلالت روایت را مخدوش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أَحْمَدَ بْنِ مُحَمَّدِ بْنِ إِبْرَاهِيمَ الْأَرْمَنِيِّ عَنِ الْحُسَيْنِ بْنِ عَلِيِّ بْنِ يَقْطِينٍ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کانَ النَّاطِقُ يُؤَدِّي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اللَّهَ وَ إِنْ کانَ النَّاطِقُ يُؤَدِّي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این روایت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ابراهیم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مهمل است، ضعیف است؛ و دلالتی هم بر حرمت استماع 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گوش سپردن به سخن کسی است که کلام او از شیطان است؛ و ارتباطی به غناء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إِبْرَاهِيمَ عَنْ أَبِيهِ عَنِ ابْنِ مَحْبُوبٍ عَنْ عَنْبَسَةَ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إسْتِمَاعُ اللَّهْوِ وَ الْغِنَاءِ يُنْبِتُ النِّفَاقَ کمَا يُنْبِتُ الْمَاءُ الزَّرْعَ</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سند تامّی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تامّی در حرمت استماع غناء ندارد؛ و اگر این تعبیر را به سایر روایات ضمیمه کنیم، می‌توان حرمت استماع را نتیجه گرفت</w:t>
      </w:r>
      <w:r>
        <w:rPr>
          <w:rFonts w:eastAsia="IRNazanin" w:cs="IRNazanin"/>
          <w:color w:val="111111"/>
          <w:sz w:val="28"/>
          <w:szCs w:val="28"/>
          <w:rtl w:val="true"/>
          <w:lang w:bidi="fa-IR"/>
        </w:rPr>
        <w:t>.</w:t>
      </w:r>
      <w:bookmarkStart w:id="160" w:name="pg4642_54064"/>
    </w:p>
    <w:p>
      <w:pPr>
        <w:pStyle w:val="Heading2"/>
        <w:numPr>
          <w:ilvl w:val="1"/>
          <w:numId w:val="1"/>
        </w:numPr>
        <w:rPr/>
      </w:pPr>
      <w:bookmarkStart w:id="161" w:name="__RefHeading___Toc296210_2035185390"/>
      <w:bookmarkStart w:id="162" w:name="_Toc54"/>
      <w:bookmarkEnd w:id="160"/>
      <w:bookmarkEnd w:id="161"/>
      <w:r>
        <w:rPr>
          <w:rtl w:val="true"/>
        </w:rPr>
        <w:t>استماع غناء</w:t>
      </w:r>
      <w:r>
        <w:rPr>
          <w:rtl w:val="true"/>
        </w:rPr>
        <w:t>/</w:t>
      </w:r>
      <w:r>
        <w:rPr>
          <w:rtl w:val="true"/>
        </w:rPr>
        <w:t>مبحث غناء</w:t>
      </w:r>
      <w:r>
        <w:rPr>
          <w:rtl w:val="true"/>
        </w:rPr>
        <w:t>/</w:t>
      </w:r>
      <w:r>
        <w:rPr>
          <w:rtl w:val="true"/>
        </w:rPr>
        <w:t xml:space="preserve">مكاسب محرّمه؛ </w:t>
      </w:r>
      <w:r>
        <w:rPr/>
        <w:t>96/11/14</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حرمت تغنّی گذشت و به حرمت استماع غناء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استماع مفاد روایاتی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ادّعای ملازمه‌ای در نظر عرف میان خواندن و شنیدن غناء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عرفی است؛ یعنی عرف وقتی اصل غناء در شریعت حرام دانسته شد، شنیدن آن را هم ممنوع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روایات این مسأله در برابر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مطرح می‌شود؛ یعنی گویی برای روات مسأله‌ای طرح می‌شده که وقتی اصل غناء حرام است، باید شنیدن آن‌هم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گذشته چند روایت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هم به بررسی چند روایت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يَحْيَى عَنْ بَعْضِ أَصْحَابِهِ عَنْ مُحَمَّدِ بْنِ إِسْمَاعِيلَ عَنْ إِبْرَاهِيمَ بْنِ أَبِي الْبِلَادِ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إِسْحَاقُ بْنُ عُمَرَ بِجَوَارٍ لَهُ مُغَنِّيَاتٍ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تَبِيعَهُنَ‌ وَ يُحْمَلَ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ثَمَنُهُنَّ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فَبِعْتُ الْجَوَارِيَ بِثَلَاثِ مِائَةِ أَلْفِ دِرْهَمٍ وَ حَمَلْتُ الثَّمَنَ إِلَيْهِ فَقُلْتُ لَهُ إِنَّ مَوْلىً لَک يُقَالُ لَهُ إِسْحَاقُ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بِبَيْعِ جَوَارٍ لَهُ مُغَنِّيَاتٍ وَ حَمْلِ الثَّمَنِ إِلَيْک وَ قَدْ بِعْتُهُنَّ وَ هَذَا الثَّمَنُ ثَلَاثُ 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 إِنَّ هَذَا سُحْتٌ وَ تَعْلِيمَهُنَّ کفْرٌ وَ الِاسْتِمَاعَ‌ مِنْهُنَّ‌ نِفَاقٌ‌ وَ ثَمَنَهُنَ‌ سُحْتٌ‌</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ارسال داشته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مورد استدلال برخی فقهاء واقع شده است</w:t>
      </w:r>
      <w:r>
        <w:rPr>
          <w:rStyle w:val="FootnoteAnchor"/>
          <w:rtl w:val="true"/>
        </w:rPr>
        <w:footnoteReference w:id="6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رابطه با پولی که از جانب یکی از شیعیان بوده و حاصل از فروش جواری مغنّیات بوده است را قبول نکرده و آن را سحت می‌شمارند؛ و در ادامه شنیدن غناء را نفاق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تعبیر که استماع و شنیدن غناء را نفاق می‌شمارد و این تعبیر اعمّ از حرمت است و برای کراهت هم در روایات دیگر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أيضاً بالإسناد عن أبي هريرة قال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ملأ مسامعه من غناء لم يؤذن له أن يسمع صوت الروحانيّين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 ما الروحانيّون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أهل الجنّة</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این روایت همان‌طور که می‌بینید سندش به ابوهریره رسیده و در منابع عامّه ذکر شده است؛ و دلالت صریحی نیز در تحریم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می‌فرماید کسی که خود را از غنای این دنیا پر کند، از نوای روحانی بهشت، یعنی صدای قرّاء بهشت، بی‌بهره خواهد ماند؛ و این دلالت بر کراهت دارد و حرمت را نمی‌فهماند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عَنْ سَهْلٍ عَنْ إِبْرَاهِيمَ بْنِ مُحَمَّدٍ الْمَدَنِيِّ عَمَّنْ ذَکرَهُ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الْغِنَاءِ وَ 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سند ضعیفی داشته و اگرچه مورد استدلال برخی فقهاء واقع شده است، ولی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روایت ناظر به بیوتی است که برای غناء تمهید شده است نه استماع غناء؛ ولی مؤیّد می‌تواند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فِي کتَابِهِ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سند صحیحی دارد و هم دلالت تامّی بر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از حضور در مجلسی که در آن غناء خوانده می‌شود، نهی می‌کند و این ملازمه با شنیدن غناء دارد؛ بنابراین به نظر ما استدلال تامّ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سَعِيدِ بْنِ جَنَاحٍ عَنْ حَمَّادٍ عَنْ أَبِي أَيُّوبَ الْخَرَّازِ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بِالْمَدِينَةِ فَأَتَيْنَا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نَزَلْتُمْ؟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عَلَى فُلَانٍ صَاحِبِ الْقِيَانِ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کرَاماً فَوَ اللَّهِ مَا عَلِمْنَا مَا أَرَادَ بِهِ وَ ظَنَنَّا أَنَّهُ يَقُولُ تَفَضَّلُوا عَلَيْهِ فَعُدْنَا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لَا نَدْرِي مَا أَرَدْتَ بِقَوْلِک کونُوا کرَاماً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سَمِعْتُمُ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حدیث امام در پاسخ به اصحابی که وارد بر یکی از صاحبان مغنّیه در شهر مدینه شده بودند، می‌فرماید که شما باید از لغو دوری کرده و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همین جهت دلالت روایت بر حرمت استماع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نهی از دخول به خانه آن شخص نهی نمی‌کنند، بلکه آن‌ها را سفارش به حفظ شأن خود کرده و امر به کریمانه رفتار کردن آن‌ها در قبال لغویات خانه آن شخص می‌فرمایند؛ بنابراین حضرت در مقام نهی از اعتناء به جاریه‌های مغنّیه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عَنْ سَهْلٍ عَنْ يَاسِرٍ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نَزَّهَ نَفْسَهُ عَنِ الْغِنَاءِ فَإِنَّ فِي الْجَنَّةِ شَجَرَةً يَأْمُرُ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أَنْ تُحَرِّکهَا فَيَسْمَعُ مِنْهَا صَوْتاً لَمْ يَسْمَعْ مِثْلَهُ وَ مَنْ لَمْ يَتَنَزَّهْ عَنْهُ لَمْ يَسْمَعْهُ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نیز در عین صحّت سند روایت، دلالتی برای حرمت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منافاتی با حرمتی که از سایر روایات باب می‌توان استظهار نمود ندارد، امّا تنها دلالت خود روایت بر کراهت استماع است؛ زیرا امام می‌فرمایند اگر شما در دنیا غناء گوش دهید، نمی‌توانید در بهشت از صدای آن درخت چیزی بشنوید؛ یعنی نفس غناء با ورود شخص به بهشت منافاتی ندارد، بلکه تنها او را از موهبتی مثل موسیقی آن درخت محروم خواهد کرد</w:t>
      </w:r>
      <w:r>
        <w:rPr>
          <w:rFonts w:eastAsia="IRNazanin" w:cs="IRNazanin"/>
          <w:color w:val="111111"/>
          <w:sz w:val="28"/>
          <w:szCs w:val="28"/>
          <w:rtl w:val="true"/>
          <w:lang w:bidi="fa-IR"/>
        </w:rPr>
        <w:t>.</w:t>
      </w:r>
      <w:bookmarkStart w:id="163" w:name="pg4642_54067"/>
    </w:p>
    <w:p>
      <w:pPr>
        <w:pStyle w:val="Heading2"/>
        <w:numPr>
          <w:ilvl w:val="1"/>
          <w:numId w:val="1"/>
        </w:numPr>
        <w:rPr/>
      </w:pPr>
      <w:bookmarkStart w:id="164" w:name="__RefHeading___Toc296212_2035185390"/>
      <w:bookmarkStart w:id="165" w:name="_Toc55"/>
      <w:bookmarkEnd w:id="163"/>
      <w:bookmarkEnd w:id="164"/>
      <w:r>
        <w:rPr>
          <w:rtl w:val="true"/>
        </w:rPr>
        <w:t>استماع غناء</w:t>
      </w:r>
      <w:r>
        <w:rPr>
          <w:rtl w:val="true"/>
        </w:rPr>
        <w:t>/</w:t>
      </w:r>
      <w:r>
        <w:rPr>
          <w:rtl w:val="true"/>
        </w:rPr>
        <w:t>مبحث غناء</w:t>
      </w:r>
      <w:r>
        <w:rPr>
          <w:rtl w:val="true"/>
        </w:rPr>
        <w:t>/</w:t>
      </w:r>
      <w:r>
        <w:rPr>
          <w:rtl w:val="true"/>
        </w:rPr>
        <w:t xml:space="preserve">مكاسب محرّمه؛ </w:t>
      </w:r>
      <w:r>
        <w:rPr/>
        <w:t>96/11/15</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حرمت استماع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در این رابطه بررسی کردیم که برخی از آن‌ها سند و دلالت تامّی بر مدّعی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بررسی روایت دیگری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فِي تَفْسِيرِه‌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أُطِيلُ الْقُعُودَ فِي الْمَخْرَجِ لِأَسْمَعَ غِنَاءَ بَعْضِ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السَّمْعُ وَ مَا وَعَى وَ الْبَصَرُ وَ مَا رَأَى وَ الْفُؤَادُ وَ مَا عُقِدَ عَلَيْهِ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این روایت که سند ضعیفی دارد، دلالت بر قبح استماع غناء دارد؛ یعنی در روایت شخص در مستراح خانه بیشتر می‌نشسته تا به غنای بعضی از همسایه‌ها گوش دهد و امام در مواجهه با او به ذکر آیه‌ای می‌پردازند که بازخواست از شنیده‌ها و دیده‌ها دارد و او را به آنچه می‌بیند و یا می‌شنود، توجّه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صراحتی در مطلوب و مدّعای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روایات را بررسی کردیم و ملاحظه فرمودید که برخی از آن‌ها دلالت تامّی بر حرمت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اجماع فقهاء بر حرمت استماع غناء،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غناء از مسلّمات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مطرح بود که در میان مسلمین حرمت غناء فی‌الجمله چه خواندن و چه شنیدن آن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فرمودید که برخی حتّی نغماتی که مادرها در گوش فرزندان می‌خواندند را حرام دانسته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حضور و جلوس در مجلس غناء</w:t>
      </w:r>
    </w:p>
    <w:p>
      <w:pPr>
        <w:pStyle w:val="BookText"/>
        <w:rPr/>
      </w:pPr>
      <w:r>
        <w:rPr>
          <w:rFonts w:ascii="IRNazanin" w:hAnsi="IRNazanin" w:eastAsia="IRNazanin"/>
          <w:color w:val="111111"/>
          <w:sz w:val="28"/>
          <w:sz w:val="28"/>
          <w:szCs w:val="28"/>
          <w:rtl w:val="true"/>
          <w:lang w:bidi="fa-IR"/>
        </w:rPr>
        <w:t>یکی از مسائلی که باید در ادامه مباحث گذشته باید بررسی کرد، حکم حضور در مجلس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حضور در مجلس غناء</w:t>
      </w:r>
    </w:p>
    <w:p>
      <w:pPr>
        <w:pStyle w:val="BookText"/>
        <w:rPr/>
      </w:pPr>
      <w:r>
        <w:rPr>
          <w:rFonts w:ascii="IRNazanin" w:hAnsi="IRNazanin" w:eastAsia="IRNazanin"/>
          <w:color w:val="111111"/>
          <w:sz w:val="28"/>
          <w:sz w:val="28"/>
          <w:szCs w:val="28"/>
          <w:rtl w:val="true"/>
          <w:lang w:bidi="fa-IR"/>
        </w:rPr>
        <w:t>به نظر ما، قول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حضور در مجلس غناء به استماع غناء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ملازمه‌ای میان نشستن در مجلس غناء و شنیدن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شخص به نحوی اجازه شنیدن به خود ندهد و گوش خود را ببندند، شاید بتوان اطلاق سماع بر آن نمود و قائل به جواز شد؛ و یا اگر شخص در مجلس حضور می‌یابد و آن را به هم می‌زند و از آن نهی می‌کند که باز حکم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اگر می‌تواند از مجلس غناء بدون دردسر و عسر و حرجی خارج شود، باید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نمی‌تواند از این مجلس خارج شود، باید سعی در امربه‌معروف کرده و حاضرین را به گناهی که مرتکب می‌شوند آگاه کند و از وقوع آن جلوگیری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بسیار پیش می‌آمد که طلّاب و متدیّنین گرفتار چنین محاذیری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نوارهای غناء و لهو پخش می‌شد و اگر می‌خواستند ابراز مخالفت کنند، باید اتوبوس را ترک می‌کردند و در میانه جاده‌ها که نه امکانات امروز را داشت و نه احتمال عبور اتوبوس و ماشینی در آن می‌رفت، از ماشین پیاده می‌شد که خیلی گرفتاری و دردسر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مرحوم امام با این حال اگر فائق بر دیگران نمی‌شدند، مجلس و وسیله را ترک می‌کردند و به هزینه و سختی آن‌هم توجّهی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مؤیّدات قول اوّل</w:t>
      </w:r>
    </w:p>
    <w:p>
      <w:pPr>
        <w:pStyle w:val="BookText"/>
        <w:rPr/>
      </w:pPr>
      <w:r>
        <w:rPr>
          <w:rFonts w:ascii="Amiri" w:hAnsi="Amiri" w:eastAsia="Amiri" w:cs="Amiri"/>
          <w:color w:val="111111"/>
          <w:sz w:val="28"/>
          <w:sz w:val="28"/>
          <w:szCs w:val="28"/>
          <w:rtl w:val="true"/>
          <w:lang w:bidi="ar-SA"/>
        </w:rPr>
        <w:t xml:space="preserve">عَنْهُمْ عَنْ سَهْلٍ عَنْ إِبْرَاهِيمَ بْنِ مُحَمَّدٍ الْمَدَنِيِّ عَمَّنْ ذَکرَهُ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الْغِنَاءِ وَ 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مؤیّد حرمت حضور و جلوس در مجلس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غناء را از مجالسی می‌شمارند که خداوند از آن روی‌گردان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خوب است، امّا سند صحیحی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إِبْرَاهِيمَ عَنْ أَبِيهِ عَنِ ابْنِ أَبِي عُمَيْرٍ عَنْ مِهْرَانَ بْنِ مُحَمَّدٍ عَنِ الْحَسَنِ بْنِ هَارُونَ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مَجْلِسٌ لَا يَنْظُرُ اللَّهُ إِلَى أَهْلِهِ وَ هُوَ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سند این روایت صحیح نیست امّا دلالت خوبی بر مدّعا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 عَنْ جَعْفَرِ بْنِ مُحَمَّدٍأَنَّهُ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الْغِنَاءِ مَجْلِسٌ لَا يَنْظُرُ اللَّهُ إِلَى أَهْلِهِ وَ الْغِنَاءُ يُورِثُ النِّفَاقَ وَ يُعْقِبُ الْفَقْرَ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هر سه روایت در مقام تأیید قول اوّل ذکر شد؛ که حضرات معصومین مجلس غناء را مجلسی دانستند که خداوند به آن نظری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حضور در مجلس غناء؛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قائل به کراهت در رابطه با حضور در مجلس غناء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اگر این حضور با استماع همراه شد، به حکم حرمت استماع غناء باید قائل به حرمت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نفس حضور در مجلس غناء ما از ادلّه بیش از کراهت نمی‌توانیم استفاده کنیم</w:t>
      </w:r>
      <w:r>
        <w:rPr>
          <w:rFonts w:eastAsia="IRNazanin" w:cs="IRNazanin"/>
          <w:color w:val="111111"/>
          <w:sz w:val="28"/>
          <w:szCs w:val="28"/>
          <w:rtl w:val="true"/>
          <w:lang w:bidi="fa-IR"/>
        </w:rPr>
        <w:t>.</w:t>
      </w:r>
      <w:r>
        <w:rPr>
          <w:rStyle w:val="FootnoteAnchor"/>
          <w:rtl w:val="true"/>
        </w:rPr>
        <w:footnoteReference w:id="6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ما، این قول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شما وقتی در یک مجلس معصیت حضور می‌یابید، خود را در معرض آن معصیت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کلمات فقهاء این نوع احکام را به وفور می‌یابید که نماز در مجلس معصیت را هم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که آن‌چنان نمی‌توان قائل به تفکیک میان حضور در مجلس غناء و استماع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یک ملازمه‌ای در نگاه عرف میان این دو برقرار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عبدالله بن جعفر الحمیری،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عَنْ جَدِّهِ عَلِيِّ بْنِ جَعْفَرٍ عَنْ أَخِيهِ مُوسَى بْنِ جَعْفَرٍ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العریضي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العريضي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علی بن جعفر العریضی،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کتاب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يُزْمَرْ 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العريضي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علی بن جعفر العریضی،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کتاب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يُزْمَرْ 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مسندة و موثّقة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الکلینيّ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 ذکرت في کتابي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عيسى، المراد بقولي 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موسى الكمنداني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الکمیداني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داود بن 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عمران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مسندة و صحیحة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الاحکام، محقّق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محقّق عاملی، طبع جدید،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می توان اشکالی به استدلال مرحوم شیخ کرد؛در این روایت بحث غناء مطرح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بیشتر از صرف خواندن به کیفیت خاصی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امر شیخ به تأمل به همین نکته اشاره داشته باشد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شیخ انصاری، طبع تراث الشیخ الاعظم،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صحیحة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 هذه الرواية مسندة و موثّقة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الخمیني،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سرودهای مخصوص جنگ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الموسیقي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التحاور، التجاوز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مفرده اللطمة و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بالکف، سیلی زدن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فارسيّة بمعنى النشيد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فارسية بمعنى التغنّي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ید علی ید لیسمع منه صوت، التصفیق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زدن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التعليقة على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التلخیص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مسندة و صحیحة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أبي عمیر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أبو أیّوب الخرّاز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نعیم أبو الصباح الکناني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الغناء</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هذه الروایة مسندة و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هذا الحدیث 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عَلِيٍّ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إدریس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یحیی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أَيُّوبَ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أبو أیّوب الخرّاز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بن نعیم أبو الصباح الکناني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 الروایة بهذا السند مسندة و صحیحة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 الکلینيّ</w:t>
      </w:r>
      <w:r>
        <w:rPr>
          <w:rFonts w:eastAsia="IRNazanin" w:cs="IRNazanin"/>
          <w:b w:val="false"/>
          <w:bCs w:val="false"/>
          <w:i w:val="false"/>
          <w:iCs w:val="false"/>
          <w:color w:val="333333"/>
          <w:sz w:val="20"/>
          <w:szCs w:val="20"/>
          <w:rtl w:val="true"/>
        </w:rPr>
        <w:t xml:space="preserve">&amp; : </w:t>
      </w:r>
      <w:r>
        <w:rPr>
          <w:rFonts w:ascii="IRNazanin" w:hAnsi="IRNazanin" w:eastAsia="IRNazanin"/>
          <w:b w:val="false"/>
          <w:b w:val="false"/>
          <w:bCs w:val="false"/>
          <w:i w:val="false"/>
          <w:i w:val="false"/>
          <w:iCs w:val="false"/>
          <w:color w:val="333333"/>
          <w:sz w:val="20"/>
          <w:sz w:val="20"/>
          <w:szCs w:val="20"/>
          <w:rtl w:val="true"/>
        </w:rPr>
        <w:t>قال العلّامة الحلّيّ</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کلّما قال الکلینيّ</w:t>
      </w:r>
      <w:r>
        <w:rPr>
          <w:rFonts w:eastAsia="IRNazanin" w:cs="IRNazanin"/>
          <w:b w:val="false"/>
          <w:bCs w:val="false"/>
          <w:i w:val="false"/>
          <w:iCs w:val="false"/>
          <w:color w:val="333333"/>
          <w:sz w:val="20"/>
          <w:szCs w:val="20"/>
          <w:rtl w:val="true"/>
        </w:rPr>
        <w:t xml:space="preserve">&amp; :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فیه و هو إماميّ ثقة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الفضّال التیمي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فطحيّ ثقة من أصحاب الإجماع علی قول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الطاطري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فیه و هو ثقة ظاهراً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فی تحریر الاحکام المکاسب، جعفر سبحانی،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فی تحریر احکام المکاسب، جعفر سبحانی،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فی تحریر احکام المکاسب، جعفر سبحانی،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این نقل کمی تصرف کردیم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فی بیان الحلال و الحرام، عبدالاعلی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فی تحریر احکام المکاسب، جعفر سبحانی،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الصیرفي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درست بن أبي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مختلف فیه و هو ثقة ظاهراً و الظاهر أخذ المشایخ عنه قبل وقفه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مسندة و موثّقة ظاهراً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تفصیل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فاضل لنکرانی،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کلّما قال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ثقة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الرواية مسندة و موثّقة ظاهراً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أبي عمیر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هذه الروایة مسندة و صحیحة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أبي عمیر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العنوان مشترک بین هشام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هاشم بن المثنّی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 شیخ صدوق،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الحسین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الاجماع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رؤوس الواقفة، لکنّ الظاهر أخذ المشايخ عنه قبل وقفه و هو إماميّ ثقة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عبدالأعلی بن أعین مولی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ضعيفة ؛ لوجود محمّد بن السريّ في سندها و هو مهمل‌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 شیخ صدوق،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الحسين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صحیحة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محقّق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محقّق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عمیر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مهران بن محمّد بن أبي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أبي عمیر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اسماعیل بن عمّار الصیرفي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مسلم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 هذه الرواية مسندة و صحیحة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شیخ یوسف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تفصيل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فاضل لنکرانی،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مکارم شیرازی،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المواهب فی تحریر احکام المکاسب، آیت الله جعفر سبحانی،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کلّما قال الکلینيّ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الشيعة، ملا احمد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کلّما قال الکلینيّ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عمیر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بن محمّد بن أبي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 مایه پرداختن 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ملا احمد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علامه طبرسی،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المکاسب، محقّق ایروانی،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المحرّمه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فاضل لنکرانی،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صحیحة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مرفوعة و ضعيفة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ثقه الاسلام نوری،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مسندة و صحیحة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سمینة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رمي بالغلو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جمیلة، المفضّل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أسامة، زید الشحّام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أبي سمینة محمّد بن عليّ في سندها و هو ضعيف ‌جدّاً رمي بالغلو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مرسلة و ضعیفة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قال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الریّان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قال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الریّان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أبواب ما يكتسب به، 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امام خمینی،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محقّق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بن الفضّال التیمي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فطحيّ ثقة من أصحاب الإجماع علی قول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الأعلی بن أعین مولی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مغز باطل را مي شكافد و می شكند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موثّقة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إسباغ الوضوء كماله و السعي في إيصال الماء إلى أجزاء الأعضاء و رعاية الآداب و المستحبّات فيه من الأدعية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إتمامه و إكماله، و ذلك في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إتمامه على ما فرض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إكماله على ما سنّه رسول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الرشوة للحکم و معاملة منصب القضاء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رواة مهملین في سندها إلّا الشیخ الصدوق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 الناضره، شیخ یوسف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أحمد البیهقيّ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الصدوق و هو ثقة ظاهراً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بن محمّد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أبي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الإرتکاب بالغناء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لِأَهْلِ الْحِجَازِ رَأْيٌ فِيه‌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محمّد بن يحيى الصوليّ و عون بن محمّد الكاتب و محمّد بن أبي عبّاد في سندها و کلّهم مهملون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الحسین بن بابویه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و ثقة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 بن یزید انباری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و ثقة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و ثقة و من اصحاب الاجماع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مهران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و ثقة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الاحکام، محقّق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مکارم،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آیت الله سبحانی،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زیديّ جارودي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رأس المذري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القاسم بن جعفر بن عبد الله‌ بن جعفر بن محمّد بن 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عليّ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هذان الإسمان لشخص واحد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بكر بن محمّد بن عمرو 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القاسم بن جعفر بن عبد الله و عبد الله بن محمّد بن عليّ العلويّ و أبيه و عبد الله بن أبي بكر بن محمّد بن عمرو بن حزم‌ في سندها و کلّهم مهملون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‌محمّد بن عبدالله ‌أبو ‌القاسم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بن إسحاق الأحمري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إبراهيم بن حمّاد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یجتمعن للحزن، بکاء مع صوت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الأسلوب الذي یقرئه رهبان النصاری للإنجیل؛ فإنّه کیفیّة غنائیّة خاصّة؛ مثل ما یفعله بعض المتصوّفة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القرآن حناجرهم و لا یصل إلی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التراقي جمع الترقوة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چنبر گردن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هذه الرواية مسندة و صحیحة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عامّيّ لم یتّضح حاله عندنا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العبّاس بن 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ضعیفة؛ لوجود سليمان بن مسلم الخشّاب و عبد الله بن جريح المكّيّ في سندها و هما مهملان و عطاء بن أبي رياح و هو عامّيّ لم یتّضح حاله عندنا‌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مرفوعة و ضعيفة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در زمين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ريختن بلا بر آنان از آسمان‌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الملاعب التي يضرب بها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المغنّیات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الروایة مرفوعة و ضعیفة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مرفوعة و ضعيفة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الروایة مسندة و صحیحة ظاهراً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هارون بن مسلم بن 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مستراح، فِضاء، مِرحاض، 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شویی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نوع من الآلات الموسیقیّة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حفظک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صحیحة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محبوب 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الأجماع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عنبسة بن بجاد العابد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إستمع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أحمد بن محمّد بن إبراهيم الأرمنيّ‌ في سندها و هو مهمل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 النّاضره، شیخ یوسف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المحرّمه،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جعفر العریضي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مسندة و صحیحة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إستمع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مرفوعة و ضعيفة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کلّما قال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بن الفضّال التیمي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فطحيّ ثقة من أصحاب الإجماع علی قول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الطاطري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فیه و هو ثقة ظاهراً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صحیحة ظاهراً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المحرّمه،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شیخ یوسف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إدریس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‌بن عبدالله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اللخمي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إسحاق بن إبراهيم‌ في سندها و هو مهمل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الروایة مرسلة و ضعیفة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الحسین بن بابویه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شیح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موقوفة و ضعیفة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الناضره، محقّق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الاحکام، سید عبدالاعلی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محقّق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الفقاهه، محقّق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مکاسب محرّمه،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مکاسب محرّمه،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المکاسب، محقّق ایروانی،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الفقاهه، محقّق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الفقاهه، محقّق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ایشان از این قرار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الضابطة المذکورة تتحقّق بأحد أمرين على سبيل مانعة الخلو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الأصوات المتّصفة بصفة الغناء مقترنةً بکلام لا يعدّ عند العقلاء إلّا باطلاً؛ لعدم اشتماله على المعاني الصحيحة، بحيث يکون لکلّ واحد من اللحن و بطلان المادّة مدخل في تحقّق معنى السماع و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مثاله الألفاظ المصوّغة على هيئة خاصّة، و المعاني المهيّجة للشهوة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فلو وجد‌ اللحن المذکور في کلام له معنى صحيح عند العقلاء لما کان غناءً،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يکون الصوت بنفسه مصداقاً للغناء و قول الزور و اللهو المحرّم؛ کألحان أهل الفسوق و الکبائر التي لا تصلح إلّا للرقص و الطرب، سواء تحقّقت بکلمات باطلة أم تحقّقت بکلمات مشتملة على المعاني الراقية، کالقرآن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هذه الأمور المعظمة أبغض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الجملة لا ريب أنّ للصوت تأثيراً في النفوس؛ فإن کان إيجاده للحزن و البکاء و ذکر الجنّة و النار بقراءة القرآن و نحوه، لم يکن غناءً ليحکم بحرمته؛ بل يکون القاري مأجوراً عند اللّه، و إن کان ذلک للرقص و التلهّي کان غناءً و سماعاً، و مشمولاً للروايات المتواترة الدالّة على حرمة الغناء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المواهب، آیه الله سبحانی،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بن الفضّال التیمي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فطحيّ ثقة من أصحاب الإجماع علی قول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الأعلی بن أعین مولی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مغز باطل را مي شكافد و مي شكند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موثّقة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بن الفضّال التیمي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فطحيّ ثقة من أصحاب الإجماع علی قول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الأعلی بن أعین مولی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مغز باطل را مي شكافد و مي شكند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موثّقة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قال 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فهم عليّ بن محمّد بن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أبو الحسین الکوفي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عقيل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الریّان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أحمد البیهقيّ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الصدوق و هو ثقة ظاهراً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بن محمّد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أبي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الإرتکاب بالغناء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لِأَهْلِ الْحِجَازِ رَأْيٌ فِيه‌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محمّد بن يحيى الصوليّ و عون بن محمّد الكاتب و محمّد بن أبي عبّاد في سندها و کلّهم مهملون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مسندة و ضعیفة ؛ لوجود أحمد بن يحيى بن زكريّا القطّان و تميم بن بهلول في سندها و هما مهملان‌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هذه الرواية مسندة و صحیحة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فی تحریر احکام المکاسب،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طوسی،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محقّق حلّی،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السيد روح الله الخميني،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محقّق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ملا احمد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الکلینيّ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 ذکرت في کتابي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عيسى، المراد بقولي 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موسى الكمنداني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الکمیداني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داود بن 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عمران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أبواب ما يكتسب به،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الببیت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محقّق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ارشادالطالب، میرزا جواد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الأشعري، إماميّ ثقة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أبو بصیر الأسدي، إماميّ ثقة من أصحاب الإجماع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شمارحدیث</w:t>
      </w:r>
      <w:r>
        <w:rPr>
          <w:rFonts w:eastAsia="IRNazanin" w:cs="IRNazanin"/>
          <w:b w:val="false"/>
          <w:bCs w:val="false"/>
          <w:i w:val="false"/>
          <w:iCs w:val="false"/>
          <w:color w:val="333333"/>
          <w:sz w:val="20"/>
          <w:szCs w:val="20"/>
        </w:rPr>
        <w:t>22146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إماميّ ثقة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الأشعري، إماميّ ثقة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الأهوازي، إماميّ ثقة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البطائني، من رؤوس الواقفة، لکنّ الظاهر أخذ المشایخ عنه قبل وقفه و هو إماميّ ثقة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أبو بصیر الأسدي، إماميّ ثقة من أصحاب الإجماع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مكان المصلي،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 حدیث</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 حدیث</w:t>
      </w:r>
      <w:r>
        <w:rPr>
          <w:rFonts w:eastAsia="IRNazanin" w:cs="IRNazanin"/>
          <w:b w:val="false"/>
          <w:bCs w:val="false"/>
          <w:i w:val="false"/>
          <w:iCs w:val="false"/>
          <w:color w:val="333333"/>
          <w:sz w:val="20"/>
          <w:szCs w:val="20"/>
        </w:rPr>
        <w:t>22144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رؤوس الواقفة، لکنّ الظاهر أخذ المشایخ عنه قبل وقفه و هو إماميّ ثقة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داراحیاء التراث العربی؛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الکلینيّ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 ذکرت في کتابي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عيسى، المراد بقولي 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موسى الكمنداني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الکمیداني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داود بن 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عمران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الروایة مسندة و صحیحة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الفقاهه، ناصر مکارم شیرازی، کتاب التجاره،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 مدرسه امام امیرالمومنین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 الشيخ محمّدحسن النّجفي،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مقدّس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 الناضره، شیخ یوسف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موسسه نشر اسلامی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غایه الامال، شیخ حسن مامقانی،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مجمع الذخائر الاسلامیه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موسسه تنظیم و نشر آثار امام خمینی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المحقق السبزواري،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أحمدالنّراقي،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المواهب، جعفر سبحانی،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أحمدالنّراقي،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 احیاء التراث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السيد روح الله الخميني،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تراث الشیخ الاعظم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 احیاء التراث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اللفظ القبیح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ال‌البیت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الاحکام، محقّق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دارالتفسیر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ط مدرسه امام امیرالمومنین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محقّق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القواعد، کاشف الغطاء،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‌محمّد بن عبدالله ‌أبو ‌القاسم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بن إسحاق الأحمري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إبراهيم بن حمّاد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یجتمعن للحزن، بکاء مع صوت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الأسلوب الذي یقرئه رهبان النصاری للإنجیل؛ فإنّه کیفیّة غنائیّة خاصّة؛ مثل ما یفعله بعض المتصوّفة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القرآن حناجرهم و لا یصل إلی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التراقي جمع الترقوة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چنبر گردن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الاحکام، عبدالاعلی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دارالتفسیر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عامّيّ لم یتّضح حاله عندنا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العبّاس بن 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الاحکام، سید عبدالاعلی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نشر اسلامی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مکارم شیرازی،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مدرسه امام امیرالمومنین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عمیر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أبواب قراءة القرآن ولو في غير الصلاة،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القاسم بن الحارث الحضرميّ البطل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‌غال، واقفي‌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مولى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أبواب قراءة القرآن ولو في غير الصلاة،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لم یکن بالمرضي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 ثقة ظاهراً‌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غياث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 ثقة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أبواب قراءة القرآن ولو في غير الصلاة،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الأحکام، عبدالاعلی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ملا احمد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عبدالله ‌أبو ‌القاسم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إسحاق الأحمري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إبراهيم بن حمّاد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ابواب أبواب قراءة القرآن ولو في غير الصلاة،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أبواب قراءة القرآن ولو في غير الصلاة، ط آل البيت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الاحکام، سید عبدالاعلی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شیخ یوسف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موسسه نشر اسلامی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تراث الشیخ الانصاری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فی تحریر احکام المکاسب، جعفر سبحانی،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ط موسسه امام صادق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شمّون‌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‌ثمّ غلا، ضعیف جدّاً فاسد المذهب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سليمان النوفلي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أبواب قراءة القرآن ولو في غير الصلاة،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کاشف الغطاء،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القاسم بن الحارث الحضرميّ البطل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‌غال، واقفي‌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القاسم بن الحارث الحضرميّ البطل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‌غال، واقفي‌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أبواب قراءة القرآن ولو في غير الصلاة،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ضعيفة ؛ لوجود عبد الله بن القاسم‌ في سندها و هو كذّاب غال، واقفي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عمر بن يزيد بن ذبيان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ثقة ظاهراً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أبي زياد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 ثقة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على الظاهر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عقبة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أبواب قراءة القرآن ولو في غير الصلاة،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الروایة مرسلة و ضعیفة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السرّاد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رؤوس الواقفة، لکنّ الظاهر أخذ المشايخ عنه قبل وقفه و هو إماميّ ثقة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أبواب قراءة القرآن ولو في غير الصلاة،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مسندة و موثّقة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بن أحمد 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ملا احمد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شیخ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ط دارالمعرفه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الحسین بن بابویه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محمّد بن سالم الجعابي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عبدالله بن محمّد بن عليّ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عليّ التمیمی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عمر بن يزيد بن ذبيان‌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على الظاهر‌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إسماعیل المیثمي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ثقة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دار احیاء التراث المجلسی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أکیل النمیري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بمجلسی،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دار احیاء التراث المجلسی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ج،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مرفوعة و ضعیفة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 النّاضره، شیخ یوسف 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مؤسسه نشر آثار امام خمینی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الفقاهه، محقّق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الاحکام، محقّق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أحمدالنّراقي،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الآمال في شرح كتاب المكاسب، الشيخ محمد حسن المامقاني،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فی بیان حلال و الحرام، سید عبدالاعلی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الحسین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الحسین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عبدالله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بن عقبة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ظاهراً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عمیر أبو هارون المکفوف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الامال، مامقانی،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نشر مجمع الذخائر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المواهب، آیت‌الله سبحانی،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نشر مؤسسه امام صادق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 و البرهان، محقّق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الشیعه، محقّق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 و البرهان، محقّق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 تراث الشیخ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تراث الشیخ</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محقّق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محقّق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الفائده و البرهان، محقّق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سعید 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النضر بن سوید الصیرفي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بن عمران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أیّوب بن الحرّ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أبو بصیر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الصیرفي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واقفىّ ثقة و الظاهر أخذ المشايخ‌ عنه ‌قبل ‌وقفه‌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 المقدّس الأردبيلي،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أنّه يطلق على مدّ الصّوت من غير طرب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فیه و هو إماميّ ثقة علی الأقوی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محقّق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الامال، شیخ حسن مامقانی،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مجمع الذخائر الاسلامی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محقّق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تراث الشیخ الاعظم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 و البرهان، محقّق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نشر اسلامی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الفقاهه، محقّق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مکارم شیرازی،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مدرسه امام امیرالمومنین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الاحکام، محقّق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دارالتفسیر؛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تراث الشیخ الاعظم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دراحیاء التراث العربی؛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مکارم شیرازی،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 مدرسه امام امیرالمومنین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الحاشیه علی المکاسب، سید لاری،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غایه الامال، محمدحسن مامقانی،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مجمع الذخائر الاسلامی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حاشیه بر مکاسب، سید لاری،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مکاسب 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مکارم شیرازی،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ط مدرسه امام امیرالمومنین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القواعد، کاشف الغطاء،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دار احیاء التراث</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عیسی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سعید 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 بن عمران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 أبو بصیر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من أصحاب الإجماع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تذکره الفقاء، علّامه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موسسه نشر آثار امام خمینی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مکاسب 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موسسه نشر آثار امام خمینی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غایه الامال، محمدحسن مامقانی،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مجمع الذخائر الاسلامیه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الشیعه، محقّق نراقی،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محقّق طبرسی،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ط دارالمعرفه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 الشيخ محمّدحسن النّجفي،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میرزای نوری،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ال‌البیت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غایه الامال، شیخ حسن مامقانی،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مجمع الذخائر الاسلامی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51803</Words>
  <Characters>210043</Characters>
  <CharactersWithSpaces>260884</CharactersWithSpaces>
  <Paragraphs>1858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2026-08-18T17:46:49Z</dcterms:created>
  <dc:creator>ghaemiyeh.com</dc:creator>
  <dc:description/>
  <dc:language>en-US</dc:language>
  <cp:lastModifiedBy/>
  <dcterms:modified xsi:type="dcterms:W3CDTF">2026-08-18T21:16:56Z</dcterms:modified>
  <cp:revision>1</cp:revision>
  <dc:subject/>
  <dc:title>آرشیو دروس خارج فقه استاد محسن فقیهی 96</dc:title>
</cp:coreProperties>
</file>

<file path=docProps/custom.xml><?xml version="1.0" encoding="utf-8"?>
<Properties xmlns="http://schemas.openxmlformats.org/officeDocument/2006/custom-properties" xmlns:vt="http://schemas.openxmlformats.org/officeDocument/2006/docPropsVTypes"/>
</file>