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عقیده تربیت و اخلاق در مکتب عسکریین علیهما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0083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40085_36445660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40087_364456609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40089_3644566090">
            <w:r>
              <w:rPr>
                <w:webHidden/>
                <w:rStyle w:val="IndexLink"/>
                <w:rtl w:val="true"/>
              </w:rPr>
              <w:t>روز الست</w:t>
            </w:r>
            <w:r>
              <w:rPr>
                <w:rStyle w:val="IndexLink"/>
                <w:rtl w:val="true"/>
              </w:rPr>
              <w:t>:</w:t>
              <w:tab/>
            </w:r>
            <w:r>
              <w:rPr>
                <w:rStyle w:val="IndexLink"/>
              </w:rPr>
              <w:t>11</w:t>
            </w:r>
          </w:hyperlink>
        </w:p>
        <w:p>
          <w:pPr>
            <w:pStyle w:val="Contents2"/>
            <w:tabs>
              <w:tab w:val="clear" w:pos="8743"/>
              <w:tab w:val="right" w:pos="9026" w:leader="dot"/>
            </w:tabs>
            <w:rPr/>
          </w:pPr>
          <w:hyperlink w:anchor="__RefHeading___Toc340091_3644566090">
            <w:r>
              <w:rPr>
                <w:webHidden/>
                <w:rStyle w:val="IndexLink"/>
                <w:rtl w:val="true"/>
              </w:rPr>
              <w:t>ولایت عترت</w:t>
            </w:r>
            <w:r>
              <w:rPr>
                <w:rStyle w:val="IndexLink"/>
                <w:rtl w:val="true"/>
              </w:rPr>
              <w:t>:</w:t>
              <w:tab/>
            </w:r>
            <w:r>
              <w:rPr>
                <w:rStyle w:val="IndexLink"/>
              </w:rPr>
              <w:t>14</w:t>
            </w:r>
          </w:hyperlink>
        </w:p>
        <w:p>
          <w:pPr>
            <w:pStyle w:val="Contents2"/>
            <w:tabs>
              <w:tab w:val="clear" w:pos="8743"/>
              <w:tab w:val="right" w:pos="9026" w:leader="dot"/>
            </w:tabs>
            <w:rPr/>
          </w:pPr>
          <w:hyperlink w:anchor="__RefHeading___Toc340093_3644566090">
            <w:r>
              <w:rPr>
                <w:webHidden/>
                <w:rStyle w:val="IndexLink"/>
                <w:rtl w:val="true"/>
              </w:rPr>
              <w:t>ان ذکر الخیر</w:t>
            </w:r>
            <w:r>
              <w:rPr>
                <w:rStyle w:val="IndexLink"/>
                <w:rtl w:val="true"/>
              </w:rPr>
              <w:t>:</w:t>
              <w:tab/>
            </w:r>
            <w:r>
              <w:rPr>
                <w:rStyle w:val="IndexLink"/>
              </w:rPr>
              <w:t>16</w:t>
            </w:r>
          </w:hyperlink>
        </w:p>
        <w:p>
          <w:pPr>
            <w:pStyle w:val="Contents2"/>
            <w:tabs>
              <w:tab w:val="clear" w:pos="8743"/>
              <w:tab w:val="right" w:pos="9026" w:leader="dot"/>
            </w:tabs>
            <w:rPr/>
          </w:pPr>
          <w:hyperlink w:anchor="__RefHeading___Toc340095_3644566090">
            <w:r>
              <w:rPr>
                <w:webHidden/>
                <w:rStyle w:val="IndexLink"/>
                <w:rtl w:val="true"/>
              </w:rPr>
              <w:t>سرگردانی بشر</w:t>
            </w:r>
            <w:r>
              <w:rPr>
                <w:rStyle w:val="IndexLink"/>
                <w:rtl w:val="true"/>
              </w:rPr>
              <w:t>:</w:t>
              <w:tab/>
            </w:r>
            <w:r>
              <w:rPr>
                <w:rStyle w:val="IndexLink"/>
              </w:rPr>
              <w:t>18</w:t>
            </w:r>
          </w:hyperlink>
        </w:p>
        <w:p>
          <w:pPr>
            <w:pStyle w:val="Contents2"/>
            <w:tabs>
              <w:tab w:val="clear" w:pos="8743"/>
              <w:tab w:val="right" w:pos="9026" w:leader="dot"/>
            </w:tabs>
            <w:rPr/>
          </w:pPr>
          <w:hyperlink w:anchor="__RefHeading___Toc340097_3644566090">
            <w:r>
              <w:rPr>
                <w:webHidden/>
                <w:rStyle w:val="IndexLink"/>
                <w:rtl w:val="true"/>
              </w:rPr>
              <w:t>بنابر قول تفسیر بطون</w:t>
            </w:r>
            <w:r>
              <w:rPr>
                <w:rStyle w:val="IndexLink"/>
                <w:rtl w:val="true"/>
              </w:rPr>
              <w:tab/>
            </w:r>
            <w:r>
              <w:rPr>
                <w:rStyle w:val="IndexLink"/>
              </w:rPr>
              <w:t>19</w:t>
            </w:r>
          </w:hyperlink>
        </w:p>
        <w:p>
          <w:pPr>
            <w:pStyle w:val="Contents2"/>
            <w:tabs>
              <w:tab w:val="clear" w:pos="8743"/>
              <w:tab w:val="right" w:pos="9026" w:leader="dot"/>
            </w:tabs>
            <w:rPr/>
          </w:pPr>
          <w:hyperlink w:anchor="__RefHeading___Toc340099_3644566090">
            <w:r>
              <w:rPr>
                <w:webHidden/>
                <w:rStyle w:val="IndexLink"/>
                <w:rtl w:val="true"/>
              </w:rPr>
              <w:t>جامعه، جامعه، جامعه</w:t>
            </w:r>
            <w:r>
              <w:rPr>
                <w:rStyle w:val="IndexLink"/>
                <w:rtl w:val="true"/>
              </w:rPr>
              <w:tab/>
            </w:r>
            <w:r>
              <w:rPr>
                <w:rStyle w:val="IndexLink"/>
              </w:rPr>
              <w:t>20</w:t>
            </w:r>
          </w:hyperlink>
        </w:p>
        <w:p>
          <w:pPr>
            <w:pStyle w:val="Contents2"/>
            <w:tabs>
              <w:tab w:val="clear" w:pos="8743"/>
              <w:tab w:val="right" w:pos="9026" w:leader="dot"/>
            </w:tabs>
            <w:rPr/>
          </w:pPr>
          <w:hyperlink w:anchor="__RefHeading___Toc340101_3644566090">
            <w:r>
              <w:rPr>
                <w:webHidden/>
                <w:rStyle w:val="IndexLink"/>
                <w:rtl w:val="true"/>
              </w:rPr>
              <w:t>امام باب الله است</w:t>
            </w:r>
            <w:r>
              <w:rPr>
                <w:rStyle w:val="IndexLink"/>
                <w:rtl w:val="true"/>
              </w:rPr>
              <w:t>:</w:t>
              <w:tab/>
            </w:r>
            <w:r>
              <w:rPr>
                <w:rStyle w:val="IndexLink"/>
              </w:rPr>
              <w:t>24</w:t>
            </w:r>
          </w:hyperlink>
        </w:p>
        <w:p>
          <w:pPr>
            <w:pStyle w:val="Contents2"/>
            <w:tabs>
              <w:tab w:val="clear" w:pos="8743"/>
              <w:tab w:val="right" w:pos="9026" w:leader="dot"/>
            </w:tabs>
            <w:rPr/>
          </w:pPr>
          <w:hyperlink w:anchor="__RefHeading___Toc340103_3644566090">
            <w:r>
              <w:rPr>
                <w:webHidden/>
                <w:rStyle w:val="IndexLink"/>
                <w:rtl w:val="true"/>
              </w:rPr>
              <w:t>مَن جاءَ بِالحَسَنَه</w:t>
            </w:r>
            <w:r>
              <w:rPr>
                <w:rStyle w:val="IndexLink"/>
                <w:rtl w:val="true"/>
              </w:rPr>
              <w:t>:</w:t>
              <w:tab/>
            </w:r>
            <w:r>
              <w:rPr>
                <w:rStyle w:val="IndexLink"/>
              </w:rPr>
              <w:t>25</w:t>
            </w:r>
          </w:hyperlink>
        </w:p>
        <w:p>
          <w:pPr>
            <w:pStyle w:val="Contents2"/>
            <w:tabs>
              <w:tab w:val="clear" w:pos="8743"/>
              <w:tab w:val="right" w:pos="9026" w:leader="dot"/>
            </w:tabs>
            <w:rPr/>
          </w:pPr>
          <w:hyperlink w:anchor="__RefHeading___Toc340105_3644566090">
            <w:r>
              <w:rPr>
                <w:webHidden/>
                <w:rStyle w:val="IndexLink"/>
                <w:rtl w:val="true"/>
              </w:rPr>
              <w:t>سکونت در بلد امن</w:t>
            </w:r>
            <w:r>
              <w:rPr>
                <w:rStyle w:val="IndexLink"/>
                <w:rtl w:val="true"/>
              </w:rPr>
              <w:t>:</w:t>
              <w:tab/>
            </w:r>
            <w:r>
              <w:rPr>
                <w:rStyle w:val="IndexLink"/>
              </w:rPr>
              <w:t>26</w:t>
            </w:r>
          </w:hyperlink>
        </w:p>
        <w:p>
          <w:pPr>
            <w:pStyle w:val="Contents2"/>
            <w:tabs>
              <w:tab w:val="clear" w:pos="8743"/>
              <w:tab w:val="right" w:pos="9026" w:leader="dot"/>
            </w:tabs>
            <w:rPr/>
          </w:pPr>
          <w:hyperlink w:anchor="__RefHeading___Toc340107_3644566090">
            <w:r>
              <w:rPr>
                <w:webHidden/>
                <w:rStyle w:val="IndexLink"/>
                <w:rtl w:val="true"/>
              </w:rPr>
              <w:t>کُهوف کُتُبه</w:t>
            </w:r>
            <w:r>
              <w:rPr>
                <w:rStyle w:val="IndexLink"/>
                <w:rtl w:val="true"/>
              </w:rPr>
              <w:t>:</w:t>
              <w:tab/>
            </w:r>
            <w:r>
              <w:rPr>
                <w:rStyle w:val="IndexLink"/>
              </w:rPr>
              <w:t>28</w:t>
            </w:r>
          </w:hyperlink>
        </w:p>
        <w:p>
          <w:pPr>
            <w:pStyle w:val="Contents2"/>
            <w:tabs>
              <w:tab w:val="clear" w:pos="8743"/>
              <w:tab w:val="right" w:pos="9026" w:leader="dot"/>
            </w:tabs>
            <w:rPr/>
          </w:pPr>
          <w:hyperlink w:anchor="__RefHeading___Toc340109_3644566090">
            <w:r>
              <w:rPr>
                <w:webHidden/>
                <w:rStyle w:val="IndexLink"/>
                <w:rtl w:val="true"/>
              </w:rPr>
              <w:t xml:space="preserve">امام عسکری علیه السلام </w:t>
            </w:r>
            <w:r>
              <w:rPr>
                <w:rStyle w:val="IndexLink"/>
                <w:rtl w:val="true"/>
              </w:rPr>
              <w:t>:</w:t>
              <w:tab/>
            </w:r>
            <w:r>
              <w:rPr>
                <w:rStyle w:val="IndexLink"/>
              </w:rPr>
              <w:t>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65_28998"/>
      <w:bookmarkStart w:id="1" w:name="pg4465_28998"/>
      <w:bookmarkEnd w:id="1"/>
    </w:p>
    <w:p>
      <w:pPr>
        <w:pStyle w:val="Heading2"/>
        <w:numPr>
          <w:ilvl w:val="1"/>
          <w:numId w:val="1"/>
        </w:numPr>
        <w:rPr/>
      </w:pPr>
      <w:bookmarkStart w:id="2" w:name="pg4465_28998"/>
      <w:bookmarkStart w:id="3" w:name="__RefHeading___Toc340083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عقیده، تربیت و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عسکریین علیهما السلام</w:t>
      </w:r>
    </w:p>
    <w:p>
      <w:p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بحرالعلوم میردامادی</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مطالعات و تحقیقات مسائل جهانی مهدویّت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9967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و نشر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37705493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32237352</w:t>
      </w:r>
      <w:r>
        <w:rPr>
          <w:rFonts w:eastAsia="IRNazanin" w:cs="IRNazanin"/>
          <w:color w:val="111111"/>
          <w:sz w:val="28"/>
          <w:szCs w:val="28"/>
          <w:rtl w:val="true"/>
          <w:lang w:bidi="fa-IR"/>
        </w:rPr>
        <w:t xml:space="preserve"> - </w:t>
      </w:r>
      <w:r>
        <w:rPr>
          <w:rFonts w:eastAsia="IRNazanin" w:cs="IRNazanin"/>
          <w:color w:val="111111"/>
          <w:sz w:val="28"/>
          <w:szCs w:val="28"/>
          <w:lang w:bidi="fa-IR"/>
        </w:rPr>
        <w:t>031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0085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عقیده، تربیت و اخلاق</w:t>
      </w:r>
    </w:p>
    <w:p>
      <w:pPr>
        <w:pStyle w:val="BookText"/>
        <w:rPr/>
      </w:pPr>
      <w:r>
        <w:rPr>
          <w:rFonts w:ascii="IRNazanin" w:hAnsi="IRNazanin" w:eastAsia="IRNazanin"/>
          <w:color w:val="111111"/>
          <w:sz w:val="28"/>
          <w:sz w:val="28"/>
          <w:szCs w:val="28"/>
          <w:rtl w:val="true"/>
          <w:lang w:bidi="fa-IR"/>
        </w:rPr>
        <w:t>در مکتب عسکریین علیهما السلام</w:t>
      </w:r>
    </w:p>
    <w:p>
      <w:p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بحرالعلوم میردامادی</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مطالعات و تحقیقات مسائل جهانی مهدویّت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9967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و نشر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37705493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32237352</w:t>
      </w:r>
      <w:r>
        <w:rPr>
          <w:rFonts w:eastAsia="IRNazanin" w:cs="IRNazanin"/>
          <w:color w:val="111111"/>
          <w:sz w:val="28"/>
          <w:szCs w:val="28"/>
          <w:rtl w:val="true"/>
          <w:lang w:bidi="fa-IR"/>
        </w:rPr>
        <w:t xml:space="preserve"> - </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ارتباط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09127594117</w:t>
      </w:r>
    </w:p>
    <w:p>
      <w:pPr>
        <w:pStyle w:val="BookText"/>
        <w:rPr/>
      </w:pPr>
      <w:r>
        <w:rPr>
          <w:rFonts w:eastAsia="Times New Roman" w:cs="Times New Roman" w:ascii="Times New Roman" w:hAnsi="Times New Roman"/>
          <w:color w:val="111111"/>
          <w:sz w:val="28"/>
          <w:szCs w:val="28"/>
          <w:lang w:val="en-US" w:bidi="en-US"/>
        </w:rPr>
        <w:t>www.Bahareqoloob.com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Info@Bahareqoloob.com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465_29006"/>
      <w:bookmarkStart w:id="8" w:name="pg4465_29006"/>
      <w:bookmarkEnd w:id="8"/>
    </w:p>
    <w:p>
      <w:pPr>
        <w:pStyle w:val="Heading2"/>
        <w:numPr>
          <w:ilvl w:val="1"/>
          <w:numId w:val="1"/>
        </w:numPr>
        <w:rPr/>
      </w:pPr>
      <w:bookmarkStart w:id="9" w:name="pg4465_29006"/>
      <w:bookmarkStart w:id="10" w:name="__RefHeading___Toc340087_364456609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 xml:space="preserve">این نوشته پیرامون عقیده، تربیت و اخلاق در مکتب امام هادی علیه السلام و امام عسکری علیه السلام به درخواست دبیرخانه‌ی چهارمین کنفرانس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الإمامان العسکریّان امتداد للإمامین الکاظمین علیهما السلام دعوة حسنی لنهج رسالی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المرجّب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مقدّس کاظمین، نوشته شد و ارائه گردید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مورد استفاده‌ی همگان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و نبیّنا ابی القاسم محمّد و اله الطّیبین الطّاهرین لاسیّما بقیّة الله فی الارضین، و لعنة الله علی اعدائهم اجمعین الی یوم الدّین</w:t>
      </w:r>
    </w:p>
    <w:p>
      <w:pPr>
        <w:pStyle w:val="BookText"/>
        <w:rPr/>
      </w:pPr>
      <w:r>
        <w:rPr>
          <w:rFonts w:ascii="IRNazanin" w:hAnsi="IRNazanin" w:eastAsia="IRNazanin"/>
          <w:color w:val="111111"/>
          <w:sz w:val="28"/>
          <w:sz w:val="28"/>
          <w:szCs w:val="28"/>
          <w:rtl w:val="true"/>
          <w:lang w:bidi="fa-IR"/>
        </w:rPr>
        <w:t>حضّار محترم، اساتید گرامی، علمای اعلام و نمایندگان حضرات آیات مراجع</w:t>
      </w:r>
    </w:p>
    <w:p>
      <w:pPr>
        <w:pStyle w:val="BookText"/>
        <w:rPr/>
      </w:pPr>
      <w:r>
        <w:rPr>
          <w:rFonts w:ascii="IRNazanin" w:hAnsi="IRNazanin" w:eastAsia="IRNazanin"/>
          <w:color w:val="111111"/>
          <w:sz w:val="28"/>
          <w:sz w:val="28"/>
          <w:szCs w:val="28"/>
          <w:rtl w:val="true"/>
          <w:lang w:bidi="fa-IR"/>
        </w:rPr>
        <w:t>السّلام علیکم و رحمة الله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کسب اجازه از دو نور آسمانی، امامین حضرت امام موسی بن جعفر علیهما سلام الله و حضرت امام محمّد بن علی علیهما سلام الله، و با ادب در این بارگاه نورانی و مقدّس، مطالبی را پیرامون العقیدة و التربیة و المعرفة فی مدرسة العسکریّین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می‌دارم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اهل اطّلاع و اندیشمندان پوشیده و پنهان نیست، که اسلام مکتب تربیت و اخلاق بر اساس عقیده به مبدء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w:t>
      </w:r>
      <w:bookmarkStart w:id="12" w:name="pg4465_29012"/>
    </w:p>
    <w:p>
      <w:pPr>
        <w:pStyle w:val="BookText"/>
        <w:rPr/>
      </w:pPr>
      <w:bookmarkEnd w:id="12"/>
      <w:r>
        <w:rPr>
          <w:rFonts w:ascii="Amiri" w:hAnsi="Amiri" w:eastAsia="Amiri" w:cs="Amiri"/>
          <w:color w:val="111111"/>
          <w:sz w:val="28"/>
          <w:sz w:val="28"/>
          <w:szCs w:val="28"/>
          <w:rtl w:val="true"/>
          <w:lang w:bidi="ar-SA"/>
        </w:rPr>
        <w:t>لَفی ضَلالٍ مُبینٍ</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مؤمنین به دین مبین اسلام، با توجّه به آیاتی که هدف ارسال رسل و انزال کتب، خاصّه بعثت رسول الله صلی الله علیه و آله وسلم را بیان می‌دارد، در تزکیه و فرا گیری علم و معرفت، همواره کوشا بوده‌اند</w:t>
      </w:r>
      <w:r>
        <w:rPr>
          <w:rFonts w:eastAsia="IRNazanin" w:cs="IRNazanin"/>
          <w:color w:val="111111"/>
          <w:sz w:val="28"/>
          <w:szCs w:val="28"/>
          <w:rtl w:val="true"/>
          <w:lang w:bidi="fa-IR"/>
        </w:rPr>
        <w:t>.</w:t>
      </w:r>
    </w:p>
    <w:p>
      <w:pPr>
        <w:pStyle w:val="Heading2"/>
        <w:numPr>
          <w:ilvl w:val="1"/>
          <w:numId w:val="1"/>
        </w:numPr>
        <w:rPr/>
      </w:pPr>
      <w:bookmarkStart w:id="13" w:name="__RefHeading___Toc340089_3644566090"/>
      <w:bookmarkStart w:id="14" w:name="_Toc4"/>
      <w:bookmarkEnd w:id="13"/>
      <w:r>
        <w:rPr>
          <w:rtl w:val="true"/>
        </w:rPr>
        <w:t>روز الست</w:t>
      </w:r>
      <w:r>
        <w:rPr>
          <w:rtl w:val="true"/>
        </w:rPr>
        <w:t>:</w:t>
      </w:r>
      <w:bookmarkEnd w:id="14"/>
    </w:p>
    <w:p>
      <w:pPr>
        <w:pStyle w:val="BookText"/>
        <w:rPr/>
      </w:pPr>
      <w:r>
        <w:rPr>
          <w:rFonts w:ascii="IRNazanin" w:hAnsi="IRNazanin" w:eastAsia="IRNazanin"/>
          <w:color w:val="111111"/>
          <w:sz w:val="28"/>
          <w:sz w:val="28"/>
          <w:szCs w:val="28"/>
          <w:rtl w:val="true"/>
          <w:lang w:bidi="fa-IR"/>
        </w:rPr>
        <w:t>قبل از بیان هر مطلب باید به ترسیم روز الست بپردازیم، روز الست روزی که انسان، با ایمان به خدا و رسول و اوصیاء علیهم السلام به همه‌ی خوبیها و خیرات بله گفت و بر همه‌ی شرور و نابجائی‌ها پشت‌پا زد، در گوشه‌ی دل و</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صاحبان فطرت و دارندگان قلب سلیم، انعکاس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امیرالمؤمنین علیه السلام در نهج البلاغه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فِیهِمْ رُسُلَهُ وَواتَرَ إِلَیْهِمْ أَنْبِیاءَهُ لِیَسْتَأْدُوهُمْ مِیثَاقَ فِطْرَتِهِ وَیُذَکِّرُوهُمْ مَنْسِیَّ نِعْمَتِهِ وَیَحْتَجُّوا عَلَیْهِمْ بِالتَّبْلِیغِ وَیُثِیرُوا لَهُمْ دَفائِنَ الْعُقُولِ</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خداوند متعال پیامبرانش را در بین مردم مبعوث فرمود، و آنها را پیاپی فرستاد تا انجام میثاق و پیمان فطرت را از آنان</w:t>
      </w:r>
    </w:p>
    <w:p>
      <w:pPr>
        <w:pStyle w:val="BookText"/>
        <w:rPr/>
      </w:pPr>
      <w:r>
        <w:rPr>
          <w:rFonts w:ascii="IRNazanin" w:hAnsi="IRNazanin" w:eastAsia="IRNazanin"/>
          <w:color w:val="111111"/>
          <w:sz w:val="28"/>
          <w:sz w:val="28"/>
          <w:szCs w:val="28"/>
          <w:rtl w:val="true"/>
          <w:lang w:bidi="fa-IR"/>
        </w:rPr>
        <w:t>بخواهند و نعمت‌های فراموش را به یاد آنان آورند و با تبلیغ حجّت را بر آنان تمام کنند و گنج‌های عقول را آشکار نمایند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 ما اینست که قانون خداوند متعال، در </w:t>
      </w:r>
    </w:p>
    <w:p>
      <w:pPr>
        <w:pStyle w:val="BookText"/>
        <w:rPr/>
      </w:pPr>
      <w:r>
        <w:rPr>
          <w:rFonts w:ascii="Amiri" w:hAnsi="Amiri" w:eastAsia="Amiri" w:cs="Amiri"/>
          <w:color w:val="111111"/>
          <w:sz w:val="28"/>
          <w:sz w:val="28"/>
          <w:szCs w:val="28"/>
          <w:rtl w:val="true"/>
          <w:lang w:bidi="ar-SA"/>
        </w:rPr>
        <w:t xml:space="preserve">عقیده و عمل، ایمان و تربیت با تبیین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الذِّکْرِ</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مطابق با فطرت و جبلّی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فطرتش را فراموش کرده و جبلّی خود را پایمال نموده است، نمی‌تواند با ذکر، که رسول</w:t>
      </w:r>
    </w:p>
    <w:p>
      <w:pPr>
        <w:pStyle w:val="BookText"/>
        <w:rPr/>
      </w:pPr>
      <w:r>
        <w:rPr>
          <w:rFonts w:ascii="IRNazanin" w:hAnsi="IRNazanin" w:eastAsia="IRNazanin"/>
          <w:color w:val="111111"/>
          <w:sz w:val="28"/>
          <w:sz w:val="28"/>
          <w:szCs w:val="28"/>
          <w:rtl w:val="true"/>
          <w:lang w:bidi="fa-IR"/>
        </w:rPr>
        <w:t>الله صلی الله علیه و آله وسلم هستند</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اهل‌البیت علیهم السلام موافقت داشته باشد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خداوند دست انسان را بگیرد و الاّ فطرت خاموش شده به وسیله‌ی کفر و نفاق و خمیرمایه‌ی </w:t>
      </w:r>
      <w:bookmarkStart w:id="15" w:name="pg4465_29017"/>
    </w:p>
    <w:p>
      <w:pPr>
        <w:pStyle w:val="BookText"/>
        <w:rPr/>
      </w:pPr>
      <w:bookmarkEnd w:id="15"/>
      <w:r>
        <w:rPr>
          <w:rFonts w:ascii="IRNazanin" w:hAnsi="IRNazanin" w:eastAsia="IRNazanin"/>
          <w:color w:val="111111"/>
          <w:sz w:val="28"/>
          <w:sz w:val="28"/>
          <w:szCs w:val="28"/>
          <w:rtl w:val="true"/>
          <w:lang w:bidi="fa-IR"/>
        </w:rPr>
        <w:t xml:space="preserve">نابود شده در غفلت و فساد، چگونه می‌تواند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یَذْکُرُونَ اللَّهَ قِیاماً وَ قُعُوداً وَ عَلی جُنُوبِهِمْ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موافقت کند و از آنان پیروی نماید</w:t>
      </w:r>
      <w:r>
        <w:rPr>
          <w:rFonts w:eastAsia="IRNazanin" w:cs="IRNazanin"/>
          <w:color w:val="111111"/>
          <w:sz w:val="28"/>
          <w:szCs w:val="28"/>
          <w:rtl w:val="true"/>
          <w:lang w:bidi="fa-IR"/>
        </w:rPr>
        <w:t>.</w:t>
      </w:r>
    </w:p>
    <w:p>
      <w:pPr>
        <w:pStyle w:val="Heading2"/>
        <w:numPr>
          <w:ilvl w:val="1"/>
          <w:numId w:val="1"/>
        </w:numPr>
        <w:rPr/>
      </w:pPr>
      <w:bookmarkStart w:id="16" w:name="__RefHeading___Toc340091_3644566090"/>
      <w:bookmarkStart w:id="17" w:name="_Toc5"/>
      <w:bookmarkEnd w:id="16"/>
      <w:r>
        <w:rPr>
          <w:rtl w:val="true"/>
        </w:rPr>
        <w:t>ولایت عترت</w:t>
      </w:r>
      <w:r>
        <w:rPr>
          <w:rtl w:val="true"/>
        </w:rPr>
        <w:t>:</w:t>
      </w:r>
      <w:bookmarkEnd w:id="17"/>
    </w:p>
    <w:p>
      <w:pPr>
        <w:pStyle w:val="BookText"/>
        <w:rPr/>
      </w:pPr>
      <w:r>
        <w:rPr>
          <w:rFonts w:ascii="IRNazanin" w:hAnsi="IRNazanin" w:eastAsia="IRNazanin"/>
          <w:color w:val="111111"/>
          <w:sz w:val="28"/>
          <w:sz w:val="28"/>
          <w:szCs w:val="28"/>
          <w:rtl w:val="true"/>
          <w:lang w:bidi="fa-IR"/>
        </w:rPr>
        <w:t xml:space="preserve">باید به این نکته گوش جان بسپاریم که آنچه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مطابق با قول و</w:t>
      </w:r>
    </w:p>
    <w:p>
      <w:pPr>
        <w:pStyle w:val="BookText"/>
        <w:rPr/>
      </w:pPr>
      <w:r>
        <w:rPr>
          <w:rFonts w:ascii="IRNazanin" w:hAnsi="IRNazanin" w:eastAsia="IRNazanin"/>
          <w:color w:val="111111"/>
          <w:sz w:val="28"/>
          <w:sz w:val="28"/>
          <w:szCs w:val="28"/>
          <w:rtl w:val="true"/>
          <w:lang w:bidi="fa-IR"/>
        </w:rPr>
        <w:t>قراری است که در عوالم قبل با انسان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عترت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در این مکتب یاد پیمان الهی می‌کند و به خوبی‌ها و خیرات عمل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أَعْرَضَ عَنْ ذِکْری فَإِنَّ لَهُ مَعیشَةً </w:t>
      </w:r>
    </w:p>
    <w:p>
      <w:pPr>
        <w:pStyle w:val="BookText"/>
        <w:rPr/>
      </w:pPr>
      <w:r>
        <w:rPr>
          <w:rFonts w:ascii="Amiri" w:hAnsi="Amiri" w:eastAsia="Amiri" w:cs="Amiri"/>
          <w:color w:val="111111"/>
          <w:sz w:val="28"/>
          <w:sz w:val="28"/>
          <w:szCs w:val="28"/>
          <w:rtl w:val="true"/>
          <w:lang w:bidi="ar-SA"/>
        </w:rPr>
        <w:t>ضَنْکاً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یُعْرِضْ عَنْ ذِکْرِ رَبِّهِ یَسْلُکْهُ عَذاباً صَعَداً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لازم است به این آیه‌ی شریفه نیز توجّه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نُودِیَ لِلصَّلاةِ</w:t>
      </w:r>
    </w:p>
    <w:p>
      <w:pPr>
        <w:pStyle w:val="BookText"/>
        <w:rPr/>
      </w:pPr>
      <w:r>
        <w:rPr>
          <w:rFonts w:ascii="Amiri" w:hAnsi="Amiri" w:eastAsia="Amiri" w:cs="Amiri"/>
          <w:color w:val="111111"/>
          <w:sz w:val="28"/>
          <w:sz w:val="28"/>
          <w:szCs w:val="28"/>
          <w:rtl w:val="true"/>
          <w:lang w:bidi="ar-SA"/>
        </w:rPr>
        <w:t>مِنْ یَوْمِ الْجُمُعَةِ فَاسْعَوْا إِلی ذِکْرِ اللَّهِ وَ ذَرُوا الْبَیْعَ ذلِکُمْ خَیْرٌ لَکُمْ إِنْ کُنْتُمْ تَعْلَمُونَ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وجه اینکه جمعه را جمعه گفته‌اند چیست و چرا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إِلی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جمعه شده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اهل‌البیت علیهم السلام به این سؤال به خوبی پاسخ </w:t>
      </w:r>
      <w:bookmarkStart w:id="18" w:name="pg4465_29022"/>
    </w:p>
    <w:p>
      <w:pPr>
        <w:pStyle w:val="BookText"/>
        <w:rPr/>
      </w:pPr>
      <w:bookmarkEnd w:id="18"/>
      <w:r>
        <w:rPr>
          <w:rFonts w:ascii="Amiri" w:hAnsi="Amiri" w:eastAsia="Amiri" w:cs="Amiri"/>
          <w:color w:val="111111"/>
          <w:sz w:val="28"/>
          <w:sz w:val="28"/>
          <w:szCs w:val="28"/>
          <w:rtl w:val="true"/>
          <w:lang w:bidi="ar-SA"/>
        </w:rPr>
        <w:t xml:space="preserve">داده و زمان عهد بشر و قول و قرار انسان را با خداوند متعال معلوم ساخته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دستور تجدید عهد با ولی الله و حجّت خدا معرّفی می‌نماید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دانید ولی الله و حجّت خدا، مربّی خوبیها است، و برای ترغیب به مکتبش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او مظهر توحید و معلّم معرفت الله است، برای همین پیامبر خدا صلی الله علیه و آله وسلم درباره‌ی امیر المؤمنین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عَلِیٍّ علیه السلام فِی هَذِهِ الْأُمَّةِ، مَثَلُ قُلْ هُوَ اللَّهُ أَحَدٌ فِی الْقُرْآن</w:t>
      </w:r>
      <w:r>
        <w:rPr>
          <w:rFonts w:eastAsia="Amiri" w:cs="Amiri" w:ascii="Amiri" w:hAnsi="Amiri"/>
          <w:color w:val="111111"/>
          <w:sz w:val="28"/>
          <w:szCs w:val="28"/>
          <w:rtl w:val="true"/>
          <w:lang w:bidi="ar-SA"/>
        </w:rPr>
        <w:t>»</w:t>
      </w:r>
      <w:r>
        <w:rPr>
          <w:rStyle w:val="FootnoteAnchor"/>
          <w:rtl w:val="true"/>
        </w:rPr>
        <w:footnoteReference w:id="12"/>
      </w:r>
    </w:p>
    <w:p>
      <w:pPr>
        <w:pStyle w:val="Heading2"/>
        <w:numPr>
          <w:ilvl w:val="1"/>
          <w:numId w:val="1"/>
        </w:numPr>
        <w:rPr/>
      </w:pPr>
      <w:bookmarkStart w:id="19" w:name="__RefHeading___Toc340093_3644566090"/>
      <w:bookmarkStart w:id="20" w:name="_Toc6"/>
      <w:bookmarkEnd w:id="19"/>
      <w:r>
        <w:rPr>
          <w:rtl w:val="true"/>
        </w:rPr>
        <w:t>ان ذکر الخیر</w:t>
      </w:r>
      <w:r>
        <w:rPr>
          <w:rtl w:val="true"/>
        </w:rPr>
        <w:t>:</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سوره‌ی توحید همان پیام امیر المؤمنین علیه السلام به انسانها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کجا سخن از توحید باشد باید بعد از پیامبر خدا صلی الله علیه و آله وسلم نام امیر المؤمنین علیه السلام را به عنوان، مجسّم توحید و معلّم معرفت و اخلاق ببرند و این است معنای دستور العمل زیارت جامعه از امام هدایت و نورانیت حضرت هادی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ذُکِرَ الْخَیْرُ کُنْتُمْ أَوَّلَهُ</w:t>
      </w:r>
    </w:p>
    <w:p>
      <w:pPr>
        <w:pStyle w:val="BookText"/>
        <w:rPr/>
      </w:pPr>
      <w:r>
        <w:rPr>
          <w:rFonts w:ascii="Amiri" w:hAnsi="Amiri" w:eastAsia="Amiri" w:cs="Amiri"/>
          <w:color w:val="111111"/>
          <w:sz w:val="28"/>
          <w:sz w:val="28"/>
          <w:szCs w:val="28"/>
          <w:rtl w:val="true"/>
          <w:lang w:bidi="ar-SA"/>
        </w:rPr>
        <w:t>وَ أَصْلَهُ وَ فَرْعَهُ وَ مَعْدِنَهُ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مگر توحید رأس همه‌ی خیرات نیست؟ مگر غیر معصومین می‌توانند این خیر را برای بشر به خوبی تدریس کنند؟</w:t>
      </w:r>
    </w:p>
    <w:p>
      <w:pPr>
        <w:pStyle w:val="BookText"/>
        <w:rPr/>
      </w:pPr>
      <w:r>
        <w:rPr>
          <w:rFonts w:ascii="IRNazanin" w:hAnsi="IRNazanin" w:eastAsia="IRNazanin"/>
          <w:color w:val="111111"/>
          <w:sz w:val="28"/>
          <w:sz w:val="28"/>
          <w:szCs w:val="28"/>
          <w:rtl w:val="true"/>
          <w:lang w:bidi="fa-IR"/>
        </w:rPr>
        <w:t>امیرالمؤمنین علیه السلام و فرزندان معصوم ایشان، مدرّس بزرگ توحید و نشان‌دهنده‌ی یگانگی خداوند متعال می‌باشند، برای همین ولایتشان شرط قبول توحید و ایمان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که بعد از رسول الله صلی الله علیه و آله وسلم فرید زمین و وحید زمان می باشند و در عدالت و شرف انسانی بی بدیل و بی نظیرند، آنان می توانند در سیر بشر به </w:t>
      </w:r>
      <w:bookmarkStart w:id="21" w:name="pg4465_29025"/>
    </w:p>
    <w:p>
      <w:pPr>
        <w:pStyle w:val="BookText"/>
        <w:rPr/>
      </w:pPr>
      <w:bookmarkEnd w:id="21"/>
      <w:r>
        <w:rPr>
          <w:rFonts w:ascii="IRNazanin" w:hAnsi="IRNazanin" w:eastAsia="IRNazanin"/>
          <w:color w:val="111111"/>
          <w:sz w:val="28"/>
          <w:sz w:val="28"/>
          <w:szCs w:val="28"/>
          <w:rtl w:val="true"/>
          <w:lang w:bidi="fa-IR"/>
        </w:rPr>
        <w:t>سوی خداوند، دستگیر و مرشد باشند، و انسان را به معراج معنوی برسانند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کَلَامُکُمْ نُورٌ وَ أَمْرُکُمْ رُشْدٌ وَ </w:t>
      </w:r>
      <w:r>
        <w:rPr>
          <w:rFonts w:eastAsia="Amiri" w:cs="Amiri" w:ascii="Amiri" w:hAnsi="Amiri"/>
          <w:color w:val="111111"/>
          <w:sz w:val="28"/>
          <w:szCs w:val="28"/>
          <w:rtl w:val="true"/>
          <w:lang w:bidi="ar-SA"/>
        </w:rPr>
        <w:t>...»</w:t>
      </w:r>
      <w:r>
        <w:rPr>
          <w:rStyle w:val="FootnoteAnchor"/>
          <w:rtl w:val="true"/>
        </w:rPr>
        <w:footnoteReference w:id="14"/>
      </w:r>
    </w:p>
    <w:p>
      <w:pPr>
        <w:pStyle w:val="Heading2"/>
        <w:numPr>
          <w:ilvl w:val="1"/>
          <w:numId w:val="1"/>
        </w:numPr>
        <w:rPr/>
      </w:pPr>
      <w:bookmarkStart w:id="22" w:name="__RefHeading___Toc340095_3644566090"/>
      <w:bookmarkStart w:id="23" w:name="_Toc7"/>
      <w:bookmarkEnd w:id="22"/>
      <w:r>
        <w:rPr>
          <w:rtl w:val="true"/>
        </w:rPr>
        <w:t>سرگردانی بشر</w:t>
      </w:r>
      <w:r>
        <w:rPr>
          <w:rtl w:val="true"/>
        </w:rPr>
        <w:t>:</w:t>
      </w:r>
      <w:bookmarkEnd w:id="23"/>
    </w:p>
    <w:p>
      <w:pPr>
        <w:pStyle w:val="BookText"/>
        <w:rPr/>
      </w:pPr>
      <w:r>
        <w:rPr>
          <w:rFonts w:ascii="IRNazanin" w:hAnsi="IRNazanin" w:eastAsia="IRNazanin"/>
          <w:color w:val="111111"/>
          <w:sz w:val="28"/>
          <w:sz w:val="28"/>
          <w:szCs w:val="28"/>
          <w:rtl w:val="true"/>
          <w:lang w:bidi="fa-IR"/>
        </w:rPr>
        <w:t>به نظر شما سرگردانی و بیچارگی و معشیت ضنک انسان از کجا ناشی می‌شود؟</w:t>
      </w:r>
    </w:p>
    <w:p>
      <w:pPr>
        <w:pStyle w:val="BookText"/>
        <w:rPr/>
      </w:pPr>
      <w:r>
        <w:rPr>
          <w:rFonts w:ascii="IRNazanin" w:hAnsi="IRNazanin" w:eastAsia="IRNazanin"/>
          <w:color w:val="111111"/>
          <w:sz w:val="28"/>
          <w:sz w:val="28"/>
          <w:szCs w:val="28"/>
          <w:rtl w:val="true"/>
          <w:lang w:bidi="fa-IR"/>
        </w:rPr>
        <w:t>به عبارت دیگر، منشأ این خسران مبین و این انحطاط آشکار که گریبان انسان را گرفته است، چیست؟</w:t>
      </w:r>
    </w:p>
    <w:p>
      <w:pPr>
        <w:pStyle w:val="BookText"/>
        <w:rPr/>
      </w:pPr>
      <w:r>
        <w:rPr>
          <w:rFonts w:ascii="IRNazanin" w:hAnsi="IRNazanin" w:eastAsia="IRNazanin"/>
          <w:color w:val="111111"/>
          <w:sz w:val="28"/>
          <w:sz w:val="28"/>
          <w:szCs w:val="28"/>
          <w:rtl w:val="true"/>
          <w:lang w:bidi="fa-IR"/>
        </w:rPr>
        <w:t>پاسخ اینست که این بدبختی و انحطاط از روزی است که، آدمی نسخه‌ی فطرت را پاره کرد و پیمان الهی را مستور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ما اینست که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فرزند رسول الله صلی الله علیه و آله وسلم ، امام هادی علیه السلام می‌باشند</w:t>
      </w:r>
      <w:r>
        <w:rPr>
          <w:rFonts w:eastAsia="IRNazanin" w:cs="IRNazanin"/>
          <w:color w:val="111111"/>
          <w:sz w:val="28"/>
          <w:szCs w:val="28"/>
          <w:rtl w:val="true"/>
          <w:lang w:bidi="fa-IR"/>
        </w:rPr>
        <w:t xml:space="preserve">. </w:t>
      </w:r>
      <w:bookmarkStart w:id="24" w:name="pg4465_29027"/>
    </w:p>
    <w:p>
      <w:pPr>
        <w:pStyle w:val="BookText"/>
        <w:rPr/>
      </w:pPr>
      <w:bookmarkEnd w:id="24"/>
      <w:r>
        <w:rPr>
          <w:rFonts w:ascii="IRNazanin" w:hAnsi="IRNazanin" w:eastAsia="IRNazanin"/>
          <w:color w:val="111111"/>
          <w:sz w:val="28"/>
          <w:sz w:val="28"/>
          <w:szCs w:val="28"/>
          <w:rtl w:val="true"/>
          <w:lang w:bidi="fa-IR"/>
        </w:rPr>
        <w:t>امامی که سراسر حیات طیبه‌اش، انسانهای لایق را به یاد خداوند متعال می‌اندازد و به مسیر توحید الله سوق می‌دهد</w:t>
      </w:r>
      <w:r>
        <w:rPr>
          <w:rFonts w:eastAsia="IRNazanin" w:cs="IRNazanin"/>
          <w:color w:val="111111"/>
          <w:sz w:val="28"/>
          <w:szCs w:val="28"/>
          <w:rtl w:val="true"/>
          <w:lang w:bidi="fa-IR"/>
        </w:rPr>
        <w:t>.</w:t>
      </w:r>
    </w:p>
    <w:p>
      <w:pPr>
        <w:pStyle w:val="Heading2"/>
        <w:numPr>
          <w:ilvl w:val="1"/>
          <w:numId w:val="1"/>
        </w:numPr>
        <w:rPr/>
      </w:pPr>
      <w:bookmarkStart w:id="25" w:name="__RefHeading___Toc340097_3644566090"/>
      <w:bookmarkStart w:id="26" w:name="_Toc8"/>
      <w:bookmarkEnd w:id="25"/>
      <w:r>
        <w:rPr>
          <w:rtl w:val="true"/>
        </w:rPr>
        <w:t>بنابر قول تفسیر بطون</w:t>
      </w:r>
      <w:bookmarkEnd w:id="26"/>
    </w:p>
    <w:p>
      <w:pPr>
        <w:pStyle w:val="BookText"/>
        <w:rPr/>
      </w:pPr>
      <w:r>
        <w:rPr>
          <w:rFonts w:ascii="IRNazanin" w:hAnsi="IRNazanin" w:eastAsia="IRNazanin"/>
          <w:color w:val="111111"/>
          <w:sz w:val="28"/>
          <w:sz w:val="28"/>
          <w:szCs w:val="28"/>
          <w:rtl w:val="true"/>
          <w:lang w:bidi="fa-IR"/>
        </w:rPr>
        <w:t>قرآن، به مصادیق، امام هادی علیه السلام دهمین مصداق</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آیه‌ی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بوده و نه فقط در عصر خویش هدایت کننده‌ی خلق‌اند، که برای همه‌ی اعصار الگو و مرشد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زیارت جامعه‌ی این امام هدایت و رهبر سعادت را ببینید که برای جامعه‌ی بشری دروس اعتقادی و تربیتی جامعی را تدریس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ولیّ زمان و امام دوران حضرت بقیة الله </w:t>
      </w:r>
      <w:bookmarkStart w:id="27" w:name="pg4465_29029"/>
    </w:p>
    <w:p>
      <w:pPr>
        <w:pStyle w:val="BookText"/>
        <w:rPr/>
      </w:pPr>
      <w:bookmarkEnd w:id="27"/>
      <w:r>
        <w:rPr>
          <w:rFonts w:ascii="IRNazanin" w:hAnsi="IRNazanin" w:eastAsia="IRNazanin"/>
          <w:color w:val="111111"/>
          <w:sz w:val="28"/>
          <w:sz w:val="28"/>
          <w:szCs w:val="28"/>
          <w:rtl w:val="true"/>
          <w:lang w:bidi="fa-IR"/>
        </w:rPr>
        <w:t>الاعظم عجل الله تعالی فرجه الشریف ، در آن تشرّف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جامعه نمی‌خوانید</w:t>
      </w:r>
      <w:r>
        <w:rPr>
          <w:rFonts w:eastAsia="IRNazanin" w:cs="IRNazanin"/>
          <w:color w:val="111111"/>
          <w:sz w:val="28"/>
          <w:szCs w:val="28"/>
          <w:rtl w:val="true"/>
          <w:lang w:bidi="fa-IR"/>
        </w:rPr>
        <w:t>.</w:t>
      </w:r>
    </w:p>
    <w:p>
      <w:pPr>
        <w:pStyle w:val="Heading2"/>
        <w:numPr>
          <w:ilvl w:val="1"/>
          <w:numId w:val="1"/>
        </w:numPr>
        <w:rPr/>
      </w:pPr>
      <w:bookmarkStart w:id="28" w:name="__RefHeading___Toc340099_3644566090"/>
      <w:bookmarkStart w:id="29" w:name="_Toc9"/>
      <w:bookmarkEnd w:id="28"/>
      <w:r>
        <w:rPr>
          <w:rtl w:val="true"/>
        </w:rPr>
        <w:t>جامعه، جامعه، جامعه</w:t>
      </w:r>
      <w:bookmarkEnd w:id="29"/>
    </w:p>
    <w:p>
      <w:pPr>
        <w:pStyle w:val="BookText"/>
        <w:rPr/>
      </w:pPr>
      <w:r>
        <w:rPr>
          <w:rFonts w:ascii="IRNazanin" w:hAnsi="IRNazanin" w:eastAsia="IRNazanin"/>
          <w:color w:val="111111"/>
          <w:sz w:val="28"/>
          <w:sz w:val="28"/>
          <w:szCs w:val="28"/>
          <w:rtl w:val="true"/>
          <w:lang w:bidi="fa-IR"/>
        </w:rPr>
        <w:t xml:space="preserve">زیارت جامعه، قبل از هر چیز، دستور گفتن شهادتین می‌دهد، و متمسّک به ولایت را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می‌دارد، بعضی از علمای عظیم الشّأن رضوان الله علیهم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وجه تکبیر، این است که اکثر مردم مایل به غلوّ می‌باشند، مبادا از عبارات امثال این زیارات به غلوّ بیفتند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شاید سرّ دیگری در این مطلب نهفته است، و آن اینست که، امام هادی علیه السلام با این دستور، می‌خواهند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معرفت الله برای زائر محقّق شود، دیگر در قبول مقامات و اعتقاد به ولایت، و اختیارات ولیّ الله سستی نمی‌کند و با شک و ریب روبرو نمی‌شود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امام کتاب الله است و نماینده‌ی خداوند متعال می‌باشد، ولیِّ خدای اکبر، باید در بین خلق، اکبر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شک در مقامات عترت طاهرین علیهم السلام و مخالفین ولایت، در موضوع معرفت الله تعالی مشکل دارند و باید در مسئله‌ی توحید و قدرت الهی به مطالعه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مربّی انسان و معلّم بشریّت امام هادی علیه السلام راه دیگری را برای معرفت الله و کسب عرفان حقیقی می‌گشایند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بَدَأَ 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 این عبارات الهی، و این کلمات آسمانی، وظیفه‌ی همگان، خاصّه شیعیان و محبان آل عصمت علیهم السلام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باره باید اشاره به مسئولیّتهای علمی و </w:t>
      </w:r>
    </w:p>
    <w:p>
      <w:pPr>
        <w:pStyle w:val="BookText"/>
        <w:rPr/>
      </w:pPr>
      <w:r>
        <w:rPr>
          <w:rFonts w:ascii="IRNazanin" w:hAnsi="IRNazanin" w:eastAsia="IRNazanin"/>
          <w:color w:val="111111"/>
          <w:sz w:val="28"/>
          <w:sz w:val="28"/>
          <w:szCs w:val="28"/>
          <w:rtl w:val="true"/>
          <w:lang w:bidi="fa-IR"/>
        </w:rPr>
        <w:t>معنوی حوزه‌های علمیّه بشود که عهده‌دار حفاظت عقائد مردم، و مسئول نگهداری دین و احکام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حوزویان بر اساس آیه‌ی نفر، مسئول فهم و سپس فهماندن آیات الولایة، و آیات مربوط به حضرت صاحب الامر عجل الله تعالی فرجه الشریف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کلاس 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بَدَأَ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طریقیّت ولایت و امامت عترت علیهم السلام را بیان می‌دارد، با کلاس درس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تبلیغ</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موضوعیّت ولایت و امامت را بازگو می‌کند، باید به وسیله‌ی حوزویان برای افراد لایق و قابل، تشریح وتبیین 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فقه این مطلب، فقط برای فطرتهای پاک و قلوب سلیم، که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فِی السِّلْمِ کَافَّةً</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مأمورند، میسور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عُبِدَ اللَّهُ وَ بِنَا</w:t>
      </w:r>
    </w:p>
    <w:p>
      <w:pPr>
        <w:pStyle w:val="BookText"/>
        <w:rPr/>
      </w:pPr>
      <w:r>
        <w:rPr>
          <w:rFonts w:ascii="Amiri" w:hAnsi="Amiri" w:eastAsia="Amiri" w:cs="Amiri"/>
          <w:color w:val="111111"/>
          <w:sz w:val="28"/>
          <w:sz w:val="28"/>
          <w:szCs w:val="28"/>
          <w:rtl w:val="true"/>
          <w:lang w:bidi="ar-SA"/>
        </w:rPr>
        <w:t>عُرِفَ اللَّهُ</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مانند 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وآیات دیگر مربوط به توحید و شرط آن 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هستند، باور نکردنی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کسانی که نسبت به اهل‌البیت علیهم السلام حسد دارند و احقاد بدریّه و خیبریّه نسبت به اهل‌البیت علیهم السلام در قلوبشان وجود دارد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بِمُوَالاتِکُمْ تَمَّتِ الْکَلِمَةُ</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را درک نمایند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 أَنَا مِنْ شُرُوطِهَا</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را بفهمند</w:t>
      </w:r>
      <w:r>
        <w:rPr>
          <w:rFonts w:eastAsia="IRNazanin" w:cs="IRNazanin"/>
          <w:color w:val="111111"/>
          <w:sz w:val="28"/>
          <w:szCs w:val="28"/>
          <w:rtl w:val="true"/>
          <w:lang w:bidi="fa-IR"/>
        </w:rPr>
        <w:t xml:space="preserve">. </w:t>
      </w:r>
      <w:bookmarkStart w:id="30" w:name="pg4465_29036"/>
    </w:p>
    <w:p>
      <w:pPr>
        <w:pStyle w:val="Heading2"/>
        <w:numPr>
          <w:ilvl w:val="1"/>
          <w:numId w:val="1"/>
        </w:numPr>
        <w:rPr/>
      </w:pPr>
      <w:bookmarkStart w:id="31" w:name="__RefHeading___Toc340101_3644566090"/>
      <w:bookmarkStart w:id="32" w:name="_Toc10"/>
      <w:bookmarkEnd w:id="30"/>
      <w:bookmarkEnd w:id="31"/>
      <w:r>
        <w:rPr>
          <w:rtl w:val="true"/>
        </w:rPr>
        <w:t>امام باب الله است</w:t>
      </w:r>
      <w:r>
        <w:rPr>
          <w:rtl w:val="true"/>
        </w:rPr>
        <w:t>:</w:t>
      </w:r>
      <w:bookmarkEnd w:id="32"/>
    </w:p>
    <w:p>
      <w:pPr>
        <w:pStyle w:val="BookText"/>
        <w:rPr/>
      </w:pPr>
      <w:r>
        <w:rPr>
          <w:rFonts w:ascii="IRNazanin" w:hAnsi="IRNazanin" w:eastAsia="IRNazanin"/>
          <w:color w:val="111111"/>
          <w:sz w:val="28"/>
          <w:sz w:val="28"/>
          <w:szCs w:val="28"/>
          <w:rtl w:val="true"/>
          <w:lang w:bidi="fa-IR"/>
        </w:rPr>
        <w:t>از معتقدات شاگردان</w:t>
      </w:r>
    </w:p>
    <w:p>
      <w:pPr>
        <w:pStyle w:val="BookText"/>
        <w:rPr/>
      </w:pPr>
      <w:r>
        <w:rPr>
          <w:rFonts w:ascii="Amiri" w:hAnsi="Amiri" w:eastAsia="Amiri" w:cs="Amiri"/>
          <w:color w:val="111111"/>
          <w:sz w:val="28"/>
          <w:sz w:val="28"/>
          <w:szCs w:val="28"/>
          <w:rtl w:val="true"/>
          <w:lang w:bidi="ar-SA"/>
        </w:rPr>
        <w:t xml:space="preserve">زیارت جامعه، اینست که، ائمه علیهم السلام ابواب الله هستند، بر این مطلب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أْتُوا الْبُیُوتَ مِنْ أَبْوابِها</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شهادت می‌دهد، و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دلالت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بَدَأَ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فقط معرفت خدای متعال را باید از این بزرگواران اخذ نمود که معرفت رسول الله صلی الله علیه و آله وسلم و سنّت صحیحه‌ی آن حضرت را نیز باید از مدرسه‌ی اهل‌البیت علیهم السلام بدست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بهترین دلیل برای این مطلب، حدیث شریف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مَدِینَةُ الْعِلْمِ وَ عَلِیٌّ بَابُهَا</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است، که فریقین برآن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فارسی زبان چه خوب گفته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نبگشاد علم حیدر،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ندهد سنت پیمبر، بر </w:t>
      </w:r>
      <w:bookmarkStart w:id="33" w:name="pg4465_29039"/>
    </w:p>
    <w:p>
      <w:pPr>
        <w:pStyle w:val="Heading2"/>
        <w:numPr>
          <w:ilvl w:val="1"/>
          <w:numId w:val="1"/>
        </w:numPr>
        <w:rPr/>
      </w:pPr>
      <w:bookmarkStart w:id="34" w:name="__RefHeading___Toc340103_3644566090"/>
      <w:bookmarkStart w:id="35" w:name="_Toc11"/>
      <w:bookmarkEnd w:id="33"/>
      <w:bookmarkEnd w:id="34"/>
      <w:r>
        <w:rPr>
          <w:rtl w:val="true"/>
        </w:rPr>
        <w:t>مَن جاءَ بِالحَسَنَه</w:t>
      </w:r>
      <w:r>
        <w:rPr>
          <w:rtl w:val="true"/>
        </w:rPr>
        <w:t>:</w:t>
      </w:r>
      <w:bookmarkEnd w:id="35"/>
    </w:p>
    <w:p>
      <w:pPr>
        <w:pStyle w:val="BookText"/>
        <w:rPr/>
      </w:pPr>
      <w:r>
        <w:rPr>
          <w:rFonts w:ascii="IRNazanin" w:hAnsi="IRNazanin" w:eastAsia="IRNazanin"/>
          <w:color w:val="111111"/>
          <w:sz w:val="28"/>
          <w:sz w:val="28"/>
          <w:szCs w:val="28"/>
          <w:rtl w:val="true"/>
          <w:lang w:bidi="fa-IR"/>
        </w:rPr>
        <w:t>شما حسنه‌ای فوق اعتقاد به ولایت و امامت اهل‌البیت علیهم السلام ، آیا سراغ دارید؟</w:t>
      </w:r>
    </w:p>
    <w:p>
      <w:pPr>
        <w:pStyle w:val="BookText"/>
        <w:rPr/>
      </w:pPr>
      <w:r>
        <w:rPr>
          <w:rFonts w:ascii="IRNazanin" w:hAnsi="IRNazanin" w:eastAsia="IRNazanin"/>
          <w:color w:val="111111"/>
          <w:sz w:val="28"/>
          <w:sz w:val="28"/>
          <w:szCs w:val="28"/>
          <w:rtl w:val="true"/>
          <w:lang w:bidi="fa-IR"/>
        </w:rPr>
        <w:t>حسنه‌ای که دیگر حسنات را در بر گرفته باشد، یعنی مبدء حسنات دیگر باشد، کدام حسنه است؟</w:t>
      </w:r>
    </w:p>
    <w:p>
      <w:pPr>
        <w:pStyle w:val="BookText"/>
        <w:rPr/>
      </w:pPr>
      <w:r>
        <w:rPr>
          <w:rFonts w:ascii="Amiri" w:hAnsi="Amiri" w:eastAsia="Amiri" w:cs="Amiri"/>
          <w:color w:val="111111"/>
          <w:sz w:val="28"/>
          <w:sz w:val="28"/>
          <w:szCs w:val="28"/>
          <w:rtl w:val="true"/>
          <w:lang w:bidi="ar-SA"/>
        </w:rPr>
        <w:t xml:space="preserve">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خَیْرٌ مِنْها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با تدبّر شایسته، افراد لایق را به سر منزل مقصود می‌رساند و نیز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یَقْتَرِفْ حَسَنَةً نَزِدْ لَهُ فیها حُسْناً</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می تواند وسیله‌ی استبصار همه‌ی صاحبان فطرت و شیفتگان حکمت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تدبّر در آیات یاد شده، انسان می‌تواند ادّعا کند و در مقام عرض ادب به ائمه علیهم السلام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مُسْتَبْصِرٌ بِشَأْنِکُمْ وَ بِضَلَالَةِ مَنْ خَالَفَکُمْ</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دوستی و مودّت محمّد و آل محمّد صلوات </w:t>
      </w:r>
      <w:bookmarkStart w:id="36" w:name="pg4465_29040"/>
    </w:p>
    <w:p>
      <w:pPr>
        <w:pStyle w:val="BookText"/>
        <w:rPr/>
      </w:pPr>
      <w:bookmarkEnd w:id="36"/>
      <w:r>
        <w:rPr>
          <w:rFonts w:ascii="IRNazanin" w:hAnsi="IRNazanin" w:eastAsia="IRNazanin"/>
          <w:color w:val="111111"/>
          <w:sz w:val="28"/>
          <w:sz w:val="28"/>
          <w:szCs w:val="28"/>
          <w:rtl w:val="true"/>
          <w:lang w:bidi="fa-IR"/>
        </w:rPr>
        <w:t>الله علیهم اجمعین، حسنه نباشد که همه‌ی خیرات معرفتی و اعتقادی در بیوت آنان نازل گشته، و دستور العمل اخلاق و تزکیه منحصراً از آن بزرگوارن صادر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باید در مقام تشکّر و عرض ادب به پیشگاه ائمّه علیهم السلام ، بگوئیم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ذُکِرَ الْخَیْرُ کُنْتُمْ أَوَّلَهُ وَ أَصْلَهُ وَ فَرْعَهُ وَ</w:t>
      </w:r>
      <w:r>
        <w:rPr>
          <w:rFonts w:eastAsia="Amiri" w:cs="Amiri" w:ascii="Amiri" w:hAnsi="Amiri"/>
          <w:color w:val="111111"/>
          <w:sz w:val="28"/>
          <w:szCs w:val="28"/>
          <w:rtl w:val="true"/>
          <w:lang w:bidi="ar-SA"/>
        </w:rPr>
        <w:t>....»</w:t>
      </w:r>
      <w:r>
        <w:rPr>
          <w:rStyle w:val="FootnoteAnchor"/>
          <w:rtl w:val="true"/>
        </w:rPr>
        <w:footnoteReference w:id="33"/>
      </w:r>
    </w:p>
    <w:p>
      <w:pPr>
        <w:pStyle w:val="Heading2"/>
        <w:numPr>
          <w:ilvl w:val="1"/>
          <w:numId w:val="1"/>
        </w:numPr>
        <w:rPr/>
      </w:pPr>
      <w:bookmarkStart w:id="37" w:name="__RefHeading___Toc340105_3644566090"/>
      <w:bookmarkStart w:id="38" w:name="_Toc12"/>
      <w:bookmarkEnd w:id="37"/>
      <w:r>
        <w:rPr>
          <w:rtl w:val="true"/>
        </w:rPr>
        <w:t>سکونت در بلد امن</w:t>
      </w:r>
      <w:r>
        <w:rPr>
          <w:rtl w:val="true"/>
        </w:rPr>
        <w:t>:</w:t>
      </w:r>
      <w:bookmarkEnd w:id="38"/>
    </w:p>
    <w:p>
      <w:pPr>
        <w:pStyle w:val="BookText"/>
        <w:rPr/>
      </w:pPr>
      <w:r>
        <w:rPr>
          <w:rFonts w:ascii="IRNazanin" w:hAnsi="IRNazanin" w:eastAsia="IRNazanin"/>
          <w:color w:val="111111"/>
          <w:sz w:val="28"/>
          <w:sz w:val="28"/>
          <w:szCs w:val="28"/>
          <w:rtl w:val="true"/>
          <w:lang w:bidi="fa-IR"/>
        </w:rPr>
        <w:t>به همه باید گفت و به همه‌ی زبانها باید ترجمه کرد و با آب طلا باید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امن و مدینه‌ی سعادت، بالیقین حصن حصین ولایت معصومین علیهم السلام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أَتَاکُمْ نَجَا وَ مَنْ لَمْ یَأْتِکُمْ هَلَکَ</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زیبای زیارت جامعه، که ملوک کلام است و از کلام ملوک است، مبیّن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p>
    <w:p>
      <w:pPr>
        <w:pStyle w:val="BookText"/>
        <w:rPr/>
      </w:pPr>
      <w:r>
        <w:rPr>
          <w:rFonts w:ascii="Amiri" w:hAnsi="Amiri" w:eastAsia="Amiri" w:cs="Amiri"/>
          <w:color w:val="111111"/>
          <w:sz w:val="28"/>
          <w:sz w:val="28"/>
          <w:szCs w:val="28"/>
          <w:rtl w:val="true"/>
          <w:lang w:bidi="ar-SA"/>
        </w:rPr>
        <w:t>دَخَلَهُ کانَ آمِناً</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الْبَلَدَ آمِناً</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خوب تدبّر کنیم و روایات منقوله از اهل‌البیت علیهم السلام را، در نشان دادن بطون آیات یاد شده به دقّت ببینم، به این مطلب محقّقانه گواهی خواهیم داد که حصن ولایت، به انسانها قرار می‌دهد و دلهای مضطرب</w:t>
      </w:r>
    </w:p>
    <w:p>
      <w:pPr>
        <w:pStyle w:val="BookText"/>
        <w:rPr/>
      </w:pPr>
      <w:r>
        <w:rPr>
          <w:rFonts w:ascii="IRNazanin" w:hAnsi="IRNazanin" w:eastAsia="IRNazanin"/>
          <w:color w:val="111111"/>
          <w:sz w:val="28"/>
          <w:sz w:val="28"/>
          <w:szCs w:val="28"/>
          <w:rtl w:val="true"/>
          <w:lang w:bidi="fa-IR"/>
        </w:rPr>
        <w:t>را به امان و آرامش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دستور و امر حکیمانه‌ی خدای متعال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سیرُوا فیها لَیالِیَ وَ أَیَّاماً آمِنینَ</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سیر علمی و در سفر معنوی یعنی در برهان و استدلال و نیز در بصیرت و شهود راستین، باید انسان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کند تا به سر منزل مقصود </w:t>
      </w:r>
      <w:bookmarkStart w:id="39" w:name="pg4465_29044"/>
    </w:p>
    <w:p>
      <w:pPr>
        <w:pStyle w:val="BookText"/>
        <w:rPr/>
      </w:pPr>
      <w:bookmarkEnd w:id="39"/>
      <w:r>
        <w:rPr>
          <w:rFonts w:ascii="IRNazanin" w:hAnsi="IRNazanin" w:eastAsia="IRNazanin"/>
          <w:color w:val="111111"/>
          <w:sz w:val="28"/>
          <w:sz w:val="28"/>
          <w:szCs w:val="28"/>
          <w:rtl w:val="true"/>
          <w:lang w:bidi="fa-IR"/>
        </w:rPr>
        <w:t>برسد،</w:t>
      </w:r>
      <w:r>
        <w:rPr>
          <w:rStyle w:val="FootnoteAnchor"/>
          <w:rtl w:val="true"/>
        </w:rPr>
        <w:footnoteReference w:id="39"/>
      </w:r>
      <w:r>
        <w:rPr>
          <w:rFonts w:ascii="IRNazanin" w:hAnsi="IRNazanin" w:eastAsia="IRNazanin"/>
          <w:color w:val="111111"/>
          <w:sz w:val="28"/>
          <w:sz w:val="28"/>
          <w:szCs w:val="28"/>
          <w:rtl w:val="true"/>
          <w:lang w:bidi="fa-IR"/>
        </w:rPr>
        <w:t xml:space="preserve">و ایمن از شک و زیغ و عذاب آخرت باشد، این همه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اتاکم 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 خدا و امام هدایت حضرت هادی علیه السلام دستور تلاوتش را صادر کرده است،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عبارت نورانی می‌تواند یک طرح بزرگ و عالمی برای همه‌ی انسانها باشد، آنها که از معیشت ضنک خسته شده، از جنگ، فقر، بی عدالتی، استبداد و ظلم نگرانند بیایند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اتاکم 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 و بدور از تعصّب کورکورانه، خود را از مهالک نجات بخشند</w:t>
      </w:r>
      <w:r>
        <w:rPr>
          <w:rFonts w:eastAsia="IRNazanin" w:cs="IRNazanin"/>
          <w:color w:val="111111"/>
          <w:sz w:val="28"/>
          <w:szCs w:val="28"/>
          <w:rtl w:val="true"/>
          <w:lang w:bidi="fa-IR"/>
        </w:rPr>
        <w:t>.</w:t>
      </w:r>
    </w:p>
    <w:p>
      <w:pPr>
        <w:pStyle w:val="Heading2"/>
        <w:numPr>
          <w:ilvl w:val="1"/>
          <w:numId w:val="1"/>
        </w:numPr>
        <w:rPr/>
      </w:pPr>
      <w:bookmarkStart w:id="40" w:name="__RefHeading___Toc340107_3644566090"/>
      <w:bookmarkStart w:id="41" w:name="_Toc13"/>
      <w:bookmarkEnd w:id="40"/>
      <w:r>
        <w:rPr>
          <w:rtl w:val="true"/>
        </w:rPr>
        <w:t>کُهوف کُتُبه</w:t>
      </w:r>
      <w:r>
        <w:rPr>
          <w:rtl w:val="true"/>
        </w:rPr>
        <w:t>:</w:t>
      </w:r>
      <w:bookmarkEnd w:id="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مردم از مکتبهای اِلحادی، جبر، تفویض، عقیده به جسمیّت خداوند متعال، تناسخ، و افشای </w:t>
      </w:r>
    </w:p>
    <w:p>
      <w:pPr>
        <w:pStyle w:val="BookText"/>
        <w:rPr/>
      </w:pPr>
      <w:r>
        <w:rPr>
          <w:rFonts w:ascii="IRNazanin" w:hAnsi="IRNazanin" w:eastAsia="IRNazanin"/>
          <w:color w:val="111111"/>
          <w:sz w:val="28"/>
          <w:sz w:val="28"/>
          <w:szCs w:val="28"/>
          <w:rtl w:val="true"/>
          <w:lang w:bidi="fa-IR"/>
        </w:rPr>
        <w:t>انحراف مکتب غلات و افراد جاه طلب که از صداقت مردم و مستضعفین فکری، سوء استفاده می‌کنند، به رهبری امام هادی علیه السلام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ائمه علیهم السلام همان‌طور که در بیان امیر المؤمنین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کُهُوفُ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 نقش احیاء کننده‌ی دین و حافظ اساس عقائد مؤمنین می‌باشد، و در این راه آن بزرگواران از هیچ کوششی دریغ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امامین عسکریّین علیهما السلام که استبداد و خفقان، انحراف و کج اندیشی به اوج خود رسیده بود، این دو امام عظیم الشّأن از طرق مختلفه از اصول و فروع اسلام حفاظت و پاسداری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مبارزه‌ی حضرت امام هادی علیه السلام ، با غلات و بدعتگزاران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حسکه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بن حاتم</w:t>
      </w:r>
      <w:r>
        <w:rPr>
          <w:rFonts w:eastAsia="IRNazanin" w:cs="IRNazanin"/>
          <w:color w:val="111111"/>
          <w:sz w:val="28"/>
          <w:szCs w:val="28"/>
          <w:rtl w:val="true"/>
          <w:lang w:bidi="fa-IR"/>
        </w:rPr>
        <w:t>»</w:t>
      </w:r>
      <w:r>
        <w:rPr>
          <w:rStyle w:val="FootnoteAnchor"/>
          <w:rtl w:val="true"/>
        </w:rPr>
        <w:footnoteReference w:id="4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 تلاش پیگر آن حضرت با مخالفین دین </w:t>
      </w:r>
      <w:bookmarkStart w:id="42" w:name="pg4465_29048"/>
    </w:p>
    <w:p>
      <w:pPr>
        <w:pStyle w:val="BookText"/>
        <w:rPr/>
      </w:pPr>
      <w:bookmarkEnd w:id="42"/>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اختلاف انگیزی همچون مخلوق بودن و یا قدیم بودن قرآن، که باعث فرقه بندیهای فراوانی شد و بیشتر از ناحیه‌ی یهود، یعنی سرسخت‌ترین دشمنان اسلام مطرح می‌گردید به وسیله‌ی امام هادی علیه السلام به بهترین وجه خاتمه پیدا کرد</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43" w:name="__RefHeading___Toc340109_3644566090"/>
      <w:bookmarkStart w:id="44" w:name="_Toc14"/>
      <w:bookmarkEnd w:id="43"/>
      <w:r>
        <w:rPr>
          <w:rtl w:val="true"/>
        </w:rPr>
        <w:t xml:space="preserve">امام عسکری علیه السلام </w:t>
      </w:r>
      <w:r>
        <w:rPr>
          <w:rtl w:val="true"/>
        </w:rPr>
        <w:t>:</w:t>
      </w:r>
      <w:bookmarkEnd w:id="44"/>
    </w:p>
    <w:p>
      <w:pPr>
        <w:pStyle w:val="BookText"/>
        <w:rPr/>
      </w:pPr>
      <w:r>
        <w:rPr>
          <w:rFonts w:ascii="IRNazanin" w:hAnsi="IRNazanin" w:eastAsia="IRNazanin"/>
          <w:color w:val="111111"/>
          <w:sz w:val="28"/>
          <w:sz w:val="28"/>
          <w:szCs w:val="28"/>
          <w:rtl w:val="true"/>
          <w:lang w:bidi="fa-IR"/>
        </w:rPr>
        <w:t>مدرسه‌ی امام عسکری علیه السلام بزرگترین مدرسه‌ی اعتقادی، علمی و تربیتی است، با اینکه دوره‌ی ایشان، خفقان، استبداد و مبارزه با نور هدایت اهل‌البیت علیهم السلام ، به نهایت رسیده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منتقل کننده‌ی ولایت خاتم الأنبیا صلی الله علیه و آله وسلم به خاتم الاوصیاء یعنی حضرت بقیّة الله الاعظم عجل الله تعالی فرجه الشریف ، بوده و مسائل حسّاسی همچون ایجاد شبکه ارتباطی بین شیعیان و زمینه‌سازی اعتقادی برای دوران غیبت، به دوش آنجناب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 و تردید در دین در زمان امام عسکری علیه السلام به اوج خود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علیه السلام با تعلیم و تربیت شاگردان وآشکار ساختن معجزات و اقدامات خارق العادّه، یعنی، هم از راه برهان و استدلال و هم از راه شهود راستین در برابر کفر، نفاق، ستم و انحراف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بُعد زمینه‌سازی غیبت و بیان وظائف علماء در این دوران به ترغیب آنها به بیدار نمودن مردم و تشویق آنان به مقابله با شبکه‌های ابلیسی و تبلیغات شیطانی می‌پردازند 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مَنْ یَبْقَی بَعْدَ غَیْبَةِ قَائِمِنَا علیه السلام مِنَ الْعُلَمَاءِ الدَّاعِینَ إِلَیْهِ، وَ الدَّالِّینَ عَلَیْهِ وَ الذَّابِّینَ عَنْ دِینِهِ بِحُجَجِ اللَّهِ، وَ الْمُنْقِذِینَ لِضُعَفَاءِ عِبَادِ اللَّهِ مِنْ شِبَاکِ إِبْلِیسَ وَ مَرَدَتِهِ وَ مِنْ فِخَاخِ النَّوَاصِبِ لَمَا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بَقِیَ أَحَدٌ إِلَّا ارْتَدَّ عَنْ دِینِ اللَّهِ وَ لَکِنَّهُمُ الَّذِینَ یُمْسِکُونَ أَزِمَّةَ قُلُوبِ ضُعَفَاءِ الشِّیعَةِ، کَمَا یُمْسِکُ صَاحِبُ </w:t>
      </w:r>
    </w:p>
    <w:p>
      <w:pPr>
        <w:pStyle w:val="BookText"/>
        <w:rPr/>
      </w:pPr>
      <w:r>
        <w:rPr>
          <w:rFonts w:ascii="Amiri" w:hAnsi="Amiri" w:eastAsia="Amiri" w:cs="Amiri"/>
          <w:color w:val="111111"/>
          <w:sz w:val="28"/>
          <w:sz w:val="28"/>
          <w:szCs w:val="28"/>
          <w:rtl w:val="true"/>
          <w:lang w:bidi="ar-SA"/>
        </w:rPr>
        <w:t>السَّفِینَةِ سُکَّانَهَا أُولَئِکَ هُمُ الْأَفْضَلُونَ عِنْدَ اللَّهِ عَزَّوَجَلَّ</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توجّه امام به اساسی‌ترین وظیفه‌ی الهی، یعنی حفظ و حراسات قرآن و سنّت نبوی صلی الله علیه و آله وسلم ، ایشان را از بیان جزئی‌ترین مسئولیّت باز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همانطور که در پنهان و آشکار یک معلّم بزرگ اعتقادات بودند، یک مربّی اخلاق و عمل نیز به حساب می‌آمدند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بِالْمُؤْمِنِ أَنْ تَکُونَ لَهُ رَغْبَةٌ تُذِلُّهُ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این همان درس دوری از ذلّت و پستی است که مکتب عاشورا قرنهاست عهده دار تعلیم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الْخَبَائِثُ فِی بَیْتٍ وَ جُعِلَ مِفْتَاحُهُ الْکَذِبُ</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اینست نقش امام در جامعه‌ی بشری، که در آن وضعیّتی که استبداد و ظلم حاکم بود با یک جمله‌ی کوتاه، بزرگترین و کلیدی‌ترین زشتی را نشان داده و مردم را به بلندترین قلّه‌ی سعادت اعتقادی و اخلاقی رهنمون می‌گردد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صلوات و سلام بر محمّد وآل محمّد به سخنان خود پایان داده از برگزارکنندگان این نشست محترم </w:t>
      </w:r>
    </w:p>
    <w:p>
      <w:pPr>
        <w:pStyle w:val="BookText"/>
        <w:rPr/>
      </w:pPr>
      <w:r>
        <w:rPr>
          <w:rFonts w:ascii="IRNazanin" w:hAnsi="IRNazanin" w:eastAsia="IRNazanin"/>
          <w:color w:val="111111"/>
          <w:sz w:val="28"/>
          <w:sz w:val="28"/>
          <w:szCs w:val="28"/>
          <w:rtl w:val="true"/>
          <w:lang w:bidi="fa-IR"/>
        </w:rPr>
        <w:t>و هم‌اندیشی عقیدتی، تربیتی و علمی تشکّر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بحرالعلوم میردامادی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بر مؤمنان منّت نهاد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بزرگی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در میان آنها، پیامبری از خودشان برانگیخت که آیات او را بر آنها بخواند، و آنها را پاک کند و کتاب و حکمت بیاموزد هر چند پیش از آن، در گمراهی آشکاری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آل عمران،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کسی است که در میان جمعیّت درس نخوانده رسولی از خودشان برانگیخت که آیاتش را بر آنها می‌خواند و آنها را تزکیه می‌کند و به آنان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حکمت می‌آموزد هر چند پیش از آن در گمراهی آشکاری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جمعه،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فطرتی است که خداوند، انسانها را بر آن آفریده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خطبه‌ی اوّل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شریفه‌ی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فَسْئَلُوا أَهْلَ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این آیه در سوره‌ی انبیاء،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سوره‌ی نحل،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نشان دهنده‌ی اینست که مرجع فکری و عقیدتی و عمل مسلمانان بلکه همه‌ی مردم، اهلبیت علیهم السلام باید باشند،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اهل کتاب خاصّه یهود، مطابق با دلیل نیست، ادلّه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الذّکر، اهلبیت علیهم السلام هستند و ما این مطلب را به خوبی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التفقّه و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داشته‌ایم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 یَتْلُوا عَلَیْکُمْ آیاتِ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طلاق،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رجوع شود به البرهان فی تفسیر القرآن،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عمران،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طه،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جن،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جمعه،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حدیث تمثیل علی علیه السلام بسورة التوحید للمعلم الثّالث السیّد محمّد باقر الدّاماد، نویسنده، این رساله را به فارسی شرح و ترجمه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تمثیل را در البرهان،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جامعه‌ی کبیره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بطون قرآن، بیانات مختلفی وجود دارد، بعضی آنرا به مصادیق مختلف تفسیر کرده، بعضی مراتب متفاوت به دلیل تفاوت ادراکات و عقول، ما در بحث اشتراک به این موضوع پرداخته‌ایم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رعد،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انتشارات اسوه،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بقره،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مائده،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مائده،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شوری،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بقره،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زحرف،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حسکانی،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بقره،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جامعه‌ی کبیره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بقره،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نمل،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شوری،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جامعه‌ی کبیره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آل عمران،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بقره،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ابراهیم،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 سبأ، آیه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اعتقاد داریم که سیر و سلوک همان توجّه به ولایت ائمه‌ی معصومین علیهم السلام و عمل به دستورات آن بزرگوارن است، اگر دستور العملی از معصوم صادر نشده باشد و از کتاب الله و سنّت صحیحه متخذ نباشد، برای ما ارزشی ندارد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الهادی، العلامة الشیخ باقرشریف القرشی رحمه الله،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سیره‌ی پیشوایان،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سیره‌ی پیشوایان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نبودند علمایی که بعد از غیبت قائم ما باقی می‌مانند و به او دعوت می‌کنند و به سوی او راهنمایی می‌نمایند و با حجّتهای الهی از دین دفاع می‌کنند و بندگان ضعیف خدا را از دامهای ابلیس و یاران او و ناصبیان نجات می‌دهند، اگر اینان نبودند احدی نمی‌ماند مگر آنکه از دین خود بر می‌گشت، ولی آنان هستند که زمام دل های شیعیان ضعیف را همچون سکّان در دست ناخدای کشتی به دست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همان انسان های برتر نزد خداوند عزوجل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زشت است برای مؤمن که میل و رغبتی در او باشد که او را خوار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پلیدیها در خانه‌ای قرار داده شده و کلید آن دروغگویی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3494</Words>
  <Characters>14458</Characters>
  <CharactersWithSpaces>17765</CharactersWithSpaces>
  <Paragraphs>275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2026-08-18T12:56:20Z</dcterms:created>
  <dc:creator>ghaemiyeh.com</dc:creator>
  <dc:description/>
  <dc:language>en-US</dc:language>
  <cp:lastModifiedBy/>
  <dcterms:modified xsi:type="dcterms:W3CDTF">2026-08-18T16:26:22Z</dcterms:modified>
  <cp:revision>1</cp:revision>
  <dc:subject/>
  <dc:title>عقیده تربیت و اخلاق در مکتب عسکریین علیهما السلام</dc:title>
</cp:coreProperties>
</file>

<file path=docProps/custom.xml><?xml version="1.0" encoding="utf-8"?>
<Properties xmlns="http://schemas.openxmlformats.org/officeDocument/2006/custom-properties" xmlns:vt="http://schemas.openxmlformats.org/officeDocument/2006/docPropsVTypes"/>
</file>