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پنج نکته ی مهم درباره ی خودارضایی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477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24778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24780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524782_228174162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524784_2281741623">
            <w:r>
              <w:rPr>
                <w:webHidden/>
                <w:rStyle w:val="IndexLink"/>
                <w:rtl w:val="true"/>
              </w:rPr>
              <w:t>فصل اوّل</w:t>
            </w:r>
            <w:r>
              <w:rPr>
                <w:rStyle w:val="IndexLink"/>
                <w:rtl w:val="true"/>
              </w:rPr>
              <w:t xml:space="preserve">: </w:t>
            </w:r>
            <w:r>
              <w:rPr>
                <w:rStyle w:val="IndexLink"/>
                <w:rtl w:val="true"/>
              </w:rPr>
              <w:t>حرمت استمناء</w:t>
            </w:r>
            <w:r>
              <w:rPr>
                <w:rStyle w:val="IndexLink"/>
                <w:rtl w:val="true"/>
              </w:rPr>
              <w:tab/>
            </w:r>
            <w:r>
              <w:rPr>
                <w:rStyle w:val="IndexLink"/>
              </w:rPr>
              <w:t>13</w:t>
            </w:r>
          </w:hyperlink>
        </w:p>
        <w:p>
          <w:pPr>
            <w:pStyle w:val="Contents3"/>
            <w:tabs>
              <w:tab w:val="clear" w:pos="8459"/>
              <w:tab w:val="right" w:pos="9026" w:leader="dot"/>
            </w:tabs>
            <w:rPr/>
          </w:pPr>
          <w:hyperlink w:anchor="__RefHeading___Toc2524786_228174162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524788_2281741623">
            <w:r>
              <w:rPr>
                <w:webHidden/>
                <w:rStyle w:val="IndexLink"/>
                <w:rtl w:val="true"/>
              </w:rPr>
              <w:t>دلیل اوّل</w:t>
            </w:r>
            <w:r>
              <w:rPr>
                <w:rStyle w:val="IndexLink"/>
                <w:rtl w:val="true"/>
              </w:rPr>
              <w:t xml:space="preserve">: </w:t>
            </w:r>
            <w:r>
              <w:rPr>
                <w:rStyle w:val="IndexLink"/>
                <w:rtl w:val="true"/>
              </w:rPr>
              <w:t>اجماع فقهاء</w:t>
            </w:r>
            <w:r>
              <w:rPr>
                <w:rStyle w:val="IndexLink"/>
                <w:rtl w:val="true"/>
              </w:rPr>
              <w:tab/>
            </w:r>
            <w:r>
              <w:rPr>
                <w:rStyle w:val="IndexLink"/>
              </w:rPr>
              <w:t>14</w:t>
            </w:r>
          </w:hyperlink>
        </w:p>
        <w:p>
          <w:pPr>
            <w:pStyle w:val="Contents3"/>
            <w:tabs>
              <w:tab w:val="clear" w:pos="8459"/>
              <w:tab w:val="right" w:pos="9026" w:leader="dot"/>
            </w:tabs>
            <w:rPr/>
          </w:pPr>
          <w:hyperlink w:anchor="__RefHeading___Toc2524790_2281741623">
            <w:r>
              <w:rPr>
                <w:webHidden/>
                <w:rStyle w:val="IndexLink"/>
                <w:rtl w:val="true"/>
              </w:rPr>
              <w:t>دلیل دوّم</w:t>
            </w:r>
            <w:r>
              <w:rPr>
                <w:rStyle w:val="IndexLink"/>
                <w:rtl w:val="true"/>
              </w:rPr>
              <w:t xml:space="preserve">: </w:t>
            </w:r>
            <w:r>
              <w:rPr>
                <w:rStyle w:val="IndexLink"/>
                <w:rtl w:val="true"/>
              </w:rPr>
              <w:t>آیاتی از قرآن مجید</w:t>
            </w:r>
            <w:r>
              <w:rPr>
                <w:rStyle w:val="IndexLink"/>
                <w:rtl w:val="true"/>
              </w:rPr>
              <w:tab/>
            </w:r>
            <w:r>
              <w:rPr>
                <w:rStyle w:val="IndexLink"/>
              </w:rPr>
              <w:t>18</w:t>
            </w:r>
          </w:hyperlink>
        </w:p>
        <w:p>
          <w:pPr>
            <w:pStyle w:val="Contents3"/>
            <w:tabs>
              <w:tab w:val="clear" w:pos="8459"/>
              <w:tab w:val="right" w:pos="9026" w:leader="dot"/>
            </w:tabs>
            <w:rPr/>
          </w:pPr>
          <w:hyperlink w:anchor="__RefHeading___Toc2524792_2281741623">
            <w:r>
              <w:rPr>
                <w:webHidden/>
                <w:rStyle w:val="IndexLink"/>
                <w:rtl w:val="true"/>
              </w:rPr>
              <w:t>دلیل سوم</w:t>
            </w:r>
            <w:r>
              <w:rPr>
                <w:rStyle w:val="IndexLink"/>
                <w:rtl w:val="true"/>
              </w:rPr>
              <w:t xml:space="preserve">: </w:t>
            </w:r>
            <w:r>
              <w:rPr>
                <w:rStyle w:val="IndexLink"/>
                <w:rtl w:val="true"/>
              </w:rPr>
              <w:t>روایات معصومین علیهم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2524794_228174162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524796_2281741623">
            <w:r>
              <w:rPr>
                <w:webHidden/>
                <w:rStyle w:val="IndexLink"/>
                <w:rtl w:val="true"/>
              </w:rPr>
              <w:t>دو روایت مخالف</w:t>
            </w:r>
            <w:r>
              <w:rPr>
                <w:rStyle w:val="IndexLink"/>
                <w:rtl w:val="true"/>
              </w:rPr>
              <w:t>!</w:t>
              <w:tab/>
            </w:r>
            <w:r>
              <w:rPr>
                <w:rStyle w:val="IndexLink"/>
              </w:rPr>
              <w:t>28</w:t>
            </w:r>
          </w:hyperlink>
        </w:p>
        <w:p>
          <w:pPr>
            <w:pStyle w:val="Contents4"/>
            <w:tabs>
              <w:tab w:val="clear" w:pos="8176"/>
              <w:tab w:val="right" w:pos="9026" w:leader="dot"/>
            </w:tabs>
            <w:rPr/>
          </w:pPr>
          <w:hyperlink w:anchor="__RefHeading___Toc2524798_2281741623">
            <w:r>
              <w:rPr>
                <w:webHidden/>
                <w:rStyle w:val="IndexLink"/>
                <w:rtl w:val="true"/>
              </w:rPr>
              <w:t>روش‌های جمع بین روایات مذکور</w:t>
            </w:r>
            <w:r>
              <w:rPr>
                <w:rStyle w:val="IndexLink"/>
                <w:rtl w:val="true"/>
              </w:rPr>
              <w:tab/>
            </w:r>
            <w:r>
              <w:rPr>
                <w:rStyle w:val="IndexLink"/>
              </w:rPr>
              <w:t>30</w:t>
            </w:r>
          </w:hyperlink>
        </w:p>
        <w:p>
          <w:pPr>
            <w:pStyle w:val="Contents4"/>
            <w:tabs>
              <w:tab w:val="clear" w:pos="8176"/>
              <w:tab w:val="right" w:pos="9026" w:leader="dot"/>
            </w:tabs>
            <w:rPr/>
          </w:pPr>
          <w:hyperlink w:anchor="__RefHeading___Toc2524800_2281741623">
            <w:r>
              <w:rPr>
                <w:webHidden/>
                <w:rStyle w:val="IndexLink"/>
                <w:rtl w:val="true"/>
              </w:rPr>
              <w:t>اعمال مرجّحات</w:t>
            </w:r>
            <w:r>
              <w:rPr>
                <w:rStyle w:val="IndexLink"/>
                <w:rtl w:val="true"/>
              </w:rPr>
              <w:tab/>
            </w:r>
            <w:r>
              <w:rPr>
                <w:rStyle w:val="IndexLink"/>
              </w:rPr>
              <w:t>32</w:t>
            </w:r>
          </w:hyperlink>
        </w:p>
        <w:p>
          <w:pPr>
            <w:pStyle w:val="Contents3"/>
            <w:tabs>
              <w:tab w:val="clear" w:pos="8459"/>
              <w:tab w:val="right" w:pos="9026" w:leader="dot"/>
            </w:tabs>
            <w:rPr/>
          </w:pPr>
          <w:hyperlink w:anchor="__RefHeading___Toc2524802_2281741623">
            <w:r>
              <w:rPr>
                <w:webHidden/>
                <w:rStyle w:val="IndexLink"/>
                <w:rtl w:val="true"/>
              </w:rPr>
              <w:t>دلیل چهارم</w:t>
            </w:r>
            <w:r>
              <w:rPr>
                <w:rStyle w:val="IndexLink"/>
                <w:rtl w:val="true"/>
              </w:rPr>
              <w:t xml:space="preserve">: </w:t>
            </w:r>
            <w:r>
              <w:rPr>
                <w:rStyle w:val="IndexLink"/>
                <w:rtl w:val="true"/>
              </w:rPr>
              <w:t>دلیل عقل</w:t>
            </w:r>
            <w:r>
              <w:rPr>
                <w:rStyle w:val="IndexLink"/>
                <w:rtl w:val="true"/>
              </w:rPr>
              <w:tab/>
            </w:r>
            <w:r>
              <w:rPr>
                <w:rStyle w:val="IndexLink"/>
              </w:rPr>
              <w:t>33</w:t>
            </w:r>
          </w:hyperlink>
        </w:p>
        <w:p>
          <w:pPr>
            <w:pStyle w:val="Contents2"/>
            <w:tabs>
              <w:tab w:val="clear" w:pos="8743"/>
              <w:tab w:val="right" w:pos="9026" w:leader="dot"/>
            </w:tabs>
            <w:rPr/>
          </w:pPr>
          <w:hyperlink w:anchor="__RefHeading___Toc2524804_2281741623">
            <w:r>
              <w:rPr>
                <w:webHidden/>
                <w:rStyle w:val="IndexLink"/>
                <w:rtl w:val="true"/>
              </w:rPr>
              <w:t>فصل دوّم</w:t>
            </w:r>
            <w:r>
              <w:rPr>
                <w:rStyle w:val="IndexLink"/>
                <w:rtl w:val="true"/>
              </w:rPr>
              <w:t xml:space="preserve">: </w:t>
            </w:r>
            <w:r>
              <w:rPr>
                <w:rStyle w:val="IndexLink"/>
                <w:rtl w:val="true"/>
              </w:rPr>
              <w:t>ضررهاومفاسد خودارضایی</w:t>
            </w:r>
            <w:r>
              <w:rPr>
                <w:rStyle w:val="IndexLink"/>
                <w:rtl w:val="true"/>
              </w:rPr>
              <w:tab/>
            </w:r>
            <w:r>
              <w:rPr>
                <w:rStyle w:val="IndexLink"/>
              </w:rPr>
              <w:t>37</w:t>
            </w:r>
          </w:hyperlink>
        </w:p>
        <w:p>
          <w:pPr>
            <w:pStyle w:val="Contents3"/>
            <w:tabs>
              <w:tab w:val="clear" w:pos="8459"/>
              <w:tab w:val="right" w:pos="9026" w:leader="dot"/>
            </w:tabs>
            <w:rPr/>
          </w:pPr>
          <w:hyperlink w:anchor="__RefHeading___Toc2524806_228174162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524808_2281741623">
            <w:r>
              <w:rPr>
                <w:webHidden/>
                <w:rStyle w:val="IndexLink"/>
                <w:rtl w:val="true"/>
              </w:rPr>
              <w:t>ضررها و مفاسد</w:t>
            </w:r>
            <w:r>
              <w:rPr>
                <w:rStyle w:val="IndexLink"/>
                <w:rtl w:val="true"/>
              </w:rPr>
              <w:tab/>
            </w:r>
            <w:r>
              <w:rPr>
                <w:rStyle w:val="IndexLink"/>
              </w:rPr>
              <w:t>38</w:t>
            </w:r>
          </w:hyperlink>
        </w:p>
        <w:p>
          <w:pPr>
            <w:pStyle w:val="Contents2"/>
            <w:tabs>
              <w:tab w:val="clear" w:pos="8743"/>
              <w:tab w:val="right" w:pos="9026" w:leader="dot"/>
            </w:tabs>
            <w:rPr/>
          </w:pPr>
          <w:hyperlink w:anchor="__RefHeading___Toc2524810_2281741623">
            <w:r>
              <w:rPr>
                <w:webHidden/>
                <w:rStyle w:val="IndexLink"/>
                <w:rtl w:val="true"/>
              </w:rPr>
              <w:t>فصل سوّم</w:t>
            </w:r>
            <w:r>
              <w:rPr>
                <w:rStyle w:val="IndexLink"/>
                <w:rtl w:val="true"/>
              </w:rPr>
              <w:t xml:space="preserve">: </w:t>
            </w:r>
            <w:r>
              <w:rPr>
                <w:rStyle w:val="IndexLink"/>
                <w:rtl w:val="true"/>
              </w:rPr>
              <w:t>مصادیق استمناء</w:t>
            </w:r>
            <w:r>
              <w:rPr>
                <w:rStyle w:val="IndexLink"/>
                <w:rtl w:val="true"/>
              </w:rPr>
              <w:tab/>
            </w:r>
            <w:r>
              <w:rPr>
                <w:rStyle w:val="IndexLink"/>
              </w:rPr>
              <w:t>42</w:t>
            </w:r>
          </w:hyperlink>
        </w:p>
        <w:p>
          <w:pPr>
            <w:pStyle w:val="Contents3"/>
            <w:tabs>
              <w:tab w:val="clear" w:pos="8459"/>
              <w:tab w:val="right" w:pos="9026" w:leader="dot"/>
            </w:tabs>
            <w:rPr/>
          </w:pPr>
          <w:hyperlink w:anchor="__RefHeading___Toc2524812_228174162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524814_2281741623">
            <w:r>
              <w:rPr>
                <w:webHidden/>
                <w:rStyle w:val="IndexLink"/>
                <w:rtl w:val="true"/>
              </w:rPr>
              <w:t>دلیل‌های ما بر عمومیّت</w:t>
            </w:r>
            <w:r>
              <w:rPr>
                <w:rStyle w:val="IndexLink"/>
                <w:rtl w:val="true"/>
              </w:rPr>
              <w:tab/>
            </w:r>
            <w:r>
              <w:rPr>
                <w:rStyle w:val="IndexLink"/>
              </w:rPr>
              <w:t>45</w:t>
            </w:r>
          </w:hyperlink>
        </w:p>
        <w:p>
          <w:pPr>
            <w:pStyle w:val="Contents3"/>
            <w:tabs>
              <w:tab w:val="clear" w:pos="8459"/>
              <w:tab w:val="right" w:pos="9026" w:leader="dot"/>
            </w:tabs>
            <w:rPr/>
          </w:pPr>
          <w:hyperlink w:anchor="__RefHeading___Toc2524816_2281741623">
            <w:r>
              <w:rPr>
                <w:webHidden/>
                <w:rStyle w:val="IndexLink"/>
                <w:rtl w:val="true"/>
              </w:rPr>
              <w:t>ملاعبه‌ی با زوجه استثناست</w:t>
            </w:r>
            <w:r>
              <w:rPr>
                <w:rStyle w:val="IndexLink"/>
                <w:rtl w:val="true"/>
              </w:rPr>
              <w:tab/>
            </w:r>
            <w:r>
              <w:rPr>
                <w:rStyle w:val="IndexLink"/>
              </w:rPr>
              <w:t>47</w:t>
            </w:r>
          </w:hyperlink>
        </w:p>
        <w:p>
          <w:pPr>
            <w:pStyle w:val="Contents3"/>
            <w:tabs>
              <w:tab w:val="clear" w:pos="8459"/>
              <w:tab w:val="right" w:pos="9026" w:leader="dot"/>
            </w:tabs>
            <w:rPr/>
          </w:pPr>
          <w:hyperlink w:anchor="__RefHeading___Toc2524818_2281741623">
            <w:r>
              <w:rPr>
                <w:webHidden/>
                <w:rStyle w:val="IndexLink"/>
                <w:rtl w:val="true"/>
              </w:rPr>
              <w:t>خودارضایی در زنان</w:t>
            </w:r>
            <w:r>
              <w:rPr>
                <w:rStyle w:val="IndexLink"/>
                <w:rtl w:val="true"/>
              </w:rPr>
              <w:t>!</w:t>
              <w:tab/>
            </w:r>
            <w:r>
              <w:rPr>
                <w:rStyle w:val="IndexLink"/>
              </w:rPr>
              <w:t>47</w:t>
            </w:r>
          </w:hyperlink>
        </w:p>
        <w:p>
          <w:pPr>
            <w:pStyle w:val="Contents2"/>
            <w:tabs>
              <w:tab w:val="clear" w:pos="8743"/>
              <w:tab w:val="right" w:pos="9026" w:leader="dot"/>
            </w:tabs>
            <w:rPr/>
          </w:pPr>
          <w:hyperlink w:anchor="__RefHeading___Toc2524820_2281741623">
            <w:r>
              <w:rPr>
                <w:webHidden/>
                <w:rStyle w:val="IndexLink"/>
                <w:rtl w:val="true"/>
              </w:rPr>
              <w:t>فصل چهارم</w:t>
            </w:r>
            <w:r>
              <w:rPr>
                <w:rStyle w:val="IndexLink"/>
                <w:rtl w:val="true"/>
              </w:rPr>
              <w:t xml:space="preserve">: </w:t>
            </w:r>
            <w:r>
              <w:rPr>
                <w:rStyle w:val="IndexLink"/>
                <w:rtl w:val="true"/>
              </w:rPr>
              <w:t>مجازات خودارضایی</w:t>
            </w:r>
            <w:r>
              <w:rPr>
                <w:rStyle w:val="IndexLink"/>
                <w:rtl w:val="true"/>
              </w:rPr>
              <w:tab/>
            </w:r>
            <w:r>
              <w:rPr>
                <w:rStyle w:val="IndexLink"/>
              </w:rPr>
              <w:t>49</w:t>
            </w:r>
          </w:hyperlink>
        </w:p>
        <w:p>
          <w:pPr>
            <w:pStyle w:val="Contents3"/>
            <w:tabs>
              <w:tab w:val="clear" w:pos="8459"/>
              <w:tab w:val="right" w:pos="9026" w:leader="dot"/>
            </w:tabs>
            <w:rPr/>
          </w:pPr>
          <w:hyperlink w:anchor="__RefHeading___Toc2524822_228174162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524824_2281741623">
            <w:r>
              <w:rPr>
                <w:webHidden/>
                <w:rStyle w:val="IndexLink"/>
                <w:rtl w:val="true"/>
              </w:rPr>
              <w:t>ادلّه‌ی تعزیر استمناء کننده</w:t>
            </w:r>
            <w:r>
              <w:rPr>
                <w:rStyle w:val="IndexLink"/>
                <w:rtl w:val="true"/>
              </w:rPr>
              <w:tab/>
            </w:r>
            <w:r>
              <w:rPr>
                <w:rStyle w:val="IndexLink"/>
              </w:rPr>
              <w:t>53</w:t>
            </w:r>
          </w:hyperlink>
        </w:p>
        <w:p>
          <w:pPr>
            <w:pStyle w:val="Contents2"/>
            <w:tabs>
              <w:tab w:val="clear" w:pos="8743"/>
              <w:tab w:val="right" w:pos="9026" w:leader="dot"/>
            </w:tabs>
            <w:rPr/>
          </w:pPr>
          <w:hyperlink w:anchor="__RefHeading___Toc2524826_2281741623">
            <w:r>
              <w:rPr>
                <w:webHidden/>
                <w:rStyle w:val="IndexLink"/>
                <w:rtl w:val="true"/>
              </w:rPr>
              <w:t>فصل پنجم</w:t>
            </w:r>
            <w:r>
              <w:rPr>
                <w:rStyle w:val="IndexLink"/>
                <w:rtl w:val="true"/>
              </w:rPr>
              <w:t xml:space="preserve">: </w:t>
            </w:r>
            <w:r>
              <w:rPr>
                <w:rStyle w:val="IndexLink"/>
                <w:rtl w:val="true"/>
              </w:rPr>
              <w:t>طرق پیشگیری و راه‌حل‌ها</w:t>
            </w:r>
            <w:r>
              <w:rPr>
                <w:rStyle w:val="IndexLink"/>
                <w:rtl w:val="true"/>
              </w:rPr>
              <w:tab/>
            </w:r>
            <w:r>
              <w:rPr>
                <w:rStyle w:val="IndexLink"/>
              </w:rPr>
              <w:t>57</w:t>
            </w:r>
          </w:hyperlink>
        </w:p>
        <w:p>
          <w:pPr>
            <w:pStyle w:val="Contents3"/>
            <w:tabs>
              <w:tab w:val="clear" w:pos="8459"/>
              <w:tab w:val="right" w:pos="9026" w:leader="dot"/>
            </w:tabs>
            <w:rPr/>
          </w:pPr>
          <w:hyperlink w:anchor="__RefHeading___Toc2524828_228174162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524830_2281741623">
            <w:r>
              <w:rPr>
                <w:webHidden/>
                <w:rStyle w:val="IndexLink"/>
                <w:rtl w:val="true"/>
              </w:rPr>
              <w:t>پیشگیری مقدّم بر درمان است</w:t>
            </w:r>
            <w:r>
              <w:rPr>
                <w:rStyle w:val="IndexLink"/>
                <w:rtl w:val="true"/>
              </w:rPr>
              <w:tab/>
            </w:r>
            <w:r>
              <w:rPr>
                <w:rStyle w:val="IndexLink"/>
              </w:rPr>
              <w:t>58</w:t>
            </w:r>
          </w:hyperlink>
        </w:p>
        <w:p>
          <w:pPr>
            <w:pStyle w:val="Contents3"/>
            <w:tabs>
              <w:tab w:val="clear" w:pos="8459"/>
              <w:tab w:val="right" w:pos="9026" w:leader="dot"/>
            </w:tabs>
            <w:rPr/>
          </w:pPr>
          <w:hyperlink w:anchor="__RefHeading___Toc2524832_2281741623">
            <w:r>
              <w:rPr>
                <w:webHidden/>
                <w:rStyle w:val="IndexLink"/>
                <w:rtl w:val="true"/>
              </w:rPr>
              <w:t>راه‌حلّ اوّل</w:t>
            </w:r>
            <w:r>
              <w:rPr>
                <w:rStyle w:val="IndexLink"/>
                <w:rtl w:val="true"/>
              </w:rPr>
              <w:t xml:space="preserve">: </w:t>
            </w:r>
            <w:r>
              <w:rPr>
                <w:rStyle w:val="IndexLink"/>
                <w:rtl w:val="true"/>
              </w:rPr>
              <w:t>ازدواج</w:t>
            </w:r>
            <w:r>
              <w:rPr>
                <w:rStyle w:val="IndexLink"/>
                <w:rtl w:val="true"/>
              </w:rPr>
              <w:tab/>
            </w:r>
            <w:r>
              <w:rPr>
                <w:rStyle w:val="IndexLink"/>
              </w:rPr>
              <w:t>59</w:t>
            </w:r>
          </w:hyperlink>
        </w:p>
        <w:p>
          <w:pPr>
            <w:pStyle w:val="Contents4"/>
            <w:tabs>
              <w:tab w:val="clear" w:pos="8176"/>
              <w:tab w:val="right" w:pos="9026" w:leader="dot"/>
            </w:tabs>
            <w:rPr/>
          </w:pPr>
          <w:hyperlink w:anchor="__RefHeading___Toc2524834_228174162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524836_2281741623">
            <w:r>
              <w:rPr>
                <w:webHidden/>
                <w:rStyle w:val="IndexLink"/>
                <w:rtl w:val="true"/>
              </w:rPr>
              <w:t>معضلات ازدواج در عصر و زمان ما</w:t>
            </w:r>
            <w:r>
              <w:rPr>
                <w:rStyle w:val="IndexLink"/>
                <w:rtl w:val="true"/>
              </w:rPr>
              <w:tab/>
            </w:r>
            <w:r>
              <w:rPr>
                <w:rStyle w:val="IndexLink"/>
              </w:rPr>
              <w:t>60</w:t>
            </w:r>
          </w:hyperlink>
        </w:p>
        <w:p>
          <w:pPr>
            <w:pStyle w:val="Contents3"/>
            <w:tabs>
              <w:tab w:val="clear" w:pos="8459"/>
              <w:tab w:val="right" w:pos="9026" w:leader="dot"/>
            </w:tabs>
            <w:rPr/>
          </w:pPr>
          <w:hyperlink w:anchor="__RefHeading___Toc2524838_2281741623">
            <w:r>
              <w:rPr>
                <w:webHidden/>
                <w:rStyle w:val="IndexLink"/>
                <w:rtl w:val="true"/>
              </w:rPr>
              <w:t>راه‌حلّ دوم</w:t>
            </w:r>
            <w:r>
              <w:rPr>
                <w:rStyle w:val="IndexLink"/>
                <w:rtl w:val="true"/>
              </w:rPr>
              <w:t xml:space="preserve">: </w:t>
            </w:r>
            <w:r>
              <w:rPr>
                <w:rStyle w:val="IndexLink"/>
                <w:rtl w:val="true"/>
              </w:rPr>
              <w:t>پرهیز از عوامل تحریک</w:t>
            </w:r>
            <w:r>
              <w:rPr>
                <w:rStyle w:val="IndexLink"/>
                <w:rtl w:val="true"/>
              </w:rPr>
              <w:tab/>
            </w:r>
            <w:r>
              <w:rPr>
                <w:rStyle w:val="IndexLink"/>
              </w:rPr>
              <w:t>62</w:t>
            </w:r>
          </w:hyperlink>
        </w:p>
        <w:p>
          <w:pPr>
            <w:pStyle w:val="Contents3"/>
            <w:tabs>
              <w:tab w:val="clear" w:pos="8459"/>
              <w:tab w:val="right" w:pos="9026" w:leader="dot"/>
            </w:tabs>
            <w:rPr/>
          </w:pPr>
          <w:hyperlink w:anchor="__RefHeading___Toc2524840_2281741623">
            <w:r>
              <w:rPr>
                <w:webHidden/>
                <w:rStyle w:val="IndexLink"/>
                <w:rtl w:val="true"/>
              </w:rPr>
              <w:t>راه‌حل سوم</w:t>
            </w:r>
            <w:r>
              <w:rPr>
                <w:rStyle w:val="IndexLink"/>
                <w:rtl w:val="true"/>
              </w:rPr>
              <w:t xml:space="preserve">: </w:t>
            </w:r>
            <w:r>
              <w:rPr>
                <w:rStyle w:val="IndexLink"/>
                <w:rtl w:val="true"/>
              </w:rPr>
              <w:t>اجتناب از دوستان ناباب</w:t>
            </w:r>
            <w:r>
              <w:rPr>
                <w:rStyle w:val="IndexLink"/>
                <w:rtl w:val="true"/>
              </w:rPr>
              <w:tab/>
            </w:r>
            <w:r>
              <w:rPr>
                <w:rStyle w:val="IndexLink"/>
              </w:rPr>
              <w:t>63</w:t>
            </w:r>
          </w:hyperlink>
        </w:p>
        <w:p>
          <w:pPr>
            <w:pStyle w:val="Contents3"/>
            <w:tabs>
              <w:tab w:val="clear" w:pos="8459"/>
              <w:tab w:val="right" w:pos="9026" w:leader="dot"/>
            </w:tabs>
            <w:rPr/>
          </w:pPr>
          <w:hyperlink w:anchor="__RefHeading___Toc2524842_2281741623">
            <w:r>
              <w:rPr>
                <w:webHidden/>
                <w:rStyle w:val="IndexLink"/>
                <w:rtl w:val="true"/>
              </w:rPr>
              <w:t>راه‌حلّ چهارم</w:t>
            </w:r>
            <w:r>
              <w:rPr>
                <w:rStyle w:val="IndexLink"/>
                <w:rtl w:val="true"/>
              </w:rPr>
              <w:t xml:space="preserve">: </w:t>
            </w:r>
            <w:r>
              <w:rPr>
                <w:rStyle w:val="IndexLink"/>
                <w:rtl w:val="true"/>
              </w:rPr>
              <w:t>اشتغال</w:t>
            </w:r>
            <w:r>
              <w:rPr>
                <w:rStyle w:val="IndexLink"/>
                <w:rtl w:val="true"/>
              </w:rPr>
              <w:tab/>
            </w:r>
            <w:r>
              <w:rPr>
                <w:rStyle w:val="IndexLink"/>
              </w:rPr>
              <w:t>64</w:t>
            </w:r>
          </w:hyperlink>
        </w:p>
        <w:p>
          <w:pPr>
            <w:pStyle w:val="Contents3"/>
            <w:tabs>
              <w:tab w:val="clear" w:pos="8459"/>
              <w:tab w:val="right" w:pos="9026" w:leader="dot"/>
            </w:tabs>
            <w:rPr/>
          </w:pPr>
          <w:hyperlink w:anchor="__RefHeading___Toc2524844_2281741623">
            <w:r>
              <w:rPr>
                <w:webHidden/>
                <w:rStyle w:val="IndexLink"/>
                <w:rtl w:val="true"/>
              </w:rPr>
              <w:t>راه‌حلّ پنجم</w:t>
            </w:r>
            <w:r>
              <w:rPr>
                <w:rStyle w:val="IndexLink"/>
                <w:rtl w:val="true"/>
              </w:rPr>
              <w:t xml:space="preserve">: </w:t>
            </w:r>
            <w:r>
              <w:rPr>
                <w:rStyle w:val="IndexLink"/>
                <w:rtl w:val="true"/>
              </w:rPr>
              <w:t>مطالعه‌ی مداوم آثار سوء استمناء</w:t>
            </w:r>
            <w:r>
              <w:rPr>
                <w:rStyle w:val="IndexLink"/>
                <w:rtl w:val="true"/>
              </w:rPr>
              <w:tab/>
            </w:r>
            <w:r>
              <w:rPr>
                <w:rStyle w:val="IndexLink"/>
              </w:rPr>
              <w:t>64</w:t>
            </w:r>
          </w:hyperlink>
        </w:p>
        <w:p>
          <w:pPr>
            <w:pStyle w:val="Contents3"/>
            <w:tabs>
              <w:tab w:val="clear" w:pos="8459"/>
              <w:tab w:val="right" w:pos="9026" w:leader="dot"/>
            </w:tabs>
            <w:rPr/>
          </w:pPr>
          <w:hyperlink w:anchor="__RefHeading___Toc2524846_2281741623">
            <w:r>
              <w:rPr>
                <w:webHidden/>
                <w:rStyle w:val="IndexLink"/>
                <w:rtl w:val="true"/>
              </w:rPr>
              <w:t>راه‌حلّ ششم</w:t>
            </w:r>
            <w:r>
              <w:rPr>
                <w:rStyle w:val="IndexLink"/>
                <w:rtl w:val="true"/>
              </w:rPr>
              <w:t xml:space="preserve">: </w:t>
            </w:r>
            <w:r>
              <w:rPr>
                <w:rStyle w:val="IndexLink"/>
                <w:rtl w:val="true"/>
              </w:rPr>
              <w:t>تقویت پایه‌های ایمان</w:t>
            </w:r>
            <w:r>
              <w:rPr>
                <w:rStyle w:val="IndexLink"/>
                <w:rtl w:val="true"/>
              </w:rPr>
              <w:tab/>
            </w:r>
            <w:r>
              <w:rPr>
                <w:rStyle w:val="IndexLink"/>
              </w:rPr>
              <w:t>65</w:t>
            </w:r>
          </w:hyperlink>
        </w:p>
        <w:p>
          <w:pPr>
            <w:pStyle w:val="Contents2"/>
            <w:tabs>
              <w:tab w:val="clear" w:pos="8743"/>
              <w:tab w:val="right" w:pos="9026" w:leader="dot"/>
            </w:tabs>
            <w:rPr/>
          </w:pPr>
          <w:hyperlink w:anchor="__RefHeading___Toc2524848_2281741623">
            <w:r>
              <w:rPr>
                <w:webHidden/>
                <w:rStyle w:val="IndexLink"/>
                <w:rtl w:val="true"/>
              </w:rPr>
              <w:t>خاتمه</w:t>
            </w:r>
            <w:r>
              <w:rPr>
                <w:rStyle w:val="IndexLink"/>
                <w:rtl w:val="true"/>
              </w:rPr>
              <w:tab/>
            </w:r>
            <w:r>
              <w:rPr>
                <w:rStyle w:val="IndexLink"/>
              </w:rPr>
              <w:t>66</w:t>
            </w:r>
          </w:hyperlink>
        </w:p>
        <w:p>
          <w:pPr>
            <w:pStyle w:val="Contents3"/>
            <w:tabs>
              <w:tab w:val="clear" w:pos="8459"/>
              <w:tab w:val="right" w:pos="9026" w:leader="dot"/>
            </w:tabs>
            <w:rPr/>
          </w:pPr>
          <w:hyperlink w:anchor="__RefHeading___Toc2524850_228174162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524852_2281741623">
            <w:r>
              <w:rPr>
                <w:webHidden/>
                <w:rStyle w:val="IndexLink"/>
                <w:rtl w:val="true"/>
              </w:rPr>
              <w:t>نیروی جنسی و بلوغ</w:t>
            </w:r>
            <w:r>
              <w:rPr>
                <w:rStyle w:val="IndexLink"/>
                <w:rtl w:val="true"/>
              </w:rPr>
              <w:tab/>
            </w:r>
            <w:r>
              <w:rPr>
                <w:rStyle w:val="IndexLink"/>
              </w:rPr>
              <w:t>67</w:t>
            </w:r>
          </w:hyperlink>
        </w:p>
        <w:p>
          <w:pPr>
            <w:pStyle w:val="Contents3"/>
            <w:tabs>
              <w:tab w:val="clear" w:pos="8459"/>
              <w:tab w:val="right" w:pos="9026" w:leader="dot"/>
            </w:tabs>
            <w:rPr/>
          </w:pPr>
          <w:hyperlink w:anchor="__RefHeading___Toc2524854_2281741623">
            <w:r>
              <w:rPr>
                <w:webHidden/>
                <w:rStyle w:val="IndexLink"/>
                <w:rtl w:val="true"/>
              </w:rPr>
              <w:t>ارتباط میان غدد جنسی و غدد درون ریز در ارگانیسم</w:t>
            </w:r>
            <w:r>
              <w:rPr>
                <w:rStyle w:val="IndexLink"/>
                <w:rtl w:val="true"/>
              </w:rPr>
              <w:tab/>
            </w:r>
            <w:r>
              <w:rPr>
                <w:rStyle w:val="IndexLink"/>
              </w:rPr>
              <w:t>69</w:t>
            </w:r>
          </w:hyperlink>
        </w:p>
        <w:p>
          <w:pPr>
            <w:pStyle w:val="Contents3"/>
            <w:tabs>
              <w:tab w:val="clear" w:pos="8459"/>
              <w:tab w:val="right" w:pos="9026" w:leader="dot"/>
            </w:tabs>
            <w:rPr/>
          </w:pPr>
          <w:hyperlink w:anchor="__RefHeading___Toc2524856_2281741623">
            <w:r>
              <w:rPr>
                <w:webHidden/>
                <w:rStyle w:val="IndexLink"/>
                <w:rtl w:val="true"/>
              </w:rPr>
              <w:t>منبع تولید نیروی جنسی</w:t>
            </w:r>
            <w:r>
              <w:rPr>
                <w:rStyle w:val="IndexLink"/>
                <w:rtl w:val="true"/>
              </w:rPr>
              <w:tab/>
            </w:r>
            <w:r>
              <w:rPr>
                <w:rStyle w:val="IndexLink"/>
              </w:rPr>
              <w:t>70</w:t>
            </w:r>
          </w:hyperlink>
        </w:p>
        <w:p>
          <w:pPr>
            <w:pStyle w:val="Contents3"/>
            <w:tabs>
              <w:tab w:val="clear" w:pos="8459"/>
              <w:tab w:val="right" w:pos="9026" w:leader="dot"/>
            </w:tabs>
            <w:rPr/>
          </w:pPr>
          <w:hyperlink w:anchor="__RefHeading___Toc2524858_2281741623">
            <w:r>
              <w:rPr>
                <w:webHidden/>
                <w:rStyle w:val="IndexLink"/>
                <w:rtl w:val="true"/>
              </w:rPr>
              <w:t>بهره‌گیری از نیروی جنسی در ورزش</w:t>
            </w:r>
            <w:r>
              <w:rPr>
                <w:rStyle w:val="IndexLink"/>
                <w:rtl w:val="true"/>
              </w:rPr>
              <w:tab/>
            </w:r>
            <w:r>
              <w:rPr>
                <w:rStyle w:val="IndexLink"/>
              </w:rPr>
              <w:t>72</w:t>
            </w:r>
          </w:hyperlink>
        </w:p>
        <w:p>
          <w:pPr>
            <w:pStyle w:val="Contents3"/>
            <w:tabs>
              <w:tab w:val="clear" w:pos="8459"/>
              <w:tab w:val="right" w:pos="9026" w:leader="dot"/>
            </w:tabs>
            <w:rPr/>
          </w:pPr>
          <w:hyperlink w:anchor="__RefHeading___Toc2524860_2281741623">
            <w:r>
              <w:rPr>
                <w:webHidden/>
                <w:rStyle w:val="IndexLink"/>
                <w:rtl w:val="true"/>
              </w:rPr>
              <w:t>نیروی جنسی و طول عمر</w:t>
            </w:r>
            <w:r>
              <w:rPr>
                <w:rStyle w:val="IndexLink"/>
                <w:rtl w:val="true"/>
              </w:rPr>
              <w:tab/>
            </w:r>
            <w:r>
              <w:rPr>
                <w:rStyle w:val="IndexLink"/>
              </w:rPr>
              <w:t>73</w:t>
            </w:r>
          </w:hyperlink>
        </w:p>
        <w:p>
          <w:pPr>
            <w:pStyle w:val="Contents3"/>
            <w:tabs>
              <w:tab w:val="clear" w:pos="8459"/>
              <w:tab w:val="right" w:pos="9026" w:leader="dot"/>
            </w:tabs>
            <w:rPr/>
          </w:pPr>
          <w:hyperlink w:anchor="__RefHeading___Toc2524862_2281741623">
            <w:r>
              <w:rPr>
                <w:webHidden/>
                <w:rStyle w:val="IndexLink"/>
                <w:rtl w:val="true"/>
              </w:rPr>
              <w:t>نیروی جنسی و عقل</w:t>
            </w:r>
            <w:r>
              <w:rPr>
                <w:rStyle w:val="IndexLink"/>
                <w:rtl w:val="true"/>
              </w:rPr>
              <w:tab/>
            </w:r>
            <w:r>
              <w:rPr>
                <w:rStyle w:val="IndexLink"/>
              </w:rPr>
              <w:t>74</w:t>
            </w:r>
          </w:hyperlink>
        </w:p>
        <w:p>
          <w:pPr>
            <w:pStyle w:val="Contents3"/>
            <w:tabs>
              <w:tab w:val="clear" w:pos="8459"/>
              <w:tab w:val="right" w:pos="9026" w:leader="dot"/>
            </w:tabs>
            <w:rPr/>
          </w:pPr>
          <w:hyperlink w:anchor="__RefHeading___Toc2524864_2281741623">
            <w:r>
              <w:rPr>
                <w:webHidden/>
                <w:rStyle w:val="IndexLink"/>
                <w:rtl w:val="true"/>
              </w:rPr>
              <w:t>خودارضایی و تخلیه‌ی نیروی جنسی</w:t>
            </w:r>
            <w:r>
              <w:rPr>
                <w:rStyle w:val="IndexLink"/>
                <w:rtl w:val="true"/>
              </w:rPr>
              <w:tab/>
            </w:r>
            <w:r>
              <w:rPr>
                <w:rStyle w:val="IndexLink"/>
              </w:rPr>
              <w:t>75</w:t>
            </w:r>
          </w:hyperlink>
        </w:p>
        <w:p>
          <w:pPr>
            <w:pStyle w:val="Contents3"/>
            <w:tabs>
              <w:tab w:val="clear" w:pos="8459"/>
              <w:tab w:val="right" w:pos="9026" w:leader="dot"/>
            </w:tabs>
            <w:rPr/>
          </w:pPr>
          <w:hyperlink w:anchor="__RefHeading___Toc2524866_2281741623">
            <w:r>
              <w:rPr>
                <w:webHidden/>
                <w:rStyle w:val="IndexLink"/>
                <w:rtl w:val="true"/>
              </w:rPr>
              <w:t>رابطه‌ی جنسی غیر متعارف</w:t>
            </w:r>
            <w:r>
              <w:rPr>
                <w:rStyle w:val="IndexLink"/>
                <w:rtl w:val="true"/>
              </w:rPr>
              <w:tab/>
            </w:r>
            <w:r>
              <w:rPr>
                <w:rStyle w:val="IndexLink"/>
              </w:rPr>
              <w:t>76</w:t>
            </w:r>
          </w:hyperlink>
        </w:p>
        <w:p>
          <w:pPr>
            <w:pStyle w:val="Contents3"/>
            <w:tabs>
              <w:tab w:val="clear" w:pos="8459"/>
              <w:tab w:val="right" w:pos="9026" w:leader="dot"/>
            </w:tabs>
            <w:rPr/>
          </w:pPr>
          <w:hyperlink w:anchor="__RefHeading___Toc2524868_2281741623">
            <w:r>
              <w:rPr>
                <w:webHidden/>
                <w:rStyle w:val="IndexLink"/>
                <w:rtl w:val="true"/>
              </w:rPr>
              <w:t>آیا خودارضایی عوارضی دارد؟</w:t>
            </w:r>
            <w:r>
              <w:rPr>
                <w:rStyle w:val="IndexLink"/>
                <w:rtl w:val="true"/>
              </w:rPr>
              <w:tab/>
            </w:r>
            <w:r>
              <w:rPr>
                <w:rStyle w:val="IndexLink"/>
              </w:rPr>
              <w:t>77</w:t>
            </w:r>
          </w:hyperlink>
        </w:p>
        <w:p>
          <w:pPr>
            <w:pStyle w:val="Contents3"/>
            <w:tabs>
              <w:tab w:val="clear" w:pos="8459"/>
              <w:tab w:val="right" w:pos="9026" w:leader="dot"/>
            </w:tabs>
            <w:rPr/>
          </w:pPr>
          <w:hyperlink w:anchor="__RefHeading___Toc2524870_2281741623">
            <w:r>
              <w:rPr>
                <w:webHidden/>
                <w:rStyle w:val="IndexLink"/>
                <w:rtl w:val="true"/>
              </w:rPr>
              <w:t>خودارضایی و فرایند سالخوردگی</w:t>
            </w:r>
            <w:r>
              <w:rPr>
                <w:rStyle w:val="IndexLink"/>
                <w:rtl w:val="true"/>
              </w:rPr>
              <w:tab/>
            </w:r>
            <w:r>
              <w:rPr>
                <w:rStyle w:val="IndexLink"/>
              </w:rPr>
              <w:t>77</w:t>
            </w:r>
          </w:hyperlink>
        </w:p>
        <w:p>
          <w:pPr>
            <w:pStyle w:val="Contents3"/>
            <w:tabs>
              <w:tab w:val="clear" w:pos="8459"/>
              <w:tab w:val="right" w:pos="9026" w:leader="dot"/>
            </w:tabs>
            <w:rPr/>
          </w:pPr>
          <w:hyperlink w:anchor="__RefHeading___Toc2524872_2281741623">
            <w:r>
              <w:rPr>
                <w:webHidden/>
                <w:rStyle w:val="IndexLink"/>
                <w:rtl w:val="true"/>
              </w:rPr>
              <w:t>آثار خودارضایی برمغز انسان</w:t>
            </w:r>
            <w:r>
              <w:rPr>
                <w:rStyle w:val="IndexLink"/>
                <w:rtl w:val="true"/>
              </w:rPr>
              <w:tab/>
            </w:r>
            <w:r>
              <w:rPr>
                <w:rStyle w:val="IndexLink"/>
              </w:rPr>
              <w:t>79</w:t>
            </w:r>
          </w:hyperlink>
        </w:p>
        <w:p>
          <w:pPr>
            <w:pStyle w:val="Contents3"/>
            <w:tabs>
              <w:tab w:val="clear" w:pos="8459"/>
              <w:tab w:val="right" w:pos="9026" w:leader="dot"/>
            </w:tabs>
            <w:rPr/>
          </w:pPr>
          <w:hyperlink w:anchor="__RefHeading___Toc2524874_2281741623">
            <w:r>
              <w:rPr>
                <w:webHidden/>
                <w:rStyle w:val="IndexLink"/>
                <w:rtl w:val="true"/>
              </w:rPr>
              <w:t>ارتباط مغز با مَنی</w:t>
            </w:r>
            <w:r>
              <w:rPr>
                <w:rStyle w:val="IndexLink"/>
                <w:rtl w:val="true"/>
              </w:rPr>
              <w:tab/>
            </w:r>
            <w:r>
              <w:rPr>
                <w:rStyle w:val="IndexLink"/>
              </w:rPr>
              <w:t>81</w:t>
            </w:r>
          </w:hyperlink>
        </w:p>
        <w:p>
          <w:pPr>
            <w:pStyle w:val="Contents3"/>
            <w:tabs>
              <w:tab w:val="clear" w:pos="8459"/>
              <w:tab w:val="right" w:pos="9026" w:leader="dot"/>
            </w:tabs>
            <w:rPr/>
          </w:pPr>
          <w:hyperlink w:anchor="__RefHeading___Toc2524876_2281741623">
            <w:r>
              <w:rPr>
                <w:webHidden/>
                <w:rStyle w:val="IndexLink"/>
                <w:rtl w:val="true"/>
              </w:rPr>
              <w:t>خودارضایی و دیوانگی</w:t>
            </w:r>
            <w:r>
              <w:rPr>
                <w:rStyle w:val="IndexLink"/>
                <w:rtl w:val="true"/>
              </w:rPr>
              <w:tab/>
            </w:r>
            <w:r>
              <w:rPr>
                <w:rStyle w:val="IndexLink"/>
              </w:rPr>
              <w:t>82</w:t>
            </w:r>
          </w:hyperlink>
        </w:p>
        <w:p>
          <w:pPr>
            <w:pStyle w:val="Contents3"/>
            <w:tabs>
              <w:tab w:val="clear" w:pos="8459"/>
              <w:tab w:val="right" w:pos="9026" w:leader="dot"/>
            </w:tabs>
            <w:rPr/>
          </w:pPr>
          <w:hyperlink w:anchor="__RefHeading___Toc2524878_2281741623">
            <w:r>
              <w:rPr>
                <w:webHidden/>
                <w:rStyle w:val="IndexLink"/>
                <w:rtl w:val="true"/>
              </w:rPr>
              <w:t>خودارضایی و ناتوانی جنسی</w:t>
            </w:r>
            <w:r>
              <w:rPr>
                <w:rStyle w:val="IndexLink"/>
                <w:rtl w:val="true"/>
              </w:rPr>
              <w:tab/>
            </w:r>
            <w:r>
              <w:rPr>
                <w:rStyle w:val="IndexLink"/>
              </w:rPr>
              <w:t>83</w:t>
            </w:r>
          </w:hyperlink>
        </w:p>
        <w:p>
          <w:pPr>
            <w:pStyle w:val="Contents3"/>
            <w:tabs>
              <w:tab w:val="clear" w:pos="8459"/>
              <w:tab w:val="right" w:pos="9026" w:leader="dot"/>
            </w:tabs>
            <w:rPr/>
          </w:pPr>
          <w:hyperlink w:anchor="__RefHeading___Toc2524880_2281741623">
            <w:r>
              <w:rPr>
                <w:webHidden/>
                <w:rStyle w:val="IndexLink"/>
                <w:rtl w:val="true"/>
              </w:rPr>
              <w:t>خودارضایی و انزال زودرس</w:t>
            </w:r>
            <w:r>
              <w:rPr>
                <w:rStyle w:val="IndexLink"/>
                <w:rtl w:val="true"/>
              </w:rPr>
              <w:tab/>
            </w:r>
            <w:r>
              <w:rPr>
                <w:rStyle w:val="IndexLink"/>
              </w:rPr>
              <w:t>83</w:t>
            </w:r>
          </w:hyperlink>
        </w:p>
        <w:p>
          <w:pPr>
            <w:pStyle w:val="Contents3"/>
            <w:tabs>
              <w:tab w:val="clear" w:pos="8459"/>
              <w:tab w:val="right" w:pos="9026" w:leader="dot"/>
            </w:tabs>
            <w:rPr/>
          </w:pPr>
          <w:hyperlink w:anchor="__RefHeading___Toc2524882_2281741623">
            <w:r>
              <w:rPr>
                <w:webHidden/>
                <w:rStyle w:val="IndexLink"/>
                <w:rtl w:val="true"/>
              </w:rPr>
              <w:t>خودارضایی و انزالهای شبانه</w:t>
            </w:r>
            <w:r>
              <w:rPr>
                <w:rStyle w:val="IndexLink"/>
                <w:rtl w:val="true"/>
              </w:rPr>
              <w:tab/>
            </w:r>
            <w:r>
              <w:rPr>
                <w:rStyle w:val="IndexLink"/>
              </w:rPr>
              <w:t>84</w:t>
            </w:r>
          </w:hyperlink>
        </w:p>
        <w:p>
          <w:pPr>
            <w:pStyle w:val="Contents3"/>
            <w:tabs>
              <w:tab w:val="clear" w:pos="8459"/>
              <w:tab w:val="right" w:pos="9026" w:leader="dot"/>
            </w:tabs>
            <w:rPr/>
          </w:pPr>
          <w:hyperlink w:anchor="__RefHeading___Toc2524884_2281741623">
            <w:r>
              <w:rPr>
                <w:webHidden/>
                <w:rStyle w:val="IndexLink"/>
                <w:rtl w:val="true"/>
              </w:rPr>
              <w:t>اخلاق جنسی نامشروع</w:t>
            </w:r>
            <w:r>
              <w:rPr>
                <w:rStyle w:val="IndexLink"/>
                <w:rtl w:val="true"/>
              </w:rPr>
              <w:tab/>
            </w:r>
            <w:r>
              <w:rPr>
                <w:rStyle w:val="IndexLink"/>
              </w:rPr>
              <w:t>85</w:t>
            </w:r>
          </w:hyperlink>
        </w:p>
        <w:p>
          <w:pPr>
            <w:pStyle w:val="Contents3"/>
            <w:tabs>
              <w:tab w:val="clear" w:pos="8459"/>
              <w:tab w:val="right" w:pos="9026" w:leader="dot"/>
            </w:tabs>
            <w:rPr/>
          </w:pPr>
          <w:hyperlink w:anchor="__RefHeading___Toc2524886_2281741623">
            <w:r>
              <w:rPr>
                <w:webHidden/>
                <w:rStyle w:val="IndexLink"/>
                <w:rtl w:val="true"/>
              </w:rPr>
              <w:t>خودارضایی و موادّ مورد نیاز بدن</w:t>
            </w:r>
            <w:r>
              <w:rPr>
                <w:rStyle w:val="IndexLink"/>
                <w:rtl w:val="true"/>
              </w:rPr>
              <w:tab/>
            </w:r>
            <w:r>
              <w:rPr>
                <w:rStyle w:val="IndexLink"/>
              </w:rPr>
              <w:t>86</w:t>
            </w:r>
          </w:hyperlink>
        </w:p>
        <w:p>
          <w:pPr>
            <w:pStyle w:val="Contents3"/>
            <w:tabs>
              <w:tab w:val="clear" w:pos="8459"/>
              <w:tab w:val="right" w:pos="9026" w:leader="dot"/>
            </w:tabs>
            <w:rPr/>
          </w:pPr>
          <w:hyperlink w:anchor="__RefHeading___Toc2524888_2281741623">
            <w:r>
              <w:rPr>
                <w:webHidden/>
                <w:rStyle w:val="IndexLink"/>
                <w:rtl w:val="true"/>
              </w:rPr>
              <w:t>خودارضایی و ضعف پروستات</w:t>
            </w:r>
            <w:r>
              <w:rPr>
                <w:rStyle w:val="IndexLink"/>
                <w:rtl w:val="true"/>
              </w:rPr>
              <w:tab/>
            </w:r>
            <w:r>
              <w:rPr>
                <w:rStyle w:val="IndexLink"/>
              </w:rPr>
              <w:t>88</w:t>
            </w:r>
          </w:hyperlink>
        </w:p>
        <w:p>
          <w:pPr>
            <w:pStyle w:val="Contents3"/>
            <w:tabs>
              <w:tab w:val="clear" w:pos="8459"/>
              <w:tab w:val="right" w:pos="9026" w:leader="dot"/>
            </w:tabs>
            <w:rPr/>
          </w:pPr>
          <w:hyperlink w:anchor="__RefHeading___Toc2524890_2281741623">
            <w:r>
              <w:rPr>
                <w:webHidden/>
                <w:rStyle w:val="IndexLink"/>
                <w:rtl w:val="true"/>
              </w:rPr>
              <w:t>خودارضایی و فرزند ناسالم</w:t>
            </w:r>
            <w:r>
              <w:rPr>
                <w:rStyle w:val="IndexLink"/>
                <w:rtl w:val="true"/>
              </w:rPr>
              <w:tab/>
            </w:r>
            <w:r>
              <w:rPr>
                <w:rStyle w:val="IndexLink"/>
              </w:rPr>
              <w:t>88</w:t>
            </w:r>
          </w:hyperlink>
        </w:p>
        <w:p>
          <w:pPr>
            <w:pStyle w:val="Contents3"/>
            <w:tabs>
              <w:tab w:val="clear" w:pos="8459"/>
              <w:tab w:val="right" w:pos="9026" w:leader="dot"/>
            </w:tabs>
            <w:rPr/>
          </w:pPr>
          <w:hyperlink w:anchor="__RefHeading___Toc2524892_2281741623">
            <w:r>
              <w:rPr>
                <w:webHidden/>
                <w:rStyle w:val="IndexLink"/>
                <w:rtl w:val="true"/>
              </w:rPr>
              <w:t>خودارضایی و جُرم</w:t>
            </w:r>
            <w:r>
              <w:rPr>
                <w:rStyle w:val="IndexLink"/>
                <w:rtl w:val="true"/>
              </w:rPr>
              <w:tab/>
            </w:r>
            <w:r>
              <w:rPr>
                <w:rStyle w:val="IndexLink"/>
              </w:rPr>
              <w:t>89</w:t>
            </w:r>
          </w:hyperlink>
        </w:p>
        <w:p>
          <w:pPr>
            <w:pStyle w:val="Contents3"/>
            <w:tabs>
              <w:tab w:val="clear" w:pos="8459"/>
              <w:tab w:val="right" w:pos="9026" w:leader="dot"/>
            </w:tabs>
            <w:rPr/>
          </w:pPr>
          <w:hyperlink w:anchor="__RefHeading___Toc2524894_2281741623">
            <w:r>
              <w:rPr>
                <w:webHidden/>
                <w:rStyle w:val="IndexLink"/>
                <w:rtl w:val="true"/>
              </w:rPr>
              <w:t>خطرات خودارضایی در خانمها</w:t>
            </w:r>
            <w:r>
              <w:rPr>
                <w:rStyle w:val="IndexLink"/>
                <w:rtl w:val="true"/>
              </w:rPr>
              <w:tab/>
            </w:r>
            <w:r>
              <w:rPr>
                <w:rStyle w:val="IndexLink"/>
              </w:rPr>
              <w:t>89</w:t>
            </w:r>
          </w:hyperlink>
        </w:p>
        <w:p>
          <w:pPr>
            <w:pStyle w:val="Contents3"/>
            <w:tabs>
              <w:tab w:val="clear" w:pos="8459"/>
              <w:tab w:val="right" w:pos="9026" w:leader="dot"/>
            </w:tabs>
            <w:rPr/>
          </w:pPr>
          <w:hyperlink w:anchor="__RefHeading___Toc2524896_2281741623">
            <w:r>
              <w:rPr>
                <w:webHidden/>
                <w:rStyle w:val="IndexLink"/>
                <w:rtl w:val="true"/>
              </w:rPr>
              <w:t>چگونه می‌توان ازخودارضایی دست کشید؟</w:t>
            </w:r>
            <w:r>
              <w:rPr>
                <w:rStyle w:val="IndexLink"/>
                <w:rtl w:val="true"/>
              </w:rPr>
              <w:tab/>
            </w:r>
            <w:r>
              <w:rPr>
                <w:rStyle w:val="IndexLink"/>
              </w:rPr>
              <w:t>90</w:t>
            </w:r>
          </w:hyperlink>
        </w:p>
        <w:p>
          <w:pPr>
            <w:pStyle w:val="Contents3"/>
            <w:tabs>
              <w:tab w:val="clear" w:pos="8459"/>
              <w:tab w:val="right" w:pos="9026" w:leader="dot"/>
            </w:tabs>
            <w:rPr/>
          </w:pPr>
          <w:hyperlink w:anchor="__RefHeading___Toc2524898_2281741623">
            <w:r>
              <w:rPr>
                <w:webHidden/>
                <w:rStyle w:val="IndexLink"/>
                <w:rtl w:val="true"/>
              </w:rPr>
              <w:t>سایر راههای جلوگیری</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82_21298"/>
      <w:bookmarkStart w:id="1" w:name="pg4082_21298"/>
      <w:bookmarkEnd w:id="1"/>
    </w:p>
    <w:p>
      <w:pPr>
        <w:pStyle w:val="Heading2"/>
        <w:numPr>
          <w:ilvl w:val="1"/>
          <w:numId w:val="1"/>
        </w:numPr>
        <w:rPr/>
      </w:pPr>
      <w:bookmarkStart w:id="2" w:name="pg4082_21298"/>
      <w:bookmarkStart w:id="3" w:name="__RefHeading___Toc252477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علیان‌نژادی، ابوالقاسم،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نکته‌ی مهم درباره‌ی خودارضایی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و تحقیق ابوالقاسم علیان‌نژادی‌دامغانی؛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92281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Five important facts regarding masturbation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جنسی 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جنسی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مسائل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۲۶۲۹۳۲۳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4778_2281741623"/>
      <w:bookmarkStart w:id="6" w:name="_Toc2"/>
      <w:bookmarkEnd w:id="5"/>
      <w:r>
        <w:rPr>
          <w:rtl w:val="true"/>
        </w:rPr>
        <w:t>اشاره</w:t>
      </w:r>
      <w:bookmarkStart w:id="7" w:name="pg4082_21302"/>
      <w:bookmarkEnd w:id="6"/>
    </w:p>
    <w:p>
      <w:pPr>
        <w:pStyle w:val="Heading2"/>
        <w:numPr>
          <w:ilvl w:val="1"/>
          <w:numId w:val="1"/>
        </w:numPr>
        <w:rPr/>
      </w:pPr>
      <w:bookmarkStart w:id="8" w:name="__RefHeading___Toc2524780_2281741623"/>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حرمت استمناء</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فقهاء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قرآن مجید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معصومین علیهم السلام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 روایت 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روش‌های جمع بین روایات مذکور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اعمال مرجّحات </w:t>
      </w:r>
      <w:r>
        <w:rPr>
          <w:rFonts w:eastAsia="IRNazanin" w:cs="IRNazanin"/>
          <w:color w:val="111111"/>
          <w:sz w:val="28"/>
          <w:szCs w:val="28"/>
          <w:lang w:bidi="fa-IR"/>
        </w:rPr>
        <w:t>32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IRNazanin" w:hAnsi="IRNazanin" w:eastAsia="IRNazanin"/>
          <w:color w:val="111111"/>
          <w:sz w:val="28"/>
          <w:sz w:val="28"/>
          <w:szCs w:val="28"/>
          <w:rtl w:val="true"/>
          <w:lang w:bidi="fa-IR"/>
        </w:rPr>
        <w:t>ضررها و مفاسد خودارضایی</w:t>
      </w:r>
    </w:p>
    <w:p>
      <w:pPr>
        <w:pStyle w:val="BookText"/>
        <w:rPr/>
      </w:pPr>
      <w:r>
        <w:rPr>
          <w:rFonts w:ascii="IRNazanin" w:hAnsi="IRNazanin" w:eastAsia="IRNazanin"/>
          <w:color w:val="111111"/>
          <w:sz w:val="28"/>
          <w:sz w:val="28"/>
          <w:szCs w:val="28"/>
          <w:rtl w:val="true"/>
          <w:lang w:bidi="fa-IR"/>
        </w:rPr>
        <w:t xml:space="preserve">ضررها و مفاسد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IRNazanin" w:hAnsi="IRNazanin" w:eastAsia="IRNazanin"/>
          <w:color w:val="111111"/>
          <w:sz w:val="28"/>
          <w:sz w:val="28"/>
          <w:szCs w:val="28"/>
          <w:rtl w:val="true"/>
          <w:lang w:bidi="fa-IR"/>
        </w:rPr>
        <w:t>مصادیق استمناء</w:t>
      </w:r>
    </w:p>
    <w:p>
      <w:pPr>
        <w:pStyle w:val="BookText"/>
        <w:rPr/>
      </w:pPr>
      <w:r>
        <w:rPr>
          <w:rFonts w:ascii="IRNazanin" w:hAnsi="IRNazanin" w:eastAsia="IRNazanin"/>
          <w:color w:val="111111"/>
          <w:sz w:val="28"/>
          <w:sz w:val="28"/>
          <w:szCs w:val="28"/>
          <w:rtl w:val="true"/>
          <w:lang w:bidi="fa-IR"/>
        </w:rPr>
        <w:t xml:space="preserve">دلیل‌های ما بر عمومیّت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ملاعبه‌ی با زوجه استثناست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خودارضایی در زنان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مجازات خودارضایی</w:t>
      </w:r>
    </w:p>
    <w:p>
      <w:pPr>
        <w:pStyle w:val="BookText"/>
        <w:rPr/>
      </w:pPr>
      <w:r>
        <w:rPr>
          <w:rFonts w:ascii="IRNazanin" w:hAnsi="IRNazanin" w:eastAsia="IRNazanin"/>
          <w:color w:val="111111"/>
          <w:sz w:val="28"/>
          <w:sz w:val="28"/>
          <w:szCs w:val="28"/>
          <w:rtl w:val="true"/>
          <w:lang w:bidi="fa-IR"/>
        </w:rPr>
        <w:t xml:space="preserve">ادلّه‌ی تعزیر استمناء کننده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طرق پیشگیری و راه‌حل‌ها</w:t>
      </w:r>
    </w:p>
    <w:p>
      <w:pPr>
        <w:pStyle w:val="BookText"/>
        <w:rPr/>
      </w:pPr>
      <w:r>
        <w:rPr>
          <w:rFonts w:ascii="IRNazanin" w:hAnsi="IRNazanin" w:eastAsia="IRNazanin"/>
          <w:color w:val="111111"/>
          <w:sz w:val="28"/>
          <w:sz w:val="28"/>
          <w:szCs w:val="28"/>
          <w:rtl w:val="true"/>
          <w:lang w:bidi="fa-IR"/>
        </w:rPr>
        <w:t xml:space="preserve">پیشگیری مقدّم بر درمان است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راه‌حلّ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ازدواج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معضلات ازدواج در عصر و زمان ما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راه‌حلّ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عوامل تحریک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راه‌حل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دوستان ناباب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راه‌حلّ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راه‌حلّ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مطالعه‌ی مداوم آثار سوء استمناء </w:t>
      </w:r>
      <w:r>
        <w:rPr>
          <w:rFonts w:eastAsia="IRNazanin" w:cs="IRNazanin"/>
          <w:color w:val="111111"/>
          <w:sz w:val="28"/>
          <w:szCs w:val="28"/>
          <w:lang w:bidi="fa-IR"/>
        </w:rPr>
        <w:t>66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راه‌حلّ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پایه‌های ایمان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 xml:space="preserve">نیروی جنسی و بلوغ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ارتباط میان غدد جنسی و غدد درون ریز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منبع تولید نیروی جنسی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بهره‌گیری از نیروی جنسی در ورزش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نیروی جنسی و طول عمر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نیروی جنسی و عقل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خودارضایی و تخلیه نیروی جنسی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رابطه جنسی غیر متعارف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آیا خودارضایی عوارضی دارد؟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خودارضایی و فرایند سالخوردگی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آثار خودارضایی برمغز انسان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ارتباط مغز با مَنی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خودارضایی و دیوانگی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خودارضایی و ناتوانی جنسی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خودارضایی و انزال زودرس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خودارضایی و انزالهای شبانه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اخلاق جنسی نامشروع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خودارضایی و موادّ مورد نیاز بدن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خودارضایی و ضعف پروستات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خودارضایی و فرزند ناسالم </w:t>
      </w:r>
      <w:r>
        <w:rPr>
          <w:rFonts w:eastAsia="IRNazanin" w:cs="IRNazanin"/>
          <w:color w:val="111111"/>
          <w:sz w:val="28"/>
          <w:szCs w:val="28"/>
          <w:lang w:bidi="fa-IR"/>
        </w:rPr>
        <w:t>90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خودارضایی و جُرم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خطرات خودارضایی در خانمها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چگونه می‌توان از خودارضایی دست کشید؟ </w:t>
      </w:r>
      <w:r>
        <w:rPr>
          <w:rFonts w:eastAsia="IRNazanin" w:cs="IRNazanin"/>
          <w:color w:val="111111"/>
          <w:sz w:val="28"/>
          <w:szCs w:val="28"/>
          <w:lang w:bidi="fa-IR"/>
        </w:rPr>
        <w:t>92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راههای جلوگیری </w:t>
      </w:r>
      <w:r>
        <w:rPr>
          <w:rFonts w:eastAsia="IRNazanin" w:cs="IRNazanin"/>
          <w:color w:val="111111"/>
          <w:sz w:val="28"/>
          <w:szCs w:val="28"/>
          <w:lang w:bidi="fa-IR"/>
        </w:rPr>
        <w:t>93</w:t>
      </w:r>
      <w:bookmarkStart w:id="10" w:name="pg4082_21306"/>
    </w:p>
    <w:p>
      <w:pPr>
        <w:pStyle w:val="Heading2"/>
        <w:numPr>
          <w:ilvl w:val="1"/>
          <w:numId w:val="1"/>
        </w:numPr>
        <w:rPr/>
      </w:pPr>
      <w:bookmarkStart w:id="11" w:name="__RefHeading___Toc2524782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یکی ازخصوصیّات وویژگی‌های درس خارج فقه حضرت آیت الله العظمی مکارم شیرازیمدّظلّه، که آن را از دیگر دروس مشابه متمایز می‌کند، پرداختن به مسایل و معضلات و شبهات جامعه در ضمن مباحث علمی تخصّصی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هنگامی که در بحث ازدواج، به ازدواج مسلمانان با غیر مسلمانان، مخصوصاً پیروان زردشت، رسیدند با توجّه به وجود زردشتیان در بعضی از مناطق کشور به شرح کافی پیرامون این آیین و نحوه‌ی ارتباط مسلمانان با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هنگامی که در مبحث دیات به دیه‌ی ولد الزنا رسیدند، در مورد همه‌ی مباحث مربوط به این موضوع از جمله برخی از محرومیّت‌هایی که فرزند نامشروع دارد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نمونه‌های دیگری که نیاز به ذکر همه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حج نیز هنگامی که به بحث استمناء، که یکی از محرّمات احرام است، رسیدند با توجّه به ابتلای برخی از جوانان به این کار بسیار زشت و گناه بزرگ، جلساتی چند را به بیان و تشریح ابعاد مختلف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طریق هم خانواده‌ها را متوجّه خطری که در کمین جوانانشان می‌باشد کرده باشند، و هم ابعاد مختلف این گناه بزرگ را برای جوانان تشریح نمایند، و هم ضررها و آثار شوم آن را به آنها گوشزد کنند، و هم راهکارها و طرق رهایی و خلاص شدن از آن را به مبتلایان آن تعلیم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که این مباحث صرفآ یک بحث علمی نبود، بلکه جنبه‌ی کاربردی نیز داشت، بصورت مستقل در اختیار شما خوانندگان محترم قرار گرفت، تا اگر خدای ناکرده در اطرافیان شما فردی مبتلا به خودارضایی است، بتوانید با آگاهی بیشتر به کمکش شتافته و او را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پنج فصل تقدیم شما خوانندگان محترم می‌شود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حرمت استمناء و خودارضایی با چهار دلیل محکم و غیرقابل انکار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استمناء و مصادیق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ضررها و مفاسد متعدّد خودارضایی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راهکارهای پیشگیری از خودارضایی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عاجزانه می‌خواهیم که این خدمت ناچیز را به لطف و کرمش قبول فرماید و ذخیره‌ی یوم المعاد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یقبل الیسیر است و پاداش‌های بزرگی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علیان‌نژادی دامغانی</w:t>
      </w:r>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eastAsia="IRNazanin" w:cs="IRNazanin"/>
          <w:color w:val="111111"/>
          <w:sz w:val="28"/>
          <w:szCs w:val="28"/>
          <w:lang w:bidi="fa-IR"/>
        </w:rPr>
        <w:t>1/8/1390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دحو الارض</w:t>
      </w:r>
      <w:bookmarkStart w:id="13" w:name="pg4082_21310"/>
    </w:p>
    <w:p>
      <w:pPr>
        <w:pStyle w:val="Heading2"/>
        <w:numPr>
          <w:ilvl w:val="1"/>
          <w:numId w:val="1"/>
        </w:numPr>
        <w:rPr/>
      </w:pPr>
      <w:bookmarkStart w:id="14" w:name="__RefHeading___Toc2524784_2281741623"/>
      <w:bookmarkStart w:id="15" w:name="_Toc5"/>
      <w:bookmarkEnd w:id="13"/>
      <w:bookmarkEnd w:id="14"/>
      <w:r>
        <w:rPr>
          <w:rtl w:val="true"/>
        </w:rPr>
        <w:t>فصل اوّل</w:t>
      </w:r>
      <w:r>
        <w:rPr>
          <w:rtl w:val="true"/>
        </w:rPr>
        <w:t xml:space="preserve">: </w:t>
      </w:r>
      <w:r>
        <w:rPr>
          <w:rtl w:val="true"/>
        </w:rPr>
        <w:t>حرمت استمناء</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524786_2281741623"/>
      <w:bookmarkStart w:id="17" w:name="_Toc6"/>
      <w:bookmarkEnd w:id="16"/>
      <w:r>
        <w:rPr>
          <w:rtl w:val="true"/>
        </w:rPr>
        <w:t>اشاره</w:t>
      </w:r>
      <w:bookmarkStart w:id="18" w:name="pg4082_21311"/>
      <w:bookmarkEnd w:id="17"/>
    </w:p>
    <w:p>
      <w:pPr>
        <w:pStyle w:val="BookText"/>
        <w:rPr/>
      </w:pPr>
      <w:bookmarkEnd w:id="18"/>
      <w:r>
        <w:rPr>
          <w:rFonts w:ascii="IRNazanin" w:hAnsi="IRNazanin" w:eastAsia="IRNazanin"/>
          <w:color w:val="111111"/>
          <w:sz w:val="28"/>
          <w:sz w:val="28"/>
          <w:szCs w:val="28"/>
          <w:rtl w:val="true"/>
          <w:lang w:bidi="fa-IR"/>
        </w:rPr>
        <w:t>در عصر و زمان ما برخی از دانشمندان کم اطّلاع و کسانی که فریفته‌ی فرهنگ فاسد غرب شده‌اند، به تبعیّت از غربی‌ها، خودارضایی را یک امر طبیعی دانسته و آن را جایز شمرده‌اند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حالی که حرمت آن به ادلّه‌ی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حدیث،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بطلان عقیده‌ی مذکور، ادلّه‌ی چهارگانه را مورد بررسی قرار می‌دهیم </w:t>
      </w:r>
      <w:r>
        <w:rPr>
          <w:rFonts w:eastAsia="IRNazanin" w:cs="IRNazanin"/>
          <w:color w:val="111111"/>
          <w:sz w:val="28"/>
          <w:szCs w:val="28"/>
          <w:rtl w:val="true"/>
          <w:lang w:bidi="fa-IR"/>
        </w:rPr>
        <w:t>:</w:t>
      </w:r>
    </w:p>
    <w:p>
      <w:pPr>
        <w:pStyle w:val="Heading3"/>
        <w:numPr>
          <w:ilvl w:val="2"/>
          <w:numId w:val="1"/>
        </w:numPr>
        <w:rPr/>
      </w:pPr>
      <w:bookmarkStart w:id="19" w:name="__RefHeading___Toc2524788_2281741623"/>
      <w:bookmarkStart w:id="20" w:name="_Toc7"/>
      <w:bookmarkEnd w:id="19"/>
      <w:r>
        <w:rPr>
          <w:rtl w:val="true"/>
        </w:rPr>
        <w:t>دلیل اوّل</w:t>
      </w:r>
      <w:r>
        <w:rPr>
          <w:rtl w:val="true"/>
        </w:rPr>
        <w:t xml:space="preserve">: </w:t>
      </w:r>
      <w:r>
        <w:rPr>
          <w:rtl w:val="true"/>
        </w:rPr>
        <w:t>اجماع فقهاء</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علمای شیعه نسبت به حرمت استمناء ادّعای اجماع کرده‌اند، و هیچ مخالفی از فقهای شیعه در این مسأله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w:t>
      </w:r>
    </w:p>
    <w:p>
      <w:pPr>
        <w:pStyle w:val="BookText"/>
        <w:rPr/>
      </w:pPr>
      <w:r>
        <w:rPr>
          <w:rFonts w:ascii="IRNazanin" w:hAnsi="IRNazanin" w:eastAsia="IRNazanin"/>
          <w:color w:val="111111"/>
          <w:sz w:val="28"/>
          <w:sz w:val="28"/>
          <w:szCs w:val="28"/>
          <w:rtl w:val="true"/>
          <w:lang w:bidi="fa-IR"/>
        </w:rPr>
        <w:t xml:space="preserve">برخی از علمای اهل سنّت آن را حرام نمی‌دانند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نمونه‌هایی از کلمات فقها توجّه فرمایید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حلّی </w:t>
      </w:r>
      <w:r>
        <w:rPr>
          <w:rStyle w:val="FootnoteAnchor"/>
          <w:rtl w:val="true"/>
        </w:rPr>
        <w:footnoteReference w:id="4"/>
      </w:r>
      <w:r>
        <w:rPr>
          <w:rFonts w:ascii="IRNazanin" w:hAnsi="IRNazanin" w:eastAsia="IRNazanin"/>
          <w:color w:val="111111"/>
          <w:sz w:val="28"/>
          <w:sz w:val="28"/>
          <w:szCs w:val="28"/>
          <w:rtl w:val="true"/>
          <w:lang w:bidi="fa-IR"/>
        </w:rPr>
        <w:t>، آن فقیه بزرگ و کم‌نظیر،</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الاستمناء بالید عند علمائنا و هو قول اکثر اهل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حکی ابن المنذر عن عمرو بن دینار انه رخص فیه و به قال احمد بن حنبل؛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خودارضایی به وسیله‌ی دست به نظر تمام علما و دانشمندان شیعه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نظریّه‌ی اکثر علما و فقهای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ابن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فقهای گمنام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وی آن را جایز شمرده، و احمد بن حنبل نیز آن را پذیرفته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نویسنده‌ی کتاب ریاض المسایل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استمنی ای استدعی اخراج المنی بیده او بشیء من اعضائه او اعضاء غیره سوی الزوجة و الامة المحللة عزّ ربما یراه الامام و الحاکم لفعله المحرم اجماعاً </w:t>
      </w:r>
      <w:r>
        <w:rPr>
          <w:rStyle w:val="FootnoteAnchor"/>
          <w:rtl w:val="true"/>
        </w:rPr>
        <w:footnoteReference w:id="7"/>
      </w:r>
      <w:r>
        <w:rPr>
          <w:rFonts w:ascii="IRNazanin" w:hAnsi="IRNazanin" w:eastAsia="IRNazanin"/>
          <w:color w:val="111111"/>
          <w:sz w:val="28"/>
          <w:sz w:val="28"/>
          <w:szCs w:val="28"/>
          <w:rtl w:val="true"/>
          <w:lang w:bidi="fa-IR"/>
        </w:rPr>
        <w:t>؛ و هر شخصی با</w:t>
      </w:r>
    </w:p>
    <w:p>
      <w:pPr>
        <w:pStyle w:val="BookText"/>
        <w:rPr/>
      </w:pPr>
      <w:r>
        <w:rPr>
          <w:rFonts w:ascii="IRNazanin" w:hAnsi="IRNazanin" w:eastAsia="IRNazanin"/>
          <w:color w:val="111111"/>
          <w:sz w:val="28"/>
          <w:sz w:val="28"/>
          <w:szCs w:val="28"/>
          <w:rtl w:val="true"/>
          <w:lang w:bidi="fa-IR"/>
        </w:rPr>
        <w:t>دست یا دیگر اعضای بدنش یا اعضای بدن غیر از همسرش کاری کند که منتهی به خروج منی گردد حاکم شرع او را تعزیر می‌کند؛ زیرا به اجماع علماء و دانشمندان مرتکب کار حرامی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پر توان و برجسته، آقای نجفی </w:t>
      </w:r>
      <w:r>
        <w:rPr>
          <w:rStyle w:val="FootnoteAnchor"/>
          <w:rtl w:val="true"/>
        </w:rPr>
        <w:footnoteReference w:id="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نویسنده‌ی کتاب ارزشمند جواهر الکلام در یک جمله‌ی کوتاه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للاتفاق ظاهراً علی الحرمة المستفادة مما عرفت و من قوله تعالی</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زیرا ظاهراً فقها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بر حرمت استمناء دارند و این حرمت از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w:t>
      </w:r>
    </w:p>
    <w:p>
      <w:pPr>
        <w:pStyle w:val="BookText"/>
        <w:rPr/>
      </w:pPr>
      <w:r>
        <w:rPr>
          <w:rFonts w:ascii="IRNazanin" w:hAnsi="IRNazanin" w:eastAsia="IRNazanin"/>
          <w:color w:val="111111"/>
          <w:sz w:val="28"/>
          <w:sz w:val="28"/>
          <w:szCs w:val="28"/>
          <w:rtl w:val="true"/>
          <w:lang w:bidi="fa-IR"/>
        </w:rPr>
        <w:t>برخی از آیات قرآن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 المکارم ابن زهرة </w:t>
      </w:r>
      <w:r>
        <w:rPr>
          <w:rStyle w:val="FootnoteAnchor"/>
          <w:rtl w:val="true"/>
        </w:rPr>
        <w:footnoteReference w:id="10"/>
      </w:r>
      <w:r>
        <w:rPr>
          <w:rFonts w:ascii="IRNazanin" w:hAnsi="IRNazanin" w:eastAsia="IRNazanin"/>
          <w:color w:val="111111"/>
          <w:sz w:val="28"/>
          <w:sz w:val="28"/>
          <w:szCs w:val="28"/>
          <w:rtl w:val="true"/>
          <w:lang w:bidi="fa-IR"/>
        </w:rPr>
        <w:t>در کتاب غنیة</w:t>
      </w:r>
    </w:p>
    <w:p>
      <w:pPr>
        <w:pStyle w:val="BookText"/>
        <w:rPr/>
      </w:pPr>
      <w:r>
        <w:rPr>
          <w:rFonts w:ascii="IRNazanin" w:hAnsi="IRNazanin" w:eastAsia="IRNazanin"/>
          <w:color w:val="111111"/>
          <w:sz w:val="28"/>
          <w:sz w:val="28"/>
          <w:szCs w:val="28"/>
          <w:rtl w:val="true"/>
          <w:lang w:bidi="fa-IR"/>
        </w:rPr>
        <w:t xml:space="preserve">النزوع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التعزیر یجب بفعل القبیح و الاخلال بالواجب الذی لم یرد الشارع بتوظیف 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یعزر من استمنی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بدلیل اجماع الطائفة؛ </w:t>
      </w:r>
      <w:r>
        <w:rPr>
          <w:rStyle w:val="FootnoteAnchor"/>
          <w:rtl w:val="true"/>
        </w:rPr>
        <w:footnoteReference w:id="11"/>
      </w:r>
      <w:r>
        <w:rPr>
          <w:rFonts w:ascii="IRNazanin" w:hAnsi="IRNazanin" w:eastAsia="IRNazanin"/>
          <w:color w:val="111111"/>
          <w:sz w:val="28"/>
          <w:sz w:val="28"/>
          <w:szCs w:val="28"/>
          <w:rtl w:val="true"/>
          <w:lang w:bidi="fa-IR"/>
        </w:rPr>
        <w:t>انجام هر کار زشت و ترک</w:t>
      </w:r>
    </w:p>
    <w:p>
      <w:pPr>
        <w:pStyle w:val="BookText"/>
        <w:rPr/>
      </w:pPr>
      <w:r>
        <w:rPr>
          <w:rFonts w:ascii="IRNazanin" w:hAnsi="IRNazanin" w:eastAsia="IRNazanin"/>
          <w:color w:val="111111"/>
          <w:sz w:val="28"/>
          <w:sz w:val="28"/>
          <w:szCs w:val="28"/>
          <w:rtl w:val="true"/>
          <w:lang w:bidi="fa-IR"/>
        </w:rPr>
        <w:t>هر کار واجبی که مجازات خاصّی برای آن بیان نشده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مبتلی به استمناء با دست شده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به اجماع علمای شیعه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ماوردی </w:t>
      </w:r>
      <w:r>
        <w:rPr>
          <w:rStyle w:val="FootnoteAnchor"/>
          <w:rtl w:val="true"/>
        </w:rPr>
        <w:footnoteReference w:id="12"/>
      </w:r>
      <w:r>
        <w:rPr>
          <w:rFonts w:ascii="IRNazanin" w:hAnsi="IRNazanin" w:eastAsia="IRNazanin"/>
          <w:color w:val="111111"/>
          <w:sz w:val="28"/>
          <w:sz w:val="28"/>
          <w:szCs w:val="28"/>
          <w:rtl w:val="true"/>
          <w:lang w:bidi="fa-IR"/>
        </w:rPr>
        <w:t xml:space="preserve">از فقهای اهل سنّت می‌گوید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الاستمناء بالید و هو استدعاء المنی بالید فهو محظور، و قد حکی الشافعی عن بعض الفقهاء اباحته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خطأ </w:t>
      </w:r>
      <w:r>
        <w:rPr>
          <w:rStyle w:val="FootnoteAnchor"/>
          <w:rtl w:val="true"/>
        </w:rPr>
        <w:footnoteReference w:id="13"/>
      </w:r>
      <w:r>
        <w:rPr>
          <w:rFonts w:ascii="IRNazanin" w:hAnsi="IRNazanin" w:eastAsia="IRNazanin"/>
          <w:color w:val="111111"/>
          <w:sz w:val="28"/>
          <w:sz w:val="28"/>
          <w:szCs w:val="28"/>
          <w:rtl w:val="true"/>
          <w:lang w:bidi="fa-IR"/>
        </w:rPr>
        <w:t>؛ و امّا استمناء با</w:t>
      </w:r>
      <w:bookmarkStart w:id="21" w:name="pg4082_21315"/>
    </w:p>
    <w:p>
      <w:pPr>
        <w:pStyle w:val="BookText"/>
        <w:rPr/>
      </w:pPr>
      <w:bookmarkEnd w:id="21"/>
      <w:r>
        <w:rPr>
          <w:rFonts w:ascii="IRNazanin" w:hAnsi="IRNazanin" w:eastAsia="IRNazanin"/>
          <w:color w:val="111111"/>
          <w:sz w:val="28"/>
          <w:sz w:val="28"/>
          <w:szCs w:val="28"/>
          <w:rtl w:val="true"/>
          <w:lang w:bidi="fa-IR"/>
        </w:rPr>
        <w:t>دست که عبارت است از طلب انزال منی با دست،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شافعی از برخی فقها نقل کرده که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نظریّه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خودارضایی به اتّفاق تمام فقهای شیعه و اکثریّت علمای اهل سنّت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اجماع با وجود مدارک دیگر، دلیل مستقلّی محسوب نمی‌شود، ولی سایر ادلّه، را که خواهد آمد، تأیید می‌کند</w:t>
      </w:r>
      <w:r>
        <w:rPr>
          <w:rFonts w:eastAsia="IRNazanin" w:cs="IRNazanin"/>
          <w:color w:val="111111"/>
          <w:sz w:val="28"/>
          <w:szCs w:val="28"/>
          <w:rtl w:val="true"/>
          <w:lang w:bidi="fa-IR"/>
        </w:rPr>
        <w:t>.</w:t>
      </w:r>
    </w:p>
    <w:p>
      <w:pPr>
        <w:pStyle w:val="Heading3"/>
        <w:numPr>
          <w:ilvl w:val="2"/>
          <w:numId w:val="1"/>
        </w:numPr>
        <w:rPr/>
      </w:pPr>
      <w:bookmarkStart w:id="22" w:name="__RefHeading___Toc2524790_2281741623"/>
      <w:bookmarkStart w:id="23" w:name="_Toc8"/>
      <w:bookmarkEnd w:id="22"/>
      <w:r>
        <w:rPr>
          <w:rtl w:val="true"/>
        </w:rPr>
        <w:t>دلیل دوّم</w:t>
      </w:r>
      <w:r>
        <w:rPr>
          <w:rtl w:val="true"/>
        </w:rPr>
        <w:t xml:space="preserve">: </w:t>
      </w:r>
      <w:r>
        <w:rPr>
          <w:rtl w:val="true"/>
        </w:rPr>
        <w:t>آیاتی از قرآن مجید</w:t>
      </w:r>
      <w:bookmarkEnd w:id="23"/>
    </w:p>
    <w:p>
      <w:pPr>
        <w:pStyle w:val="BookText"/>
        <w:rPr/>
      </w:pPr>
      <w:r>
        <w:rPr>
          <w:rFonts w:ascii="IRNazanin" w:hAnsi="IRNazanin" w:eastAsia="IRNazanin"/>
          <w:color w:val="111111"/>
          <w:sz w:val="28"/>
          <w:sz w:val="28"/>
          <w:szCs w:val="28"/>
          <w:rtl w:val="true"/>
          <w:lang w:bidi="fa-IR"/>
        </w:rPr>
        <w:t xml:space="preserve">قرآن در دو مورد به حرمت استمناء اشاره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پنجم تا هفتم سوره‌ی مؤمنون، که خداوند متعال در آن آیات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هُمْ لِفُرُجِهِمْ 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عَلی اَزْواجِهِمْ اَوْ ما مَلَکَتْ اَیْمانُهُمْ فَاِنَّهُمْ غَیْرُ مَلُومین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ابْتَغی وَراءَ ذلِکَ فَاُلئکَ هُمُ الْعادوُنَ؛ و آنها که دامان خود را حفظ می‌کنند؛ جز در مورد همسران و کنیزانشان، که در بهره‌گیری از آنان ملامت نمی‌شوند؛ و کسانی که جز این را طلب کنند، تجاوزگرند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معارج، که دقیقاً</w:t>
      </w:r>
    </w:p>
    <w:p>
      <w:pPr>
        <w:pStyle w:val="BookText"/>
        <w:rPr/>
      </w:pPr>
      <w:r>
        <w:rPr>
          <w:rFonts w:ascii="IRNazanin" w:hAnsi="IRNazanin" w:eastAsia="IRNazanin"/>
          <w:color w:val="111111"/>
          <w:sz w:val="28"/>
          <w:sz w:val="28"/>
          <w:szCs w:val="28"/>
          <w:rtl w:val="true"/>
          <w:lang w:bidi="fa-IR"/>
        </w:rPr>
        <w:t>عین آیات پنجم تا هفتم سوره‌ی مؤمنون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آیه‌ی اوّل آمده،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هرگونه مناسبات و روابط جنسی را شامل می‌شود و از آن نهی می‌کند، مگر آنچه که استثناء شده، و آن مسایل جنسی مربوط به دو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موضوع آیه تنها آمیزش جنسی نیست؛ بلکه هرگونه مسایل جنسی است، که طبیعتاً شامل استمناء هم می‌شود و آن را تحریم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شریفه صراحت در حرمت ندارد؛ چون کسانی که مناسبات جنسی غیر مجاز دارند را ملوم و مستحق سرزنش می‌داند و سرزنش به تنهایی دلالت بر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صحیح است، ولی ما حرمت را تنها از واژه‌ی مذکور استفاده نکرده‌ایم، بلکه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الْعادُونَ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مبتلایان به مسایل جنسی غیر مجاز را تجاوزکار و ظالم معرفی کرده، نیز شاهد خوبی بر حرمت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اطلاق آیات مذکور استدلال شود لازمه‌اش این‌است‌که آمیزش باهمسر در حال حیض و نفاس هم‌جایز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مطلبی را می‌پذیرید؟</w:t>
      </w:r>
      <w:bookmarkStart w:id="24" w:name="pg4082_21317"/>
    </w:p>
    <w:p>
      <w:pPr>
        <w:pStyle w:val="BookText"/>
        <w:rPr/>
      </w:pPr>
      <w:bookmarkEnd w:id="2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استثناء مذکور استثناء فی الجمله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 خاص، مانند آنچه که ذکر کردید، با دلیل خاص از عموم استثناء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بدون شک آیات مذکور دلالت بر حرمت خودارضایی دارد و لذا بسیاری از علمای شیعه </w:t>
      </w:r>
      <w:r>
        <w:rPr>
          <w:rStyle w:val="FootnoteAnchor"/>
          <w:rtl w:val="true"/>
        </w:rPr>
        <w:footnoteReference w:id="1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اهل سنّت </w:t>
      </w:r>
      <w:r>
        <w:rPr>
          <w:rStyle w:val="FootnoteAnchor"/>
          <w:rtl w:val="true"/>
        </w:rPr>
        <w:footnoteReference w:id="15"/>
      </w:r>
      <w:r>
        <w:rPr>
          <w:rFonts w:ascii="IRNazanin" w:hAnsi="IRNazanin" w:eastAsia="IRNazanin"/>
          <w:color w:val="111111"/>
          <w:sz w:val="28"/>
          <w:sz w:val="28"/>
          <w:szCs w:val="28"/>
          <w:rtl w:val="true"/>
          <w:lang w:bidi="fa-IR"/>
        </w:rPr>
        <w:t>برای تحریم استمناء به این آیات</w:t>
      </w:r>
    </w:p>
    <w:p>
      <w:pPr>
        <w:pStyle w:val="BookText"/>
        <w:rPr/>
      </w:pPr>
      <w:r>
        <w:rPr>
          <w:rFonts w:ascii="IRNazanin" w:hAnsi="IRNazanin" w:eastAsia="IRNazanin"/>
          <w:color w:val="111111"/>
          <w:sz w:val="28"/>
          <w:sz w:val="28"/>
          <w:szCs w:val="28"/>
          <w:rtl w:val="true"/>
          <w:lang w:bidi="fa-IR"/>
        </w:rPr>
        <w:t>تمسّک جسته‌اند</w:t>
      </w:r>
      <w:r>
        <w:rPr>
          <w:rFonts w:eastAsia="IRNazanin" w:cs="IRNazanin"/>
          <w:color w:val="111111"/>
          <w:sz w:val="28"/>
          <w:szCs w:val="28"/>
          <w:rtl w:val="true"/>
          <w:lang w:bidi="fa-IR"/>
        </w:rPr>
        <w:t>.</w:t>
      </w:r>
    </w:p>
    <w:p>
      <w:pPr>
        <w:pStyle w:val="Heading3"/>
        <w:numPr>
          <w:ilvl w:val="2"/>
          <w:numId w:val="1"/>
        </w:numPr>
        <w:rPr/>
      </w:pPr>
      <w:bookmarkStart w:id="25" w:name="__RefHeading___Toc2524792_2281741623"/>
      <w:bookmarkStart w:id="26" w:name="_Toc9"/>
      <w:bookmarkEnd w:id="25"/>
      <w:r>
        <w:rPr>
          <w:rtl w:val="true"/>
        </w:rPr>
        <w:t>دلیل سوم</w:t>
      </w:r>
      <w:r>
        <w:rPr>
          <w:rtl w:val="true"/>
        </w:rPr>
        <w:t xml:space="preserve">: </w:t>
      </w:r>
      <w:r>
        <w:rPr>
          <w:rtl w:val="true"/>
        </w:rPr>
        <w:t>روایات معصومین علیهم السلام</w:t>
      </w:r>
      <w:bookmarkEnd w:id="26"/>
    </w:p>
    <w:p>
      <w:pPr>
        <w:pStyle w:val="Heading4"/>
        <w:numPr>
          <w:ilvl w:val="3"/>
          <w:numId w:val="1"/>
        </w:numPr>
        <w:rPr/>
      </w:pPr>
      <w:bookmarkStart w:id="27" w:name="__RefHeading___Toc2524794_2281741623"/>
      <w:bookmarkStart w:id="28" w:name="_Toc10"/>
      <w:bookmarkEnd w:id="27"/>
      <w:r>
        <w:rPr>
          <w:rtl w:val="true"/>
        </w:rPr>
        <w:t>اشاره</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فراوانی خودارضایی را تحریم می‌کند، که عمدتاً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ابواب النکاح المحرم و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ابواب نکاح البهایم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توجّه داشته باشید که هر چند تعدادی از این احادیث از نظر سند مشکل دارد،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سند معتبری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آنها متضافر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w:t>
      </w:r>
    </w:p>
    <w:p>
      <w:pPr>
        <w:pStyle w:val="BookText"/>
        <w:rPr/>
      </w:pPr>
      <w:r>
        <w:rPr>
          <w:rFonts w:ascii="IRNazanin" w:hAnsi="IRNazanin" w:eastAsia="IRNazanin"/>
          <w:color w:val="111111"/>
          <w:sz w:val="28"/>
          <w:sz w:val="28"/>
          <w:szCs w:val="28"/>
          <w:rtl w:val="true"/>
          <w:lang w:bidi="fa-IR"/>
        </w:rPr>
        <w:t>قبول و عمل مشهور فقها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ضعف سند روایات ضعیف السند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روایات توجّه فرمایید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بن موسی از امام صادق علیه السلام در مورد مردی که با حیوانی آمیزش کرده، یا مرتکب استمناء شده بود، چنین نقل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اَنزَلَ بِه الرَّجُلُ مائَهُ مِن هذا وَ شِبهِه فَهُوَ زِنا </w:t>
      </w:r>
      <w:r>
        <w:rPr>
          <w:rStyle w:val="FootnoteAnchor"/>
          <w:rtl w:val="true"/>
        </w:rPr>
        <w:footnoteReference w:id="16"/>
      </w:r>
      <w:r>
        <w:rPr>
          <w:rFonts w:ascii="IRNazanin" w:hAnsi="IRNazanin" w:eastAsia="IRNazanin"/>
          <w:color w:val="111111"/>
          <w:sz w:val="28"/>
          <w:sz w:val="28"/>
          <w:szCs w:val="28"/>
          <w:rtl w:val="true"/>
          <w:lang w:bidi="fa-IR"/>
        </w:rPr>
        <w:t>؛ هر کاری از این قبیل و مانند آن، که</w:t>
      </w:r>
    </w:p>
    <w:p>
      <w:pPr>
        <w:pStyle w:val="BookText"/>
        <w:rPr/>
      </w:pPr>
      <w:r>
        <w:rPr>
          <w:rFonts w:ascii="IRNazanin" w:hAnsi="IRNazanin" w:eastAsia="IRNazanin"/>
          <w:color w:val="111111"/>
          <w:sz w:val="28"/>
          <w:sz w:val="28"/>
          <w:szCs w:val="28"/>
          <w:rtl w:val="true"/>
          <w:lang w:bidi="fa-IR"/>
        </w:rPr>
        <w:t>سبب شود انسان نطفه‌اش را خارج سازد، حکم زنا دارد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اَمیرَ المُؤمِنینَ علیه السلام اُتِیَ بِرَجُلٍ عَبَثَ بِذَکَِره فَضَرَبَ یَدَهُ حَتّی احْمَرَّت ثُمَّ زَوَّجَهُ مِن بَیْتِ الْمالِ </w:t>
      </w:r>
      <w:r>
        <w:rPr>
          <w:rStyle w:val="FootnoteAnchor"/>
          <w:rtl w:val="true"/>
        </w:rPr>
        <w:footnoteReference w:id="17"/>
      </w:r>
      <w:r>
        <w:rPr>
          <w:rFonts w:ascii="IRNazanin" w:hAnsi="IRNazanin" w:eastAsia="IRNazanin"/>
          <w:color w:val="111111"/>
          <w:sz w:val="28"/>
          <w:sz w:val="28"/>
          <w:szCs w:val="28"/>
          <w:rtl w:val="true"/>
          <w:lang w:bidi="fa-IR"/>
        </w:rPr>
        <w:t>؛ شخصی که خودارضایی کرده بود را</w:t>
      </w:r>
    </w:p>
    <w:p>
      <w:pPr>
        <w:pStyle w:val="BookText"/>
        <w:rPr/>
      </w:pPr>
      <w:r>
        <w:rPr>
          <w:rFonts w:ascii="IRNazanin" w:hAnsi="IRNazanin" w:eastAsia="IRNazanin"/>
          <w:color w:val="111111"/>
          <w:sz w:val="28"/>
          <w:sz w:val="28"/>
          <w:szCs w:val="28"/>
          <w:rtl w:val="true"/>
          <w:lang w:bidi="fa-IR"/>
        </w:rPr>
        <w:t xml:space="preserve">خدمت امیرمؤمنان علی علیه السلام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قدری بر دستش زد که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بودجه‌ی بیت المال مقدّمات ازدواجش را فراهم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خَضخَضه چه حکمی دارد؟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الْفَواحِشِ </w:t>
      </w:r>
      <w:r>
        <w:rPr>
          <w:rStyle w:val="FootnoteAnchor"/>
          <w:rtl w:val="true"/>
        </w:rPr>
        <w:footnoteReference w:id="18"/>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خودارضایی جزء کارهای</w:t>
      </w:r>
    </w:p>
    <w:p>
      <w:pPr>
        <w:pStyle w:val="BookText"/>
        <w:rPr/>
      </w:pPr>
      <w:r>
        <w:rPr>
          <w:rFonts w:ascii="IRNazanin" w:hAnsi="IRNazanin" w:eastAsia="IRNazanin"/>
          <w:color w:val="111111"/>
          <w:sz w:val="28"/>
          <w:sz w:val="28"/>
          <w:szCs w:val="28"/>
          <w:rtl w:val="true"/>
          <w:lang w:bidi="fa-IR"/>
        </w:rPr>
        <w:t>زشت محسوب می‌شود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خضخضه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گونه تحریکی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خصوص استمناء، که نوعی تحریک جنسی به شمار می‌رود، نیز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در این روایت، استمناء و خودارضایی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صفت فعل، و در فارسی وصف فاعل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ابوبصیر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یُکَلِّمُهُمُ اللّهُ یَومَ القیامَةِ و لا یَنْظُرُ اِلَیْهِمْ وَ لا یُزَکیّهِم وَ لَهُمْ عَذابٌ اَلیمٌ؛ اَلنّاتِفُ شَیْبَهُ، وَ النّاکِحُ نَفسَهُ وَ الْمَنْکُوحُ فی دُبُرِهِ </w:t>
      </w:r>
      <w:r>
        <w:rPr>
          <w:rStyle w:val="FootnoteAnchor"/>
          <w:rtl w:val="true"/>
        </w:rPr>
        <w:footnoteReference w:id="19"/>
      </w:r>
      <w:r>
        <w:rPr>
          <w:rFonts w:ascii="IRNazanin" w:hAnsi="IRNazanin" w:eastAsia="IRNazanin"/>
          <w:color w:val="111111"/>
          <w:sz w:val="28"/>
          <w:sz w:val="28"/>
          <w:szCs w:val="28"/>
          <w:rtl w:val="true"/>
          <w:lang w:bidi="fa-IR"/>
        </w:rPr>
        <w:t>؛ شنیدم که امام صادق علیه السلام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با سه گروه سخن نمی‌گوید و به آنها نظر رحمت نمی‌کند و آنان را پاکیزه نمی‌سازد و عذاب دردناکی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محاسن خود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مبتلی به خودارضایی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تن به لواط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روشنی دلالت بر حرمت استمناء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عَلِیّاً علیه السلام اُتِیَ بِرَجُلٍ عَبَثَ بِذَکَرِه حَتّی اَنْزَلَ فَضَرَبَ یَدَهُ حَتّی احْمَرَّتْ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اَعْلَمُهُ 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زَوّجَهُ مِنْ بَیْتِ مالِ الْمُسْلِمینَ </w:t>
      </w:r>
      <w:r>
        <w:rPr>
          <w:rStyle w:val="FootnoteAnchor"/>
          <w:rtl w:val="true"/>
        </w:rPr>
        <w:footnoteReference w:id="20"/>
      </w:r>
      <w:r>
        <w:rPr>
          <w:rFonts w:ascii="IRNazanin" w:hAnsi="IRNazanin" w:eastAsia="IRNazanin"/>
          <w:color w:val="111111"/>
          <w:sz w:val="28"/>
          <w:sz w:val="28"/>
          <w:szCs w:val="28"/>
          <w:rtl w:val="true"/>
          <w:lang w:bidi="fa-IR"/>
        </w:rPr>
        <w:t xml:space="preserve">؛ شخصی که استمناء کرده بود را خدمت حضرت علی علیه السلام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قدری روی دستش زد تا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بودجه‌ی بیت المال همسری برایش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تکرار حدیث دوم، که طلحة بن زید همین داستان را از امام صادق علیه السلام نقل کرد، محسوب نمی‌شود، و در واقع یک روایت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هر دو روایت، یک روایت شمرده می‌شود که هم مضمون آن دو و هم راوی دو حدیث و هم شخصی که از او روایت شده یکی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حدیث فوق هر چند مضمون هر دو روایت متحد است؛ امّا راوی روایت اوّل طلحة بن</w:t>
      </w:r>
    </w:p>
    <w:p>
      <w:pPr>
        <w:pStyle w:val="BookText"/>
        <w:rPr/>
      </w:pPr>
      <w:r>
        <w:rPr>
          <w:rFonts w:ascii="IRNazanin" w:hAnsi="IRNazanin" w:eastAsia="IRNazanin"/>
          <w:color w:val="111111"/>
          <w:sz w:val="28"/>
          <w:sz w:val="28"/>
          <w:szCs w:val="28"/>
          <w:rtl w:val="true"/>
          <w:lang w:bidi="fa-IR"/>
        </w:rPr>
        <w:t>زید و راوی روایت دوّم زرارة و مروی عنه در حدیث اوّل امام صادق علیه السلام و در حدیث دوّم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حدیث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الفاظ دو روایت هم مقداری با هم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عیسی در کتاب نوادرش از پدرش چنین نقل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علیه السلام عَنِ الْخَضْخَضَةِ،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اِثْمٌ عَظیمٌ قَدْ نَهَی اللّهُ عَنْهُ فی کِتابِه وَ فاعِلُهُ کَناکِحِ نَفْسِه و لَوْ عَلِمْتَ بِما یَفْعَلُهُ ما اَکَلْتَ مَعَهُ، فَقالَ السّایِلُ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لی یَا ابْنَ رَسُولِ اللّهِ مِنْ کِتابِ اللّه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ابْتَغی وَراءَ ذلِکَ فَاُولئِکَ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وَراءَ ذلِکَ </w:t>
      </w:r>
      <w:r>
        <w:rPr>
          <w:rStyle w:val="FootnoteAnchor"/>
          <w:rtl w:val="true"/>
        </w:rPr>
        <w:footnoteReference w:id="21"/>
      </w:r>
      <w:r>
        <w:rPr>
          <w:rFonts w:ascii="IRNazanin" w:hAnsi="IRNazanin" w:eastAsia="IRNazanin"/>
          <w:color w:val="111111"/>
          <w:sz w:val="28"/>
          <w:sz w:val="28"/>
          <w:szCs w:val="28"/>
          <w:rtl w:val="true"/>
          <w:lang w:bidi="fa-IR"/>
        </w:rPr>
        <w:t>؛ از</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مورد استمناء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بزرگی است که خداوند متعال در قرآن مجید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دست به این عمل زشت بزند مثل این است که با خودش آمیزش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می‌دانستی که چه کاری انجام می‌دهد با او هم غذا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آیه‌ی قرآن دلالت بر حرمت استمناء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استفاده‌های جنسی از همسرانشان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کنند، تجاوزگرند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استمناء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شریفه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عمّار می‌گوید از امام صادق علیه السلام پرسیدم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 شَرٌّ اَوْ شُرِبُ الْخَمْرِ و کَیْفَ صارَفی شُرْبِ الْخَمْرِ ثَمانُونَ و فی الزِّنا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واحِدٌ وَلکِنْ زیدَ هذا لِتَضییعِهِ النُّطْفَةِ وَ لِوَضْعِه ایّاها فی غَیْرِ مَوْضِعِه الَّذی اَمَرَهُ اللّهُ بِه </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زنا بدتر است یا شرب خمر؟ چرا حدّ زنا یکصد ضربه تازیانه، و حدّ شرب خمر هشتاد تازیانه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در هر دو یکی است و بیست تای اضافه در زنا، بخاطر آن است که زناکار نطفه را تضییع کرده، و آن را در جایی که خداوند متعال سفارش نموده قرار نداده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بیست شلّاق اضافه تضییع نطفه است، در استمناء هم این کار انجام می‌شود، پس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هرچند در این حدیث سخنی از استمناء به میان نیامده، امّا عموم علّتی که در کلام امام آمده، شامل استمناء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خالد از امام رضا علیه السلام و اسحاق بن عمّار به نقل از امام کاظم علیه السلام روایت زیرا را در مورد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حیوانی آمیزش کرده بود نقل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حیوان برای آمیزش‌کننده باشد باید ذبح گشته، و پس از ذبح لاشه‌ی آن سوزانده شده و از گوشت آن استفاده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پنج ضربه‌ی شلاق،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 بر واطی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حیوان متعلّق به دیگری است، قیمت آن از واطی گرفته و به صاحب حیوان پرداخته می‌شود، سپس حیوان ذبح گشته و لاشه‌اش سوزانده شده، و بیست و پنج ضربه تازیانه بر واطی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چه گناهی کرده که ذبح می‌شود و لاشه‌اش را می‌سوزانند؟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ذَنْبَ لَها وَلکِنْ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هذا وَ اَمَرَ به لِکَیْلا یَجْتَرِیَ النّاسُ بِالْبَهائِمِ وَ یَنْقَطِعَ النَّسْلُ </w:t>
      </w:r>
      <w:r>
        <w:rPr>
          <w:rStyle w:val="FootnoteAnchor"/>
          <w:rtl w:val="true"/>
        </w:rPr>
        <w:footnoteReference w:id="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 گناهی ندارد، ولی پیامبر گرامی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صادر نمود تا مردم جرئت این کار را نسبت به حیوانات نداشته باشند و نسل آنها قطع نشود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روایت نیز هر چند تصریح به حرمت</w:t>
      </w:r>
    </w:p>
    <w:p>
      <w:pPr>
        <w:pStyle w:val="BookText"/>
        <w:rPr/>
      </w:pPr>
      <w:r>
        <w:rPr>
          <w:rFonts w:ascii="IRNazanin" w:hAnsi="IRNazanin" w:eastAsia="IRNazanin"/>
          <w:color w:val="111111"/>
          <w:sz w:val="28"/>
          <w:sz w:val="28"/>
          <w:szCs w:val="28"/>
          <w:rtl w:val="true"/>
          <w:lang w:bidi="fa-IR"/>
        </w:rPr>
        <w:t>استمناء نشده، ولی چون علّت حرمت، انقطاع نسل که همان تضییح نطفه است بیان شده، شامل استمناء 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فوق هم دلالت بر حرمت استمناء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ریان نامه‌ای به امام هادی علیه السلام نوشت و پرسید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یَکُونُ مَعَ الْمَرْأَةِ لا یُباشِرُها اِلّا مِنْ وَراءِ ثِیابِها وَ ثِیابَهُ فَیَتَحَرَّکُ حَتّی یُنْزِلُ، مَا الَّذی عَلَیْهِ وَ هَلْ یَبْلُغُ بِه حَدُّ الْخَضْخَضَةِ؟ فَوَقَّعَ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بالِغٌ اَمْرَهُ </w:t>
      </w:r>
      <w:r>
        <w:rPr>
          <w:rStyle w:val="FootnoteAnchor"/>
          <w:rtl w:val="true"/>
        </w:rPr>
        <w:footnoteReference w:id="24"/>
      </w:r>
      <w:r>
        <w:rPr>
          <w:rFonts w:ascii="IRNazanin" w:hAnsi="IRNazanin" w:eastAsia="IRNazanin"/>
          <w:color w:val="111111"/>
          <w:sz w:val="28"/>
          <w:sz w:val="28"/>
          <w:szCs w:val="28"/>
          <w:rtl w:val="true"/>
          <w:lang w:bidi="fa-IR"/>
        </w:rPr>
        <w:t>؛ مردی از روی لباس با زنی که</w:t>
      </w:r>
    </w:p>
    <w:p>
      <w:pPr>
        <w:pStyle w:val="BookText"/>
        <w:rPr/>
      </w:pPr>
      <w:r>
        <w:rPr>
          <w:rFonts w:ascii="IRNazanin" w:hAnsi="IRNazanin" w:eastAsia="IRNazanin"/>
          <w:color w:val="111111"/>
          <w:sz w:val="28"/>
          <w:sz w:val="28"/>
          <w:szCs w:val="28"/>
          <w:rtl w:val="true"/>
          <w:lang w:bidi="fa-IR"/>
        </w:rPr>
        <w:t>او هم لباس بر تن داشت ملاعبه کرد و بر اثر این کار تحریک شد و انزال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 آیا حکم استمناء در اینجا جاری می‌شود؟ امام در پاسخ علی بن ریان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حکم استمناء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هرچند برخی از روایات دهگانه از نظر سند ضعیف است؛ ولی با توجّه به این که برخی دیگر از نظر سند معتبر است، به علاوه روایات در حدّ تضافر است، و علاوه بر همه‌ی اینها، فقها مطابق آن عمل کرده‌اند، ضعیف بودن آن چند روایت مشکلی</w:t>
      </w:r>
      <w:bookmarkStart w:id="29" w:name="pg4082_21325"/>
    </w:p>
    <w:p>
      <w:pPr>
        <w:pStyle w:val="BookText"/>
        <w:rPr/>
      </w:pPr>
      <w:bookmarkEnd w:id="29"/>
      <w:r>
        <w:rPr>
          <w:rFonts w:ascii="IRNazanin" w:hAnsi="IRNazanin" w:eastAsia="IRNazanin"/>
          <w:color w:val="111111"/>
          <w:sz w:val="28"/>
          <w:sz w:val="28"/>
          <w:szCs w:val="28"/>
          <w:rtl w:val="true"/>
          <w:lang w:bidi="fa-IR"/>
        </w:rPr>
        <w:t>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این روایات حرمت استمناء را ثابت می‌کند</w:t>
      </w:r>
      <w:r>
        <w:rPr>
          <w:rFonts w:eastAsia="IRNazanin" w:cs="IRNazanin"/>
          <w:color w:val="111111"/>
          <w:sz w:val="28"/>
          <w:szCs w:val="28"/>
          <w:rtl w:val="true"/>
          <w:lang w:bidi="fa-IR"/>
        </w:rPr>
        <w:t>.</w:t>
      </w:r>
    </w:p>
    <w:p>
      <w:pPr>
        <w:pStyle w:val="Heading4"/>
        <w:numPr>
          <w:ilvl w:val="3"/>
          <w:numId w:val="1"/>
        </w:numPr>
        <w:rPr/>
      </w:pPr>
      <w:bookmarkStart w:id="30" w:name="__RefHeading___Toc2524796_2281741623"/>
      <w:bookmarkStart w:id="31" w:name="_Toc11"/>
      <w:bookmarkEnd w:id="30"/>
      <w:r>
        <w:rPr>
          <w:rtl w:val="true"/>
        </w:rPr>
        <w:t>دو روایت مخالف</w:t>
      </w:r>
      <w:r>
        <w:rPr>
          <w:rtl w:val="true"/>
        </w:rPr>
        <w:t>!</w:t>
      </w:r>
      <w:bookmarkEnd w:id="31"/>
    </w:p>
    <w:p>
      <w:pPr>
        <w:pStyle w:val="BookText"/>
        <w:rPr/>
      </w:pPr>
      <w:r>
        <w:rPr>
          <w:rFonts w:ascii="IRNazanin" w:hAnsi="IRNazanin" w:eastAsia="IRNazanin"/>
          <w:color w:val="111111"/>
          <w:sz w:val="28"/>
          <w:sz w:val="28"/>
          <w:szCs w:val="28"/>
          <w:rtl w:val="true"/>
          <w:lang w:bidi="fa-IR"/>
        </w:rPr>
        <w:t>برخلاف ده روایت گذشته، دو روایت وجود دارد که ظاهراً استمناء را جایز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روایت توجّه فرمایید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زرارة از امام باقر علیه السلام پرسید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با آلت خود بازی کند تا چیزی از او خارج شود و انزال گردد، چه حکمی دارد؟</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بِه وَ لَمْ یَبْلُغْ بِه ذاکَ شَیْئاً </w:t>
      </w:r>
      <w:r>
        <w:rPr>
          <w:rStyle w:val="FootnoteAnchor"/>
          <w:rtl w:val="true"/>
        </w:rPr>
        <w:footnoteReference w:id="25"/>
      </w:r>
      <w:r>
        <w:rPr>
          <w:rFonts w:ascii="IRNazanin" w:hAnsi="IRNazanin" w:eastAsia="IRNazanin"/>
          <w:color w:val="111111"/>
          <w:sz w:val="28"/>
          <w:sz w:val="28"/>
          <w:szCs w:val="28"/>
          <w:rtl w:val="true"/>
          <w:lang w:bidi="fa-IR"/>
        </w:rPr>
        <w:t>؛ اشکالی ندارد، و مجازاتی برای آن</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زرارة هرچند فرزند زراره‌ی معروف است، ولی در مورد خودش توثیقی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چیزی که درباره‌ی ایشان نقل شده دعای امام در حق اوست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ولی روشن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دعا به تنها دلیل بر وثاقت نیست؛ چون ائمّه علیهم السلام برای انسان‌های ناصالح هم دعا می‌کردند تا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وثاقت حسین بن زرارة</w:t>
      </w:r>
    </w:p>
    <w:p>
      <w:pPr>
        <w:pStyle w:val="BookText"/>
        <w:rPr/>
      </w:pPr>
      <w:r>
        <w:rPr>
          <w:rFonts w:ascii="IRNazanin" w:hAnsi="IRNazanin" w:eastAsia="IRNazanin"/>
          <w:color w:val="111111"/>
          <w:sz w:val="28"/>
          <w:sz w:val="28"/>
          <w:szCs w:val="28"/>
          <w:rtl w:val="true"/>
          <w:lang w:bidi="fa-IR"/>
        </w:rPr>
        <w:t>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این که ثعلبة بن میمون در عرض اوست و وی انسان موثّق و معتبری است </w:t>
      </w:r>
      <w:r>
        <w:rPr>
          <w:rStyle w:val="FootnoteAnchor"/>
          <w:rtl w:val="true"/>
        </w:rPr>
        <w:footnoteReference w:id="27"/>
      </w:r>
      <w:r>
        <w:rPr>
          <w:rFonts w:ascii="IRNazanin" w:hAnsi="IRNazanin" w:eastAsia="IRNazanin"/>
          <w:color w:val="111111"/>
          <w:sz w:val="28"/>
          <w:sz w:val="28"/>
          <w:szCs w:val="28"/>
          <w:rtl w:val="true"/>
          <w:lang w:bidi="fa-IR"/>
        </w:rPr>
        <w:t>، عدم وثاقت حسین بن زرارة</w:t>
      </w:r>
    </w:p>
    <w:p>
      <w:pPr>
        <w:pStyle w:val="BookText"/>
        <w:rPr/>
      </w:pPr>
      <w:r>
        <w:rPr>
          <w:rFonts w:ascii="IRNazanin" w:hAnsi="IRNazanin" w:eastAsia="IRNazanin"/>
          <w:color w:val="111111"/>
          <w:sz w:val="28"/>
          <w:sz w:val="28"/>
          <w:szCs w:val="28"/>
          <w:rtl w:val="true"/>
          <w:lang w:bidi="fa-IR"/>
        </w:rPr>
        <w:t>ضرری به سند حدیث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زرارة بن اعین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ناکِحُ نَفْسِه لا شَیءَ عَلَیْهِ </w:t>
      </w:r>
      <w:r>
        <w:rPr>
          <w:rStyle w:val="FootnoteAnchor"/>
          <w:rtl w:val="true"/>
        </w:rPr>
        <w:footnoteReference w:id="28"/>
      </w:r>
      <w:r>
        <w:rPr>
          <w:rFonts w:ascii="IRNazanin" w:hAnsi="IRNazanin" w:eastAsia="IRNazanin"/>
          <w:color w:val="111111"/>
          <w:sz w:val="28"/>
          <w:sz w:val="28"/>
          <w:szCs w:val="28"/>
          <w:rtl w:val="true"/>
          <w:lang w:bidi="fa-IR"/>
        </w:rPr>
        <w:t>؛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چه</w:t>
      </w:r>
    </w:p>
    <w:p>
      <w:pPr>
        <w:pStyle w:val="BookText"/>
        <w:rPr/>
      </w:pPr>
      <w:r>
        <w:rPr>
          <w:rFonts w:ascii="IRNazanin" w:hAnsi="IRNazanin" w:eastAsia="IRNazanin"/>
          <w:color w:val="111111"/>
          <w:sz w:val="28"/>
          <w:sz w:val="28"/>
          <w:szCs w:val="28"/>
          <w:rtl w:val="true"/>
          <w:lang w:bidi="fa-IR"/>
        </w:rPr>
        <w:t>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چنین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حدیث اسماعیل بصری است، که شخص مجهول الحالی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کتاب‌های علم رجال، نظیر جامع الرواة </w:t>
      </w:r>
      <w:r>
        <w:rPr>
          <w:rStyle w:val="FootnoteAnchor"/>
          <w:rtl w:val="true"/>
        </w:rPr>
        <w:footnoteReference w:id="29"/>
      </w:r>
      <w:r>
        <w:rPr>
          <w:rFonts w:ascii="IRNazanin" w:hAnsi="IRNazanin" w:eastAsia="IRNazanin"/>
          <w:color w:val="111111"/>
          <w:sz w:val="28"/>
          <w:sz w:val="28"/>
          <w:szCs w:val="28"/>
          <w:rtl w:val="true"/>
          <w:lang w:bidi="fa-IR"/>
        </w:rPr>
        <w:t>، نامی از او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آیت الله</w:t>
      </w:r>
    </w:p>
    <w:p>
      <w:pPr>
        <w:pStyle w:val="BookText"/>
        <w:rPr/>
      </w:pPr>
      <w:r>
        <w:rPr>
          <w:rFonts w:ascii="IRNazanin" w:hAnsi="IRNazanin" w:eastAsia="IRNazanin"/>
          <w:color w:val="111111"/>
          <w:sz w:val="28"/>
          <w:sz w:val="28"/>
          <w:szCs w:val="28"/>
          <w:rtl w:val="true"/>
          <w:lang w:bidi="fa-IR"/>
        </w:rPr>
        <w:t xml:space="preserve">خویی؛ در معجم رجال الحدیث نامش را ذکر کرده و معتقد است که او همان اسماعیل بن الفضل است که ثقه می‌باشد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معتبری ندارد و لذا خود آقای خویی نیز او را توثیق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مذکور از نظر سند ضعیف است و اعتباری ندارد</w:t>
      </w:r>
      <w:r>
        <w:rPr>
          <w:rFonts w:eastAsia="IRNazanin" w:cs="IRNazanin"/>
          <w:color w:val="111111"/>
          <w:sz w:val="28"/>
          <w:szCs w:val="28"/>
          <w:rtl w:val="true"/>
          <w:lang w:bidi="fa-IR"/>
        </w:rPr>
        <w:t>.</w:t>
      </w:r>
      <w:bookmarkStart w:id="32" w:name="pg4082_21327"/>
    </w:p>
    <w:p>
      <w:pPr>
        <w:pStyle w:val="BookText"/>
        <w:rPr/>
      </w:pPr>
      <w:bookmarkEnd w:id="32"/>
      <w:r>
        <w:rPr>
          <w:rFonts w:ascii="IRNazanin" w:hAnsi="IRNazanin" w:eastAsia="IRNazanin"/>
          <w:color w:val="111111"/>
          <w:sz w:val="28"/>
          <w:sz w:val="28"/>
          <w:szCs w:val="28"/>
          <w:rtl w:val="true"/>
          <w:lang w:bidi="fa-IR"/>
        </w:rPr>
        <w:t>علاوه بر این که دلالتش هم اشکال دارد، زیرا روایت تصریح به صورت انزال ندارد، در حالی که بحث در جایی است که استمناء منتهی به خروج منی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دو روایت مذکور، که ظاهراً دلالت بر عدم حرمت استمناء دارد، با روایات دهگانه‌ای که با صراحت استمناء را حرام می‌داند در تعارض است</w:t>
      </w:r>
      <w:r>
        <w:rPr>
          <w:rFonts w:eastAsia="IRNazanin" w:cs="IRNazanin"/>
          <w:color w:val="111111"/>
          <w:sz w:val="28"/>
          <w:szCs w:val="28"/>
          <w:rtl w:val="true"/>
          <w:lang w:bidi="fa-IR"/>
        </w:rPr>
        <w:t>.</w:t>
      </w:r>
    </w:p>
    <w:p>
      <w:pPr>
        <w:pStyle w:val="Heading4"/>
        <w:numPr>
          <w:ilvl w:val="3"/>
          <w:numId w:val="1"/>
        </w:numPr>
        <w:rPr/>
      </w:pPr>
      <w:bookmarkStart w:id="33" w:name="__RefHeading___Toc2524798_2281741623"/>
      <w:bookmarkStart w:id="34" w:name="_Toc12"/>
      <w:bookmarkEnd w:id="33"/>
      <w:r>
        <w:rPr>
          <w:rtl w:val="true"/>
        </w:rPr>
        <w:t>روش‌های جمع بین روایات مذکور</w:t>
      </w:r>
      <w:bookmarkEnd w:id="34"/>
    </w:p>
    <w:p>
      <w:pPr>
        <w:pStyle w:val="BookText"/>
        <w:rPr/>
      </w:pPr>
      <w:r>
        <w:rPr>
          <w:rFonts w:ascii="IRNazanin" w:hAnsi="IRNazanin" w:eastAsia="IRNazanin"/>
          <w:color w:val="111111"/>
          <w:sz w:val="28"/>
          <w:sz w:val="28"/>
          <w:szCs w:val="28"/>
          <w:rtl w:val="true"/>
          <w:lang w:bidi="fa-IR"/>
        </w:rPr>
        <w:t xml:space="preserve">در تعارض روایات ابتدا باید به سراغ جمع دلالی برویم، و علما در اینجا پنج راه جمع ذکر کرده‌اند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گروه دوم، که استمناء را تجویز می‌کند، حمل بر تقیّه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تقیّه‌ای که در بحث مرجّحات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تقیّه‌ای که در جمع دلالی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استمناء حرام است و روایات گروه دوم از روی تقیّه در برابر مخالفین صادر شده و حکم واقعی شرعی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جمع اشکال دارد؛ زیرا حمل بر تقیّه در صورتی صحیح است که اکثریّت فقهای اهل</w:t>
      </w:r>
    </w:p>
    <w:p>
      <w:pPr>
        <w:pStyle w:val="BookText"/>
        <w:rPr/>
      </w:pPr>
      <w:r>
        <w:rPr>
          <w:rFonts w:ascii="IRNazanin" w:hAnsi="IRNazanin" w:eastAsia="IRNazanin"/>
          <w:color w:val="111111"/>
          <w:sz w:val="28"/>
          <w:sz w:val="28"/>
          <w:szCs w:val="28"/>
          <w:rtl w:val="true"/>
          <w:lang w:bidi="fa-IR"/>
        </w:rPr>
        <w:t>سنّت مطابق آن فتوی داده باشند،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همانگونه که گذشت، اکثریّت آنان حکم به تحریم استمناء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جمع دوّم این است که دو روایت اخیر را حمل بر انکار کنیم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پاسخ امام به راوی به</w:t>
      </w:r>
    </w:p>
    <w:p>
      <w:pPr>
        <w:pStyle w:val="BookText"/>
        <w:rPr/>
      </w:pPr>
      <w:r>
        <w:rPr>
          <w:rFonts w:ascii="IRNazanin" w:hAnsi="IRNazanin" w:eastAsia="IRNazanin"/>
          <w:color w:val="111111"/>
          <w:sz w:val="28"/>
          <w:sz w:val="28"/>
          <w:szCs w:val="28"/>
          <w:rtl w:val="true"/>
          <w:lang w:bidi="fa-IR"/>
        </w:rPr>
        <w:t>صورت استفهام 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حقیقت امام علیه السلام در پاسخ راوی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به بأس؟ آیا این کار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است که این کار اشکال دارد و اساساً جای طرح این سئوال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جمع هم اشکال دارد؛ چون برخلاف ظاهر روایت است و تفسیر روایت برخلاف ظاهر آن، نیاز به دلیل و قرینه دارد، که در اینجا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نفی حدّ است نه افکار حرمت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w:t>
      </w:r>
    </w:p>
    <w:p>
      <w:pPr>
        <w:pStyle w:val="BookText"/>
        <w:rPr/>
      </w:pPr>
      <w:r>
        <w:rPr>
          <w:rFonts w:ascii="IRNazanin" w:hAnsi="IRNazanin" w:eastAsia="IRNazanin"/>
          <w:color w:val="111111"/>
          <w:sz w:val="28"/>
          <w:sz w:val="28"/>
          <w:szCs w:val="28"/>
          <w:rtl w:val="true"/>
          <w:lang w:bidi="fa-IR"/>
        </w:rPr>
        <w:t>گناه حدّ مخصوص و معیّن همچون گناه زنا و شرب خمر ندارد، بلکه مجازات آن تعزیر است که مقدار آن توسّط حاکم شرع تعیین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اشکالی که به راه جمع دوم وارد شد، عیناً در این جا هم صدق می‌کند</w:t>
      </w:r>
      <w:r>
        <w:rPr>
          <w:rFonts w:eastAsia="IRNazanin" w:cs="IRNazanin"/>
          <w:color w:val="111111"/>
          <w:sz w:val="28"/>
          <w:szCs w:val="28"/>
          <w:rtl w:val="true"/>
          <w:lang w:bidi="fa-IR"/>
        </w:rPr>
        <w:t>.</w:t>
      </w:r>
      <w:bookmarkStart w:id="35" w:name="pg4082_21329"/>
    </w:p>
    <w:p>
      <w:pPr>
        <w:pStyle w:val="BookText"/>
        <w:rPr/>
      </w:pPr>
      <w:bookmarkEnd w:id="3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گروه دوم را حمل کنیم بر کسی که جاهل به حرمت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روایت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حکم شرعی استمناء را نداند و مرتکب آن شود، کار حرامی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جمع، بهتر از بقیّه است؛ ولی همان مشکل جمع دوم و سوم را دارد، یعنی قرینه‌ای بر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روایت اخیر را حمل کنیم بر جایی که به قصد خروج منی این کار را نکرده، بلکه به قصد استبراء بوده، یا مطمئن بوده منی خارج نمی‌شود، ولی ناگهان و بی اختیار خارج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توجیه بعید به نظر نمی‌رسد</w:t>
      </w:r>
      <w:r>
        <w:rPr>
          <w:rFonts w:eastAsia="IRNazanin" w:cs="IRNazanin"/>
          <w:color w:val="111111"/>
          <w:sz w:val="28"/>
          <w:szCs w:val="28"/>
          <w:rtl w:val="true"/>
          <w:lang w:bidi="fa-IR"/>
        </w:rPr>
        <w:t>.</w:t>
      </w:r>
    </w:p>
    <w:p>
      <w:pPr>
        <w:pStyle w:val="Heading4"/>
        <w:numPr>
          <w:ilvl w:val="3"/>
          <w:numId w:val="1"/>
        </w:numPr>
        <w:rPr/>
      </w:pPr>
      <w:bookmarkStart w:id="36" w:name="__RefHeading___Toc2524800_2281741623"/>
      <w:bookmarkStart w:id="37" w:name="_Toc13"/>
      <w:bookmarkEnd w:id="36"/>
      <w:r>
        <w:rPr>
          <w:rtl w:val="true"/>
        </w:rPr>
        <w:t>اعمال مرجّحات</w:t>
      </w:r>
      <w:bookmarkEnd w:id="37"/>
    </w:p>
    <w:p>
      <w:pPr>
        <w:pStyle w:val="BookText"/>
        <w:rPr/>
      </w:pPr>
      <w:r>
        <w:rPr>
          <w:rFonts w:ascii="IRNazanin" w:hAnsi="IRNazanin" w:eastAsia="IRNazanin"/>
          <w:color w:val="111111"/>
          <w:sz w:val="28"/>
          <w:sz w:val="28"/>
          <w:szCs w:val="28"/>
          <w:rtl w:val="true"/>
          <w:lang w:bidi="fa-IR"/>
        </w:rPr>
        <w:t>اگر یک یا چند راه جمع، که گفته شد، را پذیرفتیم تعارض بین روایات حل می‌شود و روایات گروه اوّل بدون معارض دلالت بر حرمت استمناء می‌کند وگرنه باید به سراغ اِعمال مرجّحات برویم و ببینیم حق با کدام گروه از روایات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مرجّح،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شهرت فتوایی و</w:t>
      </w:r>
      <w:bookmarkStart w:id="38" w:name="pg4082_21330"/>
    </w:p>
    <w:p>
      <w:pPr>
        <w:pStyle w:val="BookText"/>
        <w:rPr/>
      </w:pPr>
      <w:bookmarkEnd w:id="38"/>
      <w:r>
        <w:rPr>
          <w:rFonts w:ascii="IRNazanin" w:hAnsi="IRNazanin" w:eastAsia="IRNazanin"/>
          <w:color w:val="111111"/>
          <w:sz w:val="28"/>
          <w:sz w:val="28"/>
          <w:szCs w:val="28"/>
          <w:rtl w:val="true"/>
          <w:lang w:bidi="fa-IR"/>
        </w:rPr>
        <w:t>هم شهرت روایی با گروه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از شهرت، اجماع فقهای شیعه نیز بر حرمت استمناءست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گروه اوّل، که خودارضایی را تحریم کرده، هماهنگ با آیات قرآن است و گروه دیگر، مخالف آیات سوره‌ی مؤمنون و معارج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همه‌ی این بحث‌ها در صورتی است که دو روایت مخالف سند معتبری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اعراض مشهور، از حجّیت می‌افتد و نوبت به تعارض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دو روایت معارض حجّیت ندارد و روایات دهگانه‌ی گروه اوّل به روشنی دلالت بر حرمت استمناء می‌کند</w:t>
      </w:r>
      <w:r>
        <w:rPr>
          <w:rFonts w:eastAsia="IRNazanin" w:cs="IRNazanin"/>
          <w:color w:val="111111"/>
          <w:sz w:val="28"/>
          <w:szCs w:val="28"/>
          <w:rtl w:val="true"/>
          <w:lang w:bidi="fa-IR"/>
        </w:rPr>
        <w:t>.</w:t>
      </w:r>
    </w:p>
    <w:p>
      <w:pPr>
        <w:pStyle w:val="Heading3"/>
        <w:numPr>
          <w:ilvl w:val="2"/>
          <w:numId w:val="1"/>
        </w:numPr>
        <w:rPr/>
      </w:pPr>
      <w:bookmarkStart w:id="39" w:name="__RefHeading___Toc2524802_2281741623"/>
      <w:bookmarkStart w:id="40" w:name="_Toc14"/>
      <w:bookmarkEnd w:id="39"/>
      <w:r>
        <w:rPr>
          <w:rtl w:val="true"/>
        </w:rPr>
        <w:t>دلیل چهارم</w:t>
      </w:r>
      <w:r>
        <w:rPr>
          <w:rtl w:val="true"/>
        </w:rPr>
        <w:t xml:space="preserve">: </w:t>
      </w:r>
      <w:r>
        <w:rPr>
          <w:rtl w:val="true"/>
        </w:rPr>
        <w:t>دلیل عقل</w:t>
      </w:r>
      <w:bookmarkEnd w:id="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دلیل ما بر حرمت خودارضایی، دلیل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عقل سالمی ضرر رساندن به خویشتن را قبیح و زشت می‌داند؛ بلکه بعضی دفع ضرر محتمل را هم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ضررهای متعدّد استمناء، عقل حکم به قبح و زشتی و حرمت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ضررهایی که گاه تا سر حدّ هلاکت و مرگ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استمناء به حکم عقل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استمناء ضررها و مفاسد به سرعت دامنگیر مبتلایان به آن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اسباب این عمل زشت همواره در اختیار انسان است و براحتی می‌تواند مقدّمات آن را مهیّا کرده و دست به این کار بزند، بزودی تبدیل به عادت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عرب‌ها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 السریه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 هم سرّی 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با نگاه کردن به یک فیلم نامناسب، یا زن بد حجاب و بدپوشش، یا شنیدن موسیقی حرام یا الفاظ زشت و خاص و مانند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توجّه به این که اسباب و مقدّمات آن در همه جا و به راحتی در اختیار است، تبدیل به عادت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عادت شد، ضررها و خطرات فراوانی به وجود می‌آورد که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پزشکان </w:t>
      </w:r>
      <w:r>
        <w:rPr>
          <w:rStyle w:val="FootnoteAnchor"/>
          <w:rtl w:val="true"/>
        </w:rPr>
        <w:footnoteReference w:id="31"/>
      </w:r>
      <w:r>
        <w:rPr>
          <w:rFonts w:ascii="IRNazanin" w:hAnsi="IRNazanin" w:eastAsia="IRNazanin"/>
          <w:color w:val="111111"/>
          <w:sz w:val="28"/>
          <w:sz w:val="28"/>
          <w:szCs w:val="28"/>
          <w:rtl w:val="true"/>
          <w:lang w:bidi="fa-IR"/>
        </w:rPr>
        <w:t>معتقدند اگر این کار با</w:t>
      </w:r>
    </w:p>
    <w:p>
      <w:pPr>
        <w:pStyle w:val="BookText"/>
        <w:rPr/>
      </w:pPr>
      <w:r>
        <w:rPr>
          <w:rFonts w:ascii="IRNazanin" w:hAnsi="IRNazanin" w:eastAsia="IRNazanin"/>
          <w:color w:val="111111"/>
          <w:sz w:val="28"/>
          <w:sz w:val="28"/>
          <w:szCs w:val="28"/>
          <w:rtl w:val="true"/>
          <w:lang w:bidi="fa-IR"/>
        </w:rPr>
        <w:t>فواصل زمانی زیاد صورت بگیرد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نظریّه‌ی این پزشکان را مورد توجّه قرار نمی‌دهید؟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 حتّی قوانین عرفی، تابع مصادیق خاص نیست؛ بلکه ناظر بر مجموع</w:t>
      </w:r>
    </w:p>
    <w:p>
      <w:pPr>
        <w:pStyle w:val="BookText"/>
        <w:rPr/>
      </w:pPr>
      <w:r>
        <w:rPr>
          <w:rFonts w:ascii="IRNazanin" w:hAnsi="IRNazanin" w:eastAsia="IRNazanin"/>
          <w:color w:val="111111"/>
          <w:sz w:val="28"/>
          <w:sz w:val="28"/>
          <w:szCs w:val="28"/>
          <w:rtl w:val="true"/>
          <w:lang w:bidi="fa-IR"/>
        </w:rPr>
        <w:t>مکلّفین من حیث المجموع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شراب به خاطر آثار سویی که دارد و باعث زوال عقل می‌گردد و در تمام بدن، از سر تا به پا، اثر منفی می‌گذارد و حتّی در نسل آینده مصرف کننده‌ی آن نیز بی اثر نیست </w:t>
      </w:r>
      <w:r>
        <w:rPr>
          <w:rStyle w:val="FootnoteAnchor"/>
          <w:rtl w:val="true"/>
        </w:rPr>
        <w:footnoteReference w:id="32"/>
      </w:r>
      <w:r>
        <w:rPr>
          <w:rFonts w:ascii="IRNazanin" w:hAnsi="IRNazanin" w:eastAsia="IRNazanin"/>
          <w:color w:val="111111"/>
          <w:sz w:val="28"/>
          <w:sz w:val="28"/>
          <w:szCs w:val="28"/>
          <w:rtl w:val="true"/>
          <w:lang w:bidi="fa-IR"/>
        </w:rPr>
        <w:t>، برای همه تحریم شده است،</w:t>
      </w:r>
    </w:p>
    <w:p>
      <w:pPr>
        <w:pStyle w:val="BookText"/>
        <w:rPr/>
      </w:pPr>
      <w:r>
        <w:rPr>
          <w:rFonts w:ascii="IRNazanin" w:hAnsi="IRNazanin" w:eastAsia="IRNazanin"/>
          <w:color w:val="111111"/>
          <w:sz w:val="28"/>
          <w:sz w:val="28"/>
          <w:szCs w:val="28"/>
          <w:rtl w:val="true"/>
          <w:lang w:bidi="fa-IR"/>
        </w:rPr>
        <w:t>حتّی اگر در موردی هیچ یک از این آثار نباشد؛ مثل این که شخصی تنها یکی دو قطره از آن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راه برای این استثناءها باز شود، سوء استفاده‌های زیادی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قانون‌گذار برای جلوگیری از سوء استفاده‌ها به صورت عام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دیگر، رباخواری مفاسد فراوانی دارد، از جمله این که مردم را از تلاش‌های اقتصادی سازنده باز می‌دارد، و نوعی ظلم محسوب می‌شود، و عواطف انسانی را تضعیف می‌کند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شخصی هزار تومان بدهد و پس از یک هفته هزار و صد تومان بگیرد ممکن است آن مفاسد را نداشته باشد، ولی خداوند در اینجا هم</w:t>
      </w:r>
    </w:p>
    <w:p>
      <w:pPr>
        <w:pStyle w:val="BookText"/>
        <w:rPr/>
      </w:pPr>
      <w:r>
        <w:rPr>
          <w:rFonts w:ascii="IRNazanin" w:hAnsi="IRNazanin" w:eastAsia="IRNazanin"/>
          <w:color w:val="111111"/>
          <w:sz w:val="28"/>
          <w:sz w:val="28"/>
          <w:szCs w:val="28"/>
          <w:rtl w:val="true"/>
          <w:lang w:bidi="fa-IR"/>
        </w:rPr>
        <w:t>رباخواری را تحریم کرده، تا قانون سست نشود و سوء استفاده‌گران، سوء 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خودارضایی هم هر چند ممکن است این کار با فواصل زمانی زیاد ضررهای مهم استمناء را نداشته باشد، ولی خداوند همچون سایر احکام و قوانین، حکم به تحریم آن به طور مطلق و عام کرده، تا راه سوء استفاده‌ها را ببندد و از سست شدن این قانون الهی جلوگیری به عمل آورد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طبق آنچه که از قرآن و روایات و دلیل عقل و اجماع استفاده شد، استمناء و خودارضایی حرام است و ضررها و مفاسد فراوانی دارد که در فصل بعد به آن خواهیم پرداخت</w:t>
      </w:r>
      <w:r>
        <w:rPr>
          <w:rFonts w:eastAsia="IRNazanin" w:cs="IRNazanin"/>
          <w:color w:val="111111"/>
          <w:sz w:val="28"/>
          <w:szCs w:val="28"/>
          <w:rtl w:val="true"/>
          <w:lang w:bidi="fa-IR"/>
        </w:rPr>
        <w:t>.</w:t>
      </w:r>
      <w:bookmarkStart w:id="41" w:name="pg4082_21334"/>
    </w:p>
    <w:p>
      <w:pPr>
        <w:pStyle w:val="Heading2"/>
        <w:numPr>
          <w:ilvl w:val="1"/>
          <w:numId w:val="1"/>
        </w:numPr>
        <w:rPr/>
      </w:pPr>
      <w:bookmarkStart w:id="42" w:name="__RefHeading___Toc2524804_2281741623"/>
      <w:bookmarkStart w:id="43" w:name="_Toc15"/>
      <w:bookmarkEnd w:id="41"/>
      <w:bookmarkEnd w:id="42"/>
      <w:r>
        <w:rPr>
          <w:rtl w:val="true"/>
        </w:rPr>
        <w:t>فصل دوّم</w:t>
      </w:r>
      <w:r>
        <w:rPr>
          <w:rtl w:val="true"/>
        </w:rPr>
        <w:t xml:space="preserve">: </w:t>
      </w:r>
      <w:r>
        <w:rPr>
          <w:rtl w:val="true"/>
        </w:rPr>
        <w:t>ضررهاومفاسد خودارضایی</w:t>
      </w:r>
      <w:bookmarkEnd w:id="4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2524806_2281741623"/>
      <w:bookmarkStart w:id="45" w:name="_Toc16"/>
      <w:bookmarkEnd w:id="44"/>
      <w:r>
        <w:rPr>
          <w:rtl w:val="true"/>
        </w:rPr>
        <w:t>اشاره</w:t>
      </w:r>
      <w:bookmarkStart w:id="46" w:name="pg4082_21335"/>
      <w:bookmarkEnd w:id="45"/>
    </w:p>
    <w:p>
      <w:pPr>
        <w:pStyle w:val="Heading3"/>
        <w:numPr>
          <w:ilvl w:val="2"/>
          <w:numId w:val="1"/>
        </w:numPr>
        <w:rPr/>
      </w:pPr>
      <w:bookmarkStart w:id="47" w:name="__RefHeading___Toc2524808_2281741623"/>
      <w:bookmarkStart w:id="48" w:name="_Toc17"/>
      <w:bookmarkEnd w:id="46"/>
      <w:bookmarkEnd w:id="47"/>
      <w:r>
        <w:rPr>
          <w:rtl w:val="true"/>
        </w:rPr>
        <w:t>ضررها و مفاسد</w:t>
      </w:r>
      <w:bookmarkEnd w:id="48"/>
    </w:p>
    <w:p>
      <w:pPr>
        <w:pStyle w:val="BookText"/>
        <w:rPr/>
      </w:pPr>
      <w:r>
        <w:rPr>
          <w:rFonts w:ascii="IRNazanin" w:hAnsi="IRNazanin" w:eastAsia="IRNazanin"/>
          <w:color w:val="111111"/>
          <w:sz w:val="28"/>
          <w:sz w:val="28"/>
          <w:szCs w:val="28"/>
          <w:rtl w:val="true"/>
          <w:lang w:bidi="fa-IR"/>
        </w:rPr>
        <w:t xml:space="preserve">استمناء ضررها و مفاسد فراوانی دارد، که شرح آن را در کتاب مشکلات جنسی جوانان نوشته‌ایم و خلاصه‌ی آن را در اینجا می‌آوریم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کار زشت و ناپسند منشأ انواع بیماری‌ها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شدن حافظه، سوء هاضمه، تنگی نفس، بداخلاقی، عصبانیّت، مالیخولیا، کم خونی، ضایع شدن قدرت‌های جسمی و روحی از جمله بیماری هایی است که دامنگیر چنین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سرگیجه، لاغری، سستی قوای مختلف بدن، کمر درد، ایجاد صدای وزوز در گوش، و تأثیر منفی در قوای بینایی و شنوایی و چشایی و بویایی و لامسه و کم شدن مقاومت بدن در برابر بیماری‌ها و فلج شدن، از دیگر عوارضی است که به شهادت جمعی از</w:t>
      </w:r>
    </w:p>
    <w:p>
      <w:pPr>
        <w:pStyle w:val="BookText"/>
        <w:rPr/>
      </w:pPr>
      <w:r>
        <w:rPr>
          <w:rFonts w:ascii="IRNazanin" w:hAnsi="IRNazanin" w:eastAsia="IRNazanin"/>
          <w:color w:val="111111"/>
          <w:sz w:val="28"/>
          <w:sz w:val="28"/>
          <w:szCs w:val="28"/>
          <w:rtl w:val="true"/>
          <w:lang w:bidi="fa-IR"/>
        </w:rPr>
        <w:t>پزشکان در انتظار مبتلایان به خودارضایی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دومین ضرر و مفسده‌ی استمناء، میل به عزلت و گوشه‌گیری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غالباً این عمل زشت در خفا و پنهانی انجام می‌شود، مبتلایان به آن دوست دارند تنها باشند و این کار به تدریج باعث انزوای آنها از جامعه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یکی از عوامل مهمّ افسردگی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ضررهای این کار، ایجاد مشکلات متعدّد برای ازدواج آینده مبتلایان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اگر این کار زشت و گناه بزرگ را ترک نکنند ازدواج موفّقی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مبتلی به سرد مزاجی یا سرعت انزال و امثال آن شده، و گاه علاقه به جنس مخالف را از دست می‌دهند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چهارم خودارضایی، که زاییده‌ی همان مشکلات سه‌گانه‌ی سابق است، عقب افتادگی در دروس و فعالیّت‌های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بودند که قبل از ابتلای به استمناء، شاگرد اوّل کلاس خویش محسوب می‌شدند، ولی بعد از آلوده شدن به آن نه تنها شاگرد اوّلی را از دست داده، که با تجدید قبول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حتّی میل به درس خواندن را از دست داده، و به دنبال آن یأس</w:t>
      </w:r>
    </w:p>
    <w:p>
      <w:pPr>
        <w:pStyle w:val="BookText"/>
        <w:rPr/>
      </w:pPr>
      <w:r>
        <w:rPr>
          <w:rFonts w:ascii="IRNazanin" w:hAnsi="IRNazanin" w:eastAsia="IRNazanin"/>
          <w:color w:val="111111"/>
          <w:sz w:val="28"/>
          <w:sz w:val="28"/>
          <w:szCs w:val="28"/>
          <w:rtl w:val="true"/>
          <w:lang w:bidi="fa-IR"/>
        </w:rPr>
        <w:t>و ناامیدی به سراغ آنها آمده و حتّی رفوزه شده‌اند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بنابراین، خودارضایی ضررها و مفاسد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عقل حکم به قبح و زشتی آن می‌کند و هرآنچه عقل آن را زشت و ناپسند بداند، شرع آن را تحریم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آنچه در مورد مفاسد و ضررهای خودارضایی گفته شد جنبه‌ی حکمت دارد،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استمناء مطلقاً حرام است؛ حتّی اگر در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ضررها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ضررها و مفاسد فراوان استمناء، اگر مبتلایان به آن پس از اطّلاع از این ضررها و خطرات، توبه کرده و آن را ترک نمایند، آیا آثار آن برطرف می‌شود؟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تدریجاً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سایر اعتیادها، نظیر اعتیاد به موادّ مخدّر، در صورتی که با عزم راسخ و تصمیم جدّی آن را ترک نمایند، آثار و پیامدهای منفی آن به تدریج برطرف</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می‌گردد؛ مخصوصاً در سن جوانی زودتر و سریع‌تر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مبتلایان به خودارضایی هرچه زودتر از خواب غفلت بیدار شوند و بر خداوند توکّل کنند و دست از این کار زشت بکشند و مطمئن باشند که آثار شوم آن تدریجاً از بین می‌رود</w:t>
      </w:r>
      <w:r>
        <w:rPr>
          <w:rFonts w:eastAsia="IRNazanin" w:cs="IRNazanin"/>
          <w:color w:val="111111"/>
          <w:sz w:val="28"/>
          <w:szCs w:val="28"/>
          <w:rtl w:val="true"/>
          <w:lang w:bidi="fa-IR"/>
        </w:rPr>
        <w:t>.</w:t>
      </w:r>
      <w:bookmarkStart w:id="49" w:name="pg4082_21340"/>
    </w:p>
    <w:p>
      <w:pPr>
        <w:pStyle w:val="Heading2"/>
        <w:numPr>
          <w:ilvl w:val="1"/>
          <w:numId w:val="1"/>
        </w:numPr>
        <w:rPr/>
      </w:pPr>
      <w:bookmarkStart w:id="50" w:name="__RefHeading___Toc2524810_2281741623"/>
      <w:bookmarkStart w:id="51" w:name="_Toc18"/>
      <w:bookmarkEnd w:id="49"/>
      <w:bookmarkEnd w:id="50"/>
      <w:r>
        <w:rPr>
          <w:rtl w:val="true"/>
        </w:rPr>
        <w:t>فصل سوّم</w:t>
      </w:r>
      <w:r>
        <w:rPr>
          <w:rtl w:val="true"/>
        </w:rPr>
        <w:t xml:space="preserve">: </w:t>
      </w:r>
      <w:r>
        <w:rPr>
          <w:rtl w:val="true"/>
        </w:rPr>
        <w:t>مصادیق استمناء</w:t>
      </w:r>
      <w:bookmarkEnd w:id="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2524812_2281741623"/>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استمناء اختصاص به جایی دارد که آن کار با دست صورت گیرد، یا هر کاری که منتهی به خروج منی شود استمناءست، هر چند بدون دخالت دست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تصوّر شود دست خصوصیّت دارد، چون در برخی از روایت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مجموع روایات استفاده می‌شود که دست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مصادیق هفتگانه‌ای که ذیلاً می‌آید استمناء محسوب می‌شود و حرام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کاری که توسّط قوّه‌ی لامسه صورت پذیرد، چه با دست باشد، یا به شکل مالش صورت پذیرد، یا به صورت تفخیذ انجام گیرد و منتهی به انزال شود، استمناء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کاری که توسّط حسّ بینایی صورت گیرد</w:t>
      </w:r>
    </w:p>
    <w:p>
      <w:pPr>
        <w:pStyle w:val="BookText"/>
        <w:rPr/>
      </w:pPr>
      <w:r>
        <w:rPr>
          <w:rFonts w:ascii="IRNazanin" w:hAnsi="IRNazanin" w:eastAsia="IRNazanin"/>
          <w:color w:val="111111"/>
          <w:sz w:val="28"/>
          <w:sz w:val="28"/>
          <w:szCs w:val="28"/>
          <w:rtl w:val="true"/>
          <w:lang w:bidi="fa-IR"/>
        </w:rPr>
        <w:t>و منتهی به خروج منی شود، استمناء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تصاویر یا فیلم‌های مستهجن یا زنان بدحجاب و بی‌حجاب نگاه کند و انزال 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از راه تکلّم و سخن گفتن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با جنس مخالف صحبت کند، یا صحنه‌های تحریک‌کننده‌ی یک فیلم یا داستان جنسی را بیان نماید، یا جک‌های جنسی بگوید و این کار باعث خروج منی شود، مرتکب خودارضایی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از طریق حسّ شنوایی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قصد انزال آنقدر موسیقی حرام بشنود یا پای سخن جنس مخالف بنشیند تا آن حالت دست دهد، دست به خودارضایی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بوییدن بعضی از عطرها و گلها، مثل بوی گل سنجد در بهار، نیز ممکن است انزال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شخصی به قصد انزال چنین عطرها و گلهایی را ببوید و آن حالت صورت پذیرد مرتکب کار حرامی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ممکن است تنها از طریق تفکّر و اندیشیدن به مسایل تحریک کننده، مانند</w:t>
      </w:r>
      <w:bookmarkStart w:id="54" w:name="pg4082_21343"/>
    </w:p>
    <w:p>
      <w:pPr>
        <w:pStyle w:val="BookText"/>
        <w:rPr/>
      </w:pPr>
      <w:bookmarkEnd w:id="54"/>
      <w:r>
        <w:rPr>
          <w:rFonts w:ascii="IRNazanin" w:hAnsi="IRNazanin" w:eastAsia="IRNazanin"/>
          <w:color w:val="111111"/>
          <w:sz w:val="28"/>
          <w:sz w:val="28"/>
          <w:szCs w:val="28"/>
          <w:rtl w:val="true"/>
          <w:lang w:bidi="fa-IR"/>
        </w:rPr>
        <w:t>نمونه‌هایی که در پنج بند بالا گفته شد، و بدون کمک گرفتن از حسّهای پنج‌گانه انزال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خودارضایی محسوب می‌شود و حرام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ترکیبی از مصادیق شش‌گانه‌ی بالا، مثل این که در سفر است با همسرش تلفنی حرف می‌زند و همزمان یکی از کارهای شش‌گانه بالا را نیز انجام می‌دهد و این دو باهم موجب انزال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استمناء محسوب شده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استمناء اختصاص به دست و قوّه‌ی لامسه ندارد، بلکه دارای مصادیق هفت‌گانه‌ی فوق است، و آثار زیانبار همه‌ی اینها یکسان می‌باشد</w:t>
      </w:r>
      <w:r>
        <w:rPr>
          <w:rFonts w:eastAsia="IRNazanin" w:cs="IRNazanin"/>
          <w:color w:val="111111"/>
          <w:sz w:val="28"/>
          <w:szCs w:val="28"/>
          <w:rtl w:val="true"/>
          <w:lang w:bidi="fa-IR"/>
        </w:rPr>
        <w:t>.</w:t>
      </w:r>
    </w:p>
    <w:p>
      <w:pPr>
        <w:pStyle w:val="Heading3"/>
        <w:numPr>
          <w:ilvl w:val="2"/>
          <w:numId w:val="1"/>
        </w:numPr>
        <w:rPr/>
      </w:pPr>
      <w:bookmarkStart w:id="55" w:name="__RefHeading___Toc2524814_2281741623"/>
      <w:bookmarkStart w:id="56" w:name="_Toc20"/>
      <w:bookmarkEnd w:id="55"/>
      <w:r>
        <w:rPr>
          <w:rtl w:val="true"/>
        </w:rPr>
        <w:t>دلیل‌های ما بر عمومیّت</w:t>
      </w:r>
      <w:bookmarkEnd w:id="56"/>
    </w:p>
    <w:p>
      <w:pPr>
        <w:pStyle w:val="BookText"/>
        <w:rPr/>
      </w:pPr>
      <w:r>
        <w:rPr>
          <w:rFonts w:ascii="IRNazanin" w:hAnsi="IRNazanin" w:eastAsia="IRNazanin"/>
          <w:color w:val="111111"/>
          <w:sz w:val="28"/>
          <w:sz w:val="28"/>
          <w:szCs w:val="28"/>
          <w:rtl w:val="true"/>
          <w:lang w:bidi="fa-IR"/>
        </w:rPr>
        <w:t xml:space="preserve">سه دلیل بر عمومیّت می‌توان اقامه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عمّار بن موسی که از امام صادق علیه السلام در مورد مردی پرسیده بود که مرتکب عمل زشت آمیزش با حیوان یا استمناء شده بود، و امام فرمودند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ما اَنْزَلَ بِهِ الرَّجُلُ مائَهُ مِنْ هذا وَ شِبْهِه فَهُوَ</w:t>
      </w:r>
    </w:p>
    <w:p>
      <w:pPr>
        <w:pStyle w:val="BookText"/>
        <w:rPr/>
      </w:pPr>
      <w:r>
        <w:rPr>
          <w:rFonts w:ascii="Amiri" w:hAnsi="Amiri" w:eastAsia="Amiri" w:cs="Amiri"/>
          <w:color w:val="111111"/>
          <w:sz w:val="28"/>
          <w:sz w:val="28"/>
          <w:szCs w:val="28"/>
          <w:rtl w:val="true"/>
          <w:lang w:bidi="ar-SA"/>
        </w:rPr>
        <w:t xml:space="preserve">زِنا </w:t>
      </w:r>
      <w:r>
        <w:rPr>
          <w:rStyle w:val="FootnoteAnchor"/>
          <w:rtl w:val="true"/>
        </w:rPr>
        <w:footnoteReference w:id="35"/>
      </w:r>
      <w:r>
        <w:rPr>
          <w:rFonts w:ascii="IRNazanin" w:hAnsi="IRNazanin" w:eastAsia="IRNazanin"/>
          <w:color w:val="111111"/>
          <w:sz w:val="28"/>
          <w:sz w:val="28"/>
          <w:szCs w:val="28"/>
          <w:rtl w:val="true"/>
          <w:lang w:bidi="fa-IR"/>
        </w:rPr>
        <w:t>؛ هر چیزی، اعم از آنچه ذکر کردید یا مشابه</w:t>
      </w:r>
    </w:p>
    <w:p>
      <w:pPr>
        <w:pStyle w:val="BookText"/>
        <w:rPr/>
      </w:pPr>
      <w:r>
        <w:rPr>
          <w:rFonts w:ascii="IRNazanin" w:hAnsi="IRNazanin" w:eastAsia="IRNazanin"/>
          <w:color w:val="111111"/>
          <w:sz w:val="28"/>
          <w:sz w:val="28"/>
          <w:szCs w:val="28"/>
          <w:rtl w:val="true"/>
          <w:lang w:bidi="fa-IR"/>
        </w:rPr>
        <w:t>آن، که باعث انزال شود در حکم زنا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دست خصوصیّتی ندارد؛ بلکه هر چیزی که سبب انزال شود استمناء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 عرفیّه؛ یعنی روایات دهگانه‌ی مربوط به حرمت استمناء را به دست هر عرفی بدهیم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اخراج منی به هر شکلی است و دست در این مسأله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بعضی از روایات خصوص دست ذکر شده، شاید به خاطر آن است که این نوع استمناء رواج بیشتری نسبت به سایر اقسام آن دارد، وگرنه خودارضایی منحصر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دلالت بر حرمت تضییع نطفه و انقطاع نسل داشت، مانند روایت اسحاق بن عمّار </w:t>
      </w:r>
      <w:r>
        <w:rPr>
          <w:rStyle w:val="FootnoteAnchor"/>
          <w:rtl w:val="true"/>
        </w:rPr>
        <w:footnoteReference w:id="36"/>
      </w:r>
      <w:r>
        <w:rPr>
          <w:rFonts w:ascii="IRNazanin" w:hAnsi="IRNazanin" w:eastAsia="IRNazanin"/>
          <w:color w:val="111111"/>
          <w:sz w:val="28"/>
          <w:sz w:val="28"/>
          <w:szCs w:val="28"/>
          <w:rtl w:val="true"/>
          <w:lang w:bidi="fa-IR"/>
        </w:rPr>
        <w:t xml:space="preserve">و حدیث حسین بن خالد </w:t>
      </w:r>
      <w:r>
        <w:rPr>
          <w:rStyle w:val="FootnoteAnchor"/>
          <w:rtl w:val="true"/>
        </w:rPr>
        <w:footnoteReference w:id="37"/>
      </w:r>
      <w:r>
        <w:rPr>
          <w:rFonts w:ascii="IRNazanin" w:hAnsi="IRNazanin" w:eastAsia="IRNazanin"/>
          <w:color w:val="111111"/>
          <w:sz w:val="28"/>
          <w:sz w:val="28"/>
          <w:szCs w:val="28"/>
          <w:rtl w:val="true"/>
          <w:lang w:bidi="fa-IR"/>
        </w:rPr>
        <w:t>، نیز دلالت بر</w:t>
      </w:r>
    </w:p>
    <w:p>
      <w:pPr>
        <w:pStyle w:val="BookText"/>
        <w:rPr/>
      </w:pPr>
      <w:r>
        <w:rPr>
          <w:rFonts w:ascii="IRNazanin" w:hAnsi="IRNazanin" w:eastAsia="IRNazanin"/>
          <w:color w:val="111111"/>
          <w:sz w:val="28"/>
          <w:sz w:val="28"/>
          <w:szCs w:val="28"/>
          <w:rtl w:val="true"/>
          <w:lang w:bidi="fa-IR"/>
        </w:rPr>
        <w:t>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معیار را تضییع نطفه می‌داند؛ چه با دست باشد، یا چیز دیگر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استمناء اختصاص به دست ندارد؛</w:t>
      </w:r>
      <w:bookmarkStart w:id="57" w:name="pg4082_21345"/>
    </w:p>
    <w:p>
      <w:pPr>
        <w:pStyle w:val="BookText"/>
        <w:rPr/>
      </w:pPr>
      <w:bookmarkEnd w:id="57"/>
      <w:r>
        <w:rPr>
          <w:rFonts w:ascii="IRNazanin" w:hAnsi="IRNazanin" w:eastAsia="IRNazanin"/>
          <w:color w:val="111111"/>
          <w:sz w:val="28"/>
          <w:sz w:val="28"/>
          <w:szCs w:val="28"/>
          <w:rtl w:val="true"/>
          <w:lang w:bidi="fa-IR"/>
        </w:rPr>
        <w:t>بلکه هر کار و حتّی فکری که باعث خروج منی شود خودارضایی محسوب شده و حرام است</w:t>
      </w:r>
      <w:r>
        <w:rPr>
          <w:rFonts w:eastAsia="IRNazanin" w:cs="IRNazanin"/>
          <w:color w:val="111111"/>
          <w:sz w:val="28"/>
          <w:szCs w:val="28"/>
          <w:rtl w:val="true"/>
          <w:lang w:bidi="fa-IR"/>
        </w:rPr>
        <w:t>.</w:t>
      </w:r>
    </w:p>
    <w:p>
      <w:pPr>
        <w:pStyle w:val="Heading3"/>
        <w:numPr>
          <w:ilvl w:val="2"/>
          <w:numId w:val="1"/>
        </w:numPr>
        <w:rPr/>
      </w:pPr>
      <w:bookmarkStart w:id="58" w:name="__RefHeading___Toc2524816_2281741623"/>
      <w:bookmarkStart w:id="59" w:name="_Toc21"/>
      <w:bookmarkEnd w:id="58"/>
      <w:r>
        <w:rPr>
          <w:rtl w:val="true"/>
        </w:rPr>
        <w:t>ملاعبه‌ی با زوجه استثناست</w:t>
      </w:r>
      <w:bookmarkEnd w:id="59"/>
    </w:p>
    <w:p>
      <w:pPr>
        <w:pStyle w:val="BookText"/>
        <w:rPr/>
      </w:pPr>
      <w:r>
        <w:rPr>
          <w:rFonts w:ascii="IRNazanin" w:hAnsi="IRNazanin" w:eastAsia="IRNazanin"/>
          <w:color w:val="111111"/>
          <w:sz w:val="28"/>
          <w:sz w:val="28"/>
          <w:szCs w:val="28"/>
          <w:rtl w:val="true"/>
          <w:lang w:bidi="fa-IR"/>
        </w:rPr>
        <w:t>هر چند ادلّه‌ی سه‌گانه‌ی فوق عام است و هر کاری که باعث انزال گردد را شامل می‌شود، امّا ملاعبه‌ی با زوجه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زوج با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کند که منتهی به انزال گردد حرام نیست و دلیل آن روایات متعدّدی است که در مورد ملاعبه‌ی با زوجه در وسایل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ابواب مقدّمات النکاح،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هیچ کدام مقیّد به عدم انزال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ملاعبه منتهی به انزال با زوجه حرام بود باید در این روایات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انزال در اثر ملاعبه با زوجه صورت پذیرد، استثناست و حرام نمی‌باشد</w:t>
      </w:r>
      <w:r>
        <w:rPr>
          <w:rFonts w:eastAsia="IRNazanin" w:cs="IRNazanin"/>
          <w:color w:val="111111"/>
          <w:sz w:val="28"/>
          <w:szCs w:val="28"/>
          <w:rtl w:val="true"/>
          <w:lang w:bidi="fa-IR"/>
        </w:rPr>
        <w:t>.</w:t>
      </w:r>
    </w:p>
    <w:p>
      <w:pPr>
        <w:pStyle w:val="Heading3"/>
        <w:numPr>
          <w:ilvl w:val="2"/>
          <w:numId w:val="1"/>
        </w:numPr>
        <w:rPr/>
      </w:pPr>
      <w:bookmarkStart w:id="60" w:name="__RefHeading___Toc2524818_2281741623"/>
      <w:bookmarkStart w:id="61" w:name="_Toc22"/>
      <w:bookmarkEnd w:id="60"/>
      <w:r>
        <w:rPr>
          <w:rtl w:val="true"/>
        </w:rPr>
        <w:t>خودارضایی در زنان</w:t>
      </w:r>
      <w:r>
        <w:rPr>
          <w:rtl w:val="true"/>
        </w:rPr>
        <w:t>!</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استمناء اختصاص به مردان دارد و در زنان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عقیده اشتباه است و خودارضایی همانگونه که در مورد مردان ممکن است در مورد زنان هم تصوّر می‌شود، همانطور که خودشان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این بحث، بحث احتلام زنان است، که آیا زنان همچون مردان محتلم می‌شوند و باید غسل جنابت کنند، یا احتلام اختصاص به مردان دارد؟</w:t>
      </w:r>
    </w:p>
    <w:p>
      <w:pPr>
        <w:pStyle w:val="BookText"/>
        <w:rPr/>
      </w:pPr>
      <w:r>
        <w:rPr>
          <w:rFonts w:ascii="IRNazanin" w:hAnsi="IRNazanin" w:eastAsia="IRNazanin"/>
          <w:color w:val="111111"/>
          <w:sz w:val="28"/>
          <w:sz w:val="28"/>
          <w:szCs w:val="28"/>
          <w:rtl w:val="true"/>
          <w:lang w:bidi="fa-IR"/>
        </w:rPr>
        <w:t xml:space="preserve">استاد ما مرحوم آیت الله حکیم در مستمسک العروة الوثقی </w:t>
      </w:r>
      <w:r>
        <w:rPr>
          <w:rStyle w:val="FootnoteAnchor"/>
          <w:rtl w:val="true"/>
        </w:rPr>
        <w:footnoteReference w:id="38"/>
      </w:r>
      <w:r>
        <w:rPr>
          <w:rFonts w:ascii="IRNazanin" w:hAnsi="IRNazanin" w:eastAsia="IRNazanin"/>
          <w:color w:val="111111"/>
          <w:sz w:val="28"/>
          <w:sz w:val="28"/>
          <w:szCs w:val="28"/>
          <w:rtl w:val="true"/>
          <w:lang w:bidi="fa-IR"/>
        </w:rPr>
        <w:t>در این مورد به طور فشرده بحث</w:t>
      </w:r>
    </w:p>
    <w:p>
      <w:pPr>
        <w:pStyle w:val="BookText"/>
        <w:rPr/>
      </w:pPr>
      <w:r>
        <w:rPr>
          <w:rFonts w:ascii="IRNazanin" w:hAnsi="IRNazanin" w:eastAsia="IRNazanin"/>
          <w:color w:val="111111"/>
          <w:sz w:val="28"/>
          <w:sz w:val="28"/>
          <w:szCs w:val="28"/>
          <w:rtl w:val="true"/>
          <w:lang w:bidi="fa-IR"/>
        </w:rPr>
        <w:t>کرده و معتقد است که زن هم به اجماع فقهای شیعه محتلم می‌شود و در صورت احتلام باید غسل جنابت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همه‌ی فقهای اسلام اعم از شیعه و اهل سنّت این مطلب را پذیرفته و روایات متواتری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 در احتلام زنان و امکان استمناء در مورد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انزال آنان با مردان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رطوبت در مردان جهندگی دارد، ولی در زنان چنین نیست؛ بلکه اگر کاری کنند یا فکری نمایند که به اوج لذّت جنسی برسند و همزمان با آن، رطوبتی از آنها خارج شود مرتکب خودارضایی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غالباً همراه با فتور جسمانی و سستی بدن در آنهاست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خودارضایی در مورد زنان هم تصوّر می‌شود</w:t>
      </w:r>
      <w:r>
        <w:rPr>
          <w:rFonts w:eastAsia="IRNazanin" w:cs="IRNazanin"/>
          <w:color w:val="111111"/>
          <w:sz w:val="28"/>
          <w:szCs w:val="28"/>
          <w:rtl w:val="true"/>
          <w:lang w:bidi="fa-IR"/>
        </w:rPr>
        <w:t>.</w:t>
      </w:r>
      <w:bookmarkStart w:id="62" w:name="pg4082_21348"/>
    </w:p>
    <w:p>
      <w:pPr>
        <w:pStyle w:val="Heading2"/>
        <w:numPr>
          <w:ilvl w:val="1"/>
          <w:numId w:val="1"/>
        </w:numPr>
        <w:rPr/>
      </w:pPr>
      <w:bookmarkStart w:id="63" w:name="__RefHeading___Toc2524820_2281741623"/>
      <w:bookmarkStart w:id="64" w:name="_Toc23"/>
      <w:bookmarkEnd w:id="62"/>
      <w:bookmarkEnd w:id="63"/>
      <w:r>
        <w:rPr>
          <w:rtl w:val="true"/>
        </w:rPr>
        <w:t>فصل چهارم</w:t>
      </w:r>
      <w:r>
        <w:rPr>
          <w:rtl w:val="true"/>
        </w:rPr>
        <w:t xml:space="preserve">: </w:t>
      </w:r>
      <w:r>
        <w:rPr>
          <w:rtl w:val="true"/>
        </w:rPr>
        <w:t>مجازات خودارضایی</w:t>
      </w:r>
      <w:bookmarkEnd w:id="6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2524822_2281741623"/>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استمناء همچون زنا و لواط حدّ شرعی ندارد؛ امّا تعزیر دارد و ظاهراً مسئله‌ی تعزیر در خودارضایی مورد قبول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ادّعای اجماعی در این زمینه، جز از ابن زهره، نیافتیم، امّا فقیهانی که مجازات آن را تعزیر دانسته‌اند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نمونه‌ی آن توجّه فرمایید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استمنی بیده حتی انزل عزر بما یراه الحاکم و روی ان علیا ضرب یده حتی احمر فزوجه من بیت المال و لیس ذلک لازماً بل هو خاص بتلک القضیة لمصلحة </w:t>
      </w:r>
      <w:r>
        <w:rPr>
          <w:rStyle w:val="FootnoteAnchor"/>
          <w:rtl w:val="true"/>
        </w:rPr>
        <w:footnoteReference w:id="39"/>
      </w:r>
      <w:r>
        <w:rPr>
          <w:rFonts w:ascii="IRNazanin" w:hAnsi="IRNazanin" w:eastAsia="IRNazanin"/>
          <w:color w:val="111111"/>
          <w:sz w:val="28"/>
          <w:sz w:val="28"/>
          <w:szCs w:val="28"/>
          <w:rtl w:val="true"/>
          <w:lang w:bidi="fa-IR"/>
        </w:rPr>
        <w:t>؛ کسی که با دست خود استمناء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تا آنجا که منتهی به انزال شود حاکم شرع او را تعزیر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حضرت علی علیه السلام بر دست چنین کسی به مقداری تازیانه زد که سرخ</w:t>
      </w:r>
    </w:p>
    <w:p>
      <w:pPr>
        <w:pStyle w:val="BookText"/>
        <w:rPr/>
      </w:pPr>
      <w:r>
        <w:rPr>
          <w:rFonts w:ascii="IRNazanin" w:hAnsi="IRNazanin" w:eastAsia="IRNazanin"/>
          <w:color w:val="111111"/>
          <w:sz w:val="28"/>
          <w:sz w:val="28"/>
          <w:szCs w:val="28"/>
          <w:rtl w:val="true"/>
          <w:lang w:bidi="fa-IR"/>
        </w:rPr>
        <w:t>شد، سپس از بیت المال همسری برایش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واجب نیست، بلکه به خاطر مصلحتی اختصاص به همان مورد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اخیر علّامه، که تزویج از بیت المال واجب نیست، مطلب صحیحی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قاصرما این سخن صحیح نیست؛ چون آنچه امام علیه السلام انجام داد به عنوان نهی از منکر و جلوگیری از تکرار آن گناه زشت بود و نهی از منکر اختصاص به مورد خاصّی ندارد؛ بلکه در تمام موارد مشابه باید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جواهر الکلام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استمنی بیده او بغیرها من اعضائه عزر لانه فعل محرماً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تقدیره کغیره من افراد التعزیر منوط بنظر الامام </w:t>
      </w:r>
      <w:r>
        <w:rPr>
          <w:rStyle w:val="FootnoteAnchor"/>
          <w:rtl w:val="true"/>
        </w:rPr>
        <w:footnoteReference w:id="40"/>
      </w:r>
      <w:r>
        <w:rPr>
          <w:rFonts w:ascii="IRNazanin" w:hAnsi="IRNazanin" w:eastAsia="IRNazanin"/>
          <w:color w:val="111111"/>
          <w:sz w:val="28"/>
          <w:sz w:val="28"/>
          <w:szCs w:val="28"/>
          <w:rtl w:val="true"/>
          <w:lang w:bidi="fa-IR"/>
        </w:rPr>
        <w:t>؛ کسی که با دست یا</w:t>
      </w:r>
    </w:p>
    <w:p>
      <w:pPr>
        <w:pStyle w:val="BookText"/>
        <w:rPr/>
      </w:pPr>
      <w:r>
        <w:rPr>
          <w:rFonts w:ascii="IRNazanin" w:hAnsi="IRNazanin" w:eastAsia="IRNazanin"/>
          <w:color w:val="111111"/>
          <w:sz w:val="28"/>
          <w:sz w:val="28"/>
          <w:szCs w:val="28"/>
          <w:rtl w:val="true"/>
          <w:lang w:bidi="fa-IR"/>
        </w:rPr>
        <w:t>بقیّه‌ی اعضایش استمناء کند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مرتکب کار حرام، بلکه یکی از گناهان کبیره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آن، همچون بقیّه‌ی تعزیرات، بستگی به نظر حاکم شرع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نویسنده‌ی کشف اللثام نیز در عبارتی کوتاه چنین فرموده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استمنی بیده او عضو آخر من اعضائه</w:t>
      </w:r>
    </w:p>
    <w:p>
      <w:pPr>
        <w:pStyle w:val="BookText"/>
        <w:rPr/>
      </w:pPr>
      <w:r>
        <w:rPr>
          <w:rFonts w:ascii="IRNazanin" w:hAnsi="IRNazanin" w:eastAsia="IRNazanin"/>
          <w:color w:val="111111"/>
          <w:sz w:val="28"/>
          <w:sz w:val="28"/>
          <w:szCs w:val="28"/>
          <w:rtl w:val="true"/>
          <w:lang w:bidi="fa-IR"/>
        </w:rPr>
        <w:t>فعل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عزر بما یراه الامام</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در شرح لمعه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حرام یوجب التعزیر بما یراه الحاکم </w:t>
      </w:r>
      <w:r>
        <w:rPr>
          <w:rStyle w:val="FootnoteAnchor"/>
          <w:rtl w:val="true"/>
        </w:rPr>
        <w:footnoteReference w:id="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استمناء حرام است و به مقداری که حاکم شرع صلاح بداند تعزیر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زهره در کتاب غنیة النزوع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یعزر من وطی بهیمة او استمنی بیده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بدلیل اجماع الطائفة </w:t>
      </w:r>
      <w:r>
        <w:rPr>
          <w:rStyle w:val="FootnoteAnchor"/>
          <w:rtl w:val="true"/>
        </w:rPr>
        <w:footnoteReference w:id="43"/>
      </w:r>
      <w:r>
        <w:rPr>
          <w:rFonts w:ascii="IRNazanin" w:hAnsi="IRNazanin" w:eastAsia="IRNazanin"/>
          <w:color w:val="111111"/>
          <w:sz w:val="28"/>
          <w:sz w:val="28"/>
          <w:szCs w:val="28"/>
          <w:rtl w:val="true"/>
          <w:lang w:bidi="fa-IR"/>
        </w:rPr>
        <w:t>؛ و کسی که با</w:t>
      </w:r>
    </w:p>
    <w:p>
      <w:pPr>
        <w:pStyle w:val="BookText"/>
        <w:rPr/>
      </w:pPr>
      <w:r>
        <w:rPr>
          <w:rFonts w:ascii="IRNazanin" w:hAnsi="IRNazanin" w:eastAsia="IRNazanin"/>
          <w:color w:val="111111"/>
          <w:sz w:val="28"/>
          <w:sz w:val="28"/>
          <w:szCs w:val="28"/>
          <w:rtl w:val="true"/>
          <w:lang w:bidi="fa-IR"/>
        </w:rPr>
        <w:t>حیوانی آمیزش کند یا مرتکب استمناء گردد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مطالب به اجماع فقهای شیعه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علمای ما </w:t>
      </w:r>
      <w:r>
        <w:rPr>
          <w:rStyle w:val="FootnoteAnchor"/>
          <w:rtl w:val="true"/>
        </w:rPr>
        <w:footnoteReference w:id="44"/>
      </w:r>
      <w:r>
        <w:rPr>
          <w:rFonts w:ascii="IRNazanin" w:hAnsi="IRNazanin" w:eastAsia="IRNazanin"/>
          <w:color w:val="111111"/>
          <w:sz w:val="28"/>
          <w:sz w:val="28"/>
          <w:szCs w:val="28"/>
          <w:rtl w:val="true"/>
          <w:lang w:bidi="fa-IR"/>
        </w:rPr>
        <w:t>خودارضایی را حرام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و معتقدند مجازاتش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در مورد تعزیر در استمناء اجماعی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آنچه که از کلام ابن زهره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امّا کسانی که متعرّض آن شده، آن‌را ارسال مسلّم کرده‌اند</w:t>
      </w:r>
      <w:r>
        <w:rPr>
          <w:rFonts w:eastAsia="IRNazanin" w:cs="IRNazanin"/>
          <w:color w:val="111111"/>
          <w:sz w:val="28"/>
          <w:szCs w:val="28"/>
          <w:rtl w:val="true"/>
          <w:lang w:bidi="fa-IR"/>
        </w:rPr>
        <w:t>.</w:t>
      </w:r>
      <w:bookmarkStart w:id="67" w:name="pg4082_21352"/>
    </w:p>
    <w:p>
      <w:pPr>
        <w:pStyle w:val="BookText"/>
        <w:rPr/>
      </w:pPr>
      <w:bookmarkEnd w:id="67"/>
      <w:r>
        <w:rPr>
          <w:rFonts w:ascii="IRNazanin" w:hAnsi="IRNazanin" w:eastAsia="IRNazanin"/>
          <w:color w:val="111111"/>
          <w:sz w:val="28"/>
          <w:sz w:val="28"/>
          <w:szCs w:val="28"/>
          <w:rtl w:val="true"/>
          <w:lang w:bidi="fa-IR"/>
        </w:rPr>
        <w:t>اینک باید به سراغ ادلّه‌ی وجوب تعزیر برویم</w:t>
      </w:r>
      <w:r>
        <w:rPr>
          <w:rFonts w:eastAsia="IRNazanin" w:cs="IRNazanin"/>
          <w:color w:val="111111"/>
          <w:sz w:val="28"/>
          <w:szCs w:val="28"/>
          <w:rtl w:val="true"/>
          <w:lang w:bidi="fa-IR"/>
        </w:rPr>
        <w:t>.</w:t>
      </w:r>
    </w:p>
    <w:p>
      <w:pPr>
        <w:pStyle w:val="Heading3"/>
        <w:numPr>
          <w:ilvl w:val="2"/>
          <w:numId w:val="1"/>
        </w:numPr>
        <w:rPr/>
      </w:pPr>
      <w:bookmarkStart w:id="68" w:name="__RefHeading___Toc2524824_2281741623"/>
      <w:bookmarkStart w:id="69" w:name="_Toc25"/>
      <w:bookmarkEnd w:id="68"/>
      <w:r>
        <w:rPr>
          <w:rtl w:val="true"/>
        </w:rPr>
        <w:t>ادلّه‌ی تعزیر استمناء کننده</w:t>
      </w:r>
      <w:bookmarkEnd w:id="69"/>
    </w:p>
    <w:p>
      <w:pPr>
        <w:pStyle w:val="BookText"/>
        <w:rPr/>
      </w:pPr>
      <w:r>
        <w:rPr>
          <w:rFonts w:ascii="IRNazanin" w:hAnsi="IRNazanin" w:eastAsia="IRNazanin"/>
          <w:color w:val="111111"/>
          <w:sz w:val="28"/>
          <w:sz w:val="28"/>
          <w:szCs w:val="28"/>
          <w:rtl w:val="true"/>
          <w:lang w:bidi="fa-IR"/>
        </w:rPr>
        <w:t xml:space="preserve">دو دلیل برای وجوب تعزیر مبتلایان به خودارضایی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از گناهان کبیره است، و هر گناه کبیره‌ای تعزیر دارد، پس استمناء هم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جمله‌ی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جمله‌ی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استمناء جزء گناهان کبیره است، برخی از روایاتی که در بخش اوّل گذشت دلالت بر این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مرسله علابن رزین </w:t>
      </w:r>
      <w:r>
        <w:rPr>
          <w:rStyle w:val="FootnoteAnchor"/>
          <w:rtl w:val="true"/>
        </w:rPr>
        <w:footnoteReference w:id="45"/>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روایت احمدبن عیسی </w:t>
      </w:r>
      <w:r>
        <w:rPr>
          <w:rStyle w:val="FootnoteAnchor"/>
          <w:rtl w:val="true"/>
        </w:rPr>
        <w:footnoteReference w:id="46"/>
      </w:r>
      <w:r>
        <w:rPr>
          <w:rFonts w:ascii="IRNazanin" w:hAnsi="IRNazanin" w:eastAsia="IRNazanin"/>
          <w:color w:val="111111"/>
          <w:sz w:val="28"/>
          <w:sz w:val="28"/>
          <w:szCs w:val="28"/>
          <w:rtl w:val="true"/>
          <w:lang w:bidi="fa-IR"/>
        </w:rPr>
        <w:t>و قرار دادن آن در ردیف</w:t>
      </w:r>
    </w:p>
    <w:p>
      <w:pPr>
        <w:pStyle w:val="BookText"/>
        <w:rPr/>
      </w:pPr>
      <w:r>
        <w:rPr>
          <w:rFonts w:ascii="IRNazanin" w:hAnsi="IRNazanin" w:eastAsia="IRNazanin"/>
          <w:color w:val="111111"/>
          <w:sz w:val="28"/>
          <w:sz w:val="28"/>
          <w:szCs w:val="28"/>
          <w:rtl w:val="true"/>
          <w:lang w:bidi="fa-IR"/>
        </w:rPr>
        <w:t xml:space="preserve">لواط در حدیث ابوبصیر </w:t>
      </w:r>
      <w:r>
        <w:rPr>
          <w:rStyle w:val="FootnoteAnchor"/>
          <w:rtl w:val="true"/>
        </w:rPr>
        <w:footnoteReference w:id="47"/>
      </w:r>
      <w:r>
        <w:rPr>
          <w:rFonts w:ascii="IRNazanin" w:hAnsi="IRNazanin" w:eastAsia="IRNazanin"/>
          <w:color w:val="111111"/>
          <w:sz w:val="28"/>
          <w:sz w:val="28"/>
          <w:szCs w:val="28"/>
          <w:rtl w:val="true"/>
          <w:lang w:bidi="fa-IR"/>
        </w:rPr>
        <w:t>و حکم به اجرای شلاق</w:t>
      </w:r>
    </w:p>
    <w:p>
      <w:pPr>
        <w:pStyle w:val="BookText"/>
        <w:rPr/>
      </w:pPr>
      <w:r>
        <w:rPr>
          <w:rFonts w:ascii="IRNazanin" w:hAnsi="IRNazanin" w:eastAsia="IRNazanin"/>
          <w:color w:val="111111"/>
          <w:sz w:val="28"/>
          <w:sz w:val="28"/>
          <w:szCs w:val="28"/>
          <w:rtl w:val="true"/>
          <w:lang w:bidi="fa-IR"/>
        </w:rPr>
        <w:t xml:space="preserve">در روایت مربوط به تضییع نطفه </w:t>
      </w:r>
      <w:r>
        <w:rPr>
          <w:rStyle w:val="FootnoteAnchor"/>
          <w:rtl w:val="true"/>
        </w:rPr>
        <w:footnoteReference w:id="48"/>
      </w:r>
      <w:r>
        <w:rPr>
          <w:rFonts w:ascii="IRNazanin" w:hAnsi="IRNazanin" w:eastAsia="IRNazanin"/>
          <w:color w:val="111111"/>
          <w:sz w:val="28"/>
          <w:sz w:val="28"/>
          <w:szCs w:val="28"/>
          <w:rtl w:val="true"/>
          <w:lang w:bidi="fa-IR"/>
        </w:rPr>
        <w:t>همه این‌ها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می‌کند که استمناء از کبایر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هر گناه کبیره‌ای تعزیر دارد، فقها این مطلب را در کتاب حدود پذیرفته و قبول کرده‌اند و اینجا جای بحث از آن نیست، پس تعزیر برای استمناء، نتیجه‌ی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گناهان کبیره‌ای همچون دروغ و غیبت و رشوه‌خواری و کم‌فروشی و تقلّب کردن کم نیست مرتکبان آن را شلاق نمی‌زنند؟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فقط شلّاق زدن نیست، بلکه به معنای مطلق منع و بازداشتن از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مراتبی دارد که در کتاب گستره‌ی تعزیر به طور مشروح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تعزیر مرتبه‌ای از مراتب نهی از منکر است که تنها بر عهده‌ی حکومت اسلامی است برخلاف مرحله زبانی آن که وظیفه‌ی همه‌ی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استمناء از گناهان کبیره است، مجازات آن تعزیر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بر این که مجازات خودارضایی تعزیر است، دو روایتی است که از حضرت علی علیه السلام به دست ما رسیده و در مباحث قبل نیز به آن استناد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بفرمایید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که خودارضایی کرده بود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قدری تازیانه بر دستش زد که سرخ شد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هر چند تصریح به انزال نکرده، ولی منصرف به صورتی است که استمناء منتهی به انزال شود، یا لااقل صورت انزال قدر متیقّن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با تمسّک به اطلاق روایت حکم به جریان تعزیر حتّی در صورت عدم انزال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با آلت خود آنقدر بازی کرده بود که منتهی به انزال شده بود را خدمت امام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قدری روی دستش زد که سرخ شد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تصریح به انزال شده و قرینه خوبی است که روایت قبلی هم مقیّد به انزال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مجازات استمناء تعزیر است و مقدار آن بستگی به نظر حاکم شرع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بحث تعزیرات 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مقدار خاصّی ندارد، بلکه مقدار آن بستگی به نظر حاکم شرع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نیست که حاکم شرع به هر شکلی که تمایل داشت مجرم را تعزیر کند، بلکه باید شرایط مختلف را در نظر بگیرد و طبق آن شرایط، مقدار آن را تعیین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که مجرم پیر است یا جوان، مجرّد است یا متأهّل، سابقه‌دار است یا نه؟ نادم و پشیمان است یا نه، و دیگر شرایطی که جرم را سنگین یا سبک می‌کند در نظر بگیرد، و بر اساس آن مقدار تعزیر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مجرمین شرایط متفاوتی دارند</w:t>
      </w:r>
      <w:r>
        <w:rPr>
          <w:rFonts w:eastAsia="IRNazanin" w:cs="IRNazanin"/>
          <w:color w:val="111111"/>
          <w:sz w:val="28"/>
          <w:szCs w:val="28"/>
          <w:rtl w:val="true"/>
          <w:lang w:bidi="fa-IR"/>
        </w:rPr>
        <w:t>.</w:t>
      </w:r>
      <w:bookmarkStart w:id="70" w:name="pg4082_21356"/>
    </w:p>
    <w:p>
      <w:pPr>
        <w:pStyle w:val="Heading2"/>
        <w:numPr>
          <w:ilvl w:val="1"/>
          <w:numId w:val="1"/>
        </w:numPr>
        <w:rPr/>
      </w:pPr>
      <w:bookmarkStart w:id="71" w:name="__RefHeading___Toc2524826_2281741623"/>
      <w:bookmarkStart w:id="72" w:name="_Toc26"/>
      <w:bookmarkEnd w:id="70"/>
      <w:bookmarkEnd w:id="71"/>
      <w:r>
        <w:rPr>
          <w:rtl w:val="true"/>
        </w:rPr>
        <w:t>فصل پنجم</w:t>
      </w:r>
      <w:r>
        <w:rPr>
          <w:rtl w:val="true"/>
        </w:rPr>
        <w:t xml:space="preserve">: </w:t>
      </w:r>
      <w:r>
        <w:rPr>
          <w:rtl w:val="true"/>
        </w:rPr>
        <w:t>طرق پیشگیری و راه‌حل‌ها</w:t>
      </w:r>
      <w:bookmarkEnd w:id="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2524828_2281741623"/>
      <w:bookmarkStart w:id="74" w:name="_Toc27"/>
      <w:bookmarkEnd w:id="73"/>
      <w:r>
        <w:rPr>
          <w:rtl w:val="true"/>
        </w:rPr>
        <w:t>اشاره</w:t>
      </w:r>
      <w:bookmarkStart w:id="75" w:name="pg4082_21357"/>
      <w:bookmarkEnd w:id="74"/>
    </w:p>
    <w:p>
      <w:pPr>
        <w:pStyle w:val="BookText"/>
        <w:rPr/>
      </w:pPr>
      <w:bookmarkEnd w:id="75"/>
      <w:r>
        <w:rPr>
          <w:rFonts w:ascii="IRNazanin" w:hAnsi="IRNazanin" w:eastAsia="IRNazanin"/>
          <w:color w:val="111111"/>
          <w:sz w:val="28"/>
          <w:sz w:val="28"/>
          <w:szCs w:val="28"/>
          <w:rtl w:val="true"/>
          <w:lang w:bidi="fa-IR"/>
        </w:rPr>
        <w:t>اسلام تنها به قرار دادن مجازات‌ها برای گناهان و جرائم قناعت نکرده، بلکه هم طرق پیشگیری از آن را بیان نموده، تا علاقمندان به آلوده نشدن به گناه با استفاده از آن طرق خود را از آلودگی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روش‌های ترک گناه و جرم را متذکّر شده، تا آلودگان نادم و پشیمان بتوانند با بهره‌گیری از آن روش‌ها خود را از غرقاب گناه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روایتی که در فصل اوّل و چهارم از حضرت علی علیه السلام خواندیم، که آن حضرت پس از مجازات فرد مبتلی به استمناء مقدّمات ازدواجش را از بودجه‌ی بیت المال فراهم کرد، اشاره‌ی پرمعنایی به چگونگی درمان آلودگان به این گناه دارد</w:t>
      </w:r>
      <w:r>
        <w:rPr>
          <w:rFonts w:eastAsia="IRNazanin" w:cs="IRNazanin"/>
          <w:color w:val="111111"/>
          <w:sz w:val="28"/>
          <w:szCs w:val="28"/>
          <w:rtl w:val="true"/>
          <w:lang w:bidi="fa-IR"/>
        </w:rPr>
        <w:t>.</w:t>
      </w:r>
    </w:p>
    <w:p>
      <w:pPr>
        <w:pStyle w:val="Heading3"/>
        <w:numPr>
          <w:ilvl w:val="2"/>
          <w:numId w:val="1"/>
        </w:numPr>
        <w:rPr/>
      </w:pPr>
      <w:bookmarkStart w:id="76" w:name="__RefHeading___Toc2524830_2281741623"/>
      <w:bookmarkStart w:id="77" w:name="_Toc28"/>
      <w:bookmarkEnd w:id="76"/>
      <w:r>
        <w:rPr>
          <w:rtl w:val="true"/>
        </w:rPr>
        <w:t>پیشگیری مقدّم بر درمان است</w:t>
      </w:r>
      <w:bookmarkEnd w:id="7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پزشکی دو نوع طبابت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پیشگیری و طب درمان</w:t>
      </w:r>
      <w:r>
        <w:rPr>
          <w:rFonts w:eastAsia="IRNazanin" w:cs="IRNazanin"/>
          <w:color w:val="111111"/>
          <w:sz w:val="28"/>
          <w:szCs w:val="28"/>
          <w:rtl w:val="true"/>
          <w:lang w:bidi="fa-IR"/>
        </w:rPr>
        <w:t>.</w:t>
      </w:r>
      <w:bookmarkStart w:id="78" w:name="pg4082_21358"/>
    </w:p>
    <w:p>
      <w:pPr>
        <w:pStyle w:val="BookText"/>
        <w:rPr/>
      </w:pPr>
      <w:bookmarkEnd w:id="78"/>
      <w:r>
        <w:rPr>
          <w:rFonts w:ascii="IRNazanin" w:hAnsi="IRNazanin" w:eastAsia="IRNazanin"/>
          <w:color w:val="111111"/>
          <w:sz w:val="28"/>
          <w:sz w:val="28"/>
          <w:szCs w:val="28"/>
          <w:rtl w:val="true"/>
          <w:lang w:bidi="fa-IR"/>
        </w:rPr>
        <w:t>طب پیشگیری کم هزینه‌تر؛ مؤثّرتر و کم خطرتر است؛ برخلاف طب درمان که هزینه‌ها و خطراتش بیشتر و اثرات و نتائجش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طبّ درمانی همواره عوارض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روش درمانی را که تصوّر کنید دارای عوارضی است، ولی طبیب و بیمار از روی ناچاری و براساس قاعده‌ی اهمّ و مهم آنچه را کم خطرتر است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اختصاص به پزشکی ندارد، بلکه در مباحث اقتصادی و سیاسی و مانند آن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پیشگیری مؤثّرتر و کم هزینه‌تر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به سراغ راه‌های پیشگیری از این گناه بزرگ می‌رویم، تا جوانان عزیز با مطالعه و به کار بستن این دستورات، خود را از ابتلای به آن حفظ کنند</w:t>
      </w:r>
      <w:r>
        <w:rPr>
          <w:rFonts w:eastAsia="IRNazanin" w:cs="IRNazanin"/>
          <w:color w:val="111111"/>
          <w:sz w:val="28"/>
          <w:szCs w:val="28"/>
          <w:rtl w:val="true"/>
          <w:lang w:bidi="fa-IR"/>
        </w:rPr>
        <w:t>.</w:t>
      </w:r>
    </w:p>
    <w:p>
      <w:pPr>
        <w:pStyle w:val="Heading3"/>
        <w:numPr>
          <w:ilvl w:val="2"/>
          <w:numId w:val="1"/>
        </w:numPr>
        <w:rPr/>
      </w:pPr>
      <w:bookmarkStart w:id="79" w:name="__RefHeading___Toc2524832_2281741623"/>
      <w:bookmarkStart w:id="80" w:name="_Toc29"/>
      <w:bookmarkEnd w:id="79"/>
      <w:r>
        <w:rPr>
          <w:rtl w:val="true"/>
        </w:rPr>
        <w:t>راه‌حلّ اوّل</w:t>
      </w:r>
      <w:r>
        <w:rPr>
          <w:rtl w:val="true"/>
        </w:rPr>
        <w:t xml:space="preserve">: </w:t>
      </w:r>
      <w:r>
        <w:rPr>
          <w:rtl w:val="true"/>
        </w:rPr>
        <w:t>ازدواج</w:t>
      </w:r>
      <w:bookmarkEnd w:id="80"/>
    </w:p>
    <w:p>
      <w:pPr>
        <w:pStyle w:val="Heading4"/>
        <w:numPr>
          <w:ilvl w:val="3"/>
          <w:numId w:val="1"/>
        </w:numPr>
        <w:rPr/>
      </w:pPr>
      <w:bookmarkStart w:id="81" w:name="__RefHeading___Toc2524834_2281741623"/>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راه‌حلّهای مختلفی برای پیشگیری از خودارضایی و همچنین درمان آن وجود دارد </w:t>
      </w:r>
      <w:r>
        <w:rPr>
          <w:rStyle w:val="FootnoteAnchor"/>
          <w:rtl w:val="true"/>
        </w:rPr>
        <w:footnoteReference w:id="51"/>
      </w:r>
      <w:r>
        <w:rPr>
          <w:rFonts w:ascii="IRNazanin" w:hAnsi="IRNazanin" w:eastAsia="IRNazanin"/>
          <w:color w:val="111111"/>
          <w:sz w:val="28"/>
          <w:sz w:val="28"/>
          <w:szCs w:val="28"/>
          <w:rtl w:val="true"/>
          <w:lang w:bidi="fa-IR"/>
        </w:rPr>
        <w:t>که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ده مورد آن در کتاب مشکلات جنسی جوانان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ازدواج است؛ که</w:t>
      </w:r>
      <w:bookmarkStart w:id="83" w:name="pg4082_21359"/>
    </w:p>
    <w:p>
      <w:pPr>
        <w:pStyle w:val="BookText"/>
        <w:rPr/>
      </w:pPr>
      <w:bookmarkEnd w:id="83"/>
      <w:r>
        <w:rPr>
          <w:rFonts w:ascii="IRNazanin" w:hAnsi="IRNazanin" w:eastAsia="IRNazanin"/>
          <w:color w:val="111111"/>
          <w:sz w:val="28"/>
          <w:sz w:val="28"/>
          <w:szCs w:val="28"/>
          <w:rtl w:val="true"/>
          <w:lang w:bidi="fa-IR"/>
        </w:rPr>
        <w:t>جنبه‌ی پیشگیری دارد و هم درمان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 </w:t>
      </w:r>
      <w:r>
        <w:rPr>
          <w:rStyle w:val="FootnoteAnchor"/>
          <w:rtl w:val="true"/>
        </w:rPr>
        <w:footnoteReference w:id="52"/>
      </w:r>
      <w:r>
        <w:rPr>
          <w:rFonts w:ascii="IRNazanin" w:hAnsi="IRNazanin" w:eastAsia="IRNazanin"/>
          <w:color w:val="111111"/>
          <w:sz w:val="28"/>
          <w:sz w:val="28"/>
          <w:szCs w:val="28"/>
          <w:rtl w:val="true"/>
          <w:lang w:bidi="fa-IR"/>
        </w:rPr>
        <w:t>و تأکیدات اکید اسلام که</w:t>
      </w:r>
    </w:p>
    <w:p>
      <w:pPr>
        <w:pStyle w:val="BookText"/>
        <w:rPr/>
      </w:pPr>
      <w:r>
        <w:rPr>
          <w:rFonts w:ascii="IRNazanin" w:hAnsi="IRNazanin" w:eastAsia="IRNazanin"/>
          <w:color w:val="111111"/>
          <w:sz w:val="28"/>
          <w:sz w:val="28"/>
          <w:szCs w:val="28"/>
          <w:rtl w:val="true"/>
          <w:lang w:bidi="fa-IR"/>
        </w:rPr>
        <w:t xml:space="preserve">مسلمانان را تشویق و ترغیب به ازدواج، مخصوصاً در سنّ جوانی </w:t>
      </w:r>
      <w:r>
        <w:rPr>
          <w:rStyle w:val="FootnoteAnchor"/>
          <w:rtl w:val="true"/>
        </w:rPr>
        <w:footnoteReference w:id="53"/>
      </w:r>
      <w:r>
        <w:rPr>
          <w:rFonts w:ascii="IRNazanin" w:hAnsi="IRNazanin" w:eastAsia="IRNazanin"/>
          <w:color w:val="111111"/>
          <w:sz w:val="28"/>
          <w:sz w:val="28"/>
          <w:szCs w:val="28"/>
          <w:rtl w:val="true"/>
          <w:lang w:bidi="fa-IR"/>
        </w:rPr>
        <w:t>، می‌کند و در صورتی که خوف</w:t>
      </w:r>
    </w:p>
    <w:p>
      <w:pPr>
        <w:pStyle w:val="BookText"/>
        <w:rPr/>
      </w:pPr>
      <w:r>
        <w:rPr>
          <w:rFonts w:ascii="IRNazanin" w:hAnsi="IRNazanin" w:eastAsia="IRNazanin"/>
          <w:color w:val="111111"/>
          <w:sz w:val="28"/>
          <w:sz w:val="28"/>
          <w:szCs w:val="28"/>
          <w:rtl w:val="true"/>
          <w:lang w:bidi="fa-IR"/>
        </w:rPr>
        <w:t>وقوع در گناه برود آن را واجب شمرده، به منظور پیشگیری از انجام معصیت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دو روایت منقول از امام علی علیه السلام خواندیم به قصد درمان بود</w:t>
      </w:r>
      <w:r>
        <w:rPr>
          <w:rFonts w:eastAsia="IRNazanin" w:cs="IRNazanin"/>
          <w:color w:val="111111"/>
          <w:sz w:val="28"/>
          <w:szCs w:val="28"/>
          <w:rtl w:val="true"/>
          <w:lang w:bidi="fa-IR"/>
        </w:rPr>
        <w:t>.</w:t>
      </w:r>
    </w:p>
    <w:p>
      <w:pPr>
        <w:pStyle w:val="Heading4"/>
        <w:numPr>
          <w:ilvl w:val="3"/>
          <w:numId w:val="1"/>
        </w:numPr>
        <w:rPr/>
      </w:pPr>
      <w:bookmarkStart w:id="84" w:name="__RefHeading___Toc2524836_2281741623"/>
      <w:bookmarkStart w:id="85" w:name="_Toc31"/>
      <w:bookmarkEnd w:id="84"/>
      <w:r>
        <w:rPr>
          <w:rtl w:val="true"/>
        </w:rPr>
        <w:t>معضلات ازدواج در عصر و زمان ما</w:t>
      </w:r>
      <w:bookmarkEnd w:id="85"/>
    </w:p>
    <w:p>
      <w:pPr>
        <w:pStyle w:val="BookText"/>
        <w:rPr/>
      </w:pPr>
      <w:r>
        <w:rPr>
          <w:rFonts w:ascii="IRNazanin" w:hAnsi="IRNazanin" w:eastAsia="IRNazanin"/>
          <w:color w:val="111111"/>
          <w:sz w:val="28"/>
          <w:sz w:val="28"/>
          <w:szCs w:val="28"/>
          <w:rtl w:val="true"/>
          <w:lang w:bidi="fa-IR"/>
        </w:rPr>
        <w:t>متأسّفانه امروزه ازدواج تبدیل به یک معضل اجتماعی گشته و به همان مقیاس که ازدواج‌ها ترک شده یا دیرتر صورت می‌گیرد، آمار گناهان بالاتر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چهار مشکل مسأله‌ی ازدواج را در عصر و زمان ما تهدید 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طولانی شدن سنّ ازدواج؛ سنّ ازدواج در این دوران به خاطر تحصیلات و سپس یافتن شغل و کار مناسب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جوانان در ابتدای جوانی، یعنی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می‌کردند، امّا اکنون در اواخر جوانی، یعنی حدود</w:t>
      </w:r>
    </w:p>
    <w:p>
      <w:pPr>
        <w:pStyle w:val="BookText"/>
        <w:rPr/>
      </w:pPr>
      <w:r>
        <w:rPr>
          <w:rFonts w:ascii="IRNazanin" w:hAnsi="IRNazanin" w:eastAsia="IRNazanin"/>
          <w:color w:val="111111"/>
          <w:sz w:val="28"/>
          <w:sz w:val="28"/>
          <w:szCs w:val="28"/>
          <w:rtl w:val="true"/>
          <w:lang w:bidi="fa-IR"/>
        </w:rPr>
        <w:t>سی سالگی و گاه بیشتر، ازدواج می‌کنند و اوج شهوت جنسی را در حال تجرّد سپری می‌کنند و طبعاً جمعی از آنها تاب مقاومت در برابر این فشار شدید، مخصوصاً با توجّه به عوامل تحریک فراوانی که در زمان ما وجود دارد، را ندارند و به انحراف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یکی از معضلات ازدواج، طولانی شدن سنّ ازدواج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توقّعات؛ متأسّفانه سطح توقّعات هم در دختران و هم در پسران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مسکونی مستقل، اتومبیل گران قیمت، کسب و کار پر درآمد، پدر زن و پدر شوهر پولدار، زوجه‌ی خیاط و آشپز و آشنای به زبان‌های خارجی و مسلّط بر کامپیوتر و مانند آن، از جمله این توقّعات است که مانع ازدواج در زمان مناسب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تشریفات؛ معضل دیگری که سر راه ازدواج جوانان وجود دارد تشریفات غیر ضروری است، که چشم و هم‌چشمی‌ها به زیاد شدن آن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مهریّه‌های سنگین و بعضاً نامعقول، جهزیّه‌های تشریفاتی و گسترده، که گاه زوجین فرصت استفاده از بعضی اقلام آن را تا سالها به دست نمی‌آورند، خریدهای آنچنانی قبل از عقد، و مجالس سنگین عقد و عروسی، بخشی از این تشریفات است</w:t>
      </w:r>
      <w:r>
        <w:rPr>
          <w:rFonts w:eastAsia="IRNazanin" w:cs="IRNazanin"/>
          <w:color w:val="111111"/>
          <w:sz w:val="28"/>
          <w:szCs w:val="28"/>
          <w:rtl w:val="true"/>
          <w:lang w:bidi="fa-IR"/>
        </w:rPr>
        <w:t>.</w:t>
      </w:r>
      <w:bookmarkStart w:id="86" w:name="pg4082_21361"/>
    </w:p>
    <w:p>
      <w:pPr>
        <w:pStyle w:val="BookText"/>
        <w:rPr/>
      </w:pPr>
      <w:bookmarkEnd w:id="8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سوءظن؛ با توجّه به این که متأسّفانه ارتباط‌های نامشروع زیاد شده، دختران و پسران و زنان و مردان به یکدیگر سوء ظن دارند و نمی‌توانند براحتی به یکدیگر اطمینان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دختران اجازه داده شود بدون اذن پدر ازدواج موقّت نمایند و دختری مثلاً با چند نفر صیغه موقّت بخواند و سپس پسری به خواستگاری او بیاید و بخواهد با وی ازدواج دایم کند، از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خانم با شوهر سابق ارتباط دارد یا نه؟ و این سوءظن مانع ازدواج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را به ساده زیستی دعوت کرد و این پیرایه‌ها را از این حکم الهی مطابق با فطرت زدود، تا جوانان بتوانند براحتی ازدواج کنند و از گناه و معصیت در امان بمانند</w:t>
      </w:r>
      <w:r>
        <w:rPr>
          <w:rFonts w:eastAsia="IRNazanin" w:cs="IRNazanin"/>
          <w:color w:val="111111"/>
          <w:sz w:val="28"/>
          <w:szCs w:val="28"/>
          <w:rtl w:val="true"/>
          <w:lang w:bidi="fa-IR"/>
        </w:rPr>
        <w:t>.</w:t>
      </w:r>
    </w:p>
    <w:p>
      <w:pPr>
        <w:pStyle w:val="Heading3"/>
        <w:numPr>
          <w:ilvl w:val="2"/>
          <w:numId w:val="1"/>
        </w:numPr>
        <w:rPr/>
      </w:pPr>
      <w:bookmarkStart w:id="87" w:name="__RefHeading___Toc2524838_2281741623"/>
      <w:bookmarkStart w:id="88" w:name="_Toc32"/>
      <w:bookmarkEnd w:id="87"/>
      <w:r>
        <w:rPr>
          <w:rtl w:val="true"/>
        </w:rPr>
        <w:t>راه‌حلّ دوم</w:t>
      </w:r>
      <w:r>
        <w:rPr>
          <w:rtl w:val="true"/>
        </w:rPr>
        <w:t xml:space="preserve">: </w:t>
      </w:r>
      <w:r>
        <w:rPr>
          <w:rtl w:val="true"/>
        </w:rPr>
        <w:t>پرهیز از عوامل تحریک</w:t>
      </w:r>
      <w:bookmarkEnd w:id="8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راه مبارزه با استمناء و پیشگیری از خودارضایی و همچنین درمان آن، پرهیز از عوامل تحریک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فیلم‌های آنچنانی، استفاده از برنامه‌های ماهواره‌ها، اینترنت، برخی روزنامه‌ها و مجلّات و کتاب‌های گمراه‌کننده، چشم چرانی و</w:t>
      </w:r>
      <w:bookmarkStart w:id="89" w:name="pg4082_21362"/>
    </w:p>
    <w:p>
      <w:pPr>
        <w:pStyle w:val="BookText"/>
        <w:rPr/>
      </w:pPr>
      <w:bookmarkEnd w:id="89"/>
      <w:r>
        <w:rPr>
          <w:rFonts w:ascii="IRNazanin" w:hAnsi="IRNazanin" w:eastAsia="IRNazanin"/>
          <w:color w:val="111111"/>
          <w:sz w:val="28"/>
          <w:sz w:val="28"/>
          <w:szCs w:val="28"/>
          <w:rtl w:val="true"/>
          <w:lang w:bidi="fa-IR"/>
        </w:rPr>
        <w:t>استفاده از لباس‌های تنگ و چسبان، و حتّی غذاهای تحریک‌کننده، هرکدام به نوعی انسان را به سوی گناه و معصیت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خود را در برابر این عوامل کنترل کند بی شک مبتلی به خودارضایی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برابر تمام یا برخی از عوامل فوق بی‌پرواست و براحتی آلوده‌ی آن می‌شود، طبیعی است که مبتلی به استمناء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یک انسان در محیط وباخیز زندگی کند و آب و غذای آلوده به میکروب مصرف نماید 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دومین راه‌حل، پرهیز از عوامل تحریک است</w:t>
      </w:r>
      <w:r>
        <w:rPr>
          <w:rFonts w:eastAsia="IRNazanin" w:cs="IRNazanin"/>
          <w:color w:val="111111"/>
          <w:sz w:val="28"/>
          <w:szCs w:val="28"/>
          <w:rtl w:val="true"/>
          <w:lang w:bidi="fa-IR"/>
        </w:rPr>
        <w:t>.</w:t>
      </w:r>
    </w:p>
    <w:p>
      <w:pPr>
        <w:pStyle w:val="Heading3"/>
        <w:numPr>
          <w:ilvl w:val="2"/>
          <w:numId w:val="1"/>
        </w:numPr>
        <w:rPr/>
      </w:pPr>
      <w:bookmarkStart w:id="90" w:name="__RefHeading___Toc2524840_2281741623"/>
      <w:bookmarkStart w:id="91" w:name="_Toc33"/>
      <w:bookmarkEnd w:id="90"/>
      <w:r>
        <w:rPr>
          <w:rtl w:val="true"/>
        </w:rPr>
        <w:t>راه‌حل سوم</w:t>
      </w:r>
      <w:r>
        <w:rPr>
          <w:rtl w:val="true"/>
        </w:rPr>
        <w:t xml:space="preserve">: </w:t>
      </w:r>
      <w:r>
        <w:rPr>
          <w:rtl w:val="true"/>
        </w:rPr>
        <w:t>اجتناب از دوستان ناباب</w:t>
      </w:r>
      <w:bookmarkEnd w:id="9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آلودگی جوانان، همنشینی با دوستان ناباب و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با یک انسان معتاد به موادّ مخدّر دوست می‌شود و به همراه او به مجالس استعمال مواد مخدّر می‌رود، به تدریج آلوده‌ی به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شخصی طرح رفاقت بریزد که مبتلی به استمناء و خودارضایی است، طبعاً او هم مبتلی به این گناه و معصیت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همنشینی با</w:t>
      </w:r>
      <w:bookmarkStart w:id="92" w:name="pg4082_21363"/>
    </w:p>
    <w:p>
      <w:pPr>
        <w:pStyle w:val="BookText"/>
        <w:rPr/>
      </w:pPr>
      <w:bookmarkEnd w:id="92"/>
      <w:r>
        <w:rPr>
          <w:rFonts w:ascii="IRNazanin" w:hAnsi="IRNazanin" w:eastAsia="IRNazanin"/>
          <w:color w:val="111111"/>
          <w:sz w:val="28"/>
          <w:sz w:val="28"/>
          <w:szCs w:val="28"/>
          <w:rtl w:val="true"/>
          <w:lang w:bidi="fa-IR"/>
        </w:rPr>
        <w:t>برخی از بیماران، باعث سرایت بیماری او به انسان می‌شود</w:t>
      </w:r>
      <w:r>
        <w:rPr>
          <w:rFonts w:eastAsia="IRNazanin" w:cs="IRNazanin"/>
          <w:color w:val="111111"/>
          <w:sz w:val="28"/>
          <w:szCs w:val="28"/>
          <w:rtl w:val="true"/>
          <w:lang w:bidi="fa-IR"/>
        </w:rPr>
        <w:t>.</w:t>
      </w:r>
    </w:p>
    <w:p>
      <w:pPr>
        <w:pStyle w:val="Heading3"/>
        <w:numPr>
          <w:ilvl w:val="2"/>
          <w:numId w:val="1"/>
        </w:numPr>
        <w:rPr/>
      </w:pPr>
      <w:bookmarkStart w:id="93" w:name="__RefHeading___Toc2524842_2281741623"/>
      <w:bookmarkStart w:id="94" w:name="_Toc34"/>
      <w:bookmarkEnd w:id="93"/>
      <w:r>
        <w:rPr>
          <w:rtl w:val="true"/>
        </w:rPr>
        <w:t>راه‌حلّ چهارم</w:t>
      </w:r>
      <w:r>
        <w:rPr>
          <w:rtl w:val="true"/>
        </w:rPr>
        <w:t xml:space="preserve">: </w:t>
      </w:r>
      <w:r>
        <w:rPr>
          <w:rtl w:val="true"/>
        </w:rPr>
        <w:t>اشتغال</w:t>
      </w:r>
      <w:bookmarkEnd w:id="94"/>
    </w:p>
    <w:p>
      <w:pPr>
        <w:pStyle w:val="BookText"/>
        <w:rPr/>
      </w:pPr>
      <w:r>
        <w:rPr>
          <w:rFonts w:ascii="IRNazanin" w:hAnsi="IRNazanin" w:eastAsia="IRNazanin"/>
          <w:color w:val="111111"/>
          <w:sz w:val="28"/>
          <w:sz w:val="28"/>
          <w:szCs w:val="28"/>
          <w:rtl w:val="true"/>
          <w:lang w:bidi="fa-IR"/>
        </w:rPr>
        <w:t>جوانان باید برای تمام ساعات شبانه‌روز خود برنامه داشته باشند، به گونه‌ای که تمام اوقات آنها پر باشد و بیکار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بیکاری منشأ بسیاری از مفاسد اخلاقی از جمله خودارضایی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بیکاری همراه با تنهایی باشد، که اثر تخریبی آن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همه مبتلایان به خودارضایی توصیه می‌کنیم که تنها و بیکار نمانند و تمام اوقات خود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ورزش غافل نشوند که تأثیر مهمّی در جلوگیری و همچنین ترک استمناء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هیجانات جنسی را می‌کاهد و سرگرمی سالمی نیز محسوب می‌شود</w:t>
      </w:r>
      <w:r>
        <w:rPr>
          <w:rFonts w:eastAsia="IRNazanin" w:cs="IRNazanin"/>
          <w:color w:val="111111"/>
          <w:sz w:val="28"/>
          <w:szCs w:val="28"/>
          <w:rtl w:val="true"/>
          <w:lang w:bidi="fa-IR"/>
        </w:rPr>
        <w:t>.</w:t>
      </w:r>
    </w:p>
    <w:p>
      <w:pPr>
        <w:pStyle w:val="Heading3"/>
        <w:numPr>
          <w:ilvl w:val="2"/>
          <w:numId w:val="1"/>
        </w:numPr>
        <w:rPr/>
      </w:pPr>
      <w:bookmarkStart w:id="95" w:name="__RefHeading___Toc2524844_2281741623"/>
      <w:bookmarkStart w:id="96" w:name="_Toc35"/>
      <w:bookmarkEnd w:id="95"/>
      <w:r>
        <w:rPr>
          <w:rtl w:val="true"/>
        </w:rPr>
        <w:t>راه‌حلّ پنجم</w:t>
      </w:r>
      <w:r>
        <w:rPr>
          <w:rtl w:val="true"/>
        </w:rPr>
        <w:t xml:space="preserve">: </w:t>
      </w:r>
      <w:r>
        <w:rPr>
          <w:rtl w:val="true"/>
        </w:rPr>
        <w:t>مطالعه‌ی مداوم آثار سوء استمناء</w:t>
      </w:r>
      <w:bookmarkEnd w:id="9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مبتلایان به این بیماری باید پیامدهای سوء و عوارض نامطلوب و ضررهای فراوان خودارضایی</w:t>
      </w:r>
      <w:bookmarkStart w:id="97" w:name="pg4082_21364"/>
    </w:p>
    <w:p>
      <w:pPr>
        <w:pStyle w:val="BookText"/>
        <w:rPr/>
      </w:pPr>
      <w:bookmarkEnd w:id="97"/>
      <w:r>
        <w:rPr>
          <w:rFonts w:ascii="IRNazanin" w:hAnsi="IRNazanin" w:eastAsia="IRNazanin"/>
          <w:color w:val="111111"/>
          <w:sz w:val="28"/>
          <w:sz w:val="28"/>
          <w:szCs w:val="28"/>
          <w:rtl w:val="true"/>
          <w:lang w:bidi="fa-IR"/>
        </w:rPr>
        <w:t>را مطالعه کنند و این کار را تکرار نمایند تا این امور به حافظه آنها سپرده شود، تا هر زمان هوای نفس و شیطان آنان را دعوت به این کار کرد، با یادآوری آن آثار مخرّب، بتوانند خود را کنترل نمایند</w:t>
      </w:r>
      <w:r>
        <w:rPr>
          <w:rFonts w:eastAsia="IRNazanin" w:cs="IRNazanin"/>
          <w:color w:val="111111"/>
          <w:sz w:val="28"/>
          <w:szCs w:val="28"/>
          <w:rtl w:val="true"/>
          <w:lang w:bidi="fa-IR"/>
        </w:rPr>
        <w:t>.</w:t>
      </w:r>
    </w:p>
    <w:p>
      <w:pPr>
        <w:pStyle w:val="Heading3"/>
        <w:numPr>
          <w:ilvl w:val="2"/>
          <w:numId w:val="1"/>
        </w:numPr>
        <w:rPr/>
      </w:pPr>
      <w:bookmarkStart w:id="98" w:name="__RefHeading___Toc2524846_2281741623"/>
      <w:bookmarkStart w:id="99" w:name="_Toc36"/>
      <w:bookmarkEnd w:id="98"/>
      <w:r>
        <w:rPr>
          <w:rtl w:val="true"/>
        </w:rPr>
        <w:t>راه‌حلّ ششم</w:t>
      </w:r>
      <w:r>
        <w:rPr>
          <w:rtl w:val="true"/>
        </w:rPr>
        <w:t xml:space="preserve">: </w:t>
      </w:r>
      <w:r>
        <w:rPr>
          <w:rtl w:val="true"/>
        </w:rPr>
        <w:t>تقویت پایه‌های ایمان</w:t>
      </w:r>
      <w:bookmarkEnd w:id="99"/>
    </w:p>
    <w:p>
      <w:pPr>
        <w:pStyle w:val="BookText"/>
        <w:rPr/>
      </w:pPr>
      <w:r>
        <w:rPr>
          <w:rFonts w:ascii="IRNazanin" w:hAnsi="IRNazanin" w:eastAsia="IRNazanin"/>
          <w:color w:val="111111"/>
          <w:sz w:val="28"/>
          <w:sz w:val="28"/>
          <w:szCs w:val="28"/>
          <w:rtl w:val="true"/>
          <w:lang w:bidi="fa-IR"/>
        </w:rPr>
        <w:t>هرچه ایمان انسان محکم‌تر گردد آلودگی وی به گناه و معصیت کمتر می‌شود، تا آنجا که اگر ایمان قوی و مستحکمی پیدا کند، در قلب جمعیّت گناهکار زندگی می‌کند امّا آلوده نمی‌شود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تقویت پایه‌های ایمان، مطالعه‌ی کتاب‌های دینی، تفکّر و اندیشه در اسرار جهان هستی، شرکت در مجالس دینی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تقویت پایه‌های ایمان، اشتغال، اجتناب از دوستان ناباب، پرهیز از عوامل تحریک، مطالعه‌ی مداوم آثار سوء خودارضایی و ازدواج هم می‌توان از آلودگی‌های جنسی مخصوصاً استمناء پیشگیری کرد و هم می‌توان آن را درمان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رهایی همه‌ی مبتلایان‌به خودارضایی و زندگی پاک و عاری از گناه و معصیت</w:t>
      </w:r>
      <w:r>
        <w:rPr>
          <w:rFonts w:eastAsia="IRNazanin" w:cs="IRNazanin"/>
          <w:color w:val="111111"/>
          <w:sz w:val="28"/>
          <w:szCs w:val="28"/>
          <w:rtl w:val="true"/>
          <w:lang w:bidi="fa-IR"/>
        </w:rPr>
        <w:t>.</w:t>
      </w:r>
      <w:bookmarkStart w:id="100" w:name="pg4082_21366"/>
    </w:p>
    <w:p>
      <w:pPr>
        <w:pStyle w:val="Heading2"/>
        <w:numPr>
          <w:ilvl w:val="1"/>
          <w:numId w:val="1"/>
        </w:numPr>
        <w:rPr/>
      </w:pPr>
      <w:bookmarkStart w:id="101" w:name="__RefHeading___Toc2524848_2281741623"/>
      <w:bookmarkStart w:id="102" w:name="_Toc37"/>
      <w:bookmarkEnd w:id="100"/>
      <w:bookmarkEnd w:id="101"/>
      <w:r>
        <w:rPr>
          <w:rtl w:val="true"/>
        </w:rPr>
        <w:t>خاتمه</w:t>
      </w:r>
      <w:bookmarkEnd w:id="10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2524850_2281741623"/>
      <w:bookmarkStart w:id="104" w:name="_Toc38"/>
      <w:bookmarkEnd w:id="103"/>
      <w:r>
        <w:rPr>
          <w:rtl w:val="true"/>
        </w:rPr>
        <w:t>اشاره</w:t>
      </w:r>
      <w:bookmarkStart w:id="105" w:name="pg4082_21367"/>
      <w:bookmarkEnd w:id="104"/>
    </w:p>
    <w:p>
      <w:pPr>
        <w:pStyle w:val="BookText"/>
        <w:rPr/>
      </w:pPr>
      <w:bookmarkEnd w:id="105"/>
      <w:r>
        <w:rPr>
          <w:rFonts w:ascii="IRNazanin" w:hAnsi="IRNazanin" w:eastAsia="IRNazanin"/>
          <w:color w:val="111111"/>
          <w:sz w:val="28"/>
          <w:sz w:val="28"/>
          <w:szCs w:val="28"/>
          <w:rtl w:val="true"/>
          <w:lang w:bidi="fa-IR"/>
        </w:rPr>
        <w:t xml:space="preserve">در پایان این مبحث، توجّه شما عزیزان را به یک مقاله علمی آموزنده درباره خودارضایی، که از پایگاه اطلاع رسانی شفا گرفته شده، جلب می‌کنم </w:t>
      </w:r>
      <w:r>
        <w:rPr>
          <w:rFonts w:eastAsia="IRNazanin" w:cs="IRNazanin"/>
          <w:color w:val="111111"/>
          <w:sz w:val="28"/>
          <w:szCs w:val="28"/>
          <w:rtl w:val="true"/>
          <w:lang w:bidi="fa-IR"/>
        </w:rPr>
        <w:t>:</w:t>
      </w:r>
    </w:p>
    <w:p>
      <w:pPr>
        <w:pStyle w:val="Heading3"/>
        <w:numPr>
          <w:ilvl w:val="2"/>
          <w:numId w:val="1"/>
        </w:numPr>
        <w:rPr/>
      </w:pPr>
      <w:bookmarkStart w:id="106" w:name="__RefHeading___Toc2524852_2281741623"/>
      <w:bookmarkStart w:id="107" w:name="_Toc39"/>
      <w:bookmarkEnd w:id="106"/>
      <w:r>
        <w:rPr>
          <w:rtl w:val="true"/>
        </w:rPr>
        <w:t>نیروی جنسی و بلوغ</w:t>
      </w:r>
      <w:bookmarkEnd w:id="107"/>
    </w:p>
    <w:p>
      <w:pPr>
        <w:pStyle w:val="BookText"/>
        <w:rPr/>
      </w:pPr>
      <w:r>
        <w:rPr>
          <w:rFonts w:ascii="IRNazanin" w:hAnsi="IRNazanin" w:eastAsia="IRNazanin"/>
          <w:color w:val="111111"/>
          <w:sz w:val="28"/>
          <w:sz w:val="28"/>
          <w:szCs w:val="28"/>
          <w:rtl w:val="true"/>
          <w:lang w:bidi="fa-IR"/>
        </w:rPr>
        <w:t>فروید، پدر علم روانکاوی، بر این باور است که برقراری رابطه‌ی جنسی در انسان از دو خواستگاه متفاوت نشأت می‌گیرد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اوّلیّه، غریزی یا فیزیولوژیک است و دیگری پی آمد ماهیّت نفسانی عاطفی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دیدگاه فیزیولوژیک، رابطه‌ی جنسی در نتیجه‌ی رشد ویژگی‌های ابتدایی جنسی در افراد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انسان‌ها زمانی که از نظر جسمی به رشد کافی می‌رسند، آمادگی برقرای ارتباط جنسی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دوران که بلوغ نام دارد، در خانم‌ها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آقایان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آخرین مرحله ی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ابتدایی زندگی، نیروی جنسی‌در یک پسر بچّه در تمام قسمت‌های بدن او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نیروی جنسی به اعضای جنسی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تفاوت‌های ظاهری‌میان جنس مذکّر و مونّث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استخوان‌ها قدری درشت تر شده و بدن عضلانی‌تر می‌شود، و به تدریج تُن صدای آنها تغییر پیدا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این تغییرات با گذر زمان تکمیل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این تغییرات حاکی از ابتدای سنّ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منی و به مثابه‌ی آن اسپرم تولید می‌شود، ولی اسپرم‌ها در این زمان به بلوغ کامل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پژوهش‌های پزشکی، محقّقین بر این باورند که اسپرم‌ها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به بالغ شدن کرده، و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مرحله‌ی بلوغ آنها تکامل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رشد بیضه‌ها و غدد مترشّحه‌ی داخلی بدن نیز به آخرین حدّ خود می‌رسد</w:t>
      </w:r>
      <w:r>
        <w:rPr>
          <w:rFonts w:eastAsia="IRNazanin" w:cs="IRNazanin"/>
          <w:color w:val="111111"/>
          <w:sz w:val="28"/>
          <w:szCs w:val="28"/>
          <w:rtl w:val="true"/>
          <w:lang w:bidi="fa-IR"/>
        </w:rPr>
        <w:t>.</w:t>
      </w:r>
      <w:bookmarkStart w:id="108" w:name="pg4082_21369"/>
    </w:p>
    <w:p>
      <w:pPr>
        <w:pStyle w:val="Heading3"/>
        <w:numPr>
          <w:ilvl w:val="2"/>
          <w:numId w:val="1"/>
        </w:numPr>
        <w:rPr/>
      </w:pPr>
      <w:bookmarkStart w:id="109" w:name="__RefHeading___Toc2524854_2281741623"/>
      <w:bookmarkStart w:id="110" w:name="_Toc40"/>
      <w:bookmarkEnd w:id="108"/>
      <w:bookmarkEnd w:id="109"/>
      <w:r>
        <w:rPr>
          <w:rtl w:val="true"/>
        </w:rPr>
        <w:t>ارتباط میان غدد جنسی و غدد درون ریز در ارگانیسم</w:t>
      </w:r>
      <w:bookmarkEnd w:id="110"/>
    </w:p>
    <w:p>
      <w:pPr>
        <w:pStyle w:val="BookText"/>
        <w:rPr/>
      </w:pPr>
      <w:r>
        <w:rPr>
          <w:rFonts w:ascii="IRNazanin" w:hAnsi="IRNazanin" w:eastAsia="IRNazanin"/>
          <w:color w:val="111111"/>
          <w:sz w:val="28"/>
          <w:sz w:val="28"/>
          <w:szCs w:val="28"/>
          <w:rtl w:val="true"/>
          <w:lang w:bidi="fa-IR"/>
        </w:rPr>
        <w:t xml:space="preserve">در بدن انسان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مترشّحه داخلی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غدد هورمون‌های متفاوتی ترشّح می‌کند، که پیام‌های مختلفی به اعضای دیگر منتقل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غدد مسئول تنظیم و تعدیل عملکردهای مختلف بدن از جمله رشد، فشار خون، دمای بدن، میزان کلسیم، شکر، فسفر، و از همه مهمتر عملکرد جنسی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هر یک از این غدد به نحوی قادر بر نشان دادن واکنش درست از خود نباشد، بدن ممکن است با انواع و اقسام مختلف اختلالات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افرادی‌که در غدد خود با اختلال روبرو می‌شوند، باید با استفاده از هورمون‌های مصنوعی نیازهای بدن خود را مرتفع سازند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غدّه‌ی درون ریز، غدّه‌ی هیپوفیز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غدّه‌ی توانایی آن را دارد که به کل غدد درون ریز شدّت یا کسرت عمل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غدّه‌ی هیپوفیز از جمله مهمترین غده‌های‌جنسی نیز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غدّه‌ی معروف هیپوفیز که محور اصلی کنترل فعالیّت‌های بیضه‌ای </w:t>
      </w:r>
      <w:r>
        <w:rPr>
          <w:rFonts w:eastAsia="IRNazanin" w:cs="IRNazanin"/>
          <w:color w:val="111111"/>
          <w:sz w:val="28"/>
          <w:szCs w:val="28"/>
          <w:rtl w:val="true"/>
          <w:lang w:bidi="fa-IR"/>
        </w:rPr>
        <w:t>-</w:t>
      </w:r>
      <w:bookmarkStart w:id="111" w:name="pg4082_21370"/>
    </w:p>
    <w:p>
      <w:pPr>
        <w:pStyle w:val="BookText"/>
        <w:rPr/>
      </w:pPr>
      <w:bookmarkEnd w:id="111"/>
      <w:r>
        <w:rPr>
          <w:rFonts w:ascii="IRNazanin" w:hAnsi="IRNazanin" w:eastAsia="IRNazanin"/>
          <w:color w:val="111111"/>
          <w:sz w:val="28"/>
          <w:sz w:val="28"/>
          <w:szCs w:val="28"/>
          <w:rtl w:val="true"/>
          <w:lang w:bidi="fa-IR"/>
        </w:rPr>
        <w:t>تخمدانی است، کنترل کلیّه‌ی تنظیمات جنسی در بدن خانم‌ها و آقایان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مردان این غدّه فعالیّت‌های جنسی خود را از زمان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درست هنگامی‌که هورمونهایی را به منظور تحریک اعضای جنسی به خون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خانم‌ها هم غدّه‌ی هیپوفیز در دوران بلوغ با ایجاد هورمون‌هایی که سبب تخمک گذاری در تخمدان‌ها می‌شود، کار خود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تخمک‌ها حاوی‌هورمون‌های جنسی زنانه است که سبب ایجاد و گسترش خصوصیّات زنانه در بانوان می‌شود</w:t>
      </w:r>
      <w:r>
        <w:rPr>
          <w:rFonts w:eastAsia="IRNazanin" w:cs="IRNazanin"/>
          <w:color w:val="111111"/>
          <w:sz w:val="28"/>
          <w:szCs w:val="28"/>
          <w:rtl w:val="true"/>
          <w:lang w:bidi="fa-IR"/>
        </w:rPr>
        <w:t>.</w:t>
      </w:r>
    </w:p>
    <w:p>
      <w:pPr>
        <w:pStyle w:val="Heading3"/>
        <w:numPr>
          <w:ilvl w:val="2"/>
          <w:numId w:val="1"/>
        </w:numPr>
        <w:rPr/>
      </w:pPr>
      <w:bookmarkStart w:id="112" w:name="__RefHeading___Toc2524856_2281741623"/>
      <w:bookmarkStart w:id="113" w:name="_Toc41"/>
      <w:bookmarkEnd w:id="112"/>
      <w:r>
        <w:rPr>
          <w:rtl w:val="true"/>
        </w:rPr>
        <w:t>منبع تولید نیروی جنسی</w:t>
      </w:r>
      <w:bookmarkEnd w:id="113"/>
    </w:p>
    <w:p>
      <w:pPr>
        <w:pStyle w:val="BookText"/>
        <w:rPr/>
      </w:pPr>
      <w:r>
        <w:rPr>
          <w:rFonts w:ascii="IRNazanin" w:hAnsi="IRNazanin" w:eastAsia="IRNazanin"/>
          <w:color w:val="111111"/>
          <w:sz w:val="28"/>
          <w:sz w:val="28"/>
          <w:szCs w:val="28"/>
          <w:rtl w:val="true"/>
          <w:lang w:bidi="fa-IR"/>
        </w:rPr>
        <w:t>همه‌ی انسان‌ها در طول زندگی خود دائمآ در حال انتقال و تغییر شکل انرژی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زندگی انسان‌ها شروع و پایانی دارد و رابطه‌ی جنسی نیز از این امر مستثنی نخواهد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اندام‌های جنسی، انرژی را تولید می‌کنند که باعث ایجاد تمایلات و گرایش‌های جنسی در افراد می‌شود؛ امّا به منظور تولید یک چنین انرژیی، اندام‌های جنسی باید از منبع ذهنی تغذیه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و تصوّرات جنسی به عنوان موادّ اوّلیّه‌ی تولید اسپرم و انرژی جنسی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یک انسان از تلفیق یک اسپرم با تخمک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اسپرماتوزوئید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را دارد که یک انسان جدید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در هر بار انزال، مردها چیزی در حدود میلیون‌ها اسپرم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کشاورز تصمیم می‌گیرد در یک زمین کشاورزی دانه بکارد، بهترین انواع دانه‌ها را انتخاب می‌کند، زمین را به خوبی شخم می‌زند، و دو تا سه دانه می‌کارد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میلیونها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این دانه‌ها بزرگ شده و رشد کردند، از آنها استفاده کرده میوه‌هایشان را می‌خورد و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درخت لیمو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زمانی به مرحله‌ی تکامل خود می‌رسد که بتواند میوه‌های رسیده‌ی لیمو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به این امر توجّه نداشته باشد و میوه‌ها را پیش از رسیده شدن کامل از درخت بچیند، با این کار خود به درخت صدمه وارد کرده و اجازه نمی‌دهد که درخت به رشد و تکامل نهایی خود برسد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در مورد ارتباط جنسی نیز صدق می‌کند</w:t>
      </w:r>
      <w:r>
        <w:rPr>
          <w:rFonts w:eastAsia="IRNazanin" w:cs="IRNazanin"/>
          <w:color w:val="111111"/>
          <w:sz w:val="28"/>
          <w:szCs w:val="28"/>
          <w:rtl w:val="true"/>
          <w:lang w:bidi="fa-IR"/>
        </w:rPr>
        <w:t>.</w:t>
      </w:r>
      <w:bookmarkStart w:id="114" w:name="pg4082_21372"/>
    </w:p>
    <w:p>
      <w:pPr>
        <w:pStyle w:val="BookText"/>
        <w:rPr/>
      </w:pPr>
      <w:bookmarkEnd w:id="114"/>
      <w:r>
        <w:rPr>
          <w:rFonts w:ascii="IRNazanin" w:hAnsi="IRNazanin" w:eastAsia="IRNazanin"/>
          <w:color w:val="111111"/>
          <w:sz w:val="28"/>
          <w:sz w:val="28"/>
          <w:szCs w:val="28"/>
          <w:rtl w:val="true"/>
          <w:lang w:bidi="fa-IR"/>
        </w:rPr>
        <w:t>اگر فرد پیش از رسیدن به بلوغ کامل بخواهد از انرژی جنسی خود استفاده کند، به بدن خود صدمات جبران ناپذیری‌وارد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بحث نگاه کوتاهی به این مشکلات خواهیم داشت</w:t>
      </w:r>
      <w:r>
        <w:rPr>
          <w:rFonts w:eastAsia="IRNazanin" w:cs="IRNazanin"/>
          <w:color w:val="111111"/>
          <w:sz w:val="28"/>
          <w:szCs w:val="28"/>
          <w:rtl w:val="true"/>
          <w:lang w:bidi="fa-IR"/>
        </w:rPr>
        <w:t>.</w:t>
      </w:r>
    </w:p>
    <w:p>
      <w:pPr>
        <w:pStyle w:val="Heading3"/>
        <w:numPr>
          <w:ilvl w:val="2"/>
          <w:numId w:val="1"/>
        </w:numPr>
        <w:rPr/>
      </w:pPr>
      <w:bookmarkStart w:id="115" w:name="__RefHeading___Toc2524858_2281741623"/>
      <w:bookmarkStart w:id="116" w:name="_Toc42"/>
      <w:bookmarkEnd w:id="115"/>
      <w:r>
        <w:rPr>
          <w:rtl w:val="true"/>
        </w:rPr>
        <w:t>بهره‌گیری از نیروی جنسی در ورزش</w:t>
      </w:r>
      <w:bookmarkEnd w:id="116"/>
    </w:p>
    <w:p>
      <w:pPr>
        <w:pStyle w:val="BookText"/>
        <w:rPr/>
      </w:pPr>
      <w:r>
        <w:rPr>
          <w:rFonts w:ascii="IRNazanin" w:hAnsi="IRNazanin" w:eastAsia="IRNazanin"/>
          <w:color w:val="111111"/>
          <w:sz w:val="28"/>
          <w:sz w:val="28"/>
          <w:szCs w:val="28"/>
          <w:rtl w:val="true"/>
          <w:lang w:bidi="fa-IR"/>
        </w:rPr>
        <w:t>اخیرآ محقّقان از وجود نیروی جنسی باخبر شده اند و سعی می‌کنند تا از این نیرو بهره گرفته و آن را برای موارد دیگری ذخیره کرده و به‌کار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ورزش مشت زنی، هر مربّی کارآمدی در حین دوره‌ی آمادگی، بوکسور خود را برای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برقراری ارتباط جنسی منع می‌کند تا هم انرژی او بیشتر شود و هم بتواند مشتهای محکمتری به حریف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تیمهای فوتبال نیز بازیکنان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انجام بازی به حومه شهر انتقال داده می‌شوند تا انرژی آنها بر اثر برقراری رابطه‌ی جنسی تحلیل نرود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مسابقات قهرمانی جهان در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میلادی، تیم ملّی کشور آرژانتین از همه تیم‌ها مدّت زمان بیشتری را در اردوی آمادگی به</w:t>
      </w:r>
      <w:bookmarkStart w:id="117" w:name="pg4082_21373"/>
    </w:p>
    <w:p>
      <w:pPr>
        <w:pStyle w:val="BookText"/>
        <w:rPr/>
      </w:pPr>
      <w:bookmarkEnd w:id="117"/>
      <w:r>
        <w:rPr>
          <w:rFonts w:ascii="IRNazanin" w:hAnsi="IRNazanin" w:eastAsia="IRNazanin"/>
          <w:color w:val="111111"/>
          <w:sz w:val="28"/>
          <w:sz w:val="28"/>
          <w:szCs w:val="28"/>
          <w:rtl w:val="true"/>
          <w:lang w:bidi="fa-IR"/>
        </w:rPr>
        <w:t>سر برد و به همین جهت بدون شکست از مسابقات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گزارش علمی اثبات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تستوسترون نقش مهمّی در شکل دهی رفتار افراد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هورمن به عنوان نوعی محرّک شناخته می‌شود که در کلیّه‌ی حالات فردی، از جمله عصبانیّت و پرخاشگری نیز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فوق در یک بازی فوتبال براحتی می‌توان تشخیص داد کدام یک از تیمها برنده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 که در رگ‌های خونی بازیکنانش میزان تستوسترون بیشتری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ناسا، که معتبرترین مرکز پژوهش‌های علمی جهان به شمار می‌رود، فعالیّت‌های جنسی کلیّه‌ی دانشمندانی که در آنجا مشغول به فعالیّت هستند، تحت کنترل است، تا پژوهشگران همیشه بتوانند در بهترین وضعیت ممکن ذهنی و جسمی قرار داشته باشند</w:t>
      </w:r>
      <w:r>
        <w:rPr>
          <w:rFonts w:eastAsia="IRNazanin" w:cs="IRNazanin"/>
          <w:color w:val="111111"/>
          <w:sz w:val="28"/>
          <w:szCs w:val="28"/>
          <w:rtl w:val="true"/>
          <w:lang w:bidi="fa-IR"/>
        </w:rPr>
        <w:t>.</w:t>
      </w:r>
    </w:p>
    <w:p>
      <w:pPr>
        <w:pStyle w:val="Heading3"/>
        <w:numPr>
          <w:ilvl w:val="2"/>
          <w:numId w:val="1"/>
        </w:numPr>
        <w:rPr/>
      </w:pPr>
      <w:bookmarkStart w:id="118" w:name="__RefHeading___Toc2524860_2281741623"/>
      <w:bookmarkStart w:id="119" w:name="_Toc43"/>
      <w:bookmarkEnd w:id="118"/>
      <w:r>
        <w:rPr>
          <w:rtl w:val="true"/>
        </w:rPr>
        <w:t>نیروی جنسی و طول عمر</w:t>
      </w:r>
      <w:bookmarkEnd w:id="1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مردهای یونان باستان تا سنّ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عمر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 پیش هم سنّ</w:t>
      </w:r>
      <w:bookmarkStart w:id="120" w:name="pg4082_21374"/>
    </w:p>
    <w:p>
      <w:pPr>
        <w:pStyle w:val="BookText"/>
        <w:rPr/>
      </w:pPr>
      <w:bookmarkEnd w:id="120"/>
      <w:r>
        <w:rPr>
          <w:rFonts w:ascii="IRNazanin" w:hAnsi="IRNazanin" w:eastAsia="IRNazanin"/>
          <w:color w:val="111111"/>
          <w:sz w:val="28"/>
          <w:sz w:val="28"/>
          <w:szCs w:val="28"/>
          <w:rtl w:val="true"/>
          <w:lang w:bidi="fa-IR"/>
        </w:rPr>
        <w:t xml:space="preserve">مردم به راحتی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روزها به دلیل بروز پاره‌ای از مشکلات نظیر خودارضایی، آزار و اذیت‌های جنسی، غذاهای صنعتی، استفاده از هورمون‌های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مصارف مختلفی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 کردن و بزرگ کردن زودرس جوجه‌ها و احشام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سالخوردگی از سنین پایینی تقریبآ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می‌شود</w:t>
      </w:r>
      <w:r>
        <w:rPr>
          <w:rFonts w:eastAsia="IRNazanin" w:cs="IRNazanin"/>
          <w:color w:val="111111"/>
          <w:sz w:val="28"/>
          <w:szCs w:val="28"/>
          <w:rtl w:val="true"/>
          <w:lang w:bidi="fa-IR"/>
        </w:rPr>
        <w:t>!</w:t>
      </w:r>
    </w:p>
    <w:p>
      <w:pPr>
        <w:pStyle w:val="Heading3"/>
        <w:numPr>
          <w:ilvl w:val="2"/>
          <w:numId w:val="1"/>
        </w:numPr>
        <w:rPr/>
      </w:pPr>
      <w:bookmarkStart w:id="121" w:name="__RefHeading___Toc2524862_2281741623"/>
      <w:bookmarkStart w:id="122" w:name="_Toc44"/>
      <w:bookmarkEnd w:id="121"/>
      <w:r>
        <w:rPr>
          <w:rtl w:val="true"/>
        </w:rPr>
        <w:t>نیروی جنسی و عقل</w:t>
      </w:r>
      <w:bookmarkEnd w:id="12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 دنیا افراد انگشت شماری هستند که از نظر اقتصادی کنترل همه افراد را به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قدرت رابطه‌ی جنسی نیز به خوبی اطّلاع دارند؛ به همین دلیل کلّیه‌ی امکانات موجود را فراهم می‌آورند تا ذهن انسان‌های دیگر را تنها به این امر متمرکز کرده، عقل را از سر آنها بپرانند و کاری کنند تا مطابق میل آنها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خوبی می‌دانند که انسان‌های کم عقل، سرشار از شهوت هستند، بر روی امیال جنسی خود هیچ گونه کنترلی نداشته و براحتی می‌توان آنها را مطیع خود ساخت</w:t>
      </w:r>
      <w:r>
        <w:rPr>
          <w:rFonts w:eastAsia="IRNazanin" w:cs="IRNazanin"/>
          <w:color w:val="111111"/>
          <w:sz w:val="28"/>
          <w:szCs w:val="28"/>
          <w:rtl w:val="true"/>
          <w:lang w:bidi="fa-IR"/>
        </w:rPr>
        <w:t>.</w:t>
      </w:r>
      <w:bookmarkStart w:id="123" w:name="pg4082_21375"/>
    </w:p>
    <w:p>
      <w:pPr>
        <w:pStyle w:val="Heading3"/>
        <w:numPr>
          <w:ilvl w:val="2"/>
          <w:numId w:val="1"/>
        </w:numPr>
        <w:rPr/>
      </w:pPr>
      <w:bookmarkStart w:id="124" w:name="__RefHeading___Toc2524864_2281741623"/>
      <w:bookmarkStart w:id="125" w:name="_Toc45"/>
      <w:bookmarkEnd w:id="123"/>
      <w:bookmarkEnd w:id="124"/>
      <w:r>
        <w:rPr>
          <w:rtl w:val="true"/>
        </w:rPr>
        <w:t>خودارضایی و تخلیه‌ی نیروی جنسی</w:t>
      </w:r>
      <w:bookmarkEnd w:id="125"/>
    </w:p>
    <w:p>
      <w:pPr>
        <w:pStyle w:val="BookText"/>
        <w:rPr/>
      </w:pPr>
      <w:r>
        <w:rPr>
          <w:rFonts w:ascii="IRNazanin" w:hAnsi="IRNazanin" w:eastAsia="IRNazanin"/>
          <w:color w:val="111111"/>
          <w:sz w:val="28"/>
          <w:sz w:val="28"/>
          <w:szCs w:val="28"/>
          <w:rtl w:val="true"/>
          <w:lang w:bidi="fa-IR"/>
        </w:rPr>
        <w:t>تئوری‌های پوچ مدرن، در مورد ارتباط جنسی نوگرایانی که بر روی ارتباط جنسی تحقیق و بررسی می‌کنند، به سادگی به خود اجازه می‌دهند که قدرت و حق انتخاب جوانان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مواردی نظیر خود ارضایی را به جوانان پیشنهاد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کینسی و مسترجانسون که به عنوان پایه گذاران مطالعات جنسی نوین شناخته می‌شوند، بر این عقیده‌اند که یک جوان می‌تواند چندین مرتبه در طول روز خود ارضایی کند؛ چراکه علم پزشکی هیچ‌گونه تاثیر جانبی خطرناکی را پیدا نکرده که مربوط به خودارضایی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این باورند که اهمیّت خودارضایی به ویژه در زمان بلوغ، که خصوصیّات زنانه و مردانه در افراد بروز می‌کند، از اهمیّت بیشتری برخوردار می‌شود و به همان اندازه که در مردها اهمیت دارد برای خانم‌ها نیز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حتّی معتقدند زن و مرد می‌توانند در طول زمان قاعدگی، با هم ارتباط جنسی داشته باشند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پژوهش‌های علمی اثبات کرده که برقراری</w:t>
      </w:r>
      <w:bookmarkStart w:id="126" w:name="pg4082_21376"/>
    </w:p>
    <w:p>
      <w:pPr>
        <w:pStyle w:val="BookText"/>
        <w:rPr/>
      </w:pPr>
      <w:bookmarkEnd w:id="126"/>
      <w:r>
        <w:rPr>
          <w:rFonts w:ascii="IRNazanin" w:hAnsi="IRNazanin" w:eastAsia="IRNazanin"/>
          <w:color w:val="111111"/>
          <w:sz w:val="28"/>
          <w:sz w:val="28"/>
          <w:szCs w:val="28"/>
          <w:rtl w:val="true"/>
          <w:lang w:bidi="fa-IR"/>
        </w:rPr>
        <w:t>رابطه‌ی جنسی در زمان قاعدگی خطرناک و در عین حال زیان آور است؛ چرا که در این زمان موادّ مرده و فاسد از بدن زن خارج می‌شود که اگر آلت تناسلی مرد با این مواد تماس پیدا کند آنها را جذب کرده، خواصّ آن از طریق خون به سلول‌های عصبی مغز انتقال پیدا می‌کند و بر روی قدرت جنسی مرد تاثیر نامطلوبی می‌گذارد</w:t>
      </w:r>
      <w:r>
        <w:rPr>
          <w:rFonts w:eastAsia="IRNazanin" w:cs="IRNazanin"/>
          <w:color w:val="111111"/>
          <w:sz w:val="28"/>
          <w:szCs w:val="28"/>
          <w:rtl w:val="true"/>
          <w:lang w:bidi="fa-IR"/>
        </w:rPr>
        <w:t>.</w:t>
      </w:r>
    </w:p>
    <w:p>
      <w:pPr>
        <w:pStyle w:val="Heading3"/>
        <w:numPr>
          <w:ilvl w:val="2"/>
          <w:numId w:val="1"/>
        </w:numPr>
        <w:rPr/>
      </w:pPr>
      <w:bookmarkStart w:id="127" w:name="__RefHeading___Toc2524866_2281741623"/>
      <w:bookmarkStart w:id="128" w:name="_Toc46"/>
      <w:bookmarkEnd w:id="127"/>
      <w:r>
        <w:rPr>
          <w:rtl w:val="true"/>
        </w:rPr>
        <w:t>رابطه‌ی جنسی غیر متعارف</w:t>
      </w:r>
      <w:bookmarkEnd w:id="12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دیگری از این محقّقان معتقدند که برقراری ارتباط جنسی از راه مقعد بلامانع بوده و می‌تواند بر طبق توافق طرفین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ادّعا باید اظهار داشت که هر یک از ارگان‌های بدن برای انجام دادن کار خاصّی ایجاد شده، و عملکرد مقعد نیز تخلیه‌ی مدفوع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این کار را انجام می‌دهند به عضلات همکش و تنگ کننده‌ی باسن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Sphincters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آسیب وارد کرده و سبب بروز بواسیر و سایر عفونت‌های شدید روده و اثنی عشر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برقراری چنین روابطی به عنوان عمده ترین عامل انتقال بیماری‌های جنسی از جمله ایدز در میان مردهای هم جنس باز تلقّی می‌شود</w:t>
      </w:r>
      <w:r>
        <w:rPr>
          <w:rFonts w:eastAsia="IRNazanin" w:cs="IRNazanin"/>
          <w:color w:val="111111"/>
          <w:sz w:val="28"/>
          <w:szCs w:val="28"/>
          <w:rtl w:val="true"/>
          <w:lang w:bidi="fa-IR"/>
        </w:rPr>
        <w:t>.</w:t>
      </w:r>
      <w:bookmarkStart w:id="129" w:name="pg4082_21377"/>
    </w:p>
    <w:p>
      <w:pPr>
        <w:pStyle w:val="Heading3"/>
        <w:numPr>
          <w:ilvl w:val="2"/>
          <w:numId w:val="1"/>
        </w:numPr>
        <w:rPr/>
      </w:pPr>
      <w:bookmarkStart w:id="130" w:name="__RefHeading___Toc2524868_2281741623"/>
      <w:bookmarkStart w:id="131" w:name="_Toc47"/>
      <w:bookmarkEnd w:id="129"/>
      <w:bookmarkEnd w:id="130"/>
      <w:r>
        <w:rPr>
          <w:rtl w:val="true"/>
        </w:rPr>
        <w:t>آیا خودارضایی عوارضی دارد؟</w:t>
      </w:r>
      <w:bookmarkEnd w:id="131"/>
    </w:p>
    <w:p>
      <w:pPr>
        <w:pStyle w:val="BookText"/>
        <w:rPr/>
      </w:pPr>
      <w:r>
        <w:rPr>
          <w:rFonts w:ascii="IRNazanin" w:hAnsi="IRNazanin" w:eastAsia="IRNazanin"/>
          <w:color w:val="111111"/>
          <w:sz w:val="28"/>
          <w:sz w:val="28"/>
          <w:szCs w:val="28"/>
          <w:rtl w:val="true"/>
          <w:lang w:bidi="fa-IR"/>
        </w:rPr>
        <w:t>مثالی که پیشتر در مورد زمین کشاورزی، درخت لیمو، و رسیدن دانه‌های لیمو برایتان بازگو کردیم را یک بار دیگر در ذهن خود مجسّم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قسمت عنوان کردیم که اگر اوّلین برداشت پیش از رسیدن کامل میوه‌ها باشد، و کشاورز میوه‌های نارس را از درخت بچیند، عمر درخت کم شده، و توانایی باروری آن نیز به شدّت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حیوانات نیز صدق می‌کند به همین دلیل است که دامپزشکان اهمیّت بسیار زیادی برای این امر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مطلب فوق در مورد انسان‌ها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آقایان شروع به برقراری روابط زیاد جنسی با افراد مختلف کنند یا پیش از رسیدن به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که اسپرم‌ها به بلوغ کامل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ارضایی را تجربه کرده باشند، این امر زیانهای جبران ناپذیری به قوای جنسی شان وارد کرده، و بعدها عواقبی را در زندگی جنسی‌شان به وجود خواهد آورد</w:t>
      </w:r>
      <w:r>
        <w:rPr>
          <w:rFonts w:eastAsia="IRNazanin" w:cs="IRNazanin"/>
          <w:color w:val="111111"/>
          <w:sz w:val="28"/>
          <w:szCs w:val="28"/>
          <w:rtl w:val="true"/>
          <w:lang w:bidi="fa-IR"/>
        </w:rPr>
        <w:t>.</w:t>
      </w:r>
    </w:p>
    <w:p>
      <w:pPr>
        <w:pStyle w:val="Heading3"/>
        <w:numPr>
          <w:ilvl w:val="2"/>
          <w:numId w:val="1"/>
        </w:numPr>
        <w:rPr/>
      </w:pPr>
      <w:bookmarkStart w:id="132" w:name="__RefHeading___Toc2524870_2281741623"/>
      <w:bookmarkStart w:id="133" w:name="_Toc48"/>
      <w:bookmarkEnd w:id="132"/>
      <w:r>
        <w:rPr>
          <w:rtl w:val="true"/>
        </w:rPr>
        <w:t>خودارضایی و فرایند سالخوردگی</w:t>
      </w:r>
      <w:bookmarkEnd w:id="13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مرکز فعالیّت‌های جنسی به دلیل وجود مزاحمت‌هایی نظیر خود ارضایی یا آزار و</w:t>
      </w:r>
    </w:p>
    <w:p>
      <w:pPr>
        <w:pStyle w:val="BookText"/>
        <w:rPr/>
      </w:pPr>
      <w:r>
        <w:rPr>
          <w:rFonts w:ascii="IRNazanin" w:hAnsi="IRNazanin" w:eastAsia="IRNazanin"/>
          <w:color w:val="111111"/>
          <w:sz w:val="28"/>
          <w:sz w:val="28"/>
          <w:szCs w:val="28"/>
          <w:rtl w:val="true"/>
          <w:lang w:bidi="fa-IR"/>
        </w:rPr>
        <w:t xml:space="preserve">اذیّت‌های جنسی نتواند به درستی رشد پیدا کند، اندوخته‌ی قوای جنسی از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رو به تحلیل می‌رود و این مورد نه تنها تأثیر نامطلوبی بر روی دستگاه تناسلی می‌گذارد، بلکه عملکرد کلیّه‌ی سیستم‌های بدن را نیز تحت 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هاضمه،گردش خون، عملکرد غدد مترشّحه، سیستم عصبی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این افراد به سرعت از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شاهد فرایند سالخورده شدن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زودتر از حالت طبیعی توانایی‌هایشان را از دست می‌دهند و متأسّفانه خیلی سریع روانه گورستان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ارگان‌های جنسیشان نیز دچار اختلالات مختلفی شده و انواع بیماری‌های گوناگون جنسی به همراه بیماری‌هایی نظیر اختلال سیستم عصبی و دگرگونی سیستم سمپاتیک و پاراسمپاتیک و غدد درون ریز نیز به سراغشان می‌آید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نباید از این امر غافل شد که ملاتونین، هورمون بی چون و چرای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سالخوردگی مستقیمآ به ترشّح این هورمون در بدن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هورمون در زمان جوانی به وفور در بدن ترشّح می‌شود و از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bookmarkStart w:id="134" w:name="pg4082_21379"/>
    </w:p>
    <w:p>
      <w:pPr>
        <w:pStyle w:val="BookText"/>
        <w:rPr/>
      </w:pPr>
      <w:bookmarkEnd w:id="134"/>
      <w:r>
        <w:rPr>
          <w:rFonts w:ascii="IRNazanin" w:hAnsi="IRNazanin" w:eastAsia="IRNazanin"/>
          <w:color w:val="111111"/>
          <w:sz w:val="28"/>
          <w:sz w:val="28"/>
          <w:szCs w:val="28"/>
          <w:rtl w:val="true"/>
          <w:lang w:bidi="fa-IR"/>
        </w:rPr>
        <w:t>به بعد ترشّح آن در بدن کاهش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ارضایی، به ویژه در زمان جوانی، باعث از دست رفتن میزان بسیار زیادی ملاتونین در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غدّه‌ی کاجی شکلی که در بدن ملاتونین ترشّح می‌کند را ضعیف کرده، خاصیّت مغناطیسی موجود در این غدّه را کاهش می‌دهد و بطور کلّی سبب کاهش طول عمر آن می‌گردد</w:t>
      </w:r>
      <w:r>
        <w:rPr>
          <w:rFonts w:eastAsia="IRNazanin" w:cs="IRNazanin"/>
          <w:color w:val="111111"/>
          <w:sz w:val="28"/>
          <w:szCs w:val="28"/>
          <w:rtl w:val="true"/>
          <w:lang w:bidi="fa-IR"/>
        </w:rPr>
        <w:t>.</w:t>
      </w:r>
    </w:p>
    <w:p>
      <w:pPr>
        <w:pStyle w:val="Heading3"/>
        <w:numPr>
          <w:ilvl w:val="2"/>
          <w:numId w:val="1"/>
        </w:numPr>
        <w:rPr/>
      </w:pPr>
      <w:bookmarkStart w:id="135" w:name="__RefHeading___Toc2524872_2281741623"/>
      <w:bookmarkStart w:id="136" w:name="_Toc49"/>
      <w:bookmarkEnd w:id="135"/>
      <w:r>
        <w:rPr>
          <w:rtl w:val="true"/>
        </w:rPr>
        <w:t>آثار خودارضایی برمغز انسان</w:t>
      </w:r>
      <w:bookmarkEnd w:id="136"/>
    </w:p>
    <w:p>
      <w:pPr>
        <w:pStyle w:val="BookText"/>
        <w:rPr/>
      </w:pPr>
      <w:r>
        <w:rPr>
          <w:rFonts w:ascii="IRNazanin" w:hAnsi="IRNazanin" w:eastAsia="IRNazanin"/>
          <w:color w:val="111111"/>
          <w:sz w:val="28"/>
          <w:sz w:val="28"/>
          <w:szCs w:val="28"/>
          <w:rtl w:val="true"/>
          <w:lang w:bidi="fa-IR"/>
        </w:rPr>
        <w:t xml:space="preserve">دمای خارجی بدن انسان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فارنهایت و دمای درونی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دما در زمان خود ارضایی افزایش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انزال به واسطه‌ی خود ارضایی پدید می‌آید، حرکات کرم وار جذب در کیسه‌ی منی ایجاد می‌شوند، امّا به دلیل خود ارضایی، کیسه‌ی حاوی منی خیلی زودتر از زمان مقرّر تخلیه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طبیعی بدین گونه است که کیسه‌های منی سعی می‌کنند تا خود را پر کنند، امّا از آنجایی که منی خیلی زودتر از بدن خارج شده، چیزی جز هوای مرطوب از طریق آلت تناسلی مرد جذب نخواهد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هوا بعدآ از طریق کیسه‌ی منی به سیستم</w:t>
      </w:r>
    </w:p>
    <w:p>
      <w:pPr>
        <w:pStyle w:val="BookText"/>
        <w:rPr/>
      </w:pPr>
      <w:r>
        <w:rPr>
          <w:rFonts w:ascii="IRNazanin" w:hAnsi="IRNazanin" w:eastAsia="IRNazanin"/>
          <w:color w:val="111111"/>
          <w:sz w:val="28"/>
          <w:sz w:val="28"/>
          <w:szCs w:val="28"/>
          <w:rtl w:val="true"/>
          <w:lang w:bidi="fa-IR"/>
        </w:rPr>
        <w:t>لنفاوی انتقال داده می‌شود، سپس به مغز انتقال پیدا کرده و باعث ایجاد شوک دمایی شده و فضای سردی را میان مادّه‌ی مغزی و سلول‌ها ایجاد می‌کند و این امر واکنش نرمال ماده‌ی مغزی، سیستم عصبی و جسمانی را مختل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کیسه‌ی منی می‌بایست به جای جذب هوا، اسپرم جذب کند، امّا این امر مقدور نخواهد بود چراکه اسپرم‌ها قبلا آزاد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جذب هوا، از جذب مایع خیلی ساده تر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ساموئل اون ویر، فیلسوف، انسان شناس، و محقّق امور جنسی و روانشناس بخش مطالعات جنسی، در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علوم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هوای سرد جذب شده تصریح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افرادی که با خود استمناء می‌کنند، براحتی می‌توان گفت که چه ایرادی می‌تواند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خود ارضایی‌می‌کنند، در حال ارتکاب جرم در برابر طبیعت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انزال به واسطه‌ی خودارضایی پدید می‌آید، حرکات کرم وار جذب ایجاد می‌شوند که این حرکات برای هر مردی کاملا قابل درک و تشخیص است و به واسطه‌ی تاثیر خالی بودن کیسه‌های منی، این کیسه‌ها</w:t>
      </w:r>
      <w:bookmarkStart w:id="137" w:name="pg4082_21381"/>
    </w:p>
    <w:p>
      <w:pPr>
        <w:pStyle w:val="BookText"/>
        <w:rPr/>
      </w:pPr>
      <w:bookmarkEnd w:id="137"/>
      <w:r>
        <w:rPr>
          <w:rFonts w:ascii="IRNazanin" w:hAnsi="IRNazanin" w:eastAsia="IRNazanin"/>
          <w:color w:val="111111"/>
          <w:sz w:val="28"/>
          <w:sz w:val="28"/>
          <w:szCs w:val="28"/>
          <w:rtl w:val="true"/>
          <w:lang w:bidi="fa-IR"/>
        </w:rPr>
        <w:t>سعی می‌کنند تا خود را پر کنند و به همین دلیل هوای مرطوب از طریق آلت تناسلی مرد با همان حرکات کرمی‌شکل، جذب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سیگنال‌ها به مغز فرستاده می‌شوند، به همین دلیل مایع مغزی زیادی در این میان از بین می‌رود، و در نتیجه فرد از نظر ذهنی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بدانید که تعداد بیشماری از مردها به دلیل عمل منفور خودارضایی دیوانه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مغزی که پر از هوا شود دیگر توانایی تفکّر ندارد و قابلیّت‌های ذهنی خود را به طور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ما هم این عمل نادرست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می‌کنیم</w:t>
      </w:r>
      <w:r>
        <w:rPr>
          <w:rFonts w:eastAsia="IRNazanin" w:cs="IRNazanin"/>
          <w:color w:val="111111"/>
          <w:sz w:val="28"/>
          <w:szCs w:val="28"/>
          <w:rtl w:val="true"/>
          <w:lang w:bidi="fa-IR"/>
        </w:rPr>
        <w:t>.</w:t>
      </w:r>
    </w:p>
    <w:p>
      <w:pPr>
        <w:pStyle w:val="Heading3"/>
        <w:numPr>
          <w:ilvl w:val="2"/>
          <w:numId w:val="1"/>
        </w:numPr>
        <w:rPr/>
      </w:pPr>
      <w:bookmarkStart w:id="138" w:name="__RefHeading___Toc2524874_2281741623"/>
      <w:bookmarkStart w:id="139" w:name="_Toc50"/>
      <w:bookmarkEnd w:id="138"/>
      <w:r>
        <w:rPr>
          <w:rtl w:val="true"/>
        </w:rPr>
        <w:t>ارتباط مغز با مَنی</w:t>
      </w:r>
      <w:bookmarkEnd w:id="13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باید توجّه داشته باشند که ارتباط تنگاتنگی میان منی و مغز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برای منی از اهمیّت ویژه‌ای برخودار است و منی هم برای مغز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برای منی‌انرژی ایجاد کرده و سبب انتقال آن می‌شود، منی هم ذهن را تصفیه کرده و اگر در جهت درست هدایت شود، توانایی‌های آن را ارتقا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فیلسوفانه ای که عمیقآ بر روی عملکرد غدّه‌های درون ریز متمرکز</w:t>
      </w:r>
      <w:bookmarkStart w:id="140" w:name="pg4082_21382"/>
    </w:p>
    <w:p>
      <w:pPr>
        <w:pStyle w:val="BookText"/>
        <w:rPr/>
      </w:pPr>
      <w:bookmarkEnd w:id="140"/>
      <w:r>
        <w:rPr>
          <w:rFonts w:ascii="IRNazanin" w:hAnsi="IRNazanin" w:eastAsia="IRNazanin"/>
          <w:color w:val="111111"/>
          <w:sz w:val="28"/>
          <w:sz w:val="28"/>
          <w:szCs w:val="28"/>
          <w:rtl w:val="true"/>
          <w:lang w:bidi="fa-IR"/>
        </w:rPr>
        <w:t>شده‌اند، بر این باروند که بدن طیّ فرایند خودانزالی انرژی بی‌شائبه‌ای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با چهره‌های زیبا بوده‌اند که در اثر انجام این کار زیبایی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مغزهایی که منحط و فاسد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همه‌ی این وقایع به دلیل آن است که انزال در شرایط و موقعیّت و زمان مناسب انجام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و ارقام گویای این مطلب است که این روزها خودارضایی در خانم‌ها و آقایان جوان بیش از پیش باب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بیمارستان‌های روانی مملوّ از زنان و مردانی است که مغزشان به دلیل خودارضایی بیمار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تیمارستان، مقصد نهایی فردی است که به خودارضایی اعتیاد پیدا می‌کند</w:t>
      </w:r>
      <w:r>
        <w:rPr>
          <w:rFonts w:eastAsia="IRNazanin" w:cs="IRNazanin"/>
          <w:color w:val="111111"/>
          <w:sz w:val="28"/>
          <w:szCs w:val="28"/>
          <w:rtl w:val="true"/>
          <w:lang w:bidi="fa-IR"/>
        </w:rPr>
        <w:t>.</w:t>
      </w:r>
    </w:p>
    <w:p>
      <w:pPr>
        <w:pStyle w:val="Heading3"/>
        <w:numPr>
          <w:ilvl w:val="2"/>
          <w:numId w:val="1"/>
        </w:numPr>
        <w:rPr/>
      </w:pPr>
      <w:bookmarkStart w:id="141" w:name="__RefHeading___Toc2524876_2281741623"/>
      <w:bookmarkStart w:id="142" w:name="_Toc51"/>
      <w:bookmarkEnd w:id="141"/>
      <w:r>
        <w:rPr>
          <w:rtl w:val="true"/>
        </w:rPr>
        <w:t>خودارضایی و دیوانگی</w:t>
      </w:r>
      <w:bookmarkEnd w:id="14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اسپایتک امریکایی متخصّص برجسته کالبد شناسی و رئیس جامعه عصب شناختی نیویورک در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 که جنون‌های متفاوتی به واسطه‌ی خود ارضایی و آزار و اذیّت‌های جنسی پدید خواهد آمد، چراکه مایع مغزی ابتدا سرشار از لسیتین است</w:t>
      </w:r>
      <w:bookmarkStart w:id="143" w:name="pg4082_21383"/>
    </w:p>
    <w:p>
      <w:pPr>
        <w:pStyle w:val="BookText"/>
        <w:rPr/>
      </w:pPr>
      <w:bookmarkEnd w:id="143"/>
      <w:r>
        <w:rPr>
          <w:rFonts w:ascii="IRNazanin" w:hAnsi="IRNazanin" w:eastAsia="IRNazanin"/>
          <w:color w:val="111111"/>
          <w:sz w:val="28"/>
          <w:sz w:val="28"/>
          <w:szCs w:val="28"/>
          <w:rtl w:val="true"/>
          <w:lang w:bidi="fa-IR"/>
        </w:rPr>
        <w:t>و سپس به‌واسطه‌ی انزال غیرمترقبه، از لسیتین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ارگان‌ها به جای آن، باید از سایر بافت‌ها و اعصاب موجود در مغز استفاده کنند</w:t>
      </w:r>
      <w:r>
        <w:rPr>
          <w:rFonts w:eastAsia="IRNazanin" w:cs="IRNazanin"/>
          <w:color w:val="111111"/>
          <w:sz w:val="28"/>
          <w:szCs w:val="28"/>
          <w:rtl w:val="true"/>
          <w:lang w:bidi="fa-IR"/>
        </w:rPr>
        <w:t>.</w:t>
      </w:r>
    </w:p>
    <w:p>
      <w:pPr>
        <w:pStyle w:val="Heading3"/>
        <w:numPr>
          <w:ilvl w:val="2"/>
          <w:numId w:val="1"/>
        </w:numPr>
        <w:rPr/>
      </w:pPr>
      <w:bookmarkStart w:id="144" w:name="__RefHeading___Toc2524878_2281741623"/>
      <w:bookmarkStart w:id="145" w:name="_Toc52"/>
      <w:bookmarkEnd w:id="144"/>
      <w:r>
        <w:rPr>
          <w:rtl w:val="true"/>
        </w:rPr>
        <w:t>خودارضایی و ناتوانی جنسی</w:t>
      </w:r>
      <w:bookmarkEnd w:id="145"/>
    </w:p>
    <w:p>
      <w:pPr>
        <w:pStyle w:val="BookText"/>
        <w:rPr/>
      </w:pPr>
      <w:r>
        <w:rPr>
          <w:rFonts w:ascii="IRNazanin" w:hAnsi="IRNazanin" w:eastAsia="IRNazanin"/>
          <w:color w:val="111111"/>
          <w:sz w:val="28"/>
          <w:sz w:val="28"/>
          <w:szCs w:val="28"/>
          <w:rtl w:val="true"/>
          <w:lang w:bidi="fa-IR"/>
        </w:rPr>
        <w:t>خودارضایی که از جمله نقص‌های فردی به شمار می‌رود، سبب ایجاد تصوّرات شهوانی در ذهن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دراز مدّت، فرد عدم تمایل جنسی نسبت به جنس مخالف خود پیدا می‌کند، از نظر ذهنی خسته می‌شود، و دچار ناتوانی‌های جنسی خواهد شد</w:t>
      </w:r>
      <w:r>
        <w:rPr>
          <w:rFonts w:eastAsia="IRNazanin" w:cs="IRNazanin"/>
          <w:color w:val="111111"/>
          <w:sz w:val="28"/>
          <w:szCs w:val="28"/>
          <w:rtl w:val="true"/>
          <w:lang w:bidi="fa-IR"/>
        </w:rPr>
        <w:t>.</w:t>
      </w:r>
    </w:p>
    <w:p>
      <w:pPr>
        <w:pStyle w:val="Heading3"/>
        <w:numPr>
          <w:ilvl w:val="2"/>
          <w:numId w:val="1"/>
        </w:numPr>
        <w:rPr/>
      </w:pPr>
      <w:bookmarkStart w:id="146" w:name="__RefHeading___Toc2524880_2281741623"/>
      <w:bookmarkStart w:id="147" w:name="_Toc53"/>
      <w:bookmarkEnd w:id="146"/>
      <w:r>
        <w:rPr>
          <w:rtl w:val="true"/>
        </w:rPr>
        <w:t>خودارضایی و انزال زودرس</w:t>
      </w:r>
      <w:bookmarkEnd w:id="14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ساموئل اون ویر در بخش نهم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جنسی و تخیّلات شهوانی سبب ایجاد ضعف جنسی و ذهنی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نگاه اوّل این‌گونه افراد نرمال به نظر برسند و مانند افراد عادی تحریک پذیر باشند، امّا زمانی که می‌خواهند با طرف مقابل ارتباط برقرار کرده، و خواسته‌های‌او را برآورده سازند، به سرعت ارضا می‌شوند، آلت</w:t>
      </w:r>
      <w:bookmarkStart w:id="148" w:name="pg4082_21384"/>
    </w:p>
    <w:p>
      <w:pPr>
        <w:pStyle w:val="BookText"/>
        <w:rPr/>
      </w:pPr>
      <w:bookmarkEnd w:id="148"/>
      <w:r>
        <w:rPr>
          <w:rFonts w:ascii="IRNazanin" w:hAnsi="IRNazanin" w:eastAsia="IRNazanin"/>
          <w:color w:val="111111"/>
          <w:sz w:val="28"/>
          <w:sz w:val="28"/>
          <w:szCs w:val="28"/>
          <w:rtl w:val="true"/>
          <w:lang w:bidi="fa-IR"/>
        </w:rPr>
        <w:t>تناسلی به حالت اوّلیّه باز گشته، و در بدترین حالت ممکن قرار می‌گیرند، و دچار ناامیدی و افسردگی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توهّمات جنسی خودشان را غرق کرده‌اند که این توهّمات هیچ ارتباط و یا شباهتی به دنیای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هنگامی‌که در شرایط طبیعی قرار می‌گیرند، نمی‌توانند از خود واکنش مناسب نشان داده و شکست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ترسناک‌ترین تراژدی است که می‌تواند برای هر زن یا مرد با احساس و با منطقی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یک فرد جوان دست به خودارضایی‌می‌زند، برای او هیچ اهمیّتی ندارد و ترجیح می‌دهد که هر چه سریعتر خود را تخلیه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روانشناسی این امر نهایتآ منجر به بروز عارضه‌ی انزال زودرس در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استمناء سبب انبساط عضلات اسفنکتر می‌شود که این عامل به نوبه‌ی خود موجبات انزال زودرس را بیش از پیش فراهم خواهد آورد</w:t>
      </w:r>
      <w:r>
        <w:rPr>
          <w:rFonts w:eastAsia="IRNazanin" w:cs="IRNazanin"/>
          <w:color w:val="111111"/>
          <w:sz w:val="28"/>
          <w:szCs w:val="28"/>
          <w:rtl w:val="true"/>
          <w:lang w:bidi="fa-IR"/>
        </w:rPr>
        <w:t>.</w:t>
      </w:r>
    </w:p>
    <w:p>
      <w:pPr>
        <w:pStyle w:val="Heading3"/>
        <w:numPr>
          <w:ilvl w:val="2"/>
          <w:numId w:val="1"/>
        </w:numPr>
        <w:rPr/>
      </w:pPr>
      <w:bookmarkStart w:id="149" w:name="__RefHeading___Toc2524882_2281741623"/>
      <w:bookmarkStart w:id="150" w:name="_Toc54"/>
      <w:bookmarkEnd w:id="149"/>
      <w:r>
        <w:rPr>
          <w:rtl w:val="true"/>
        </w:rPr>
        <w:t>خودارضایی و انزالهای شبانه</w:t>
      </w:r>
      <w:bookmarkEnd w:id="15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رویکرد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رابطه‌ی جنسی، فروید معتقد است که رابطه‌ی جنسی</w:t>
      </w:r>
      <w:bookmarkStart w:id="151" w:name="pg4082_21385"/>
    </w:p>
    <w:p>
      <w:pPr>
        <w:pStyle w:val="BookText"/>
        <w:rPr/>
      </w:pPr>
      <w:bookmarkEnd w:id="151"/>
      <w:r>
        <w:rPr>
          <w:rFonts w:ascii="IRNazanin" w:hAnsi="IRNazanin" w:eastAsia="IRNazanin"/>
          <w:color w:val="111111"/>
          <w:sz w:val="28"/>
          <w:sz w:val="28"/>
          <w:szCs w:val="28"/>
          <w:rtl w:val="true"/>
          <w:lang w:bidi="fa-IR"/>
        </w:rPr>
        <w:t>محصول گردهم‌آیی یک زن و مرد است که یکدیگر را دوست بدارند و مکمّل یکدیگرباشند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فروید خودارضایی را یک نقص فردی نامگذاری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طرف دوم در این ارتباط وجود ندارد، مگر در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خودارضایی فرد اگر مرد باشد، یک زن را در ذهن خود مجسّم می‌کند و اگر زن باشد یک مرد را، و با او وارد رابطه‌ی جنسی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خستگی چند برابر می‌شود، چرا که فرد هم از نظر جنسی از خود کار می‌کشد و هم از نظر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شریک جنسی خیالی، مانند یک لوح در ضمیر ناخودآگاه فرد حک می‌شود و سبب بروز انزال‌های شبانه ناخواسته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فرد هرچه بیشتر خودارضایی کند، میزان این انزال افزایش می‌یابد</w:t>
      </w:r>
      <w:r>
        <w:rPr>
          <w:rFonts w:eastAsia="IRNazanin" w:cs="IRNazanin"/>
          <w:color w:val="111111"/>
          <w:sz w:val="28"/>
          <w:szCs w:val="28"/>
          <w:rtl w:val="true"/>
          <w:lang w:bidi="fa-IR"/>
        </w:rPr>
        <w:t>.</w:t>
      </w:r>
    </w:p>
    <w:p>
      <w:pPr>
        <w:pStyle w:val="Heading3"/>
        <w:numPr>
          <w:ilvl w:val="2"/>
          <w:numId w:val="1"/>
        </w:numPr>
        <w:rPr/>
      </w:pPr>
      <w:bookmarkStart w:id="152" w:name="__RefHeading___Toc2524884_2281741623"/>
      <w:bookmarkStart w:id="153" w:name="_Toc55"/>
      <w:bookmarkEnd w:id="152"/>
      <w:r>
        <w:rPr>
          <w:rtl w:val="true"/>
        </w:rPr>
        <w:t>اخلاق جنسی نامشروع</w:t>
      </w:r>
      <w:bookmarkEnd w:id="15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جنسی نامشروع با افراد متعدّد، نه تنها از نظر فیزیکی مضرّات بی‌شماری در بردارد، بلکه می‌تواند از نظر روحی و ذهنی نیز بر روی افرادی که این کار ار انجام می‌دهند، تأثیرات نامطلوبی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مکالمات محرّک جنسی</w:t>
      </w:r>
      <w:bookmarkStart w:id="154" w:name="pg4082_21386"/>
    </w:p>
    <w:p>
      <w:pPr>
        <w:pStyle w:val="BookText"/>
        <w:rPr/>
      </w:pPr>
      <w:bookmarkEnd w:id="154"/>
      <w:r>
        <w:rPr>
          <w:rFonts w:ascii="IRNazanin" w:hAnsi="IRNazanin" w:eastAsia="IRNazanin"/>
          <w:color w:val="111111"/>
          <w:sz w:val="28"/>
          <w:sz w:val="28"/>
          <w:szCs w:val="28"/>
          <w:rtl w:val="true"/>
          <w:lang w:bidi="fa-IR"/>
        </w:rPr>
        <w:t>شرکت می‌کنند، کسانی که به خواندن مجلّات محرّک جنسی معتاد هستند، و کسانی که به تماشای فیلم‌های ضد اخلاقی جنسی گرایش دارند، مبحث ظریف و مطبوع رابطه‌ی جنسی را به صورت وحشیانه، به دور از انسانیّت، و تنها با رضایت ذهنی با نکبت و بدبختی همراه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باید یادبگیرند که چگونه می‌توانند هوشمندانه زندگی کنند</w:t>
      </w:r>
      <w:r>
        <w:rPr>
          <w:rFonts w:eastAsia="IRNazanin" w:cs="IRNazanin"/>
          <w:color w:val="111111"/>
          <w:sz w:val="28"/>
          <w:szCs w:val="28"/>
          <w:rtl w:val="true"/>
          <w:lang w:bidi="fa-IR"/>
        </w:rPr>
        <w:t>.</w:t>
      </w:r>
    </w:p>
    <w:p>
      <w:pPr>
        <w:pStyle w:val="Heading3"/>
        <w:numPr>
          <w:ilvl w:val="2"/>
          <w:numId w:val="1"/>
        </w:numPr>
        <w:rPr/>
      </w:pPr>
      <w:bookmarkStart w:id="155" w:name="__RefHeading___Toc2524886_2281741623"/>
      <w:bookmarkStart w:id="156" w:name="_Toc56"/>
      <w:bookmarkEnd w:id="155"/>
      <w:r>
        <w:rPr>
          <w:rtl w:val="true"/>
        </w:rPr>
        <w:t>خودارضایی و موادّ مورد نیاز بدن</w:t>
      </w:r>
      <w:bookmarkEnd w:id="1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اسپرم‌ها حاوی رمز ژنتیکی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اسید دی اکسی ریبونوکلئیک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RNA ,Deoxyribonucleic Acid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یا اسید ریبونوکلویک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Ribonucleic Acid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آنزیم‌ها، کلسیم، فسفر، نمک‌های بیولوژیک، و تستوسترون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استمناء صورت می‌پذیرد، کلیّه‌ی این اجزای حیاتی از بدن فرد بیرون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 در دوران بلوغ قرار داشته باشد، امکان رشد کافی را پیدا نمی‌کند و نیرویی که در این مواد وجود دارد، جذب نشده و از بدن او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میزان زیادی‌کلسیم به همراه منی از بدن خارج می‌شود، فرد احساس خستگی شدید در استخوان‌ها می‌کند و ممکن است دچار کوفتگی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استخوان‌های تنومند نشان دهنده‌ی میزان قدرت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گلبول‌های قرمز خونی و پلاکت‌ها در مغز استخوان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جوانی که خودارضایی می‌کند، اجازه نمی‌دهد مایع مغز استخوان به خوبی شکل بگیرد و باید تا آخر عمر خود شاهد عواقب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فسفر بیش از حدّ طبیعی به واسطه‌ی خودارضایی از بدن خارج می‌شود، مشکلات عصبی از قبیل رعشه برای فرد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ارضایی لسیتین نیز از بدن خارج می‌شود که این امر سبب فرسودگی سیستم عصبی می‌شود و به مرور زمان موجبات بیحالی، ضعف اعصاب و نهایتآ مرگ تدریجی سلول‌های عصبی را فراهم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بار انزال، مردها چیزی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اسپرم به همراه مقادیر زیادی انرژی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واقعآ چه می‌شد اگر انسان می‌دانست چگونه می‌تواند این انرژی را به جای خارج کردن از بدن، در بدن خود ذخیره نماید؟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نتیجه حتمآ انسانی شبیه به سوپرمن می‌شد</w:t>
      </w:r>
      <w:r>
        <w:rPr>
          <w:rFonts w:eastAsia="IRNazanin" w:cs="IRNazanin"/>
          <w:color w:val="111111"/>
          <w:sz w:val="28"/>
          <w:szCs w:val="28"/>
          <w:rtl w:val="true"/>
          <w:lang w:bidi="fa-IR"/>
        </w:rPr>
        <w:t>!</w:t>
      </w:r>
      <w:bookmarkStart w:id="157" w:name="pg4082_21388"/>
    </w:p>
    <w:p>
      <w:pPr>
        <w:pStyle w:val="Heading3"/>
        <w:numPr>
          <w:ilvl w:val="2"/>
          <w:numId w:val="1"/>
        </w:numPr>
        <w:rPr/>
      </w:pPr>
      <w:bookmarkStart w:id="158" w:name="__RefHeading___Toc2524888_2281741623"/>
      <w:bookmarkStart w:id="159" w:name="_Toc57"/>
      <w:bookmarkEnd w:id="157"/>
      <w:bookmarkEnd w:id="158"/>
      <w:r>
        <w:rPr>
          <w:rtl w:val="true"/>
        </w:rPr>
        <w:t>خودارضایی و ضعف پروستات</w:t>
      </w:r>
      <w:bookmarkEnd w:id="159"/>
    </w:p>
    <w:p>
      <w:pPr>
        <w:pStyle w:val="BookText"/>
        <w:rPr/>
      </w:pPr>
      <w:r>
        <w:rPr>
          <w:rFonts w:ascii="IRNazanin" w:hAnsi="IRNazanin" w:eastAsia="IRNazanin"/>
          <w:color w:val="111111"/>
          <w:sz w:val="28"/>
          <w:sz w:val="28"/>
          <w:szCs w:val="28"/>
          <w:rtl w:val="true"/>
          <w:lang w:bidi="fa-IR"/>
        </w:rPr>
        <w:t>پروستات غدّه‌ای است که دقیقآ در زیر گردنه‌ی مثانه قرار گرفته است؛ مایعی به رنگ سفید کدر و لزج ترشّح می‌کند که به عنوان وسیله ای برای انتقال اسپرم‌ها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غدّه تقریبآ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مرحله‌ی رشد کامل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فرد پیش از رسیدن به بلوغ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مردان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خود ارضایی می‌زند، پروستات دچار ضعف و نقصان می‌شود و این امر سبب بروز اختلالات مربوط به پروستات در سنین چهل سالگی به بعد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که غدّه‌ی پروستات بزرگ شده، راه خروج ادرار را مسدود می‌کند و فرد برای تخلیه ی ادرار باید بالاجبار از سُند پزشکی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عارضه درست مانند وازکتومی، سبب ایجاد ناتوانی جنسی می‌شود</w:t>
      </w:r>
      <w:r>
        <w:rPr>
          <w:rFonts w:eastAsia="IRNazanin" w:cs="IRNazanin"/>
          <w:color w:val="111111"/>
          <w:sz w:val="28"/>
          <w:szCs w:val="28"/>
          <w:rtl w:val="true"/>
          <w:lang w:bidi="fa-IR"/>
        </w:rPr>
        <w:t>.</w:t>
      </w:r>
    </w:p>
    <w:p>
      <w:pPr>
        <w:pStyle w:val="Heading3"/>
        <w:numPr>
          <w:ilvl w:val="2"/>
          <w:numId w:val="1"/>
        </w:numPr>
        <w:rPr/>
      </w:pPr>
      <w:bookmarkStart w:id="160" w:name="__RefHeading___Toc2524890_2281741623"/>
      <w:bookmarkStart w:id="161" w:name="_Toc58"/>
      <w:bookmarkEnd w:id="160"/>
      <w:r>
        <w:rPr>
          <w:rtl w:val="true"/>
        </w:rPr>
        <w:t>خودارضایی و فرزند ناسالم</w:t>
      </w:r>
      <w:bookmarkEnd w:id="1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نیست بدانید بچّه‌هایی که پدر آنها خودارضایی می‌کرده، نمی‌توانند در سلامت کامل روحی و روانی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بیماری‌های گوناگونی هستند؛ چراکه از یک تخم نه چندان سالم بوجود آمده‌اند</w:t>
      </w:r>
      <w:r>
        <w:rPr>
          <w:rFonts w:eastAsia="IRNazanin" w:cs="IRNazanin"/>
          <w:color w:val="111111"/>
          <w:sz w:val="28"/>
          <w:szCs w:val="28"/>
          <w:rtl w:val="true"/>
          <w:lang w:bidi="fa-IR"/>
        </w:rPr>
        <w:t>.</w:t>
      </w:r>
      <w:bookmarkStart w:id="162" w:name="pg4082_21389"/>
    </w:p>
    <w:p>
      <w:pPr>
        <w:pStyle w:val="Heading3"/>
        <w:numPr>
          <w:ilvl w:val="2"/>
          <w:numId w:val="1"/>
        </w:numPr>
        <w:rPr/>
      </w:pPr>
      <w:bookmarkStart w:id="163" w:name="__RefHeading___Toc2524892_2281741623"/>
      <w:bookmarkStart w:id="164" w:name="_Toc59"/>
      <w:bookmarkEnd w:id="162"/>
      <w:bookmarkEnd w:id="163"/>
      <w:r>
        <w:rPr>
          <w:rtl w:val="true"/>
        </w:rPr>
        <w:t>خودارضایی و جُرم</w:t>
      </w:r>
      <w:bookmarkEnd w:id="164"/>
    </w:p>
    <w:p>
      <w:pPr>
        <w:pStyle w:val="BookText"/>
        <w:rPr/>
      </w:pPr>
      <w:r>
        <w:rPr>
          <w:rFonts w:ascii="IRNazanin" w:hAnsi="IRNazanin" w:eastAsia="IRNazanin"/>
          <w:color w:val="111111"/>
          <w:sz w:val="28"/>
          <w:sz w:val="28"/>
          <w:szCs w:val="28"/>
          <w:rtl w:val="true"/>
          <w:lang w:bidi="fa-IR"/>
        </w:rPr>
        <w:t>ساموئل اون ویر در کتاب دیگر خود با عنوان آموزش‌های بنیادین در بخش نوجوانی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جرم‌های خاموشی وجود دارد و پی‌آمدهای منفوری در پی آن گریبانگیر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مشکلات جنسی اش را مخفی نگه دارد، مرتکب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مشکلات خود اطّلاعات غلط بدهد نیز مرتکب جرم دیگری‌شده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که به واسطه خود ارضایی ایجاد می‌شود، قابلیّت‌ها و توانایی‌های مغزی را به طور کامل از بین می‌برد</w:t>
      </w:r>
      <w:r>
        <w:rPr>
          <w:rFonts w:eastAsia="IRNazanin" w:cs="IRNazanin"/>
          <w:color w:val="111111"/>
          <w:sz w:val="28"/>
          <w:szCs w:val="28"/>
          <w:rtl w:val="true"/>
          <w:lang w:bidi="fa-IR"/>
        </w:rPr>
        <w:t>.</w:t>
      </w:r>
    </w:p>
    <w:p>
      <w:pPr>
        <w:pStyle w:val="Heading3"/>
        <w:numPr>
          <w:ilvl w:val="2"/>
          <w:numId w:val="1"/>
        </w:numPr>
        <w:rPr/>
      </w:pPr>
      <w:bookmarkStart w:id="165" w:name="__RefHeading___Toc2524894_2281741623"/>
      <w:bookmarkStart w:id="166" w:name="_Toc60"/>
      <w:bookmarkEnd w:id="165"/>
      <w:r>
        <w:rPr>
          <w:rtl w:val="true"/>
        </w:rPr>
        <w:t>خطرات خودارضایی در خانمها</w:t>
      </w:r>
      <w:bookmarkEnd w:id="166"/>
    </w:p>
    <w:p>
      <w:pPr>
        <w:pStyle w:val="BookText"/>
        <w:rPr/>
      </w:pPr>
      <w:r>
        <w:rPr>
          <w:rFonts w:ascii="IRNazanin" w:hAnsi="IRNazanin" w:eastAsia="IRNazanin"/>
          <w:color w:val="111111"/>
          <w:sz w:val="28"/>
          <w:sz w:val="28"/>
          <w:szCs w:val="28"/>
          <w:rtl w:val="true"/>
          <w:lang w:bidi="fa-IR"/>
        </w:rPr>
        <w:t>خودارضایی در خانم‌ها نیز به چشم می‌خورد و این امر، هم دردناک است و هم زجر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مضرّات در خانم‌ها و آقایان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رشد سیستم عصبی، مغز، خستگی، از دست دادن انرژی و سرزندگی، کاهش قدرت حافظه و عدم تمایل به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خانم‌ها شاهد ناباروری نیز خواهیم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بدترین پی آمدی که در خانم‌ها می‌توان مشاهده کرد رفتارهای متعارض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bookmarkStart w:id="167" w:name="pg4082_21390"/>
    </w:p>
    <w:p>
      <w:pPr>
        <w:pStyle w:val="BookText"/>
        <w:rPr/>
      </w:pPr>
      <w:bookmarkEnd w:id="1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خانم‌هایی که مرتکب این امر می‌شوند به مرور زمان نمی‌توانند با هیچ مردی ارتباط جنسی برقرار کنند؛ چرا که به تدریج توانایی‌های اوّلیّه جنسی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خود ارضایی نمی‌کند، همچنان سرزندگی، زیبایی، برق چشمان، و توانایی جذب بالای خود را حفظ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باید از مشاهده‌ی تصاویر محرّک جنسی خودداری کنند، در مکالمات مبتذل شرکت نکنند، و فقط با افراد شایسته ارتباط دوستی برقرار کنند</w:t>
      </w:r>
      <w:r>
        <w:rPr>
          <w:rFonts w:eastAsia="IRNazanin" w:cs="IRNazanin"/>
          <w:color w:val="111111"/>
          <w:sz w:val="28"/>
          <w:szCs w:val="28"/>
          <w:rtl w:val="true"/>
          <w:lang w:bidi="fa-IR"/>
        </w:rPr>
        <w:t>.</w:t>
      </w:r>
    </w:p>
    <w:p>
      <w:pPr>
        <w:pStyle w:val="Heading3"/>
        <w:numPr>
          <w:ilvl w:val="2"/>
          <w:numId w:val="1"/>
        </w:numPr>
        <w:rPr/>
      </w:pPr>
      <w:bookmarkStart w:id="168" w:name="__RefHeading___Toc2524896_2281741623"/>
      <w:bookmarkStart w:id="169" w:name="_Toc61"/>
      <w:bookmarkEnd w:id="168"/>
      <w:r>
        <w:rPr>
          <w:rtl w:val="true"/>
        </w:rPr>
        <w:t>چگونه می‌توان ازخودارضایی دست کشید؟</w:t>
      </w:r>
      <w:bookmarkEnd w:id="1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هر چیز باید بدانید که افراد زیادی به مراکزی که به این منظور دایر شده، مراجعه کرده و حتّی در موارد بسیار حاد و پیشرفته نیز موفّق بر جلوگیری از این عمل غیر اخلاقی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یکی از آنها نباشید؟ باید یاد بگیرید که چگونه می‌توانید جلوی خود ارضایی را با استفاده از تکنیک‌هایی که در جلسات آموزشی به شما تعلیم داده می‌شود،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این جلسات مشاور سعی می‌کند تا ضمیر ناخودآگاه بیمار را به‌کار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به شما آموزش می‌دهند که</w:t>
      </w:r>
      <w:bookmarkStart w:id="170" w:name="pg4082_21391"/>
    </w:p>
    <w:p>
      <w:pPr>
        <w:pStyle w:val="BookText"/>
        <w:rPr/>
      </w:pPr>
      <w:bookmarkEnd w:id="170"/>
      <w:r>
        <w:rPr>
          <w:rFonts w:ascii="IRNazanin" w:hAnsi="IRNazanin" w:eastAsia="IRNazanin"/>
          <w:color w:val="111111"/>
          <w:sz w:val="28"/>
          <w:sz w:val="28"/>
          <w:szCs w:val="28"/>
          <w:rtl w:val="true"/>
          <w:lang w:bidi="fa-IR"/>
        </w:rPr>
        <w:t>تمایل به خودارضایی به عنوان یک عینیّت درونی هست که به ذهن شما حمله‌ور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 مقابل آن ایستادگی کرده و اجازه ندهید که به درون ذهنتان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شاید انجام این کار قدری دشوار باشد و این توانایی را نداشته باشید که فکرتان را بر روی چیز دیگری متمرکز کنید؛ امّا با تلاش براحتی می‌توانید آنرا تحت کنترل خود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براحتی قادر خواهید بود آنرا به طور کامل از زندگی خود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گذشته دائمآ خودارضایی می‌کرده و سپس این کار را متوقّف کند، خودش متوجّه تغییرات بوجود آمده در زندگی اش خواهد شد و می‌تواند مقادیر زیادی انرژی و توانایی‌های ذهنی اش را ذخیره کرده و بدون احساس هیچ گونه ترس و واهمه ای با حقایق زندگی روبرو شود</w:t>
      </w:r>
      <w:r>
        <w:rPr>
          <w:rFonts w:eastAsia="IRNazanin" w:cs="IRNazanin"/>
          <w:color w:val="111111"/>
          <w:sz w:val="28"/>
          <w:szCs w:val="28"/>
          <w:rtl w:val="true"/>
          <w:lang w:bidi="fa-IR"/>
        </w:rPr>
        <w:t>.</w:t>
      </w:r>
    </w:p>
    <w:p>
      <w:pPr>
        <w:pStyle w:val="Heading3"/>
        <w:numPr>
          <w:ilvl w:val="2"/>
          <w:numId w:val="1"/>
        </w:numPr>
        <w:rPr/>
      </w:pPr>
      <w:bookmarkStart w:id="171" w:name="__RefHeading___Toc2524898_2281741623"/>
      <w:bookmarkStart w:id="172" w:name="_Toc62"/>
      <w:bookmarkEnd w:id="171"/>
      <w:r>
        <w:rPr>
          <w:rtl w:val="true"/>
        </w:rPr>
        <w:t>سایر راههای جلوگیری</w:t>
      </w:r>
      <w:bookmarkEnd w:id="17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عادات سالم را در خود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تصاویر محرّک جنسی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جوک‌های مبتذل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سالم برای خود انتخاب کنید و از پوشیدن زیر پوش های تنگ و چسبان خودداری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مصرف گوشت گاو، به ویژه در وعده‌ی غذایی شام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یک وعده غذای حیوانی آن هم در ناهار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مختلفی که پیرامون روابط سالم میان زن و مرد وجود دارد را به دقّت مطالعه کنید، تا آگاهی‌های کلّی شما ارتقا پیدا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فتنه‌ی نفس،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کتاب دنیاینوجوان،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ملاحظه بفرمایید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الحاوی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حسن بن یوسف بن مطهر الحلّی، مشهور به علّامه‌ی حلّی، ازفقهای نامدار شیعه در قرن هفتم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ماه مبارک رمضان سال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شهر حلّه لبنان به دنیا آمد، و در سنّ هفتاد وهشت سالگی، یعنی در سال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ملاقات پروردگارش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اوخدمات شایانی به مکتب اهل البیت کرد؛ از جمله شاگردان فراوانیتربیت نمود، به گونه‌ای که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مجتهد در درس وی شرکتمی‌کردند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 سیّد علی بن السید محمد بن ابی المعالی الصغیر بن ابی المعالی الکبیر الطباطبائی،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المسائل و حیاض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بهرشته‌ی تحریر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فقیه بزرگ در سال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کاظمیّه‌یعراق به دنیا آمد، و در سال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سنّ هفتاد سالگی در همانشهر ندای حق را لبّیک گفت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المسایل،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 بن الشیخ عبد الرحیم بن آغا محمد الصغیر بن عبدالرحیم الشریف الکبیر، معروف به صاحب جواهر، از فقهای ژرف‌اندیش ونکته‌سنج و عمیق شیعه است، که یکی از مفصّل‌ترین کتب فقهیاستدلالی شیعه را به رشته‌ی تحریر درآورده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ولادتش را آغاز قرنسیزدهم، و وفاتش را ماه شعبان سال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ذکر کرده‌اند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علی بن زهرة الحسینی الاسحاقی الحلی از فقهای قرنششم، آثار متعدّدی از خود به جا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قمتولّد شد، و در سال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از دنیا رفت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الجوامع الفقهیّه،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ابوالحسن علی بن محمد بن حبیب الماوردی البصری در سال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به دنیا آمد و در سال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 مفصّلی درفقه شافعی نوشته، که در حقیقت شرح کتاب مختصر المزنی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اینکتاب به قلم یکی از شاگردان شافعی به نام اسماعیل بن یحیی بن اسماعیل بن عمرو بن مسلم المزنی به رشته‌ی تحریر درآمده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الحاوی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می‌توان به شهید ثانی در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 صاحب جواهر در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و علامه‌ی حلّی در 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صاحبریاض در ریاض المسایل،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مرحوم مغنیة در کتاب فقهالامام جعفر الصادق علیه السلام،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اشاره کرد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می‌توان به محیی الدین بن شرف النووی در المجموع،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محمد بن حبیب الماوردی در الحاوی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نویسندگان الموسوعة الفقهیّة الکویتیه،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مذکور،ص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اشاره کرد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النکاح المحرم،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النکاح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،ابواب نکاح البهایم،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النکاح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النکاح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نکاح البهایم،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نکاح البهایم،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النکاح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نکاح البهایم،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نکاح المحرم،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نکاح البهایم،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النکاح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 و ازاحة الاشتباهات عن الطرق و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کتاب‌هایخوبی است که توسط علامه محمد بن علی الاردبیلی الغروی الحائری بهرشته تحریر درآمده و مورد توجّه فقهاست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دنیای نوجوان،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زیان‌های نوشابه‌های الکلی اعم از زیان‌های اخلاقی، اقتصادی،اجتماعی آن را در تفسیر نمونه، جلد دوم،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آیه‌یشریفه‌ی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مطالعه فرمایید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بیشتر در مورد مفاسد ربا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 و بانکداری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نوشته‌ایم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بیشتر ضررهای خودارضایی را در کتاب مشکلات جنسیجوانان و کتاب فتنه‌ی نفس، و کتاب دنیای نوجوان، صفحه‌ی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بعدو کتاب خانواده و مسائل جنسی کودکان، صفحه‌ی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مطالعهفرمایید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النکاح المحرم،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النکاح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نکاح البهایم،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ترجمه‌ی آن شبیه ترجمه کلام صاحبجواهر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الجوامع الفقهیه،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آنچه که از المجموع،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می‌شود نظرعلمای اهل سنّت نیز همین است، بلکه در کتاب الموسوعة الفقهیةالکویتیه،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این مسأله ادّعای اجماع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النکاح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نکاح البهایم،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النکاح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النکاح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النکاح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نکاح البهایم،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بیشتر را در کتاب دنیای نوجوان،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کتاب خانوادهو مسایل جنسی کودکان،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النکاح،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النکاح،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13198</Words>
  <Characters>52381</Characters>
  <CharactersWithSpaces>64980</CharactersWithSpaces>
  <Paragraphs>716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2026-08-18T08:17:36Z</dcterms:created>
  <dc:creator>ghaemiyeh.com</dc:creator>
  <dc:description/>
  <dc:language>en-US</dc:language>
  <cp:lastModifiedBy/>
  <dcterms:modified xsi:type="dcterms:W3CDTF">2026-08-18T11:47:39Z</dcterms:modified>
  <cp:revision>1</cp:revision>
  <dc:subject/>
  <dc:title>پنج نکته ی مهم درباره ی خودارضایی</dc:title>
</cp:coreProperties>
</file>

<file path=docProps/custom.xml><?xml version="1.0" encoding="utf-8"?>
<Properties xmlns="http://schemas.openxmlformats.org/officeDocument/2006/custom-properties" xmlns:vt="http://schemas.openxmlformats.org/officeDocument/2006/docPropsVTypes"/>
</file>