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883_1395250215">
            <w:r>
              <w:rPr>
                <w:webHidden/>
                <w:rStyle w:val="IndexLink"/>
                <w:rtl w:val="true"/>
              </w:rPr>
              <w:t>مشخصات فصلنامه</w:t>
            </w:r>
            <w:r>
              <w:rPr>
                <w:rStyle w:val="IndexLink"/>
                <w:rtl w:val="true"/>
              </w:rPr>
              <w:tab/>
            </w:r>
            <w:r>
              <w:rPr>
                <w:rStyle w:val="IndexLink"/>
              </w:rPr>
              <w:t>6</w:t>
            </w:r>
          </w:hyperlink>
        </w:p>
        <w:p>
          <w:pPr>
            <w:pStyle w:val="Contents2"/>
            <w:tabs>
              <w:tab w:val="clear" w:pos="8743"/>
              <w:tab w:val="right" w:pos="9026" w:leader="dot"/>
            </w:tabs>
            <w:rPr/>
          </w:pPr>
          <w:hyperlink w:anchor="__RefHeading___Toc680885_1395250215">
            <w:r>
              <w:rPr>
                <w:webHidden/>
                <w:rStyle w:val="IndexLink"/>
                <w:rtl w:val="true"/>
              </w:rPr>
              <w:t>رتبه علمی فصلنامه</w:t>
            </w:r>
            <w:r>
              <w:rPr>
                <w:rStyle w:val="IndexLink"/>
                <w:rtl w:val="true"/>
              </w:rPr>
              <w:tab/>
            </w:r>
            <w:r>
              <w:rPr>
                <w:rStyle w:val="IndexLink"/>
              </w:rPr>
              <w:t>6</w:t>
            </w:r>
          </w:hyperlink>
        </w:p>
        <w:p>
          <w:pPr>
            <w:pStyle w:val="Contents2"/>
            <w:tabs>
              <w:tab w:val="clear" w:pos="8743"/>
              <w:tab w:val="right" w:pos="9026" w:leader="dot"/>
            </w:tabs>
            <w:rPr/>
          </w:pPr>
          <w:hyperlink w:anchor="__RefHeading___Toc680887_1395250215">
            <w:r>
              <w:rPr>
                <w:webHidden/>
                <w:rStyle w:val="IndexLink"/>
                <w:rtl w:val="true"/>
              </w:rPr>
              <w:t>راهنمای نویسندگان</w:t>
            </w:r>
            <w:r>
              <w:rPr>
                <w:rStyle w:val="IndexLink"/>
                <w:rtl w:val="true"/>
              </w:rPr>
              <w:tab/>
            </w:r>
            <w:r>
              <w:rPr>
                <w:rStyle w:val="IndexLink"/>
              </w:rPr>
              <w:t>8</w:t>
            </w:r>
          </w:hyperlink>
        </w:p>
        <w:p>
          <w:pPr>
            <w:pStyle w:val="Contents2"/>
            <w:tabs>
              <w:tab w:val="clear" w:pos="8743"/>
              <w:tab w:val="right" w:pos="9026" w:leader="dot"/>
            </w:tabs>
            <w:rPr/>
          </w:pPr>
          <w:hyperlink w:anchor="__RefHeading___Toc680889_139525021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80891_1395250215">
            <w:r>
              <w:rPr>
                <w:webHidden/>
                <w:rStyle w:val="IndexLink"/>
                <w:rtl w:val="true"/>
              </w:rPr>
              <w:t>محدودیت ذاتیِ عقل در شناخت خدا؛ گونه ها و علت ها</w:t>
            </w:r>
            <w:r>
              <w:rPr>
                <w:rStyle w:val="IndexLink"/>
                <w:rtl w:val="true"/>
              </w:rPr>
              <w:tab/>
            </w:r>
            <w:r>
              <w:rPr>
                <w:rStyle w:val="IndexLink"/>
              </w:rPr>
              <w:t>9</w:t>
            </w:r>
          </w:hyperlink>
        </w:p>
        <w:p>
          <w:pPr>
            <w:pStyle w:val="Contents3"/>
            <w:tabs>
              <w:tab w:val="clear" w:pos="8459"/>
              <w:tab w:val="right" w:pos="9026" w:leader="dot"/>
            </w:tabs>
            <w:rPr/>
          </w:pPr>
          <w:hyperlink w:anchor="__RefHeading___Toc680893_139525021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80895_1395250215">
            <w:r>
              <w:rPr>
                <w:webHidden/>
                <w:rStyle w:val="IndexLink"/>
                <w:rtl w:val="true"/>
              </w:rPr>
              <w:t>چکیده</w:t>
            </w:r>
            <w:r>
              <w:rPr>
                <w:rStyle w:val="IndexLink"/>
                <w:rtl w:val="true"/>
              </w:rPr>
              <w:tab/>
            </w:r>
            <w:r>
              <w:rPr>
                <w:rStyle w:val="IndexLink"/>
              </w:rPr>
              <w:t>9</w:t>
            </w:r>
          </w:hyperlink>
        </w:p>
        <w:p>
          <w:pPr>
            <w:pStyle w:val="Contents3"/>
            <w:tabs>
              <w:tab w:val="clear" w:pos="8459"/>
              <w:tab w:val="right" w:pos="9026" w:leader="dot"/>
            </w:tabs>
            <w:rPr/>
          </w:pPr>
          <w:hyperlink w:anchor="__RefHeading___Toc680897_1395250215">
            <w:r>
              <w:rPr>
                <w:webHidden/>
                <w:rStyle w:val="IndexLink"/>
                <w:rtl w:val="true"/>
              </w:rPr>
              <w:t>واژگان کلیدی</w:t>
            </w:r>
            <w:r>
              <w:rPr>
                <w:rStyle w:val="IndexLink"/>
                <w:rtl w:val="true"/>
              </w:rPr>
              <w:tab/>
            </w:r>
            <w:r>
              <w:rPr>
                <w:rStyle w:val="IndexLink"/>
              </w:rPr>
              <w:t>10</w:t>
            </w:r>
          </w:hyperlink>
        </w:p>
        <w:p>
          <w:pPr>
            <w:pStyle w:val="Contents3"/>
            <w:tabs>
              <w:tab w:val="clear" w:pos="8459"/>
              <w:tab w:val="right" w:pos="9026" w:leader="dot"/>
            </w:tabs>
            <w:rPr/>
          </w:pPr>
          <w:hyperlink w:anchor="__RefHeading___Toc680899_1395250215">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680901_1395250215">
            <w:r>
              <w:rPr>
                <w:webHidden/>
                <w:rStyle w:val="IndexLink"/>
              </w:rPr>
              <w:t>1</w:t>
            </w:r>
            <w:r>
              <w:rPr>
                <w:rStyle w:val="IndexLink"/>
                <w:rtl w:val="true"/>
              </w:rPr>
              <w:t xml:space="preserve">. </w:t>
            </w:r>
            <w:r>
              <w:rPr>
                <w:rStyle w:val="IndexLink"/>
                <w:rtl w:val="true"/>
              </w:rPr>
              <w:t>گونه شناسی روایات محدودیت عقل در شناخت خدا</w:t>
            </w:r>
            <w:r>
              <w:rPr>
                <w:rStyle w:val="IndexLink"/>
                <w:rtl w:val="true"/>
              </w:rPr>
              <w:tab/>
            </w:r>
            <w:r>
              <w:rPr>
                <w:rStyle w:val="IndexLink"/>
              </w:rPr>
              <w:t>13</w:t>
            </w:r>
          </w:hyperlink>
        </w:p>
        <w:p>
          <w:pPr>
            <w:pStyle w:val="Contents4"/>
            <w:tabs>
              <w:tab w:val="clear" w:pos="8176"/>
              <w:tab w:val="right" w:pos="9026" w:leader="dot"/>
            </w:tabs>
            <w:rPr/>
          </w:pPr>
          <w:hyperlink w:anchor="__RefHeading___Toc680903_139525021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80905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محدودیت شناخت به صورت مطلق</w:t>
            </w:r>
            <w:r>
              <w:rPr>
                <w:rStyle w:val="IndexLink"/>
                <w:rtl w:val="true"/>
              </w:rPr>
              <w:tab/>
            </w:r>
            <w:r>
              <w:rPr>
                <w:rStyle w:val="IndexLink"/>
              </w:rPr>
              <w:t>13</w:t>
            </w:r>
          </w:hyperlink>
        </w:p>
        <w:p>
          <w:pPr>
            <w:pStyle w:val="Contents4"/>
            <w:tabs>
              <w:tab w:val="clear" w:pos="8176"/>
              <w:tab w:val="right" w:pos="9026" w:leader="dot"/>
            </w:tabs>
            <w:rPr/>
          </w:pPr>
          <w:hyperlink w:anchor="__RefHeading___Toc680907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محدودیت در شناخت ذات</w:t>
            </w:r>
            <w:r>
              <w:rPr>
                <w:rStyle w:val="IndexLink"/>
                <w:rtl w:val="true"/>
              </w:rPr>
              <w:tab/>
            </w:r>
            <w:r>
              <w:rPr>
                <w:rStyle w:val="IndexLink"/>
              </w:rPr>
              <w:t>15</w:t>
            </w:r>
          </w:hyperlink>
        </w:p>
        <w:p>
          <w:pPr>
            <w:pStyle w:val="Contents4"/>
            <w:tabs>
              <w:tab w:val="clear" w:pos="8176"/>
              <w:tab w:val="right" w:pos="9026" w:leader="dot"/>
            </w:tabs>
            <w:rPr/>
          </w:pPr>
          <w:hyperlink w:anchor="__RefHeading___Toc680909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محدودیت در شناخت صفات</w:t>
            </w:r>
            <w:r>
              <w:rPr>
                <w:rStyle w:val="IndexLink"/>
                <w:rtl w:val="true"/>
              </w:rPr>
              <w:tab/>
            </w:r>
            <w:r>
              <w:rPr>
                <w:rStyle w:val="IndexLink"/>
              </w:rPr>
              <w:t>15</w:t>
            </w:r>
          </w:hyperlink>
        </w:p>
        <w:p>
          <w:pPr>
            <w:pStyle w:val="Contents4"/>
            <w:tabs>
              <w:tab w:val="clear" w:pos="8176"/>
              <w:tab w:val="right" w:pos="9026" w:leader="dot"/>
            </w:tabs>
            <w:rPr/>
          </w:pPr>
          <w:hyperlink w:anchor="__RefHeading___Toc680911_1395250215">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محدودیت در شناخت وصف خاص</w:t>
            </w:r>
            <w:r>
              <w:rPr>
                <w:rStyle w:val="IndexLink"/>
                <w:rtl w:val="true"/>
              </w:rPr>
              <w:tab/>
            </w:r>
            <w:r>
              <w:rPr>
                <w:rStyle w:val="IndexLink"/>
              </w:rPr>
              <w:t>16</w:t>
            </w:r>
          </w:hyperlink>
        </w:p>
        <w:p>
          <w:pPr>
            <w:pStyle w:val="Contents4"/>
            <w:tabs>
              <w:tab w:val="clear" w:pos="8176"/>
              <w:tab w:val="right" w:pos="9026" w:leader="dot"/>
            </w:tabs>
            <w:rPr/>
          </w:pPr>
          <w:hyperlink w:anchor="__RefHeading___Toc680913_1395250215">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محدودیت در شناخت فعل الهی</w:t>
            </w:r>
            <w:r>
              <w:rPr>
                <w:rStyle w:val="IndexLink"/>
                <w:rtl w:val="true"/>
              </w:rPr>
              <w:tab/>
            </w:r>
            <w:r>
              <w:rPr>
                <w:rStyle w:val="IndexLink"/>
              </w:rPr>
              <w:t>18</w:t>
            </w:r>
          </w:hyperlink>
        </w:p>
        <w:p>
          <w:pPr>
            <w:pStyle w:val="Contents3"/>
            <w:tabs>
              <w:tab w:val="clear" w:pos="8459"/>
              <w:tab w:val="right" w:pos="9026" w:leader="dot"/>
            </w:tabs>
            <w:rPr/>
          </w:pPr>
          <w:hyperlink w:anchor="__RefHeading___Toc680915_1395250215">
            <w:r>
              <w:rPr>
                <w:webHidden/>
                <w:rStyle w:val="IndexLink"/>
              </w:rPr>
              <w:t>2</w:t>
            </w:r>
            <w:r>
              <w:rPr>
                <w:rStyle w:val="IndexLink"/>
                <w:rtl w:val="true"/>
              </w:rPr>
              <w:t xml:space="preserve">. </w:t>
            </w:r>
            <w:r>
              <w:rPr>
                <w:rStyle w:val="IndexLink"/>
                <w:rtl w:val="true"/>
              </w:rPr>
              <w:t>علت محدودیت</w:t>
            </w:r>
            <w:r>
              <w:rPr>
                <w:rStyle w:val="IndexLink"/>
                <w:rtl w:val="true"/>
              </w:rPr>
              <w:tab/>
            </w:r>
            <w:r>
              <w:rPr>
                <w:rStyle w:val="IndexLink"/>
              </w:rPr>
              <w:t>20</w:t>
            </w:r>
          </w:hyperlink>
        </w:p>
        <w:p>
          <w:pPr>
            <w:pStyle w:val="Contents4"/>
            <w:tabs>
              <w:tab w:val="clear" w:pos="8176"/>
              <w:tab w:val="right" w:pos="9026" w:leader="dot"/>
            </w:tabs>
            <w:rPr/>
          </w:pPr>
          <w:hyperlink w:anchor="__RefHeading___Toc680917_139525021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80919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محدودیت در احاطه</w:t>
            </w:r>
            <w:r>
              <w:rPr>
                <w:rStyle w:val="IndexLink"/>
                <w:rtl w:val="true"/>
              </w:rPr>
              <w:tab/>
            </w:r>
            <w:r>
              <w:rPr>
                <w:rStyle w:val="IndexLink"/>
              </w:rPr>
              <w:t>21</w:t>
            </w:r>
          </w:hyperlink>
        </w:p>
        <w:p>
          <w:pPr>
            <w:pStyle w:val="Contents4"/>
            <w:tabs>
              <w:tab w:val="clear" w:pos="8176"/>
              <w:tab w:val="right" w:pos="9026" w:leader="dot"/>
            </w:tabs>
            <w:rPr/>
          </w:pPr>
          <w:hyperlink w:anchor="__RefHeading___Toc680921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محدودیت در ضبط</w:t>
            </w:r>
            <w:r>
              <w:rPr>
                <w:rStyle w:val="IndexLink"/>
                <w:rtl w:val="true"/>
              </w:rPr>
              <w:tab/>
            </w:r>
            <w:r>
              <w:rPr>
                <w:rStyle w:val="IndexLink"/>
              </w:rPr>
              <w:t>22</w:t>
            </w:r>
          </w:hyperlink>
        </w:p>
        <w:p>
          <w:pPr>
            <w:pStyle w:val="Contents4"/>
            <w:tabs>
              <w:tab w:val="clear" w:pos="8176"/>
              <w:tab w:val="right" w:pos="9026" w:leader="dot"/>
            </w:tabs>
            <w:rPr/>
          </w:pPr>
          <w:hyperlink w:anchor="__RefHeading___Toc680923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محدودیت در تقسیم</w:t>
            </w:r>
            <w:r>
              <w:rPr>
                <w:rStyle w:val="IndexLink"/>
                <w:rtl w:val="true"/>
              </w:rPr>
              <w:tab/>
            </w:r>
            <w:r>
              <w:rPr>
                <w:rStyle w:val="IndexLink"/>
              </w:rPr>
              <w:t>23</w:t>
            </w:r>
          </w:hyperlink>
        </w:p>
        <w:p>
          <w:pPr>
            <w:pStyle w:val="Contents4"/>
            <w:tabs>
              <w:tab w:val="clear" w:pos="8176"/>
              <w:tab w:val="right" w:pos="9026" w:leader="dot"/>
            </w:tabs>
            <w:rPr/>
          </w:pPr>
          <w:hyperlink w:anchor="__RefHeading___Toc680925_1395250215">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محدودیت در تقدیر</w:t>
            </w:r>
            <w:r>
              <w:rPr>
                <w:rStyle w:val="IndexLink"/>
                <w:rtl w:val="true"/>
              </w:rPr>
              <w:tab/>
            </w:r>
            <w:r>
              <w:rPr>
                <w:rStyle w:val="IndexLink"/>
              </w:rPr>
              <w:t>24</w:t>
            </w:r>
          </w:hyperlink>
        </w:p>
        <w:p>
          <w:pPr>
            <w:pStyle w:val="Contents4"/>
            <w:tabs>
              <w:tab w:val="clear" w:pos="8176"/>
              <w:tab w:val="right" w:pos="9026" w:leader="dot"/>
            </w:tabs>
            <w:rPr/>
          </w:pPr>
          <w:hyperlink w:anchor="__RefHeading___Toc680927_1395250215">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محدودیت تصور</w:t>
            </w:r>
            <w:r>
              <w:rPr>
                <w:rStyle w:val="IndexLink"/>
                <w:rtl w:val="true"/>
              </w:rPr>
              <w:tab/>
            </w:r>
            <w:r>
              <w:rPr>
                <w:rStyle w:val="IndexLink"/>
              </w:rPr>
              <w:t>26</w:t>
            </w:r>
          </w:hyperlink>
        </w:p>
        <w:p>
          <w:pPr>
            <w:pStyle w:val="Contents3"/>
            <w:tabs>
              <w:tab w:val="clear" w:pos="8459"/>
              <w:tab w:val="right" w:pos="9026" w:leader="dot"/>
            </w:tabs>
            <w:rPr/>
          </w:pPr>
          <w:hyperlink w:anchor="__RefHeading___Toc680929_1395250215">
            <w:r>
              <w:rPr>
                <w:webHidden/>
                <w:rStyle w:val="IndexLink"/>
                <w:rtl w:val="true"/>
              </w:rPr>
              <w:t>جمع بندی</w:t>
            </w:r>
            <w:r>
              <w:rPr>
                <w:rStyle w:val="IndexLink"/>
                <w:rtl w:val="true"/>
              </w:rPr>
              <w:tab/>
            </w:r>
            <w:r>
              <w:rPr>
                <w:rStyle w:val="IndexLink"/>
              </w:rPr>
              <w:t>29</w:t>
            </w:r>
          </w:hyperlink>
        </w:p>
        <w:p>
          <w:pPr>
            <w:pStyle w:val="Contents3"/>
            <w:tabs>
              <w:tab w:val="clear" w:pos="8459"/>
              <w:tab w:val="right" w:pos="9026" w:leader="dot"/>
            </w:tabs>
            <w:rPr/>
          </w:pPr>
          <w:hyperlink w:anchor="__RefHeading___Toc680931_1395250215">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680933_1395250215">
            <w:r>
              <w:rPr>
                <w:webHidden/>
                <w:rStyle w:val="IndexLink"/>
                <w:rtl w:val="true"/>
              </w:rPr>
              <w:t>شیخ مفید و مسئله ارزش داوریِ عقل در حوزه دین</w:t>
            </w:r>
            <w:r>
              <w:rPr>
                <w:rStyle w:val="IndexLink"/>
                <w:rtl w:val="true"/>
              </w:rPr>
              <w:tab/>
            </w:r>
            <w:r>
              <w:rPr>
                <w:rStyle w:val="IndexLink"/>
              </w:rPr>
              <w:t>33</w:t>
            </w:r>
          </w:hyperlink>
        </w:p>
        <w:p>
          <w:pPr>
            <w:pStyle w:val="Contents3"/>
            <w:tabs>
              <w:tab w:val="clear" w:pos="8459"/>
              <w:tab w:val="right" w:pos="9026" w:leader="dot"/>
            </w:tabs>
            <w:rPr/>
          </w:pPr>
          <w:hyperlink w:anchor="__RefHeading___Toc680935_139525021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80937_1395250215">
            <w:r>
              <w:rPr>
                <w:webHidden/>
                <w:rStyle w:val="IndexLink"/>
                <w:rtl w:val="true"/>
              </w:rPr>
              <w:t>چکیده</w:t>
            </w:r>
            <w:r>
              <w:rPr>
                <w:rStyle w:val="IndexLink"/>
                <w:rtl w:val="true"/>
              </w:rPr>
              <w:tab/>
            </w:r>
            <w:r>
              <w:rPr>
                <w:rStyle w:val="IndexLink"/>
              </w:rPr>
              <w:t>33</w:t>
            </w:r>
          </w:hyperlink>
        </w:p>
        <w:p>
          <w:pPr>
            <w:pStyle w:val="Contents3"/>
            <w:tabs>
              <w:tab w:val="clear" w:pos="8459"/>
              <w:tab w:val="right" w:pos="9026" w:leader="dot"/>
            </w:tabs>
            <w:rPr/>
          </w:pPr>
          <w:hyperlink w:anchor="__RefHeading___Toc680939_1395250215">
            <w:r>
              <w:rPr>
                <w:webHidden/>
                <w:rStyle w:val="IndexLink"/>
                <w:rtl w:val="true"/>
              </w:rPr>
              <w:t>واژگان کلیدی</w:t>
            </w:r>
            <w:r>
              <w:rPr>
                <w:rStyle w:val="IndexLink"/>
                <w:rtl w:val="true"/>
              </w:rPr>
              <w:tab/>
            </w:r>
            <w:r>
              <w:rPr>
                <w:rStyle w:val="IndexLink"/>
              </w:rPr>
              <w:t>33</w:t>
            </w:r>
          </w:hyperlink>
        </w:p>
        <w:p>
          <w:pPr>
            <w:pStyle w:val="Contents3"/>
            <w:tabs>
              <w:tab w:val="clear" w:pos="8459"/>
              <w:tab w:val="right" w:pos="9026" w:leader="dot"/>
            </w:tabs>
            <w:rPr/>
          </w:pPr>
          <w:hyperlink w:anchor="__RefHeading___Toc680941_1395250215">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680943_1395250215">
            <w:r>
              <w:rPr>
                <w:webHidden/>
                <w:rStyle w:val="IndexLink"/>
              </w:rPr>
              <w:t>1</w:t>
            </w:r>
            <w:r>
              <w:rPr>
                <w:rStyle w:val="IndexLink"/>
                <w:rtl w:val="true"/>
              </w:rPr>
              <w:t xml:space="preserve">. </w:t>
            </w:r>
            <w:r>
              <w:rPr>
                <w:rStyle w:val="IndexLink"/>
                <w:rtl w:val="true"/>
              </w:rPr>
              <w:t>اعتبار ادله عقلی نزد شیخ مفید</w:t>
            </w:r>
            <w:r>
              <w:rPr>
                <w:rStyle w:val="IndexLink"/>
                <w:rtl w:val="true"/>
              </w:rPr>
              <w:tab/>
            </w:r>
            <w:r>
              <w:rPr>
                <w:rStyle w:val="IndexLink"/>
              </w:rPr>
              <w:t>36</w:t>
            </w:r>
          </w:hyperlink>
        </w:p>
        <w:p>
          <w:pPr>
            <w:pStyle w:val="Contents3"/>
            <w:tabs>
              <w:tab w:val="clear" w:pos="8459"/>
              <w:tab w:val="right" w:pos="9026" w:leader="dot"/>
            </w:tabs>
            <w:rPr/>
          </w:pPr>
          <w:hyperlink w:anchor="__RefHeading___Toc680945_1395250215">
            <w:r>
              <w:rPr>
                <w:webHidden/>
                <w:rStyle w:val="IndexLink"/>
              </w:rPr>
              <w:t>2</w:t>
            </w:r>
            <w:r>
              <w:rPr>
                <w:rStyle w:val="IndexLink"/>
                <w:rtl w:val="true"/>
              </w:rPr>
              <w:t xml:space="preserve">. </w:t>
            </w:r>
            <w:r>
              <w:rPr>
                <w:rStyle w:val="IndexLink"/>
                <w:rtl w:val="true"/>
              </w:rPr>
              <w:t>کارکرد عقل در دین؛ منبع یا ابزار</w:t>
            </w:r>
            <w:r>
              <w:rPr>
                <w:rStyle w:val="IndexLink"/>
                <w:rtl w:val="true"/>
              </w:rPr>
              <w:tab/>
            </w:r>
            <w:r>
              <w:rPr>
                <w:rStyle w:val="IndexLink"/>
              </w:rPr>
              <w:t>37</w:t>
            </w:r>
          </w:hyperlink>
        </w:p>
        <w:p>
          <w:pPr>
            <w:pStyle w:val="Contents3"/>
            <w:tabs>
              <w:tab w:val="clear" w:pos="8459"/>
              <w:tab w:val="right" w:pos="9026" w:leader="dot"/>
            </w:tabs>
            <w:rPr/>
          </w:pPr>
          <w:hyperlink w:anchor="__RefHeading___Toc680947_1395250215">
            <w:r>
              <w:rPr>
                <w:webHidden/>
                <w:rStyle w:val="IndexLink"/>
              </w:rPr>
              <w:t>3</w:t>
            </w:r>
            <w:r>
              <w:rPr>
                <w:rStyle w:val="IndexLink"/>
                <w:rtl w:val="true"/>
              </w:rPr>
              <w:t xml:space="preserve">. </w:t>
            </w:r>
            <w:r>
              <w:rPr>
                <w:rStyle w:val="IndexLink"/>
                <w:rtl w:val="true"/>
              </w:rPr>
              <w:t>شیخ مفید و قلمرو محدود عقل</w:t>
            </w:r>
            <w:r>
              <w:rPr>
                <w:rStyle w:val="IndexLink"/>
                <w:rtl w:val="true"/>
              </w:rPr>
              <w:tab/>
            </w:r>
            <w:r>
              <w:rPr>
                <w:rStyle w:val="IndexLink"/>
              </w:rPr>
              <w:t>41</w:t>
            </w:r>
          </w:hyperlink>
        </w:p>
        <w:p>
          <w:pPr>
            <w:pStyle w:val="Contents3"/>
            <w:tabs>
              <w:tab w:val="clear" w:pos="8459"/>
              <w:tab w:val="right" w:pos="9026" w:leader="dot"/>
            </w:tabs>
            <w:rPr/>
          </w:pPr>
          <w:hyperlink w:anchor="__RefHeading___Toc680949_1395250215">
            <w:r>
              <w:rPr>
                <w:webHidden/>
                <w:rStyle w:val="IndexLink"/>
              </w:rPr>
              <w:t>4</w:t>
            </w:r>
            <w:r>
              <w:rPr>
                <w:rStyle w:val="IndexLink"/>
                <w:rtl w:val="true"/>
              </w:rPr>
              <w:t xml:space="preserve">. </w:t>
            </w:r>
            <w:r>
              <w:rPr>
                <w:rStyle w:val="IndexLink"/>
                <w:rtl w:val="true"/>
              </w:rPr>
              <w:t>رابطه عقل و نقل و تقدّم عقل در مقام تعارض دلیل عقلی و نقلی</w:t>
            </w:r>
            <w:r>
              <w:rPr>
                <w:rStyle w:val="IndexLink"/>
                <w:rtl w:val="true"/>
              </w:rPr>
              <w:tab/>
            </w:r>
            <w:r>
              <w:rPr>
                <w:rStyle w:val="IndexLink"/>
              </w:rPr>
              <w:t>43</w:t>
            </w:r>
          </w:hyperlink>
        </w:p>
        <w:p>
          <w:pPr>
            <w:pStyle w:val="Contents3"/>
            <w:tabs>
              <w:tab w:val="clear" w:pos="8459"/>
              <w:tab w:val="right" w:pos="9026" w:leader="dot"/>
            </w:tabs>
            <w:rPr/>
          </w:pPr>
          <w:hyperlink w:anchor="__RefHeading___Toc680951_1395250215">
            <w:r>
              <w:rPr>
                <w:webHidden/>
                <w:rStyle w:val="IndexLink"/>
                <w:rtl w:val="true"/>
              </w:rPr>
              <w:t>نتیجه</w:t>
            </w:r>
            <w:r>
              <w:rPr>
                <w:rStyle w:val="IndexLink"/>
                <w:rtl w:val="true"/>
              </w:rPr>
              <w:tab/>
            </w:r>
            <w:r>
              <w:rPr>
                <w:rStyle w:val="IndexLink"/>
              </w:rPr>
              <w:t>46</w:t>
            </w:r>
          </w:hyperlink>
        </w:p>
        <w:p>
          <w:pPr>
            <w:pStyle w:val="Contents3"/>
            <w:tabs>
              <w:tab w:val="clear" w:pos="8459"/>
              <w:tab w:val="right" w:pos="9026" w:leader="dot"/>
            </w:tabs>
            <w:rPr/>
          </w:pPr>
          <w:hyperlink w:anchor="__RefHeading___Toc680953_1395250215">
            <w:r>
              <w:rPr>
                <w:webHidden/>
                <w:rStyle w:val="IndexLink"/>
                <w:rtl w:val="true"/>
              </w:rPr>
              <w:t>منابع</w:t>
            </w:r>
            <w:r>
              <w:rPr>
                <w:rStyle w:val="IndexLink"/>
                <w:rtl w:val="true"/>
              </w:rPr>
              <w:tab/>
            </w:r>
            <w:r>
              <w:rPr>
                <w:rStyle w:val="IndexLink"/>
              </w:rPr>
              <w:t>46</w:t>
            </w:r>
          </w:hyperlink>
        </w:p>
        <w:p>
          <w:pPr>
            <w:pStyle w:val="Contents2"/>
            <w:tabs>
              <w:tab w:val="clear" w:pos="8743"/>
              <w:tab w:val="right" w:pos="9026" w:leader="dot"/>
            </w:tabs>
            <w:rPr/>
          </w:pPr>
          <w:hyperlink w:anchor="__RefHeading___Toc680955_1395250215">
            <w:r>
              <w:rPr>
                <w:webHidden/>
                <w:rStyle w:val="IndexLink"/>
                <w:rtl w:val="true"/>
              </w:rPr>
              <w:t xml:space="preserve">رابطه </w:t>
            </w:r>
            <w:r>
              <w:rPr>
                <w:rStyle w:val="IndexLink"/>
                <w:rtl w:val="true"/>
              </w:rPr>
              <w:t>«</w:t>
            </w:r>
            <w:r>
              <w:rPr>
                <w:rStyle w:val="IndexLink"/>
                <w:rtl w:val="true"/>
              </w:rPr>
              <w:t>باورهای اعتقادی</w:t>
            </w:r>
            <w:r>
              <w:rPr>
                <w:rStyle w:val="IndexLink"/>
                <w:rtl w:val="true"/>
              </w:rPr>
              <w:t xml:space="preserve">» </w:t>
            </w:r>
            <w:r>
              <w:rPr>
                <w:rStyle w:val="IndexLink"/>
                <w:rtl w:val="true"/>
              </w:rPr>
              <w:t xml:space="preserve">و </w:t>
            </w:r>
            <w:r>
              <w:rPr>
                <w:rStyle w:val="IndexLink"/>
                <w:rtl w:val="true"/>
              </w:rPr>
              <w:t>«</w:t>
            </w:r>
            <w:r>
              <w:rPr>
                <w:rStyle w:val="IndexLink"/>
                <w:rtl w:val="true"/>
              </w:rPr>
              <w:t>احادیث امامیه</w:t>
            </w:r>
            <w:r>
              <w:rPr>
                <w:rStyle w:val="IndexLink"/>
                <w:rtl w:val="true"/>
              </w:rPr>
              <w:t xml:space="preserve">» </w:t>
            </w:r>
            <w:r>
              <w:rPr>
                <w:rStyle w:val="IndexLink"/>
                <w:rtl w:val="true"/>
              </w:rPr>
              <w:t>با تکیه بر فرقه واقفه</w:t>
            </w:r>
            <w:r>
              <w:rPr>
                <w:rStyle w:val="IndexLink"/>
                <w:rtl w:val="true"/>
              </w:rPr>
              <w:tab/>
            </w:r>
            <w:r>
              <w:rPr>
                <w:rStyle w:val="IndexLink"/>
              </w:rPr>
              <w:t>50</w:t>
            </w:r>
          </w:hyperlink>
        </w:p>
        <w:p>
          <w:pPr>
            <w:pStyle w:val="Contents3"/>
            <w:tabs>
              <w:tab w:val="clear" w:pos="8459"/>
              <w:tab w:val="right" w:pos="9026" w:leader="dot"/>
            </w:tabs>
            <w:rPr/>
          </w:pPr>
          <w:hyperlink w:anchor="__RefHeading___Toc680957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80959_1395250215">
            <w:r>
              <w:rPr>
                <w:webHidden/>
                <w:rStyle w:val="IndexLink"/>
                <w:rtl w:val="true"/>
              </w:rPr>
              <w:t>چکیده</w:t>
            </w:r>
            <w:r>
              <w:rPr>
                <w:rStyle w:val="IndexLink"/>
                <w:rtl w:val="true"/>
              </w:rPr>
              <w:tab/>
            </w:r>
            <w:r>
              <w:rPr>
                <w:rStyle w:val="IndexLink"/>
              </w:rPr>
              <w:t>50</w:t>
            </w:r>
          </w:hyperlink>
        </w:p>
        <w:p>
          <w:pPr>
            <w:pStyle w:val="Contents3"/>
            <w:tabs>
              <w:tab w:val="clear" w:pos="8459"/>
              <w:tab w:val="right" w:pos="9026" w:leader="dot"/>
            </w:tabs>
            <w:rPr/>
          </w:pPr>
          <w:hyperlink w:anchor="__RefHeading___Toc680961_1395250215">
            <w:r>
              <w:rPr>
                <w:webHidden/>
                <w:rStyle w:val="IndexLink"/>
                <w:rtl w:val="true"/>
              </w:rPr>
              <w:t>واژگان کلیدی</w:t>
            </w:r>
            <w:r>
              <w:rPr>
                <w:rStyle w:val="IndexLink"/>
                <w:rtl w:val="true"/>
              </w:rPr>
              <w:tab/>
            </w:r>
            <w:r>
              <w:rPr>
                <w:rStyle w:val="IndexLink"/>
              </w:rPr>
              <w:t>50</w:t>
            </w:r>
          </w:hyperlink>
        </w:p>
        <w:p>
          <w:pPr>
            <w:pStyle w:val="Contents3"/>
            <w:tabs>
              <w:tab w:val="clear" w:pos="8459"/>
              <w:tab w:val="right" w:pos="9026" w:leader="dot"/>
            </w:tabs>
            <w:rPr/>
          </w:pPr>
          <w:hyperlink w:anchor="__RefHeading___Toc680963_1395250215">
            <w:r>
              <w:rPr>
                <w:webHidden/>
                <w:rStyle w:val="IndexLink"/>
                <w:rtl w:val="true"/>
              </w:rPr>
              <w:t>درآمد</w:t>
            </w:r>
            <w:r>
              <w:rPr>
                <w:rStyle w:val="IndexLink"/>
                <w:rtl w:val="true"/>
              </w:rPr>
              <w:tab/>
            </w:r>
            <w:r>
              <w:rPr>
                <w:rStyle w:val="IndexLink"/>
              </w:rPr>
              <w:t>51</w:t>
            </w:r>
          </w:hyperlink>
        </w:p>
        <w:p>
          <w:pPr>
            <w:pStyle w:val="Contents3"/>
            <w:tabs>
              <w:tab w:val="clear" w:pos="8459"/>
              <w:tab w:val="right" w:pos="9026" w:leader="dot"/>
            </w:tabs>
            <w:rPr/>
          </w:pPr>
          <w:hyperlink w:anchor="__RefHeading___Toc680965_1395250215">
            <w:r>
              <w:rPr>
                <w:webHidden/>
                <w:rStyle w:val="IndexLink"/>
                <w:rtl w:val="true"/>
              </w:rPr>
              <w:t>توقف بر امام</w:t>
            </w:r>
            <w:r>
              <w:rPr>
                <w:rStyle w:val="IndexLink"/>
                <w:rtl w:val="true"/>
              </w:rPr>
              <w:tab/>
            </w:r>
            <w:r>
              <w:rPr>
                <w:rStyle w:val="IndexLink"/>
              </w:rPr>
              <w:t>51</w:t>
            </w:r>
          </w:hyperlink>
        </w:p>
        <w:p>
          <w:pPr>
            <w:pStyle w:val="Contents3"/>
            <w:tabs>
              <w:tab w:val="clear" w:pos="8459"/>
              <w:tab w:val="right" w:pos="9026" w:leader="dot"/>
            </w:tabs>
            <w:rPr/>
          </w:pPr>
          <w:hyperlink w:anchor="__RefHeading___Toc680967_1395250215">
            <w:r>
              <w:rPr>
                <w:webHidden/>
                <w:rStyle w:val="IndexLink"/>
                <w:rtl w:val="true"/>
              </w:rPr>
              <w:t>فرقه واقفه</w:t>
            </w:r>
            <w:r>
              <w:rPr>
                <w:rStyle w:val="IndexLink"/>
                <w:rtl w:val="true"/>
              </w:rPr>
              <w:tab/>
            </w:r>
            <w:r>
              <w:rPr>
                <w:rStyle w:val="IndexLink"/>
              </w:rPr>
              <w:t>53</w:t>
            </w:r>
          </w:hyperlink>
        </w:p>
        <w:p>
          <w:pPr>
            <w:pStyle w:val="Contents3"/>
            <w:tabs>
              <w:tab w:val="clear" w:pos="8459"/>
              <w:tab w:val="right" w:pos="9026" w:leader="dot"/>
            </w:tabs>
            <w:rPr/>
          </w:pPr>
          <w:hyperlink w:anchor="__RefHeading___Toc680969_1395250215">
            <w:r>
              <w:rPr>
                <w:webHidden/>
                <w:rStyle w:val="IndexLink"/>
                <w:rtl w:val="true"/>
              </w:rPr>
              <w:t>اعتقادات</w:t>
            </w:r>
            <w:r>
              <w:rPr>
                <w:rStyle w:val="IndexLink"/>
                <w:rtl w:val="true"/>
              </w:rPr>
              <w:tab/>
            </w:r>
            <w:r>
              <w:rPr>
                <w:rStyle w:val="IndexLink"/>
              </w:rPr>
              <w:t>54</w:t>
            </w:r>
          </w:hyperlink>
        </w:p>
        <w:p>
          <w:pPr>
            <w:pStyle w:val="Contents3"/>
            <w:tabs>
              <w:tab w:val="clear" w:pos="8459"/>
              <w:tab w:val="right" w:pos="9026" w:leader="dot"/>
            </w:tabs>
            <w:rPr/>
          </w:pPr>
          <w:hyperlink w:anchor="__RefHeading___Toc680971_1395250215">
            <w:r>
              <w:rPr>
                <w:webHidden/>
                <w:rStyle w:val="IndexLink"/>
                <w:rtl w:val="true"/>
              </w:rPr>
              <w:t>معصومان</w:t>
            </w:r>
            <w:r>
              <w:rPr>
                <w:rStyle w:val="IndexLink"/>
              </w:rPr>
              <w:t></w:t>
            </w:r>
            <w:r>
              <w:rPr>
                <w:rStyle w:val="IndexLink"/>
                <w:rtl w:val="true"/>
              </w:rPr>
              <w:t xml:space="preserve"> و واقفه</w:t>
            </w:r>
            <w:r>
              <w:rPr>
                <w:rStyle w:val="IndexLink"/>
                <w:rtl w:val="true"/>
              </w:rPr>
              <w:tab/>
            </w:r>
            <w:r>
              <w:rPr>
                <w:rStyle w:val="IndexLink"/>
              </w:rPr>
              <w:t>55</w:t>
            </w:r>
          </w:hyperlink>
        </w:p>
        <w:p>
          <w:pPr>
            <w:pStyle w:val="Contents4"/>
            <w:tabs>
              <w:tab w:val="clear" w:pos="8176"/>
              <w:tab w:val="right" w:pos="9026" w:leader="dot"/>
            </w:tabs>
            <w:rPr/>
          </w:pPr>
          <w:hyperlink w:anchor="__RefHeading___Toc680973_139525021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80975_1395250215">
            <w:r>
              <w:rPr>
                <w:webHidden/>
                <w:rStyle w:val="IndexLink"/>
                <w:rtl w:val="true"/>
              </w:rPr>
              <w:t>الف</w:t>
            </w:r>
            <w:r>
              <w:rPr>
                <w:rStyle w:val="IndexLink"/>
                <w:rtl w:val="true"/>
              </w:rPr>
              <w:t xml:space="preserve">) </w:t>
            </w:r>
            <w:r>
              <w:rPr>
                <w:rStyle w:val="IndexLink"/>
                <w:rtl w:val="true"/>
              </w:rPr>
              <w:t>هشدار و نکوهش</w:t>
            </w:r>
            <w:r>
              <w:rPr>
                <w:rStyle w:val="IndexLink"/>
                <w:rtl w:val="true"/>
              </w:rPr>
              <w:tab/>
            </w:r>
            <w:r>
              <w:rPr>
                <w:rStyle w:val="IndexLink"/>
              </w:rPr>
              <w:t>55</w:t>
            </w:r>
          </w:hyperlink>
        </w:p>
        <w:p>
          <w:pPr>
            <w:pStyle w:val="Contents4"/>
            <w:tabs>
              <w:tab w:val="clear" w:pos="8176"/>
              <w:tab w:val="right" w:pos="9026" w:leader="dot"/>
            </w:tabs>
            <w:rPr/>
          </w:pPr>
          <w:hyperlink w:anchor="__RefHeading___Toc680977_1395250215">
            <w:r>
              <w:rPr>
                <w:webHidden/>
                <w:rStyle w:val="IndexLink"/>
                <w:rtl w:val="true"/>
              </w:rPr>
              <w:t>ب</w:t>
            </w:r>
            <w:r>
              <w:rPr>
                <w:rStyle w:val="IndexLink"/>
                <w:rtl w:val="true"/>
              </w:rPr>
              <w:t xml:space="preserve">) </w:t>
            </w:r>
            <w:r>
              <w:rPr>
                <w:rStyle w:val="IndexLink"/>
                <w:rtl w:val="true"/>
              </w:rPr>
              <w:t>مناظره با سران واقفه</w:t>
            </w:r>
            <w:r>
              <w:rPr>
                <w:rStyle w:val="IndexLink"/>
                <w:rtl w:val="true"/>
              </w:rPr>
              <w:tab/>
            </w:r>
            <w:r>
              <w:rPr>
                <w:rStyle w:val="IndexLink"/>
              </w:rPr>
              <w:t>56</w:t>
            </w:r>
          </w:hyperlink>
        </w:p>
        <w:p>
          <w:pPr>
            <w:pStyle w:val="Contents4"/>
            <w:tabs>
              <w:tab w:val="clear" w:pos="8176"/>
              <w:tab w:val="right" w:pos="9026" w:leader="dot"/>
            </w:tabs>
            <w:rPr/>
          </w:pPr>
          <w:hyperlink w:anchor="__RefHeading___Toc680979_1395250215">
            <w:r>
              <w:rPr>
                <w:webHidden/>
                <w:rStyle w:val="IndexLink"/>
                <w:rtl w:val="true"/>
              </w:rPr>
              <w:t>ج</w:t>
            </w:r>
            <w:r>
              <w:rPr>
                <w:rStyle w:val="IndexLink"/>
                <w:rtl w:val="true"/>
              </w:rPr>
              <w:t xml:space="preserve">) </w:t>
            </w:r>
            <w:r>
              <w:rPr>
                <w:rStyle w:val="IndexLink"/>
                <w:rtl w:val="true"/>
              </w:rPr>
              <w:t>استفاده از علم غیب و معجزات</w:t>
            </w:r>
            <w:r>
              <w:rPr>
                <w:rStyle w:val="IndexLink"/>
                <w:rtl w:val="true"/>
              </w:rPr>
              <w:tab/>
            </w:r>
            <w:r>
              <w:rPr>
                <w:rStyle w:val="IndexLink"/>
              </w:rPr>
              <w:t>57</w:t>
            </w:r>
          </w:hyperlink>
        </w:p>
        <w:p>
          <w:pPr>
            <w:pStyle w:val="Contents3"/>
            <w:tabs>
              <w:tab w:val="clear" w:pos="8459"/>
              <w:tab w:val="right" w:pos="9026" w:leader="dot"/>
            </w:tabs>
            <w:rPr/>
          </w:pPr>
          <w:hyperlink w:anchor="__RefHeading___Toc680981_1395250215">
            <w:r>
              <w:rPr>
                <w:webHidden/>
                <w:rStyle w:val="IndexLink"/>
                <w:rtl w:val="true"/>
              </w:rPr>
              <w:t>ویژگی‌های واقفه</w:t>
            </w:r>
            <w:r>
              <w:rPr>
                <w:rStyle w:val="IndexLink"/>
                <w:rtl w:val="true"/>
              </w:rPr>
              <w:tab/>
            </w:r>
            <w:r>
              <w:rPr>
                <w:rStyle w:val="IndexLink"/>
              </w:rPr>
              <w:t>58</w:t>
            </w:r>
          </w:hyperlink>
        </w:p>
        <w:p>
          <w:pPr>
            <w:pStyle w:val="Contents4"/>
            <w:tabs>
              <w:tab w:val="clear" w:pos="8176"/>
              <w:tab w:val="right" w:pos="9026" w:leader="dot"/>
            </w:tabs>
            <w:rPr/>
          </w:pPr>
          <w:hyperlink w:anchor="__RefHeading___Toc680983_139525021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80985_1395250215">
            <w:r>
              <w:rPr>
                <w:webHidden/>
                <w:rStyle w:val="IndexLink"/>
              </w:rPr>
              <w:t>1</w:t>
            </w:r>
            <w:r>
              <w:rPr>
                <w:rStyle w:val="IndexLink"/>
                <w:rtl w:val="true"/>
              </w:rPr>
              <w:t xml:space="preserve">. </w:t>
            </w:r>
            <w:r>
              <w:rPr>
                <w:rStyle w:val="IndexLink"/>
                <w:rtl w:val="true"/>
              </w:rPr>
              <w:t>تعداد راویان</w:t>
            </w:r>
            <w:r>
              <w:rPr>
                <w:rStyle w:val="IndexLink"/>
                <w:rtl w:val="true"/>
              </w:rPr>
              <w:tab/>
            </w:r>
            <w:r>
              <w:rPr>
                <w:rStyle w:val="IndexLink"/>
              </w:rPr>
              <w:t>58</w:t>
            </w:r>
          </w:hyperlink>
        </w:p>
        <w:p>
          <w:pPr>
            <w:pStyle w:val="Contents4"/>
            <w:tabs>
              <w:tab w:val="clear" w:pos="8176"/>
              <w:tab w:val="right" w:pos="9026" w:leader="dot"/>
            </w:tabs>
            <w:rPr/>
          </w:pPr>
          <w:hyperlink w:anchor="__RefHeading___Toc680987_1395250215">
            <w:r>
              <w:rPr>
                <w:webHidden/>
                <w:rStyle w:val="IndexLink"/>
              </w:rPr>
              <w:t>2</w:t>
            </w:r>
            <w:r>
              <w:rPr>
                <w:rStyle w:val="IndexLink"/>
                <w:rtl w:val="true"/>
              </w:rPr>
              <w:t xml:space="preserve">. </w:t>
            </w:r>
            <w:r>
              <w:rPr>
                <w:rStyle w:val="IndexLink"/>
                <w:rtl w:val="true"/>
              </w:rPr>
              <w:t>کثرت روایات</w:t>
            </w:r>
            <w:r>
              <w:rPr>
                <w:rStyle w:val="IndexLink"/>
                <w:rtl w:val="true"/>
              </w:rPr>
              <w:tab/>
            </w:r>
            <w:r>
              <w:rPr>
                <w:rStyle w:val="IndexLink"/>
              </w:rPr>
              <w:t>58</w:t>
            </w:r>
          </w:hyperlink>
        </w:p>
        <w:p>
          <w:pPr>
            <w:pStyle w:val="Contents4"/>
            <w:tabs>
              <w:tab w:val="clear" w:pos="8176"/>
              <w:tab w:val="right" w:pos="9026" w:leader="dot"/>
            </w:tabs>
            <w:rPr/>
          </w:pPr>
          <w:hyperlink w:anchor="__RefHeading___Toc680989_1395250215">
            <w:r>
              <w:rPr>
                <w:webHidden/>
                <w:rStyle w:val="IndexLink"/>
              </w:rPr>
              <w:t>3</w:t>
            </w:r>
            <w:r>
              <w:rPr>
                <w:rStyle w:val="IndexLink"/>
                <w:rtl w:val="true"/>
              </w:rPr>
              <w:t xml:space="preserve">. </w:t>
            </w:r>
            <w:r>
              <w:rPr>
                <w:rStyle w:val="IndexLink"/>
                <w:rtl w:val="true"/>
              </w:rPr>
              <w:t>راویان دانشمند</w:t>
            </w:r>
            <w:r>
              <w:rPr>
                <w:rStyle w:val="IndexLink"/>
                <w:rtl w:val="true"/>
              </w:rPr>
              <w:tab/>
            </w:r>
            <w:r>
              <w:rPr>
                <w:rStyle w:val="IndexLink"/>
              </w:rPr>
              <w:t>59</w:t>
            </w:r>
          </w:hyperlink>
        </w:p>
        <w:p>
          <w:pPr>
            <w:pStyle w:val="Contents5"/>
            <w:tabs>
              <w:tab w:val="clear" w:pos="7892"/>
              <w:tab w:val="right" w:pos="9026" w:leader="dot"/>
            </w:tabs>
            <w:rPr/>
          </w:pPr>
          <w:hyperlink w:anchor="__RefHeading___Toc680991_1395250215">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80993_1395250215">
            <w:r>
              <w:rPr>
                <w:webHidden/>
                <w:rStyle w:val="IndexLink"/>
                <w:rtl w:val="true"/>
              </w:rPr>
              <w:t>الف</w:t>
            </w:r>
            <w:r>
              <w:rPr>
                <w:rStyle w:val="IndexLink"/>
                <w:rtl w:val="true"/>
              </w:rPr>
              <w:t xml:space="preserve">) </w:t>
            </w:r>
            <w:r>
              <w:rPr>
                <w:rStyle w:val="IndexLink"/>
                <w:rtl w:val="true"/>
              </w:rPr>
              <w:t>فزونیِ فقیهان و عالمان</w:t>
            </w:r>
            <w:r>
              <w:rPr>
                <w:rStyle w:val="IndexLink"/>
                <w:rtl w:val="true"/>
              </w:rPr>
              <w:tab/>
            </w:r>
            <w:r>
              <w:rPr>
                <w:rStyle w:val="IndexLink"/>
              </w:rPr>
              <w:t>59</w:t>
            </w:r>
          </w:hyperlink>
        </w:p>
        <w:p>
          <w:pPr>
            <w:pStyle w:val="Contents5"/>
            <w:tabs>
              <w:tab w:val="clear" w:pos="7892"/>
              <w:tab w:val="right" w:pos="9026" w:leader="dot"/>
            </w:tabs>
            <w:rPr/>
          </w:pPr>
          <w:hyperlink w:anchor="__RefHeading___Toc680995_1395250215">
            <w:r>
              <w:rPr>
                <w:webHidden/>
                <w:rStyle w:val="IndexLink"/>
                <w:rtl w:val="true"/>
              </w:rPr>
              <w:t>ب</w:t>
            </w:r>
            <w:r>
              <w:rPr>
                <w:rStyle w:val="IndexLink"/>
                <w:rtl w:val="true"/>
              </w:rPr>
              <w:t xml:space="preserve">) </w:t>
            </w:r>
            <w:r>
              <w:rPr>
                <w:rStyle w:val="IndexLink"/>
                <w:rtl w:val="true"/>
              </w:rPr>
              <w:t>آثار مکتوب واقفه</w:t>
            </w:r>
            <w:r>
              <w:rPr>
                <w:rStyle w:val="IndexLink"/>
                <w:rtl w:val="true"/>
              </w:rPr>
              <w:tab/>
            </w:r>
            <w:r>
              <w:rPr>
                <w:rStyle w:val="IndexLink"/>
              </w:rPr>
              <w:t>60</w:t>
            </w:r>
          </w:hyperlink>
        </w:p>
        <w:p>
          <w:pPr>
            <w:pStyle w:val="Contents4"/>
            <w:tabs>
              <w:tab w:val="clear" w:pos="8176"/>
              <w:tab w:val="right" w:pos="9026" w:leader="dot"/>
            </w:tabs>
            <w:rPr/>
          </w:pPr>
          <w:hyperlink w:anchor="__RefHeading___Toc680997_1395250215">
            <w:r>
              <w:rPr>
                <w:webHidden/>
                <w:rStyle w:val="IndexLink"/>
              </w:rPr>
              <w:t>4</w:t>
            </w:r>
            <w:r>
              <w:rPr>
                <w:rStyle w:val="IndexLink"/>
                <w:rtl w:val="true"/>
              </w:rPr>
              <w:t xml:space="preserve">. </w:t>
            </w:r>
            <w:r>
              <w:rPr>
                <w:rStyle w:val="IndexLink"/>
                <w:rtl w:val="true"/>
              </w:rPr>
              <w:t>گستره زمانی</w:t>
            </w:r>
            <w:r>
              <w:rPr>
                <w:rStyle w:val="IndexLink"/>
                <w:rtl w:val="true"/>
              </w:rPr>
              <w:tab/>
            </w:r>
            <w:r>
              <w:rPr>
                <w:rStyle w:val="IndexLink"/>
              </w:rPr>
              <w:t>62</w:t>
            </w:r>
          </w:hyperlink>
        </w:p>
        <w:p>
          <w:pPr>
            <w:pStyle w:val="Contents3"/>
            <w:tabs>
              <w:tab w:val="clear" w:pos="8459"/>
              <w:tab w:val="right" w:pos="9026" w:leader="dot"/>
            </w:tabs>
            <w:rPr/>
          </w:pPr>
          <w:hyperlink w:anchor="__RefHeading___Toc680999_1395250215">
            <w:r>
              <w:rPr>
                <w:webHidden/>
                <w:rStyle w:val="IndexLink"/>
                <w:rtl w:val="true"/>
              </w:rPr>
              <w:t>برخورد قدما با واقفه و روایات ایشان</w:t>
            </w:r>
            <w:r>
              <w:rPr>
                <w:rStyle w:val="IndexLink"/>
                <w:rtl w:val="true"/>
              </w:rPr>
              <w:tab/>
            </w:r>
            <w:r>
              <w:rPr>
                <w:rStyle w:val="IndexLink"/>
              </w:rPr>
              <w:t>63</w:t>
            </w:r>
          </w:hyperlink>
        </w:p>
        <w:p>
          <w:pPr>
            <w:pStyle w:val="Contents4"/>
            <w:tabs>
              <w:tab w:val="clear" w:pos="8176"/>
              <w:tab w:val="right" w:pos="9026" w:leader="dot"/>
            </w:tabs>
            <w:rPr/>
          </w:pPr>
          <w:hyperlink w:anchor="__RefHeading___Toc681001_1395250215">
            <w:r>
              <w:rPr>
                <w:webHidden/>
                <w:rStyle w:val="IndexLink"/>
              </w:rPr>
              <w:t>1</w:t>
            </w:r>
            <w:r>
              <w:rPr>
                <w:rStyle w:val="IndexLink"/>
                <w:rtl w:val="true"/>
              </w:rPr>
              <w:t xml:space="preserve">. </w:t>
            </w:r>
            <w:r>
              <w:rPr>
                <w:rStyle w:val="IndexLink"/>
                <w:rtl w:val="true"/>
              </w:rPr>
              <w:t>تفکیک بین مذمت</w:t>
            </w:r>
            <w:r>
              <w:rPr>
                <w:rStyle w:val="IndexLink"/>
                <w:rtl w:val="true"/>
              </w:rPr>
              <w:tab/>
            </w:r>
            <w:r>
              <w:rPr>
                <w:rStyle w:val="IndexLink"/>
              </w:rPr>
              <w:t>63</w:t>
            </w:r>
          </w:hyperlink>
        </w:p>
        <w:p>
          <w:pPr>
            <w:pStyle w:val="Contents5"/>
            <w:tabs>
              <w:tab w:val="clear" w:pos="7892"/>
              <w:tab w:val="right" w:pos="9026" w:leader="dot"/>
            </w:tabs>
            <w:rPr/>
          </w:pPr>
          <w:hyperlink w:anchor="__RefHeading___Toc681003_139525021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81005_1395250215">
            <w:r>
              <w:rPr>
                <w:webHidden/>
                <w:rStyle w:val="IndexLink"/>
                <w:rtl w:val="true"/>
              </w:rPr>
              <w:t>الف</w:t>
            </w:r>
            <w:r>
              <w:rPr>
                <w:rStyle w:val="IndexLink"/>
                <w:rtl w:val="true"/>
              </w:rPr>
              <w:t xml:space="preserve">) </w:t>
            </w:r>
            <w:r>
              <w:rPr>
                <w:rStyle w:val="IndexLink"/>
                <w:rtl w:val="true"/>
              </w:rPr>
              <w:t>وثاقت و مذمت</w:t>
            </w:r>
            <w:r>
              <w:rPr>
                <w:rStyle w:val="IndexLink"/>
                <w:rtl w:val="true"/>
              </w:rPr>
              <w:tab/>
            </w:r>
            <w:r>
              <w:rPr>
                <w:rStyle w:val="IndexLink"/>
              </w:rPr>
              <w:t>63</w:t>
            </w:r>
          </w:hyperlink>
        </w:p>
        <w:p>
          <w:pPr>
            <w:pStyle w:val="Contents5"/>
            <w:tabs>
              <w:tab w:val="clear" w:pos="7892"/>
              <w:tab w:val="right" w:pos="9026" w:leader="dot"/>
            </w:tabs>
            <w:rPr/>
          </w:pPr>
          <w:hyperlink w:anchor="__RefHeading___Toc681007_1395250215">
            <w:r>
              <w:rPr>
                <w:webHidden/>
                <w:rStyle w:val="IndexLink"/>
                <w:rtl w:val="true"/>
              </w:rPr>
              <w:t>ب</w:t>
            </w:r>
            <w:r>
              <w:rPr>
                <w:rStyle w:val="IndexLink"/>
                <w:rtl w:val="true"/>
              </w:rPr>
              <w:t xml:space="preserve">) </w:t>
            </w:r>
            <w:r>
              <w:rPr>
                <w:rStyle w:val="IndexLink"/>
                <w:rtl w:val="true"/>
              </w:rPr>
              <w:t>محتوا و علمیت</w:t>
            </w:r>
            <w:r>
              <w:rPr>
                <w:rStyle w:val="IndexLink"/>
                <w:rtl w:val="true"/>
              </w:rPr>
              <w:tab/>
            </w:r>
            <w:r>
              <w:rPr>
                <w:rStyle w:val="IndexLink"/>
              </w:rPr>
              <w:t>64</w:t>
            </w:r>
          </w:hyperlink>
        </w:p>
        <w:p>
          <w:pPr>
            <w:pStyle w:val="Contents6"/>
            <w:tabs>
              <w:tab w:val="clear" w:pos="7609"/>
              <w:tab w:val="right" w:pos="9026" w:leader="dot"/>
            </w:tabs>
            <w:rPr/>
          </w:pPr>
          <w:hyperlink w:anchor="__RefHeading___Toc681009_1395250215">
            <w:r>
              <w:rPr>
                <w:webHidden/>
                <w:rStyle w:val="IndexLink"/>
              </w:rPr>
              <w:t>1</w:t>
            </w:r>
            <w:r>
              <w:rPr>
                <w:rStyle w:val="IndexLink"/>
                <w:rtl w:val="true"/>
              </w:rPr>
              <w:t xml:space="preserve">. </w:t>
            </w:r>
            <w:r>
              <w:rPr>
                <w:rStyle w:val="IndexLink"/>
                <w:rtl w:val="true"/>
              </w:rPr>
              <w:t>بررسی علمیِ کتاب‌ها</w:t>
            </w:r>
            <w:r>
              <w:rPr>
                <w:rStyle w:val="IndexLink"/>
                <w:rtl w:val="true"/>
              </w:rPr>
              <w:tab/>
            </w:r>
            <w:r>
              <w:rPr>
                <w:rStyle w:val="IndexLink"/>
              </w:rPr>
              <w:t>64</w:t>
            </w:r>
          </w:hyperlink>
        </w:p>
        <w:p>
          <w:pPr>
            <w:pStyle w:val="Contents6"/>
            <w:tabs>
              <w:tab w:val="clear" w:pos="7609"/>
              <w:tab w:val="right" w:pos="9026" w:leader="dot"/>
            </w:tabs>
            <w:rPr/>
          </w:pPr>
          <w:hyperlink w:anchor="__RefHeading___Toc681011_1395250215">
            <w:r>
              <w:rPr>
                <w:webHidden/>
                <w:rStyle w:val="IndexLink"/>
              </w:rPr>
              <w:t>2</w:t>
            </w:r>
            <w:r>
              <w:rPr>
                <w:rStyle w:val="IndexLink"/>
                <w:rtl w:val="true"/>
              </w:rPr>
              <w:t xml:space="preserve">. </w:t>
            </w:r>
            <w:r>
              <w:rPr>
                <w:rStyle w:val="IndexLink"/>
                <w:rtl w:val="true"/>
              </w:rPr>
              <w:t>ارزیابی محتوایی روایات</w:t>
            </w:r>
            <w:r>
              <w:rPr>
                <w:rStyle w:val="IndexLink"/>
                <w:rtl w:val="true"/>
              </w:rPr>
              <w:tab/>
            </w:r>
            <w:r>
              <w:rPr>
                <w:rStyle w:val="IndexLink"/>
              </w:rPr>
              <w:t>65</w:t>
            </w:r>
          </w:hyperlink>
        </w:p>
        <w:p>
          <w:pPr>
            <w:pStyle w:val="Contents3"/>
            <w:tabs>
              <w:tab w:val="clear" w:pos="8459"/>
              <w:tab w:val="right" w:pos="9026" w:leader="dot"/>
            </w:tabs>
            <w:rPr/>
          </w:pPr>
          <w:hyperlink w:anchor="__RefHeading___Toc681013_1395250215">
            <w:r>
              <w:rPr>
                <w:webHidden/>
                <w:rStyle w:val="IndexLink"/>
                <w:rtl w:val="true"/>
              </w:rPr>
              <w:t>منابع</w:t>
            </w:r>
            <w:r>
              <w:rPr>
                <w:rStyle w:val="IndexLink"/>
                <w:rtl w:val="true"/>
              </w:rPr>
              <w:tab/>
            </w:r>
            <w:r>
              <w:rPr>
                <w:rStyle w:val="IndexLink"/>
              </w:rPr>
              <w:t>66</w:t>
            </w:r>
          </w:hyperlink>
        </w:p>
        <w:p>
          <w:pPr>
            <w:pStyle w:val="Contents2"/>
            <w:tabs>
              <w:tab w:val="clear" w:pos="8743"/>
              <w:tab w:val="right" w:pos="9026" w:leader="dot"/>
            </w:tabs>
            <w:rPr/>
          </w:pPr>
          <w:hyperlink w:anchor="__RefHeading___Toc681015_1395250215">
            <w:r>
              <w:rPr>
                <w:webHidden/>
                <w:rStyle w:val="IndexLink"/>
                <w:rtl w:val="true"/>
              </w:rPr>
              <w:t xml:space="preserve">ارزیابیِ دو نظریه در مفهوم </w:t>
            </w:r>
            <w:r>
              <w:rPr>
                <w:rStyle w:val="IndexLink"/>
                <w:rtl w:val="true"/>
              </w:rPr>
              <w:t>«</w:t>
            </w:r>
            <w:r>
              <w:rPr>
                <w:rStyle w:val="IndexLink"/>
                <w:rtl w:val="true"/>
              </w:rPr>
              <w:t>امامت</w:t>
            </w:r>
            <w:r>
              <w:rPr>
                <w:rStyle w:val="IndexLink"/>
                <w:rtl w:val="true"/>
              </w:rPr>
              <w:t xml:space="preserve">» </w:t>
            </w:r>
            <w:r>
              <w:rPr>
                <w:rStyle w:val="IndexLink"/>
                <w:rtl w:val="true"/>
              </w:rPr>
              <w:t>با تأکید بر آیات و روایات</w:t>
            </w:r>
            <w:r>
              <w:rPr>
                <w:rStyle w:val="IndexLink"/>
                <w:rtl w:val="true"/>
              </w:rPr>
              <w:tab/>
            </w:r>
            <w:r>
              <w:rPr>
                <w:rStyle w:val="IndexLink"/>
              </w:rPr>
              <w:t>69</w:t>
            </w:r>
          </w:hyperlink>
        </w:p>
        <w:p>
          <w:pPr>
            <w:pStyle w:val="Contents3"/>
            <w:tabs>
              <w:tab w:val="clear" w:pos="8459"/>
              <w:tab w:val="right" w:pos="9026" w:leader="dot"/>
            </w:tabs>
            <w:rPr/>
          </w:pPr>
          <w:hyperlink w:anchor="__RefHeading___Toc681017_139525021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81019_1395250215">
            <w:r>
              <w:rPr>
                <w:webHidden/>
                <w:rStyle w:val="IndexLink"/>
                <w:rtl w:val="true"/>
              </w:rPr>
              <w:t>چکیده</w:t>
            </w:r>
            <w:r>
              <w:rPr>
                <w:rStyle w:val="IndexLink"/>
                <w:rtl w:val="true"/>
              </w:rPr>
              <w:tab/>
            </w:r>
            <w:r>
              <w:rPr>
                <w:rStyle w:val="IndexLink"/>
              </w:rPr>
              <w:t>69</w:t>
            </w:r>
          </w:hyperlink>
        </w:p>
        <w:p>
          <w:pPr>
            <w:pStyle w:val="Contents3"/>
            <w:tabs>
              <w:tab w:val="clear" w:pos="8459"/>
              <w:tab w:val="right" w:pos="9026" w:leader="dot"/>
            </w:tabs>
            <w:rPr/>
          </w:pPr>
          <w:hyperlink w:anchor="__RefHeading___Toc681021_1395250215">
            <w:r>
              <w:rPr>
                <w:webHidden/>
                <w:rStyle w:val="IndexLink"/>
                <w:rtl w:val="true"/>
              </w:rPr>
              <w:t>واژگان کلیدی</w:t>
            </w:r>
            <w:r>
              <w:rPr>
                <w:rStyle w:val="IndexLink"/>
                <w:rtl w:val="true"/>
              </w:rPr>
              <w:tab/>
            </w:r>
            <w:r>
              <w:rPr>
                <w:rStyle w:val="IndexLink"/>
              </w:rPr>
              <w:t>69</w:t>
            </w:r>
          </w:hyperlink>
        </w:p>
        <w:p>
          <w:pPr>
            <w:pStyle w:val="Contents3"/>
            <w:tabs>
              <w:tab w:val="clear" w:pos="8459"/>
              <w:tab w:val="right" w:pos="9026" w:leader="dot"/>
            </w:tabs>
            <w:rPr/>
          </w:pPr>
          <w:hyperlink w:anchor="__RefHeading___Toc681023_1395250215">
            <w:r>
              <w:rPr>
                <w:webHidden/>
                <w:rStyle w:val="IndexLink"/>
                <w:rtl w:val="true"/>
              </w:rPr>
              <w:t>طرح مسئله</w:t>
            </w:r>
            <w:r>
              <w:rPr>
                <w:rStyle w:val="IndexLink"/>
                <w:rtl w:val="true"/>
              </w:rPr>
              <w:tab/>
            </w:r>
            <w:r>
              <w:rPr>
                <w:rStyle w:val="IndexLink"/>
              </w:rPr>
              <w:t>70</w:t>
            </w:r>
          </w:hyperlink>
        </w:p>
        <w:p>
          <w:pPr>
            <w:pStyle w:val="Contents3"/>
            <w:tabs>
              <w:tab w:val="clear" w:pos="8459"/>
              <w:tab w:val="right" w:pos="9026" w:leader="dot"/>
            </w:tabs>
            <w:rPr/>
          </w:pPr>
          <w:hyperlink w:anchor="__RefHeading___Toc681025_1395250215">
            <w:r>
              <w:rPr>
                <w:webHidden/>
                <w:rStyle w:val="IndexLink"/>
                <w:rtl w:val="true"/>
              </w:rPr>
              <w:t xml:space="preserve">امامت به معنای </w:t>
            </w:r>
            <w:r>
              <w:rPr>
                <w:rStyle w:val="IndexLink"/>
                <w:rtl w:val="true"/>
              </w:rPr>
              <w:t>«</w:t>
            </w:r>
            <w:r>
              <w:rPr>
                <w:rStyle w:val="IndexLink"/>
                <w:rtl w:val="true"/>
              </w:rPr>
              <w:t>افتراض طاعت</w:t>
            </w:r>
            <w:r>
              <w:rPr>
                <w:rStyle w:val="IndexLink"/>
                <w:rtl w:val="true"/>
              </w:rPr>
              <w:t>»</w:t>
              <w:tab/>
            </w:r>
            <w:r>
              <w:rPr>
                <w:rStyle w:val="IndexLink"/>
              </w:rPr>
              <w:t>70</w:t>
            </w:r>
          </w:hyperlink>
        </w:p>
        <w:p>
          <w:pPr>
            <w:pStyle w:val="Contents3"/>
            <w:tabs>
              <w:tab w:val="clear" w:pos="8459"/>
              <w:tab w:val="right" w:pos="9026" w:leader="dot"/>
            </w:tabs>
            <w:rPr/>
          </w:pPr>
          <w:hyperlink w:anchor="__RefHeading___Toc681027_1395250215">
            <w:r>
              <w:rPr>
                <w:webHidden/>
                <w:rStyle w:val="IndexLink"/>
                <w:rtl w:val="true"/>
              </w:rPr>
              <w:t xml:space="preserve">امامت به معنای </w:t>
            </w:r>
            <w:r>
              <w:rPr>
                <w:rStyle w:val="IndexLink"/>
                <w:rtl w:val="true"/>
              </w:rPr>
              <w:t>«</w:t>
            </w:r>
            <w:r>
              <w:rPr>
                <w:rStyle w:val="IndexLink"/>
                <w:rtl w:val="true"/>
              </w:rPr>
              <w:t>هدایت با تصرف در قلوب بندگان</w:t>
            </w:r>
            <w:r>
              <w:rPr>
                <w:rStyle w:val="IndexLink"/>
                <w:rtl w:val="true"/>
              </w:rPr>
              <w:t>»</w:t>
              <w:tab/>
            </w:r>
            <w:r>
              <w:rPr>
                <w:rStyle w:val="IndexLink"/>
              </w:rPr>
              <w:t>72</w:t>
            </w:r>
          </w:hyperlink>
        </w:p>
        <w:p>
          <w:pPr>
            <w:pStyle w:val="Contents3"/>
            <w:tabs>
              <w:tab w:val="clear" w:pos="8459"/>
              <w:tab w:val="right" w:pos="9026" w:leader="dot"/>
            </w:tabs>
            <w:rPr/>
          </w:pPr>
          <w:hyperlink w:anchor="__RefHeading___Toc681029_1395250215">
            <w:r>
              <w:rPr>
                <w:webHidden/>
                <w:rStyle w:val="IndexLink"/>
                <w:rtl w:val="true"/>
              </w:rPr>
              <w:t>نقاط اشتراک و انفصال دو دیدگاه</w:t>
            </w:r>
            <w:r>
              <w:rPr>
                <w:rStyle w:val="IndexLink"/>
                <w:rtl w:val="true"/>
              </w:rPr>
              <w:tab/>
            </w:r>
            <w:r>
              <w:rPr>
                <w:rStyle w:val="IndexLink"/>
              </w:rPr>
              <w:t>75</w:t>
            </w:r>
          </w:hyperlink>
        </w:p>
        <w:p>
          <w:pPr>
            <w:pStyle w:val="Contents3"/>
            <w:tabs>
              <w:tab w:val="clear" w:pos="8459"/>
              <w:tab w:val="right" w:pos="9026" w:leader="dot"/>
            </w:tabs>
            <w:rPr/>
          </w:pPr>
          <w:hyperlink w:anchor="__RefHeading___Toc681031_1395250215">
            <w:r>
              <w:rPr>
                <w:webHidden/>
                <w:rStyle w:val="IndexLink"/>
                <w:rtl w:val="true"/>
              </w:rPr>
              <w:t>ارزیابیِ دو دیدگاه با معیار لغت، قرآن و روایات</w:t>
            </w:r>
            <w:r>
              <w:rPr>
                <w:rStyle w:val="IndexLink"/>
                <w:rtl w:val="true"/>
              </w:rPr>
              <w:tab/>
            </w:r>
            <w:r>
              <w:rPr>
                <w:rStyle w:val="IndexLink"/>
              </w:rPr>
              <w:t>76</w:t>
            </w:r>
          </w:hyperlink>
        </w:p>
        <w:p>
          <w:pPr>
            <w:pStyle w:val="Contents3"/>
            <w:tabs>
              <w:tab w:val="clear" w:pos="8459"/>
              <w:tab w:val="right" w:pos="9026" w:leader="dot"/>
            </w:tabs>
            <w:rPr/>
          </w:pPr>
          <w:hyperlink w:anchor="__RefHeading___Toc681033_1395250215">
            <w:r>
              <w:rPr>
                <w:webHidden/>
                <w:rStyle w:val="IndexLink"/>
                <w:rtl w:val="true"/>
              </w:rPr>
              <w:t>معنای امام در لغت</w:t>
            </w:r>
            <w:r>
              <w:rPr>
                <w:rStyle w:val="IndexLink"/>
                <w:rtl w:val="true"/>
              </w:rPr>
              <w:tab/>
            </w:r>
            <w:r>
              <w:rPr>
                <w:rStyle w:val="IndexLink"/>
              </w:rPr>
              <w:t>76</w:t>
            </w:r>
          </w:hyperlink>
        </w:p>
        <w:p>
          <w:pPr>
            <w:pStyle w:val="Contents3"/>
            <w:tabs>
              <w:tab w:val="clear" w:pos="8459"/>
              <w:tab w:val="right" w:pos="9026" w:leader="dot"/>
            </w:tabs>
            <w:rPr/>
          </w:pPr>
          <w:hyperlink w:anchor="__RefHeading___Toc681035_1395250215">
            <w:r>
              <w:rPr>
                <w:webHidden/>
                <w:rStyle w:val="IndexLink"/>
                <w:rtl w:val="true"/>
              </w:rPr>
              <w:t>معنای امام در قرآن</w:t>
            </w:r>
            <w:r>
              <w:rPr>
                <w:rStyle w:val="IndexLink"/>
                <w:rtl w:val="true"/>
              </w:rPr>
              <w:tab/>
            </w:r>
            <w:r>
              <w:rPr>
                <w:rStyle w:val="IndexLink"/>
              </w:rPr>
              <w:t>76</w:t>
            </w:r>
          </w:hyperlink>
        </w:p>
        <w:p>
          <w:pPr>
            <w:pStyle w:val="Contents3"/>
            <w:tabs>
              <w:tab w:val="clear" w:pos="8459"/>
              <w:tab w:val="right" w:pos="9026" w:leader="dot"/>
            </w:tabs>
            <w:rPr/>
          </w:pPr>
          <w:hyperlink w:anchor="__RefHeading___Toc681037_1395250215">
            <w:r>
              <w:rPr>
                <w:webHidden/>
                <w:rStyle w:val="IndexLink"/>
                <w:rtl w:val="true"/>
              </w:rPr>
              <w:t>معنای امامت در روایات اهل‌بیت</w:t>
            </w:r>
            <w:r>
              <w:rPr>
                <w:rStyle w:val="IndexLink"/>
                <w:rtl w:val="true"/>
              </w:rPr>
              <w:tab/>
            </w:r>
            <w:r>
              <w:rPr>
                <w:rStyle w:val="IndexLink"/>
              </w:rPr>
              <w:t>78</w:t>
            </w:r>
          </w:hyperlink>
        </w:p>
        <w:p>
          <w:pPr>
            <w:pStyle w:val="Contents3"/>
            <w:tabs>
              <w:tab w:val="clear" w:pos="8459"/>
              <w:tab w:val="right" w:pos="9026" w:leader="dot"/>
            </w:tabs>
            <w:rPr/>
          </w:pPr>
          <w:hyperlink w:anchor="__RefHeading___Toc681039_1395250215">
            <w:r>
              <w:rPr>
                <w:webHidden/>
                <w:rStyle w:val="IndexLink"/>
                <w:rtl w:val="true"/>
              </w:rPr>
              <w:t>تغایر امامت با نبوت و رسالت</w:t>
            </w:r>
            <w:r>
              <w:rPr>
                <w:rStyle w:val="IndexLink"/>
                <w:rtl w:val="true"/>
              </w:rPr>
              <w:tab/>
            </w:r>
            <w:r>
              <w:rPr>
                <w:rStyle w:val="IndexLink"/>
              </w:rPr>
              <w:t>80</w:t>
            </w:r>
          </w:hyperlink>
        </w:p>
        <w:p>
          <w:pPr>
            <w:pStyle w:val="Contents3"/>
            <w:tabs>
              <w:tab w:val="clear" w:pos="8459"/>
              <w:tab w:val="right" w:pos="9026" w:leader="dot"/>
            </w:tabs>
            <w:rPr/>
          </w:pPr>
          <w:hyperlink w:anchor="__RefHeading___Toc681041_1395250215">
            <w:r>
              <w:rPr>
                <w:webHidden/>
                <w:rStyle w:val="IndexLink"/>
                <w:rtl w:val="true"/>
              </w:rPr>
              <w:t>نتیجه گیری</w:t>
            </w:r>
            <w:r>
              <w:rPr>
                <w:rStyle w:val="IndexLink"/>
                <w:rtl w:val="true"/>
              </w:rPr>
              <w:tab/>
            </w:r>
            <w:r>
              <w:rPr>
                <w:rStyle w:val="IndexLink"/>
              </w:rPr>
              <w:t>82</w:t>
            </w:r>
          </w:hyperlink>
        </w:p>
        <w:p>
          <w:pPr>
            <w:pStyle w:val="Contents3"/>
            <w:tabs>
              <w:tab w:val="clear" w:pos="8459"/>
              <w:tab w:val="right" w:pos="9026" w:leader="dot"/>
            </w:tabs>
            <w:rPr/>
          </w:pPr>
          <w:hyperlink w:anchor="__RefHeading___Toc681043_1395250215">
            <w:r>
              <w:rPr>
                <w:webHidden/>
                <w:rStyle w:val="IndexLink"/>
                <w:rtl w:val="true"/>
              </w:rPr>
              <w:t>منابع</w:t>
            </w:r>
            <w:r>
              <w:rPr>
                <w:rStyle w:val="IndexLink"/>
                <w:rtl w:val="true"/>
              </w:rPr>
              <w:tab/>
            </w:r>
            <w:r>
              <w:rPr>
                <w:rStyle w:val="IndexLink"/>
              </w:rPr>
              <w:t>83</w:t>
            </w:r>
          </w:hyperlink>
        </w:p>
        <w:p>
          <w:pPr>
            <w:pStyle w:val="Contents2"/>
            <w:tabs>
              <w:tab w:val="clear" w:pos="8743"/>
              <w:tab w:val="right" w:pos="9026" w:leader="dot"/>
            </w:tabs>
            <w:rPr/>
          </w:pPr>
          <w:hyperlink w:anchor="__RefHeading___Toc681045_1395250215">
            <w:r>
              <w:rPr>
                <w:webHidden/>
                <w:rStyle w:val="IndexLink"/>
                <w:rtl w:val="true"/>
              </w:rPr>
              <w:t>شهود، یکی از روش‌های علم‌آموزیِ ائمه علیهم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681047_139525021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681049_1395250215">
            <w:r>
              <w:rPr>
                <w:webHidden/>
                <w:rStyle w:val="IndexLink"/>
                <w:rtl w:val="true"/>
              </w:rPr>
              <w:t>چکیده</w:t>
            </w:r>
            <w:r>
              <w:rPr>
                <w:rStyle w:val="IndexLink"/>
                <w:rtl w:val="true"/>
              </w:rPr>
              <w:tab/>
            </w:r>
            <w:r>
              <w:rPr>
                <w:rStyle w:val="IndexLink"/>
              </w:rPr>
              <w:t>86</w:t>
            </w:r>
          </w:hyperlink>
        </w:p>
        <w:p>
          <w:pPr>
            <w:pStyle w:val="Contents3"/>
            <w:tabs>
              <w:tab w:val="clear" w:pos="8459"/>
              <w:tab w:val="right" w:pos="9026" w:leader="dot"/>
            </w:tabs>
            <w:rPr/>
          </w:pPr>
          <w:hyperlink w:anchor="__RefHeading___Toc681051_1395250215">
            <w:r>
              <w:rPr>
                <w:webHidden/>
                <w:rStyle w:val="IndexLink"/>
                <w:rtl w:val="true"/>
              </w:rPr>
              <w:t>واژگان کلیدی</w:t>
            </w:r>
            <w:r>
              <w:rPr>
                <w:rStyle w:val="IndexLink"/>
                <w:rtl w:val="true"/>
              </w:rPr>
              <w:tab/>
            </w:r>
            <w:r>
              <w:rPr>
                <w:rStyle w:val="IndexLink"/>
              </w:rPr>
              <w:t>86</w:t>
            </w:r>
          </w:hyperlink>
        </w:p>
        <w:p>
          <w:pPr>
            <w:pStyle w:val="Contents3"/>
            <w:tabs>
              <w:tab w:val="clear" w:pos="8459"/>
              <w:tab w:val="right" w:pos="9026" w:leader="dot"/>
            </w:tabs>
            <w:rPr/>
          </w:pPr>
          <w:hyperlink w:anchor="__RefHeading___Toc681053_1395250215">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681055_1395250215">
            <w:r>
              <w:rPr>
                <w:webHidden/>
                <w:rStyle w:val="IndexLink"/>
              </w:rPr>
              <w:t>1</w:t>
            </w:r>
            <w:r>
              <w:rPr>
                <w:rStyle w:val="IndexLink"/>
                <w:rtl w:val="true"/>
              </w:rPr>
              <w:t xml:space="preserve">. </w:t>
            </w:r>
            <w:r>
              <w:rPr>
                <w:rStyle w:val="IndexLink"/>
                <w:rtl w:val="true"/>
              </w:rPr>
              <w:t>شهود باورها</w:t>
            </w:r>
            <w:r>
              <w:rPr>
                <w:rStyle w:val="IndexLink"/>
                <w:rtl w:val="true"/>
              </w:rPr>
              <w:tab/>
            </w:r>
            <w:r>
              <w:rPr>
                <w:rStyle w:val="IndexLink"/>
              </w:rPr>
              <w:t>89</w:t>
            </w:r>
          </w:hyperlink>
        </w:p>
        <w:p>
          <w:pPr>
            <w:pStyle w:val="Contents3"/>
            <w:tabs>
              <w:tab w:val="clear" w:pos="8459"/>
              <w:tab w:val="right" w:pos="9026" w:leader="dot"/>
            </w:tabs>
            <w:rPr/>
          </w:pPr>
          <w:hyperlink w:anchor="__RefHeading___Toc681057_1395250215">
            <w:r>
              <w:rPr>
                <w:webHidden/>
                <w:rStyle w:val="IndexLink"/>
              </w:rPr>
              <w:t>2</w:t>
            </w:r>
            <w:r>
              <w:rPr>
                <w:rStyle w:val="IndexLink"/>
                <w:rtl w:val="true"/>
              </w:rPr>
              <w:t xml:space="preserve">. </w:t>
            </w:r>
            <w:r>
              <w:rPr>
                <w:rStyle w:val="IndexLink"/>
                <w:rtl w:val="true"/>
              </w:rPr>
              <w:t>شهود اعمال</w:t>
            </w:r>
            <w:r>
              <w:rPr>
                <w:rStyle w:val="IndexLink"/>
                <w:rtl w:val="true"/>
              </w:rPr>
              <w:tab/>
            </w:r>
            <w:r>
              <w:rPr>
                <w:rStyle w:val="IndexLink"/>
              </w:rPr>
              <w:t>92</w:t>
            </w:r>
          </w:hyperlink>
        </w:p>
        <w:p>
          <w:pPr>
            <w:pStyle w:val="Contents4"/>
            <w:tabs>
              <w:tab w:val="clear" w:pos="8176"/>
              <w:tab w:val="right" w:pos="9026" w:leader="dot"/>
            </w:tabs>
            <w:rPr/>
          </w:pPr>
          <w:hyperlink w:anchor="__RefHeading___Toc681059_139525021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81061_1395250215">
            <w:r>
              <w:rPr>
                <w:webHidden/>
                <w:rStyle w:val="IndexLink"/>
                <w:rtl w:val="true"/>
              </w:rPr>
              <w:t>عمودِ نورانی و عرضه اعمال</w:t>
            </w:r>
            <w:r>
              <w:rPr>
                <w:rStyle w:val="IndexLink"/>
                <w:rtl w:val="true"/>
              </w:rPr>
              <w:tab/>
            </w:r>
            <w:r>
              <w:rPr>
                <w:rStyle w:val="IndexLink"/>
              </w:rPr>
              <w:t>93</w:t>
            </w:r>
          </w:hyperlink>
        </w:p>
        <w:p>
          <w:pPr>
            <w:pStyle w:val="Contents4"/>
            <w:tabs>
              <w:tab w:val="clear" w:pos="8176"/>
              <w:tab w:val="right" w:pos="9026" w:leader="dot"/>
            </w:tabs>
            <w:rPr/>
          </w:pPr>
          <w:hyperlink w:anchor="__RefHeading___Toc681063_1395250215">
            <w:r>
              <w:rPr>
                <w:webHidden/>
                <w:rStyle w:val="IndexLink"/>
                <w:rtl w:val="true"/>
              </w:rPr>
              <w:t>چیستیِ عمود نورانی</w:t>
            </w:r>
            <w:r>
              <w:rPr>
                <w:rStyle w:val="IndexLink"/>
                <w:rtl w:val="true"/>
              </w:rPr>
              <w:tab/>
            </w:r>
            <w:r>
              <w:rPr>
                <w:rStyle w:val="IndexLink"/>
              </w:rPr>
              <w:t>94</w:t>
            </w:r>
          </w:hyperlink>
        </w:p>
        <w:p>
          <w:pPr>
            <w:pStyle w:val="Contents3"/>
            <w:tabs>
              <w:tab w:val="clear" w:pos="8459"/>
              <w:tab w:val="right" w:pos="9026" w:leader="dot"/>
            </w:tabs>
            <w:rPr/>
          </w:pPr>
          <w:hyperlink w:anchor="__RefHeading___Toc681065_1395250215">
            <w:r>
              <w:rPr>
                <w:webHidden/>
                <w:rStyle w:val="IndexLink"/>
              </w:rPr>
              <w:t>3</w:t>
            </w:r>
            <w:r>
              <w:rPr>
                <w:rStyle w:val="IndexLink"/>
                <w:rtl w:val="true"/>
              </w:rPr>
              <w:t xml:space="preserve">. </w:t>
            </w:r>
            <w:r>
              <w:rPr>
                <w:rStyle w:val="IndexLink"/>
                <w:rtl w:val="true"/>
              </w:rPr>
              <w:t>شهود سایر حقایق</w:t>
            </w:r>
            <w:r>
              <w:rPr>
                <w:rStyle w:val="IndexLink"/>
                <w:rtl w:val="true"/>
              </w:rPr>
              <w:tab/>
            </w:r>
            <w:r>
              <w:rPr>
                <w:rStyle w:val="IndexLink"/>
              </w:rPr>
              <w:t>95</w:t>
            </w:r>
          </w:hyperlink>
        </w:p>
        <w:p>
          <w:pPr>
            <w:pStyle w:val="Contents3"/>
            <w:tabs>
              <w:tab w:val="clear" w:pos="8459"/>
              <w:tab w:val="right" w:pos="9026" w:leader="dot"/>
            </w:tabs>
            <w:rPr/>
          </w:pPr>
          <w:hyperlink w:anchor="__RefHeading___Toc681067_1395250215">
            <w:r>
              <w:rPr>
                <w:webHidden/>
                <w:rStyle w:val="IndexLink"/>
                <w:rtl w:val="true"/>
              </w:rPr>
              <w:t>نتیجه‌گیری</w:t>
            </w:r>
            <w:r>
              <w:rPr>
                <w:rStyle w:val="IndexLink"/>
                <w:rtl w:val="true"/>
              </w:rPr>
              <w:tab/>
            </w:r>
            <w:r>
              <w:rPr>
                <w:rStyle w:val="IndexLink"/>
              </w:rPr>
              <w:t>97</w:t>
            </w:r>
          </w:hyperlink>
        </w:p>
        <w:p>
          <w:pPr>
            <w:pStyle w:val="Contents3"/>
            <w:tabs>
              <w:tab w:val="clear" w:pos="8459"/>
              <w:tab w:val="right" w:pos="9026" w:leader="dot"/>
            </w:tabs>
            <w:rPr/>
          </w:pPr>
          <w:hyperlink w:anchor="__RefHeading___Toc681069_1395250215">
            <w:r>
              <w:rPr>
                <w:webHidden/>
                <w:rStyle w:val="IndexLink"/>
                <w:rtl w:val="true"/>
              </w:rPr>
              <w:t>منابع</w:t>
            </w:r>
            <w:r>
              <w:rPr>
                <w:rStyle w:val="IndexLink"/>
                <w:rtl w:val="true"/>
              </w:rPr>
              <w:tab/>
            </w:r>
            <w:r>
              <w:rPr>
                <w:rStyle w:val="IndexLink"/>
              </w:rPr>
              <w:t>98</w:t>
            </w:r>
          </w:hyperlink>
        </w:p>
        <w:p>
          <w:pPr>
            <w:pStyle w:val="Contents2"/>
            <w:tabs>
              <w:tab w:val="clear" w:pos="8743"/>
              <w:tab w:val="right" w:pos="9026" w:leader="dot"/>
            </w:tabs>
            <w:rPr/>
          </w:pPr>
          <w:hyperlink w:anchor="__RefHeading___Toc681071_1395250215">
            <w:r>
              <w:rPr>
                <w:webHidden/>
                <w:rStyle w:val="IndexLink"/>
                <w:rtl w:val="true"/>
              </w:rPr>
              <w:t>تأملی دوباره در خداشناسیِ فطری با تأکید بر موانع فطرت و عوامل مانع زدایی از آن</w:t>
            </w:r>
            <w:r>
              <w:rPr>
                <w:rStyle w:val="IndexLink"/>
                <w:rtl w:val="true"/>
              </w:rPr>
              <w:tab/>
            </w:r>
            <w:r>
              <w:rPr>
                <w:rStyle w:val="IndexLink"/>
              </w:rPr>
              <w:t>101</w:t>
            </w:r>
          </w:hyperlink>
        </w:p>
        <w:p>
          <w:pPr>
            <w:pStyle w:val="Contents3"/>
            <w:tabs>
              <w:tab w:val="clear" w:pos="8459"/>
              <w:tab w:val="right" w:pos="9026" w:leader="dot"/>
            </w:tabs>
            <w:rPr/>
          </w:pPr>
          <w:hyperlink w:anchor="__RefHeading___Toc681073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681075_1395250215">
            <w:r>
              <w:rPr>
                <w:webHidden/>
                <w:rStyle w:val="IndexLink"/>
                <w:rtl w:val="true"/>
              </w:rPr>
              <w:t>چکیده</w:t>
            </w:r>
            <w:r>
              <w:rPr>
                <w:rStyle w:val="IndexLink"/>
                <w:rtl w:val="true"/>
              </w:rPr>
              <w:tab/>
            </w:r>
            <w:r>
              <w:rPr>
                <w:rStyle w:val="IndexLink"/>
              </w:rPr>
              <w:t>101</w:t>
            </w:r>
          </w:hyperlink>
        </w:p>
        <w:p>
          <w:pPr>
            <w:pStyle w:val="Contents3"/>
            <w:tabs>
              <w:tab w:val="clear" w:pos="8459"/>
              <w:tab w:val="right" w:pos="9026" w:leader="dot"/>
            </w:tabs>
            <w:rPr/>
          </w:pPr>
          <w:hyperlink w:anchor="__RefHeading___Toc681077_1395250215">
            <w:r>
              <w:rPr>
                <w:webHidden/>
                <w:rStyle w:val="IndexLink"/>
                <w:rtl w:val="true"/>
              </w:rPr>
              <w:t>واژگان کلیدی</w:t>
            </w:r>
            <w:r>
              <w:rPr>
                <w:rStyle w:val="IndexLink"/>
                <w:rtl w:val="true"/>
              </w:rPr>
              <w:tab/>
            </w:r>
            <w:r>
              <w:rPr>
                <w:rStyle w:val="IndexLink"/>
              </w:rPr>
              <w:t>101</w:t>
            </w:r>
          </w:hyperlink>
        </w:p>
        <w:p>
          <w:pPr>
            <w:pStyle w:val="Contents3"/>
            <w:tabs>
              <w:tab w:val="clear" w:pos="8459"/>
              <w:tab w:val="right" w:pos="9026" w:leader="dot"/>
            </w:tabs>
            <w:rPr/>
          </w:pPr>
          <w:hyperlink w:anchor="__RefHeading___Toc681079_1395250215">
            <w:r>
              <w:rPr>
                <w:webHidden/>
                <w:rStyle w:val="IndexLink"/>
                <w:rtl w:val="true"/>
              </w:rPr>
              <w:t>طرح مسئله</w:t>
            </w:r>
            <w:r>
              <w:rPr>
                <w:rStyle w:val="IndexLink"/>
                <w:rtl w:val="true"/>
              </w:rPr>
              <w:tab/>
            </w:r>
            <w:r>
              <w:rPr>
                <w:rStyle w:val="IndexLink"/>
              </w:rPr>
              <w:t>102</w:t>
            </w:r>
          </w:hyperlink>
        </w:p>
        <w:p>
          <w:pPr>
            <w:pStyle w:val="Contents3"/>
            <w:tabs>
              <w:tab w:val="clear" w:pos="8459"/>
              <w:tab w:val="right" w:pos="9026" w:leader="dot"/>
            </w:tabs>
            <w:rPr/>
          </w:pPr>
          <w:hyperlink w:anchor="__RefHeading___Toc681081_1395250215">
            <w:r>
              <w:rPr>
                <w:webHidden/>
                <w:rStyle w:val="IndexLink"/>
                <w:rtl w:val="true"/>
              </w:rPr>
              <w:t>سه نظریه در فطرت الهی</w:t>
            </w:r>
            <w:r>
              <w:rPr>
                <w:rStyle w:val="IndexLink"/>
                <w:rtl w:val="true"/>
              </w:rPr>
              <w:tab/>
            </w:r>
            <w:r>
              <w:rPr>
                <w:rStyle w:val="IndexLink"/>
              </w:rPr>
              <w:t>102</w:t>
            </w:r>
          </w:hyperlink>
        </w:p>
        <w:p>
          <w:pPr>
            <w:pStyle w:val="Contents4"/>
            <w:tabs>
              <w:tab w:val="clear" w:pos="8176"/>
              <w:tab w:val="right" w:pos="9026" w:leader="dot"/>
            </w:tabs>
            <w:rPr/>
          </w:pPr>
          <w:hyperlink w:anchor="__RefHeading___Toc681083_139525021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81085_1395250215">
            <w:r>
              <w:rPr>
                <w:webHidden/>
                <w:rStyle w:val="IndexLink"/>
                <w:rtl w:val="true"/>
              </w:rPr>
              <w:t>نظریه اول</w:t>
            </w:r>
            <w:r>
              <w:rPr>
                <w:rStyle w:val="IndexLink"/>
                <w:rtl w:val="true"/>
              </w:rPr>
              <w:tab/>
            </w:r>
            <w:r>
              <w:rPr>
                <w:rStyle w:val="IndexLink"/>
              </w:rPr>
              <w:t>102</w:t>
            </w:r>
          </w:hyperlink>
        </w:p>
        <w:p>
          <w:pPr>
            <w:pStyle w:val="Contents4"/>
            <w:tabs>
              <w:tab w:val="clear" w:pos="8176"/>
              <w:tab w:val="right" w:pos="9026" w:leader="dot"/>
            </w:tabs>
            <w:rPr/>
          </w:pPr>
          <w:hyperlink w:anchor="__RefHeading___Toc681087_1395250215">
            <w:r>
              <w:rPr>
                <w:webHidden/>
                <w:rStyle w:val="IndexLink"/>
                <w:rtl w:val="true"/>
              </w:rPr>
              <w:t>نظریه دوم</w:t>
            </w:r>
            <w:r>
              <w:rPr>
                <w:rStyle w:val="IndexLink"/>
                <w:rtl w:val="true"/>
              </w:rPr>
              <w:tab/>
            </w:r>
            <w:r>
              <w:rPr>
                <w:rStyle w:val="IndexLink"/>
              </w:rPr>
              <w:t>102</w:t>
            </w:r>
          </w:hyperlink>
        </w:p>
        <w:p>
          <w:pPr>
            <w:pStyle w:val="Contents4"/>
            <w:tabs>
              <w:tab w:val="clear" w:pos="8176"/>
              <w:tab w:val="right" w:pos="9026" w:leader="dot"/>
            </w:tabs>
            <w:rPr/>
          </w:pPr>
          <w:hyperlink w:anchor="__RefHeading___Toc681089_1395250215">
            <w:r>
              <w:rPr>
                <w:webHidden/>
                <w:rStyle w:val="IndexLink"/>
                <w:rtl w:val="true"/>
              </w:rPr>
              <w:t>نظریه سوم</w:t>
            </w:r>
            <w:r>
              <w:rPr>
                <w:rStyle w:val="IndexLink"/>
                <w:rtl w:val="true"/>
              </w:rPr>
              <w:tab/>
            </w:r>
            <w:r>
              <w:rPr>
                <w:rStyle w:val="IndexLink"/>
              </w:rPr>
              <w:t>103</w:t>
            </w:r>
          </w:hyperlink>
        </w:p>
        <w:p>
          <w:pPr>
            <w:pStyle w:val="Contents3"/>
            <w:tabs>
              <w:tab w:val="clear" w:pos="8459"/>
              <w:tab w:val="right" w:pos="9026" w:leader="dot"/>
            </w:tabs>
            <w:rPr/>
          </w:pPr>
          <w:hyperlink w:anchor="__RefHeading___Toc681091_1395250215">
            <w:r>
              <w:rPr>
                <w:webHidden/>
                <w:rStyle w:val="IndexLink"/>
                <w:rtl w:val="true"/>
              </w:rPr>
              <w:t>جایگاه فطرت در نظام عقیدتی اسلام</w:t>
            </w:r>
            <w:r>
              <w:rPr>
                <w:rStyle w:val="IndexLink"/>
                <w:rtl w:val="true"/>
              </w:rPr>
              <w:tab/>
            </w:r>
            <w:r>
              <w:rPr>
                <w:rStyle w:val="IndexLink"/>
              </w:rPr>
              <w:t>104</w:t>
            </w:r>
          </w:hyperlink>
        </w:p>
        <w:p>
          <w:pPr>
            <w:pStyle w:val="Contents3"/>
            <w:tabs>
              <w:tab w:val="clear" w:pos="8459"/>
              <w:tab w:val="right" w:pos="9026" w:leader="dot"/>
            </w:tabs>
            <w:rPr/>
          </w:pPr>
          <w:hyperlink w:anchor="__RefHeading___Toc681093_1395250215">
            <w:r>
              <w:rPr>
                <w:webHidden/>
                <w:rStyle w:val="IndexLink"/>
                <w:rtl w:val="true"/>
              </w:rPr>
              <w:t>تجلی و اختفای حق</w:t>
            </w:r>
            <w:r>
              <w:rPr>
                <w:rStyle w:val="IndexLink"/>
                <w:rtl w:val="true"/>
              </w:rPr>
              <w:tab/>
            </w:r>
            <w:r>
              <w:rPr>
                <w:rStyle w:val="IndexLink"/>
              </w:rPr>
              <w:t>108</w:t>
            </w:r>
          </w:hyperlink>
        </w:p>
        <w:p>
          <w:pPr>
            <w:pStyle w:val="Contents3"/>
            <w:tabs>
              <w:tab w:val="clear" w:pos="8459"/>
              <w:tab w:val="right" w:pos="9026" w:leader="dot"/>
            </w:tabs>
            <w:rPr/>
          </w:pPr>
          <w:hyperlink w:anchor="__RefHeading___Toc681095_1395250215">
            <w:r>
              <w:rPr>
                <w:webHidden/>
                <w:rStyle w:val="IndexLink"/>
                <w:rtl w:val="true"/>
              </w:rPr>
              <w:t>رابطه فطرت با سه نظریه پیشین</w:t>
            </w:r>
            <w:r>
              <w:rPr>
                <w:rStyle w:val="IndexLink"/>
                <w:rtl w:val="true"/>
              </w:rPr>
              <w:tab/>
            </w:r>
            <w:r>
              <w:rPr>
                <w:rStyle w:val="IndexLink"/>
              </w:rPr>
              <w:t>109</w:t>
            </w:r>
          </w:hyperlink>
        </w:p>
        <w:p>
          <w:pPr>
            <w:pStyle w:val="Contents3"/>
            <w:tabs>
              <w:tab w:val="clear" w:pos="8459"/>
              <w:tab w:val="right" w:pos="9026" w:leader="dot"/>
            </w:tabs>
            <w:rPr/>
          </w:pPr>
          <w:hyperlink w:anchor="__RefHeading___Toc681097_1395250215">
            <w:r>
              <w:rPr>
                <w:webHidden/>
                <w:rStyle w:val="IndexLink"/>
                <w:rtl w:val="true"/>
              </w:rPr>
              <w:t>موانع فطرت خداشناسی</w:t>
            </w:r>
            <w:r>
              <w:rPr>
                <w:rStyle w:val="IndexLink"/>
                <w:rtl w:val="true"/>
              </w:rPr>
              <w:tab/>
            </w:r>
            <w:r>
              <w:rPr>
                <w:rStyle w:val="IndexLink"/>
              </w:rPr>
              <w:t>110</w:t>
            </w:r>
          </w:hyperlink>
        </w:p>
        <w:p>
          <w:pPr>
            <w:pStyle w:val="Contents3"/>
            <w:tabs>
              <w:tab w:val="clear" w:pos="8459"/>
              <w:tab w:val="right" w:pos="9026" w:leader="dot"/>
            </w:tabs>
            <w:rPr/>
          </w:pPr>
          <w:hyperlink w:anchor="__RefHeading___Toc681099_1395250215">
            <w:r>
              <w:rPr>
                <w:webHidden/>
                <w:rStyle w:val="IndexLink"/>
                <w:rtl w:val="true"/>
              </w:rPr>
              <w:t>راه کارهای اسلام در برطرف کردن موانع فطرت</w:t>
            </w:r>
            <w:r>
              <w:rPr>
                <w:rStyle w:val="IndexLink"/>
                <w:rtl w:val="true"/>
              </w:rPr>
              <w:tab/>
            </w:r>
            <w:r>
              <w:rPr>
                <w:rStyle w:val="IndexLink"/>
              </w:rPr>
              <w:t>111</w:t>
            </w:r>
          </w:hyperlink>
        </w:p>
        <w:p>
          <w:pPr>
            <w:pStyle w:val="Contents4"/>
            <w:tabs>
              <w:tab w:val="clear" w:pos="8176"/>
              <w:tab w:val="right" w:pos="9026" w:leader="dot"/>
            </w:tabs>
            <w:rPr/>
          </w:pPr>
          <w:hyperlink w:anchor="__RefHeading___Toc681101_139525021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81103_1395250215">
            <w:r>
              <w:rPr>
                <w:webHidden/>
                <w:rStyle w:val="IndexLink"/>
                <w:rtl w:val="true"/>
              </w:rPr>
              <w:t>راهکار اول</w:t>
            </w:r>
            <w:r>
              <w:rPr>
                <w:rStyle w:val="IndexLink"/>
                <w:rtl w:val="true"/>
              </w:rPr>
              <w:tab/>
            </w:r>
            <w:r>
              <w:rPr>
                <w:rStyle w:val="IndexLink"/>
              </w:rPr>
              <w:t>111</w:t>
            </w:r>
          </w:hyperlink>
        </w:p>
        <w:p>
          <w:pPr>
            <w:pStyle w:val="Contents4"/>
            <w:tabs>
              <w:tab w:val="clear" w:pos="8176"/>
              <w:tab w:val="right" w:pos="9026" w:leader="dot"/>
            </w:tabs>
            <w:rPr/>
          </w:pPr>
          <w:hyperlink w:anchor="__RefHeading___Toc681105_1395250215">
            <w:r>
              <w:rPr>
                <w:webHidden/>
                <w:rStyle w:val="IndexLink"/>
                <w:rtl w:val="true"/>
              </w:rPr>
              <w:t>راهکار دوم</w:t>
            </w:r>
            <w:r>
              <w:rPr>
                <w:rStyle w:val="IndexLink"/>
                <w:rtl w:val="true"/>
              </w:rPr>
              <w:tab/>
            </w:r>
            <w:r>
              <w:rPr>
                <w:rStyle w:val="IndexLink"/>
              </w:rPr>
              <w:t>112</w:t>
            </w:r>
          </w:hyperlink>
        </w:p>
        <w:p>
          <w:pPr>
            <w:pStyle w:val="Contents4"/>
            <w:tabs>
              <w:tab w:val="clear" w:pos="8176"/>
              <w:tab w:val="right" w:pos="9026" w:leader="dot"/>
            </w:tabs>
            <w:rPr/>
          </w:pPr>
          <w:hyperlink w:anchor="__RefHeading___Toc681107_1395250215">
            <w:r>
              <w:rPr>
                <w:webHidden/>
                <w:rStyle w:val="IndexLink"/>
                <w:rtl w:val="true"/>
              </w:rPr>
              <w:t>راهکار سوم</w:t>
            </w:r>
            <w:r>
              <w:rPr>
                <w:rStyle w:val="IndexLink"/>
                <w:rtl w:val="true"/>
              </w:rPr>
              <w:tab/>
            </w:r>
            <w:r>
              <w:rPr>
                <w:rStyle w:val="IndexLink"/>
              </w:rPr>
              <w:t>113</w:t>
            </w:r>
          </w:hyperlink>
        </w:p>
        <w:p>
          <w:pPr>
            <w:pStyle w:val="Contents3"/>
            <w:tabs>
              <w:tab w:val="clear" w:pos="8459"/>
              <w:tab w:val="right" w:pos="9026" w:leader="dot"/>
            </w:tabs>
            <w:rPr/>
          </w:pPr>
          <w:hyperlink w:anchor="__RefHeading___Toc681109_1395250215">
            <w:r>
              <w:rPr>
                <w:webHidden/>
                <w:rStyle w:val="IndexLink"/>
                <w:rtl w:val="true"/>
              </w:rPr>
              <w:t>لزوم دور در فرض تأثیرپذیریِ عقل و مانع زداییِ پیامبر</w:t>
            </w:r>
            <w:r>
              <w:rPr>
                <w:rStyle w:val="IndexLink"/>
                <w:rtl w:val="true"/>
              </w:rPr>
              <w:tab/>
            </w:r>
            <w:r>
              <w:rPr>
                <w:rStyle w:val="IndexLink"/>
              </w:rPr>
              <w:t>115</w:t>
            </w:r>
          </w:hyperlink>
        </w:p>
        <w:p>
          <w:pPr>
            <w:pStyle w:val="Contents3"/>
            <w:tabs>
              <w:tab w:val="clear" w:pos="8459"/>
              <w:tab w:val="right" w:pos="9026" w:leader="dot"/>
            </w:tabs>
            <w:rPr/>
          </w:pPr>
          <w:hyperlink w:anchor="__RefHeading___Toc681111_1395250215">
            <w:r>
              <w:rPr>
                <w:webHidden/>
                <w:rStyle w:val="IndexLink"/>
                <w:rtl w:val="true"/>
              </w:rPr>
              <w:t>پاسخ اشکال دور</w:t>
            </w:r>
            <w:r>
              <w:rPr>
                <w:rStyle w:val="IndexLink"/>
                <w:rtl w:val="true"/>
              </w:rPr>
              <w:tab/>
            </w:r>
            <w:r>
              <w:rPr>
                <w:rStyle w:val="IndexLink"/>
              </w:rPr>
              <w:t>116</w:t>
            </w:r>
          </w:hyperlink>
        </w:p>
        <w:p>
          <w:pPr>
            <w:pStyle w:val="Contents3"/>
            <w:tabs>
              <w:tab w:val="clear" w:pos="8459"/>
              <w:tab w:val="right" w:pos="9026" w:leader="dot"/>
            </w:tabs>
            <w:rPr/>
          </w:pPr>
          <w:hyperlink w:anchor="__RefHeading___Toc681113_1395250215">
            <w:r>
              <w:rPr>
                <w:webHidden/>
                <w:rStyle w:val="IndexLink"/>
                <w:rtl w:val="true"/>
              </w:rPr>
              <w:t>جمع بندی</w:t>
            </w:r>
            <w:r>
              <w:rPr>
                <w:rStyle w:val="IndexLink"/>
                <w:rtl w:val="true"/>
              </w:rPr>
              <w:tab/>
            </w:r>
            <w:r>
              <w:rPr>
                <w:rStyle w:val="IndexLink"/>
              </w:rPr>
              <w:t>118</w:t>
            </w:r>
          </w:hyperlink>
        </w:p>
        <w:p>
          <w:pPr>
            <w:pStyle w:val="Contents3"/>
            <w:tabs>
              <w:tab w:val="clear" w:pos="8459"/>
              <w:tab w:val="right" w:pos="9026" w:leader="dot"/>
            </w:tabs>
            <w:rPr/>
          </w:pPr>
          <w:hyperlink w:anchor="__RefHeading___Toc681115_1395250215">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681117_1395250215">
            <w:r>
              <w:rPr>
                <w:webHidden/>
                <w:rStyle w:val="IndexLink"/>
                <w:rtl w:val="true"/>
              </w:rPr>
              <w:t>بررسی اقناع مخاطب در پاسخ گوییِ قرآن به شبهات اعتقادی</w:t>
            </w:r>
            <w:r>
              <w:rPr>
                <w:rStyle w:val="IndexLink"/>
                <w:rtl w:val="true"/>
              </w:rPr>
              <w:tab/>
            </w:r>
            <w:r>
              <w:rPr>
                <w:rStyle w:val="IndexLink"/>
              </w:rPr>
              <w:t>121</w:t>
            </w:r>
          </w:hyperlink>
        </w:p>
        <w:p>
          <w:pPr>
            <w:pStyle w:val="Contents3"/>
            <w:tabs>
              <w:tab w:val="clear" w:pos="8459"/>
              <w:tab w:val="right" w:pos="9026" w:leader="dot"/>
            </w:tabs>
            <w:rPr/>
          </w:pPr>
          <w:hyperlink w:anchor="__RefHeading___Toc681119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681121_1395250215">
            <w:r>
              <w:rPr>
                <w:webHidden/>
                <w:rStyle w:val="IndexLink"/>
                <w:rtl w:val="true"/>
              </w:rPr>
              <w:t>چکیده</w:t>
            </w:r>
            <w:r>
              <w:rPr>
                <w:rStyle w:val="IndexLink"/>
                <w:rtl w:val="true"/>
              </w:rPr>
              <w:tab/>
            </w:r>
            <w:r>
              <w:rPr>
                <w:rStyle w:val="IndexLink"/>
              </w:rPr>
              <w:t>121</w:t>
            </w:r>
          </w:hyperlink>
        </w:p>
        <w:p>
          <w:pPr>
            <w:pStyle w:val="Contents3"/>
            <w:tabs>
              <w:tab w:val="clear" w:pos="8459"/>
              <w:tab w:val="right" w:pos="9026" w:leader="dot"/>
            </w:tabs>
            <w:rPr/>
          </w:pPr>
          <w:hyperlink w:anchor="__RefHeading___Toc681123_1395250215">
            <w:r>
              <w:rPr>
                <w:webHidden/>
                <w:rStyle w:val="IndexLink"/>
                <w:rtl w:val="true"/>
              </w:rPr>
              <w:t>واژگان کلیدی</w:t>
            </w:r>
            <w:r>
              <w:rPr>
                <w:rStyle w:val="IndexLink"/>
                <w:rtl w:val="true"/>
              </w:rPr>
              <w:tab/>
            </w:r>
            <w:r>
              <w:rPr>
                <w:rStyle w:val="IndexLink"/>
              </w:rPr>
              <w:t>121</w:t>
            </w:r>
          </w:hyperlink>
        </w:p>
        <w:p>
          <w:pPr>
            <w:pStyle w:val="Contents3"/>
            <w:tabs>
              <w:tab w:val="clear" w:pos="8459"/>
              <w:tab w:val="right" w:pos="9026" w:leader="dot"/>
            </w:tabs>
            <w:rPr/>
          </w:pPr>
          <w:hyperlink w:anchor="__RefHeading___Toc681125_1395250215">
            <w:r>
              <w:rPr>
                <w:webHidden/>
                <w:rStyle w:val="IndexLink"/>
                <w:rtl w:val="true"/>
              </w:rPr>
              <w:t>درآمد</w:t>
            </w:r>
            <w:r>
              <w:rPr>
                <w:rStyle w:val="IndexLink"/>
                <w:rtl w:val="true"/>
              </w:rPr>
              <w:tab/>
            </w:r>
            <w:r>
              <w:rPr>
                <w:rStyle w:val="IndexLink"/>
              </w:rPr>
              <w:t>122</w:t>
            </w:r>
          </w:hyperlink>
        </w:p>
        <w:p>
          <w:pPr>
            <w:pStyle w:val="Contents3"/>
            <w:tabs>
              <w:tab w:val="clear" w:pos="8459"/>
              <w:tab w:val="right" w:pos="9026" w:leader="dot"/>
            </w:tabs>
            <w:rPr/>
          </w:pPr>
          <w:hyperlink w:anchor="__RefHeading___Toc681127_1395250215">
            <w:r>
              <w:rPr>
                <w:webHidden/>
                <w:rStyle w:val="IndexLink"/>
                <w:rtl w:val="true"/>
              </w:rPr>
              <w:t xml:space="preserve">مفهوم </w:t>
            </w:r>
            <w:r>
              <w:rPr>
                <w:rStyle w:val="IndexLink"/>
                <w:rtl w:val="true"/>
              </w:rPr>
              <w:t>«</w:t>
            </w:r>
            <w:r>
              <w:rPr>
                <w:rStyle w:val="IndexLink"/>
                <w:rtl w:val="true"/>
              </w:rPr>
              <w:t>اقناع</w:t>
            </w:r>
            <w:r>
              <w:rPr>
                <w:rStyle w:val="IndexLink"/>
                <w:rtl w:val="true"/>
              </w:rPr>
              <w:t>»</w:t>
              <w:tab/>
            </w:r>
            <w:r>
              <w:rPr>
                <w:rStyle w:val="IndexLink"/>
              </w:rPr>
              <w:t>122</w:t>
            </w:r>
          </w:hyperlink>
        </w:p>
        <w:p>
          <w:pPr>
            <w:pStyle w:val="Contents4"/>
            <w:tabs>
              <w:tab w:val="clear" w:pos="8176"/>
              <w:tab w:val="right" w:pos="9026" w:leader="dot"/>
            </w:tabs>
            <w:rPr/>
          </w:pPr>
          <w:hyperlink w:anchor="__RefHeading___Toc681129_139525021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81131_1395250215">
            <w:r>
              <w:rPr>
                <w:webHidden/>
                <w:rStyle w:val="IndexLink"/>
              </w:rPr>
              <w:t>1</w:t>
            </w:r>
            <w:r>
              <w:rPr>
                <w:rStyle w:val="IndexLink"/>
                <w:rtl w:val="true"/>
              </w:rPr>
              <w:t xml:space="preserve">. </w:t>
            </w:r>
            <w:r>
              <w:rPr>
                <w:rStyle w:val="IndexLink"/>
                <w:rtl w:val="true"/>
              </w:rPr>
              <w:t>اقناع کامل</w:t>
            </w:r>
            <w:r>
              <w:rPr>
                <w:rStyle w:val="IndexLink"/>
                <w:rtl w:val="true"/>
              </w:rPr>
              <w:tab/>
            </w:r>
            <w:r>
              <w:rPr>
                <w:rStyle w:val="IndexLink"/>
              </w:rPr>
              <w:t>124</w:t>
            </w:r>
          </w:hyperlink>
        </w:p>
        <w:p>
          <w:pPr>
            <w:pStyle w:val="Contents4"/>
            <w:tabs>
              <w:tab w:val="clear" w:pos="8176"/>
              <w:tab w:val="right" w:pos="9026" w:leader="dot"/>
            </w:tabs>
            <w:rPr/>
          </w:pPr>
          <w:hyperlink w:anchor="__RefHeading___Toc681133_1395250215">
            <w:r>
              <w:rPr>
                <w:webHidden/>
                <w:rStyle w:val="IndexLink"/>
              </w:rPr>
              <w:t>2</w:t>
            </w:r>
            <w:r>
              <w:rPr>
                <w:rStyle w:val="IndexLink"/>
                <w:rtl w:val="true"/>
              </w:rPr>
              <w:t xml:space="preserve">. </w:t>
            </w:r>
            <w:r>
              <w:rPr>
                <w:rStyle w:val="IndexLink"/>
                <w:rtl w:val="true"/>
              </w:rPr>
              <w:t>اقناع صحیح، با ابزارهای مشروع</w:t>
            </w:r>
            <w:r>
              <w:rPr>
                <w:rStyle w:val="IndexLink"/>
                <w:rtl w:val="true"/>
              </w:rPr>
              <w:tab/>
            </w:r>
            <w:r>
              <w:rPr>
                <w:rStyle w:val="IndexLink"/>
              </w:rPr>
              <w:t>124</w:t>
            </w:r>
          </w:hyperlink>
        </w:p>
        <w:p>
          <w:pPr>
            <w:pStyle w:val="Contents4"/>
            <w:tabs>
              <w:tab w:val="clear" w:pos="8176"/>
              <w:tab w:val="right" w:pos="9026" w:leader="dot"/>
            </w:tabs>
            <w:rPr/>
          </w:pPr>
          <w:hyperlink w:anchor="__RefHeading___Toc681135_1395250215">
            <w:r>
              <w:rPr>
                <w:webHidden/>
                <w:rStyle w:val="IndexLink"/>
              </w:rPr>
              <w:t>3</w:t>
            </w:r>
            <w:r>
              <w:rPr>
                <w:rStyle w:val="IndexLink"/>
                <w:rtl w:val="true"/>
              </w:rPr>
              <w:t xml:space="preserve">. </w:t>
            </w:r>
            <w:r>
              <w:rPr>
                <w:rStyle w:val="IndexLink"/>
                <w:rtl w:val="true"/>
              </w:rPr>
              <w:t>اقناع در چهارچوب اختیار و آزادیِ انتخاب مخاطب</w:t>
            </w:r>
            <w:r>
              <w:rPr>
                <w:rStyle w:val="IndexLink"/>
                <w:rtl w:val="true"/>
              </w:rPr>
              <w:tab/>
            </w:r>
            <w:r>
              <w:rPr>
                <w:rStyle w:val="IndexLink"/>
              </w:rPr>
              <w:t>125</w:t>
            </w:r>
          </w:hyperlink>
        </w:p>
        <w:p>
          <w:pPr>
            <w:pStyle w:val="Contents3"/>
            <w:tabs>
              <w:tab w:val="clear" w:pos="8459"/>
              <w:tab w:val="right" w:pos="9026" w:leader="dot"/>
            </w:tabs>
            <w:rPr/>
          </w:pPr>
          <w:hyperlink w:anchor="__RefHeading___Toc681137_1395250215">
            <w:r>
              <w:rPr>
                <w:webHidden/>
                <w:rStyle w:val="IndexLink"/>
                <w:rtl w:val="true"/>
              </w:rPr>
              <w:t>مراحل فرایند اقناع از نظر دانشمندان</w:t>
            </w:r>
            <w:r>
              <w:rPr>
                <w:rStyle w:val="IndexLink"/>
                <w:rtl w:val="true"/>
              </w:rPr>
              <w:tab/>
            </w:r>
            <w:r>
              <w:rPr>
                <w:rStyle w:val="IndexLink"/>
              </w:rPr>
              <w:t>126</w:t>
            </w:r>
          </w:hyperlink>
        </w:p>
        <w:p>
          <w:pPr>
            <w:pStyle w:val="Contents4"/>
            <w:tabs>
              <w:tab w:val="clear" w:pos="8176"/>
              <w:tab w:val="right" w:pos="9026" w:leader="dot"/>
            </w:tabs>
            <w:rPr/>
          </w:pPr>
          <w:hyperlink w:anchor="__RefHeading___Toc681139_139525021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81141_1395250215">
            <w:r>
              <w:rPr>
                <w:webHidden/>
                <w:rStyle w:val="IndexLink"/>
                <w:rtl w:val="true"/>
              </w:rPr>
              <w:t>مرحله اول</w:t>
            </w:r>
            <w:r>
              <w:rPr>
                <w:rStyle w:val="IndexLink"/>
                <w:rtl w:val="true"/>
              </w:rPr>
              <w:tab/>
            </w:r>
            <w:r>
              <w:rPr>
                <w:rStyle w:val="IndexLink"/>
              </w:rPr>
              <w:t>126</w:t>
            </w:r>
          </w:hyperlink>
        </w:p>
        <w:p>
          <w:pPr>
            <w:pStyle w:val="Contents4"/>
            <w:tabs>
              <w:tab w:val="clear" w:pos="8176"/>
              <w:tab w:val="right" w:pos="9026" w:leader="dot"/>
            </w:tabs>
            <w:rPr/>
          </w:pPr>
          <w:hyperlink w:anchor="__RefHeading___Toc681143_1395250215">
            <w:r>
              <w:rPr>
                <w:webHidden/>
                <w:rStyle w:val="IndexLink"/>
                <w:rtl w:val="true"/>
              </w:rPr>
              <w:t>مرحله دوم</w:t>
            </w:r>
            <w:r>
              <w:rPr>
                <w:rStyle w:val="IndexLink"/>
                <w:rtl w:val="true"/>
              </w:rPr>
              <w:tab/>
            </w:r>
            <w:r>
              <w:rPr>
                <w:rStyle w:val="IndexLink"/>
              </w:rPr>
              <w:t>130</w:t>
            </w:r>
          </w:hyperlink>
        </w:p>
        <w:p>
          <w:pPr>
            <w:pStyle w:val="Contents3"/>
            <w:tabs>
              <w:tab w:val="clear" w:pos="8459"/>
              <w:tab w:val="right" w:pos="9026" w:leader="dot"/>
            </w:tabs>
            <w:rPr/>
          </w:pPr>
          <w:hyperlink w:anchor="__RefHeading___Toc681145_1395250215">
            <w:r>
              <w:rPr>
                <w:webHidden/>
                <w:rStyle w:val="IndexLink"/>
                <w:rtl w:val="true"/>
              </w:rPr>
              <w:t>نتیجه گیری</w:t>
            </w:r>
            <w:r>
              <w:rPr>
                <w:rStyle w:val="IndexLink"/>
                <w:rtl w:val="true"/>
              </w:rPr>
              <w:tab/>
            </w:r>
            <w:r>
              <w:rPr>
                <w:rStyle w:val="IndexLink"/>
              </w:rPr>
              <w:t>135</w:t>
            </w:r>
          </w:hyperlink>
        </w:p>
        <w:p>
          <w:pPr>
            <w:pStyle w:val="Contents3"/>
            <w:tabs>
              <w:tab w:val="clear" w:pos="8459"/>
              <w:tab w:val="right" w:pos="9026" w:leader="dot"/>
            </w:tabs>
            <w:rPr/>
          </w:pPr>
          <w:hyperlink w:anchor="__RefHeading___Toc681147_1395250215">
            <w:r>
              <w:rPr>
                <w:webHidden/>
                <w:rStyle w:val="IndexLink"/>
                <w:rtl w:val="true"/>
              </w:rPr>
              <w:t>منابع</w:t>
            </w:r>
            <w:r>
              <w:rPr>
                <w:rStyle w:val="IndexLink"/>
                <w:rtl w:val="true"/>
              </w:rPr>
              <w:tab/>
            </w:r>
            <w:r>
              <w:rPr>
                <w:rStyle w:val="IndexLink"/>
              </w:rPr>
              <w:t>135</w:t>
            </w:r>
          </w:hyperlink>
        </w:p>
        <w:p>
          <w:pPr>
            <w:pStyle w:val="Contents2"/>
            <w:tabs>
              <w:tab w:val="clear" w:pos="8743"/>
              <w:tab w:val="right" w:pos="9026" w:leader="dot"/>
            </w:tabs>
            <w:rPr/>
          </w:pPr>
          <w:hyperlink w:anchor="__RefHeading___Toc681149_1395250215">
            <w:r>
              <w:rPr>
                <w:webHidden/>
                <w:rStyle w:val="IndexLink"/>
                <w:rtl w:val="true"/>
              </w:rPr>
              <w:t>چکیده عربی مقالات</w:t>
            </w:r>
            <w:r>
              <w:rPr>
                <w:rStyle w:val="IndexLink"/>
                <w:rtl w:val="true"/>
              </w:rPr>
              <w:tab/>
            </w:r>
            <w:r>
              <w:rPr>
                <w:rStyle w:val="IndexLink"/>
              </w:rPr>
              <w:t>138</w:t>
            </w:r>
          </w:hyperlink>
        </w:p>
        <w:p>
          <w:pPr>
            <w:pStyle w:val="Contents2"/>
            <w:tabs>
              <w:tab w:val="clear" w:pos="8743"/>
              <w:tab w:val="right" w:pos="9026" w:leader="dot"/>
            </w:tabs>
            <w:rPr/>
          </w:pPr>
          <w:hyperlink w:anchor="__RefHeading___Toc681151_1395250215">
            <w:r>
              <w:rPr>
                <w:webHidden/>
                <w:rStyle w:val="IndexLink"/>
                <w:rtl w:val="true"/>
              </w:rPr>
              <w:t>چکیده انگلیسی مقالات</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3_32376"/>
      <w:bookmarkStart w:id="1" w:name="pg2653_32376"/>
      <w:bookmarkEnd w:id="1"/>
    </w:p>
    <w:p>
      <w:pPr>
        <w:pStyle w:val="Heading2"/>
        <w:numPr>
          <w:ilvl w:val="1"/>
          <w:numId w:val="1"/>
        </w:numPr>
        <w:rPr/>
      </w:pPr>
      <w:bookmarkStart w:id="2" w:name="pg2653_32376"/>
      <w:bookmarkStart w:id="3" w:name="__RefHeading___Toc680883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دوم، شماره هفتم، زمستان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885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bookmarkStart w:id="7" w:name="pg2653_32379"/>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8" w:name="__RefHeading___Toc680887_1395250215"/>
      <w:bookmarkStart w:id="9" w:name="_Toc3"/>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p>
    <w:p>
      <w:pPr>
        <w:pStyle w:val="Heading2"/>
        <w:numPr>
          <w:ilvl w:val="1"/>
          <w:numId w:val="1"/>
        </w:numPr>
        <w:rPr/>
      </w:pPr>
      <w:bookmarkStart w:id="10" w:name="__RefHeading___Toc680889_1395250215"/>
      <w:bookmarkStart w:id="11" w:name="_Toc4"/>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محدودیت ذاتیِ عقل در شناخت خدا؛ گونه ها و علت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رکعی، شعبان نصرتی، محمدتقی سبحانی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شیخ مفید و مسئله ارزش داوریِ عقل در حوزه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ملک مکان، رحیم دهقان سیمکانی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فرقه 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غلامعلی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ارزیابیِ دو نظریه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غلامی، مهدی فرمانیان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شهود، یکی از روش‌های علم‌آموزیِ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سیدعلی هاشمی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تأملی دوباره در خداشناسیِ فطری با تأکید بر موانع فطرت و عوامل مانع زدایی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ساجدی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بررسی اقناع مخاطب در پاسخ گوییِ قرآن به شبهات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افقی، رضا برنجکار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 w:name="__RefHeading___Toc680891_1395250215"/>
      <w:bookmarkStart w:id="13" w:name="_Toc5"/>
      <w:bookmarkEnd w:id="12"/>
      <w:r>
        <w:rPr>
          <w:rtl w:val="true"/>
        </w:rPr>
        <w:t>محدودیت ذاتیِ عقل در شناخت خدا؛ گونه ها و علت ها</w:t>
      </w:r>
      <w:bookmarkEnd w:id="13"/>
    </w:p>
    <w:p>
      <w:pPr>
        <w:pStyle w:val="Heading3"/>
        <w:numPr>
          <w:ilvl w:val="2"/>
          <w:numId w:val="1"/>
        </w:numPr>
        <w:rPr/>
      </w:pPr>
      <w:bookmarkStart w:id="14" w:name="__RefHeading___Toc680893_1395250215"/>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محمد رکعی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شعبان نصرتی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1393/04/07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1393/09/10</w:t>
      </w:r>
    </w:p>
    <w:p>
      <w:pPr>
        <w:pStyle w:val="Heading3"/>
        <w:numPr>
          <w:ilvl w:val="2"/>
          <w:numId w:val="1"/>
        </w:numPr>
        <w:rPr/>
      </w:pPr>
      <w:bookmarkStart w:id="16" w:name="__RefHeading___Toc680895_1395250215"/>
      <w:bookmarkStart w:id="17" w:name="_Toc7"/>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عقل، در جایگاه مهم ترین منبع معرفتیِ انسان، در حوزه خداشناسی محدودیت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دینی این محدودیت‌ها را در شناخت ذات، صفات و نیز برخی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گزارش می کنند و علاوه بر گزارش، چراییِ این محدودیت را نیز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بیان چراییِ محدودیت های عقل در حوزه های گوناگون خداشناسی، شیوه های دست‌یابی عقل به معرفت را تحلیل کرده اند و این روش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ضبط، تقسیم، تقدیر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شناخت ذات، صفات و برخی افعال الهی ناکارآمد می دانند، زیرا معرفتی که با این شیوه ها قابل اصطیاد است، معرفتی است که در محدوده ای بگنجد و چون ذات و صفات الهی هیچ نهایتی ندارد و بسیط است، پس به ادراک عقل درنمی آید</w:t>
      </w:r>
      <w:r>
        <w:rPr>
          <w:rFonts w:eastAsia="IRNazanin" w:cs="IRNazanin"/>
          <w:color w:val="111111"/>
          <w:sz w:val="28"/>
          <w:szCs w:val="28"/>
          <w:rtl w:val="true"/>
          <w:lang w:bidi="fa-IR"/>
        </w:rPr>
        <w:t>.</w:t>
      </w:r>
    </w:p>
    <w:p>
      <w:pPr>
        <w:pStyle w:val="Heading3"/>
        <w:numPr>
          <w:ilvl w:val="2"/>
          <w:numId w:val="1"/>
        </w:numPr>
        <w:rPr/>
      </w:pPr>
      <w:bookmarkStart w:id="18" w:name="__RefHeading___Toc680897_1395250215"/>
      <w:bookmarkStart w:id="19" w:name="_Toc8"/>
      <w:bookmarkEnd w:id="18"/>
      <w:r>
        <w:rPr>
          <w:rtl w:val="true"/>
        </w:rPr>
        <w:t>واژگان کلیدی</w:t>
      </w:r>
      <w:bookmarkEnd w:id="1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شناخت ذات و صفات، تقدیر، تصور، ضبط، احاطه، عقل</w:t>
      </w:r>
      <w:r>
        <w:rPr>
          <w:rFonts w:eastAsia="IRNazanin" w:cs="IRNazanin"/>
          <w:color w:val="111111"/>
          <w:sz w:val="28"/>
          <w:szCs w:val="28"/>
          <w:rtl w:val="true"/>
          <w:lang w:bidi="fa-IR"/>
        </w:rPr>
        <w:t>.</w:t>
      </w:r>
      <w:bookmarkStart w:id="20" w:name="pg2653_32380"/>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1" w:name="__RefHeading___Toc680899_1395250215"/>
      <w:bookmarkStart w:id="22" w:name="_Toc9"/>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در روایات اسلامی عقل، جایگاه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از عقل در میان بندگان تقسیم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بعد انسانی، اصل و اساس انسان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معرفت شناسی نیز نه تنها خود منبعی مستقل است، بلکه منبعیت منابع دیگر نیز با عقل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عقلی در حوزه اصول دین، شامل خداشناسی</w:t>
      </w:r>
      <w:r>
        <w:rPr>
          <w:rStyle w:val="FootnoteAnchor"/>
          <w:rtl w:val="true"/>
        </w:rPr>
        <w:footnoteReference w:id="5"/>
      </w:r>
      <w:r>
        <w:rPr>
          <w:rFonts w:ascii="IRNazanin" w:hAnsi="IRNazanin" w:eastAsia="IRNazanin"/>
          <w:color w:val="111111"/>
          <w:sz w:val="28"/>
          <w:sz w:val="28"/>
          <w:szCs w:val="28"/>
          <w:rtl w:val="true"/>
          <w:lang w:bidi="fa-IR"/>
        </w:rPr>
        <w:t xml:space="preserve">، نبوت‌شناسی </w:t>
      </w:r>
      <w:r>
        <w:rPr>
          <w:rStyle w:val="FootnoteAnchor"/>
          <w:rtl w:val="true"/>
        </w:rPr>
        <w:footnoteReference w:id="6"/>
      </w:r>
      <w:r>
        <w:rPr>
          <w:rFonts w:ascii="IRNazanin" w:hAnsi="IRNazanin" w:eastAsia="IRNazanin"/>
          <w:color w:val="111111"/>
          <w:sz w:val="28"/>
          <w:sz w:val="28"/>
          <w:szCs w:val="28"/>
          <w:rtl w:val="true"/>
          <w:lang w:bidi="fa-IR"/>
        </w:rPr>
        <w:t>و معادشناسی</w:t>
      </w:r>
      <w:r>
        <w:rPr>
          <w:rStyle w:val="FootnoteAnchor"/>
          <w:rtl w:val="true"/>
        </w:rPr>
        <w:footnoteReference w:id="7"/>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بیشترین شناخت های بشری یا از طریق عقل به دست می آیند و یا عقل در آن ها دخالت دارد؛ البته شناخت بشری دارای منابع، ابزار، قلمرو و محدودیت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اندکی از دانش، به شما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انسان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شناخت بشر ممکن است به دلیل نقیصه در هر یک از منابع، ابزار یا شیوه های انتقال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مهم ترین منبع علم انسان به شمار می رود و محدودیت آن، سبب محدودیت شناخت بشر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 آنیم تا قلمرو محدودیت‌های عقل و علت آن را با توجه به روایات،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تنوع روایات، می توان محدودیت های عقل را در سه گروه،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هایی هستند که به ذات عقل بازمی گردند؛ مقصود این است که برخی محدودیت ها، برخاسته از ذات عقل است و ماهیت و هستیِ عقل به گونه ای سرشته شده است که توان محدودی دارد و در برخی قلمروها توان نفوذ ندارد؛ یعنی در عدم کارآیی معرفتیِ عقل هیچ عامل خارجی دخیل نیست، بلکه این خودِ عقل است که به علت نوع وجودش در فهم برخی امور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در همه انسان‌ها یک‌سان است و در این جهت، پیامبران با انسان های دیگری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عقل در بنیان های دین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محدودیت عارضی این است که در این مورد نیز اگرچه عقل در فهم برخی امور ناتوان است، این ناتوانی نه به ذات عقل و نه به مرتبه آن بازمی گردد،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عامل اصلی، خللی است که در ابزار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یا مانعی است که در ابزار عقلی پدید آمده، این مانع عقل را در کسب معرفت ناتوان گردانیده است؛ برای نمونه گناه، نفاق و هوس در عملکرد عقل اثرگذارند و مانع درک عقل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هایی نیز وجود دارند که به مراتب و درجات عقل افراد</w:t>
      </w:r>
    </w:p>
    <w:p>
      <w:pPr>
        <w:pStyle w:val="BookText"/>
        <w:rPr/>
      </w:pPr>
      <w:r>
        <w:rPr>
          <w:rFonts w:ascii="IRNazanin" w:hAnsi="IRNazanin" w:eastAsia="IRNazanin"/>
          <w:color w:val="111111"/>
          <w:sz w:val="28"/>
          <w:sz w:val="28"/>
          <w:szCs w:val="28"/>
          <w:rtl w:val="true"/>
          <w:lang w:bidi="fa-IR"/>
        </w:rPr>
        <w:t>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مربوط به ذات عقل نیست، بلکه به مرتبه وجودی آن در افراد</w:t>
      </w:r>
    </w:p>
    <w:p>
      <w:pPr>
        <w:pStyle w:val="BookText"/>
        <w:rPr/>
      </w:pPr>
      <w:r>
        <w:rPr>
          <w:rFonts w:ascii="IRNazanin" w:hAnsi="IRNazanin" w:eastAsia="IRNazanin"/>
          <w:color w:val="111111"/>
          <w:sz w:val="28"/>
          <w:sz w:val="28"/>
          <w:szCs w:val="28"/>
          <w:rtl w:val="true"/>
          <w:lang w:bidi="fa-IR"/>
        </w:rPr>
        <w:t>باز می گردد؛ از این رو، شامل برخی افراد نمی شود؛ برای مثال، در برخی امور عقلِ انبیا و اولیا توان دریافت معارف را دارد، ولی انسان های دیگر از این توان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این نقیصه با آموزش برطرف می شود؛ یعنی محدودیت نسبیِ عقل، شامل همگان نیست و به گونه ای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محدودیت ها، این نوشتار تنها به محدودیت های ذاتیِ عقل خواهد پرداخت؛ بدین معنا که علت محدودیت عقل را در مواردی بررسی خواهد کرد که محدودیت به ذات عقل بازمی گردد و ناشی از محدودیت نسبی یا عارضی نیست؛ به عبارت دیگر، با وجود تمام توان‌مندی هایی که عقل از آن ها برخوردار است، حوزه هایی وجود دارند که دور از دست‌رس عقل باقی می مانند و عقل بدان ها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ذاتیِ عقل، بیشتر در حوزه خداشناسی رخ داده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برای نشان دادن محدودیت عقل در حوزه خداشناسی، روایات تنها به گزارش بسنده نکرده اند، بلکه علتِ این محدودیت را بیان و فرجام ناخوش‌آیندِ به‌کارگیری عقل در محدوده نهی‌شده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کشف احکام عقل باید به واژگان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لب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محدودیت کارکردی عقل،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حوایه، ضبط، تصور، تقسیم و ادراک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میان پژوهش های متن‌محور، بیشتر به گزارش محدودیت های عقل اکتفا شده و یا قلمرو محدوده عقل تحلیل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سامان یافته، به چراییِ محدودیت عقل در حوزه خداشناسی توجه نداشته ، علتِ این محدودیت را مسئله خود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رویکرد، قالب پژوهشی در پاسخ به چراییِ محدودیت عقل در حوزه خداشناسی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عقل در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نخست، اشاره ای مقدماتی به انواع محدودیت عقل می شود که در روایات بدان ها</w:t>
      </w:r>
      <w:bookmarkStart w:id="23" w:name="pg2653_32382"/>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پرداخته شده است و در محور دوم، علت هایی که به سبب آن عقل از ورود به شناخت خدا نهی شده است، پرداخته خواهد شد</w:t>
      </w:r>
      <w:r>
        <w:rPr>
          <w:rFonts w:eastAsia="IRNazanin" w:cs="IRNazanin"/>
          <w:color w:val="111111"/>
          <w:sz w:val="28"/>
          <w:szCs w:val="28"/>
          <w:rtl w:val="true"/>
          <w:lang w:bidi="fa-IR"/>
        </w:rPr>
        <w:t>.</w:t>
      </w:r>
    </w:p>
    <w:p>
      <w:pPr>
        <w:pStyle w:val="Heading3"/>
        <w:numPr>
          <w:ilvl w:val="2"/>
          <w:numId w:val="1"/>
        </w:numPr>
        <w:rPr/>
      </w:pPr>
      <w:bookmarkStart w:id="24" w:name="__RefHeading___Toc680901_1395250215"/>
      <w:bookmarkStart w:id="25" w:name="_Toc10"/>
      <w:bookmarkEnd w:id="24"/>
      <w:r>
        <w:rPr/>
        <w:t>1</w:t>
      </w:r>
      <w:r>
        <w:rPr>
          <w:rtl w:val="true"/>
        </w:rPr>
        <w:t xml:space="preserve">. </w:t>
      </w:r>
      <w:r>
        <w:rPr>
          <w:rtl w:val="true"/>
        </w:rPr>
        <w:t>گونه شناسی روایات محدودیت عقل در شناخت خدا</w:t>
      </w:r>
      <w:bookmarkEnd w:id="25"/>
    </w:p>
    <w:p>
      <w:pPr>
        <w:pStyle w:val="Heading4"/>
        <w:numPr>
          <w:ilvl w:val="3"/>
          <w:numId w:val="1"/>
        </w:numPr>
        <w:rPr/>
      </w:pPr>
      <w:bookmarkStart w:id="26" w:name="__RefHeading___Toc680903_1395250215"/>
      <w:bookmarkStart w:id="27" w:name="_Toc11"/>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روایاتی که محدودیت عقل در شناخت خدا را بیان می کنند، چند گونه اند؛ در دسته ای از این روایات، به محدودیت عقل به صورت مطلق اشاره گردیده، بدون این‌که به ذات یا صفات و یا کیفیت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ای دیگر، محدودیت عقل در شناخت ذات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روایات به محدودیت در شناخت صفات الهی اشاره کرده اند که در برخی از آن ها، صفت خاصی مورد توجه قرار گرفته است و در نهایت، محدودیت در شناختِ کنه فعل الهی از مواردی است که در روایات به عنوان یکی از موارد محدودیت عقل در شناخت خدا مطرح شده است</w:t>
      </w:r>
      <w:r>
        <w:rPr>
          <w:rFonts w:eastAsia="IRNazanin" w:cs="IRNazanin"/>
          <w:color w:val="111111"/>
          <w:sz w:val="28"/>
          <w:szCs w:val="28"/>
          <w:rtl w:val="true"/>
          <w:lang w:bidi="fa-IR"/>
        </w:rPr>
        <w:t>.</w:t>
      </w:r>
    </w:p>
    <w:p>
      <w:pPr>
        <w:pStyle w:val="Heading4"/>
        <w:numPr>
          <w:ilvl w:val="3"/>
          <w:numId w:val="1"/>
        </w:numPr>
        <w:rPr/>
      </w:pPr>
      <w:bookmarkStart w:id="28" w:name="__RefHeading___Toc680905_1395250215"/>
      <w:bookmarkStart w:id="29" w:name="_Toc12"/>
      <w:bookmarkEnd w:id="28"/>
      <w:r>
        <w:rPr/>
        <w:t>1</w:t>
      </w:r>
      <w:r>
        <w:rPr>
          <w:rtl w:val="true"/>
        </w:rPr>
        <w:t>ـ</w:t>
      </w:r>
      <w:r>
        <w:rPr/>
        <w:t>1</w:t>
      </w:r>
      <w:r>
        <w:rPr>
          <w:rtl w:val="true"/>
        </w:rPr>
        <w:t xml:space="preserve">. </w:t>
      </w:r>
      <w:r>
        <w:rPr>
          <w:rtl w:val="true"/>
        </w:rPr>
        <w:t>محدودیت شناخت به صورت مطلق</w:t>
      </w:r>
      <w:bookmarkEnd w:id="29"/>
    </w:p>
    <w:p>
      <w:pPr>
        <w:pStyle w:val="BookText"/>
        <w:rPr/>
      </w:pPr>
      <w:r>
        <w:rPr>
          <w:rFonts w:ascii="IRNazanin" w:hAnsi="IRNazanin" w:eastAsia="IRNazanin"/>
          <w:color w:val="111111"/>
          <w:sz w:val="28"/>
          <w:sz w:val="28"/>
          <w:szCs w:val="28"/>
          <w:rtl w:val="true"/>
          <w:lang w:bidi="fa-IR"/>
        </w:rPr>
        <w:t>در مواردی، متن روایت به صورت مطلق آمده، محدودیت فهم عقل به ذات یا صفات و یا کیفیت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حدیثی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بْنِ أَبِی‌نَجْرَانَ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التَّوحِیدِ فَقُلْتُ أَتَوَهَّمُ شَیْئاً فَقَالَ نَعَمْ غَیْرَ مَعْقُولٍ وَ لامَحْدُودٍ فَمَا وَقَعَ وَهْمُکَ عَلَیْهِ مِنْ شَیْ‌ءٍ فَهُوَ خِلافُهُ لایُشْبِهُهُ شَیْ‌ءٌ وَ لاتُدْرِکُهُ الأَوْهَامُ کَیْفَ تُدْرِکُهُ الأَوْهَامُ وَ هُوَ خِلافُ مَا یُعْقَلُ وَ خِلافُ مَا یُتَصَوَّرُ فِی الأَوْهَامِ إِنَّمَا یُتَوَهَّمُ شَیْ‌ءٌ غَیْرُ مَعْقُولٍ وَ لامَحْدُود؛ ابن‌ابی‌نجران می گوید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توحید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شیء توهم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شیء غیرمعقول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وهم تو می آید، خدا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او نیست و وهم ها او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اوهام او را درک کنند، در حالی که او غیر از آن چیزی است که به تصور و تعقل اوهام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باید به عنوان شیء غیرمعقول و نامحدود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در تحلیل این روایت، دو احتمال را مطرح کرد؛ احتمال نخست این‌که، قدر متیقن از این روایات، ناتوانیِ عقل در فهم ذات است و در صورتی که روایت بر مفهومی بیش از این دلالت کند، باید قرائنی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عدم ادراک عقل درباره خدا، بدون در نظر گرفتن ذات یا صفات و یا فعل الهی باشد؛ به این معنا که قدر متیقنی وجود ندارد و روایات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طور مطلق، شناخت خدا را از سوی عقل نفی کرده اند و این اطلاق شامل ذات، صفات و حتی فعل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احتمال این است که کاربر زبان، زمانی که از شیئی به طور مطلق سخن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هیچ گونه شرطی در ضمن آن لحاظ نکرده، درباره موضوع، مطلق و بدون شرط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دو احتمال، احتمال دوم قوی تر است، زیرا هم قرینه زبانی و هم قرینه متنی که در تحلیل روایت زیر می آید، بر این نکته دلالت دارد که آنچه در روایت بالا درباره خدا آمده، شامل تمامی ابعاد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التَّفَکُّرَ فِی اللَّهِ فَإِنَّ التَّفَکُّرَ فِی اللَّهِ لایَزِیدُ إِلاّ تَیْهاً لأَنَّ اللَّهَ تَبَارَکَ وَ تَعَالَی لاتُدْرِکُهُ الأَبْصارُ وَ لاتَبْلُغُهُ الأَخْبَارُ؛ تفکر در خدا را رها کنید؛ تفکر در خدا، غیر از سرگردانی و گمراهی چیزی نمی افزاید، زیرا خداوند با چشم ها درک نمی شود و خبرها به او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زبانی، این گونه است که وقتی از چیزی سخن گفته می شود، صفات و ویژگی های آن شیء در بیان ماهیت مورد توجه قرار می گیرند و در حقیقت این ویژگی ها، ماهیتِ شیء</w:t>
      </w:r>
    </w:p>
    <w:p>
      <w:pPr>
        <w:pStyle w:val="BookText"/>
        <w:rPr/>
      </w:pP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روایت، قرینه ای بر حمل روایت بر بیش از قدر متیقن</w:t>
      </w:r>
    </w:p>
    <w:p>
      <w:pPr>
        <w:pStyle w:val="BookText"/>
        <w:rPr/>
      </w:pPr>
      <w:r>
        <w:rPr>
          <w:rFonts w:ascii="IRNazanin" w:hAnsi="IRNazanin" w:eastAsia="IRNazanin"/>
          <w:color w:val="111111"/>
          <w:sz w:val="28"/>
          <w:sz w:val="28"/>
          <w:szCs w:val="28"/>
          <w:rtl w:val="true"/>
          <w:lang w:bidi="fa-IR"/>
        </w:rPr>
        <w:t>وجود ندارد، با ضمیمه کردن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التَّفَکُّرَ فِی اللَّهِ وَ لَکِنْ إِذَا أَرَدْتُمْ أَنْ تَنْظُرُوا إِلَی عَظَمَتِهِ فَانْظُرُوا إِلَی عَظِیمِ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تفکر در خدا بپرهیزید، ولی اگر خواستید به عظمتِ او بنگرید، به بزرگیِ خلقتش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به این نتیجه رسید که تعقل در برخی اوصاف نیز مورد نهی واقع شده است؛ در حالی که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آورده شده و سپس از میان ذات و صفات، یک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در نهی از تفکر، آورده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روایت ذیل نیز دو احتمال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در این‌که خدا چگونه است تأمل کرد، هلاک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کیفیت خدا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کیفیت و چگونگی باشد، منظور از این روایت شناخت صفتی از صفات خداست، اما این احتمال نیز وجود دارد که از آن‌جا که روایت، ابتدا 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نهی کرده و سپس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تأمل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ذات است، مراد باشد و روایت را باید در محدودیت عقل در شناخت ذات مطرح کرد</w:t>
      </w:r>
      <w:r>
        <w:rPr>
          <w:rFonts w:eastAsia="IRNazanin" w:cs="IRNazanin"/>
          <w:color w:val="111111"/>
          <w:sz w:val="28"/>
          <w:szCs w:val="28"/>
          <w:rtl w:val="true"/>
          <w:lang w:bidi="fa-IR"/>
        </w:rPr>
        <w:t>.</w:t>
      </w:r>
      <w:bookmarkStart w:id="30" w:name="pg2653_32384"/>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4"/>
        <w:numPr>
          <w:ilvl w:val="3"/>
          <w:numId w:val="1"/>
        </w:numPr>
        <w:rPr/>
      </w:pPr>
      <w:bookmarkStart w:id="31" w:name="__RefHeading___Toc680907_1395250215"/>
      <w:bookmarkStart w:id="32" w:name="_Toc13"/>
      <w:bookmarkEnd w:id="31"/>
      <w:r>
        <w:rPr/>
        <w:t>1</w:t>
      </w:r>
      <w:r>
        <w:rPr>
          <w:rtl w:val="true"/>
        </w:rPr>
        <w:t>ـ</w:t>
      </w:r>
      <w:r>
        <w:rPr/>
        <w:t>2</w:t>
      </w:r>
      <w:r>
        <w:rPr>
          <w:rtl w:val="true"/>
        </w:rPr>
        <w:t xml:space="preserve">. </w:t>
      </w:r>
      <w:r>
        <w:rPr>
          <w:rtl w:val="true"/>
        </w:rPr>
        <w:t>محدودیت در شناخت ذات</w:t>
      </w:r>
      <w:bookmarkEnd w:id="32"/>
    </w:p>
    <w:p>
      <w:pPr>
        <w:pStyle w:val="BookText"/>
        <w:rPr/>
      </w:pPr>
      <w:r>
        <w:rPr>
          <w:rFonts w:ascii="IRNazanin" w:hAnsi="IRNazanin" w:eastAsia="IRNazanin"/>
          <w:color w:val="111111"/>
          <w:sz w:val="28"/>
          <w:sz w:val="28"/>
          <w:szCs w:val="28"/>
          <w:rtl w:val="true"/>
          <w:lang w:bidi="fa-IR"/>
        </w:rPr>
        <w:t>برخی روایات، محدودیتِ عقل را به ذات الهی برمی‌گردانند؛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أَفْکَرَ فِی ذَاتِ اللَّهِ تَزَنْدَق؛ هر کس در ذات خدا تفکر کرد، کافر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عَجَزَتِ الْعُقُولُ عَنِ الْوُقُوفِ عَلَی حَقِیقَتِهَا؛ عقل ها از دست‌یابی بر حقیقتِ ذات خدا ناتوانند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80909_1395250215"/>
      <w:bookmarkStart w:id="34" w:name="_Toc14"/>
      <w:bookmarkEnd w:id="33"/>
      <w:r>
        <w:rPr/>
        <w:t>1</w:t>
      </w:r>
      <w:r>
        <w:rPr>
          <w:rtl w:val="true"/>
        </w:rPr>
        <w:t>ـ</w:t>
      </w:r>
      <w:r>
        <w:rPr/>
        <w:t>3</w:t>
      </w:r>
      <w:r>
        <w:rPr>
          <w:rtl w:val="true"/>
        </w:rPr>
        <w:t xml:space="preserve">. </w:t>
      </w:r>
      <w:r>
        <w:rPr>
          <w:rtl w:val="true"/>
        </w:rPr>
        <w:t>محدودیت در شناخت صفات</w:t>
      </w:r>
      <w:bookmarkEnd w:id="34"/>
    </w:p>
    <w:p>
      <w:pPr>
        <w:pStyle w:val="BookText"/>
        <w:rPr/>
      </w:pPr>
      <w:r>
        <w:rPr>
          <w:rFonts w:ascii="IRNazanin" w:hAnsi="IRNazanin" w:eastAsia="IRNazanin"/>
          <w:color w:val="111111"/>
          <w:sz w:val="28"/>
          <w:sz w:val="28"/>
          <w:szCs w:val="28"/>
          <w:rtl w:val="true"/>
          <w:lang w:bidi="fa-IR"/>
        </w:rPr>
        <w:t>این دسته از روایات، خود به چند بخش تقسیم می گردند؛ در برخی روایات، محدودیتِ عقل در شناخت صفات خداوند به طور مطلق مطرح گردیده است و در برخی دیگر محدودیت در شناخت به کنه یا کیفیت صفات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عقل در شناخت مطلق اوصاف الهی را می توان از روایت زیر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تُدْرِکُ الْعُقُولُ وَ أَوْهَامُهَا وَ لاالْفِکَرُ وَ خَطَرَاتُهَا و لاالأَلْبَابُ وَ أَذْهَانُهَا صِفَتَهُ؛ عقل ها و اوهام آن ها، تفکر و خاطره های آن، خردها و ذهن های آن، صفت خدا را درک نمی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با بهره‌مندی از الفاظ گوناگون، محدودیتِ عقل در صفات الهی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مقصود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بدانیم؛ یعنی بگوییم که عقل، توان توصیف درباره خداوند را ندارد، این روایت به دسته اول ملحق می شود؛ بدین بیان که متعلق توصیف، مطلق است و باید به روایات دسته اول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دسته چهارم، مؤید این مطلب است که عقل از درک برخی اوصاف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محدودیت عقل را در شناخت کنه صفات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إِلَی أَبِی أَنَّ اللَّهَ أَعْلَی وَ أَجَلُّ وَ أَعْظَمُ مِنْ أَنْ یُبْلَغَ کُنْهُ صِفَتِهِ فَصِفُوهُ بِمَا وَصَفَ بِهِ نَفْسَهُ وَ کُفُّوا عَمَّا سِوَی ذَلِکَ؛ محمد بن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والاتر و بزرگ تر از آن است که به کنه صفتش دست یافته شود؛ پس او را به همان که خود توصیف کرده، وصف کنید و از غیر آن خودداری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 دهد، عقل از درکِ کنه صفات الهی ناتوان است و به آن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دسته چهارم، برخی از مصادیق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تعبیر</w:t>
      </w:r>
      <w:bookmarkStart w:id="35" w:name="pg2653_32385"/>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 معنا کرد؛ بدین ترتیب که عقل توانایی ندارد به کنه ذات الهی دست یابد و خدا را آن‌گونه که هست،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قابلیت دارد که به دسته اول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را می توان شاهد بر این مدعا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عَجَزَ الْوَاصِفُونَ عَنْ کُنْهِ صِفَتِهِ وَ لایُطِیقُونَ حَمْلَ مَعْرِفَةِ إِلَهِیَّتِهِ؛ کسی که وصف‌کنندگان از وصفِ کنه صفت او عاجزند و طاقتِ حمل شناخت الوهیتش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می توان به دو گونه معنا کرد؛ گونه اول این‌که، این تعبیر به معنای وصف کردن و توصیف باشد که معنای مصدری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روایت این گونه معنا می شود که وصف‌کنندگان از توصیف عمیق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دوم این است که واژه را به عنوان صفت معنا کنیم که در این صورت، روایت به ناتوانیِ وصف‌کنندگان از توصیف کنه صفات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ظاهرتر باشد، اما حتی بنا بر معنای اول نیز روایت به ناتوانیِ بشر در شناخت صفات الهی اشاره دارد، چراکه عجز از توصیف خداوند در حقیقت به نامتناهی بودن خداوند و اوصافش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دیگری، حیثیت و کیفیت صفات از دست‌رس عقل بشری دور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تَوَلَّهَتِ الْقُلُوبُ إِلَیْهِ لِتَجْرِیَ فِی کَیْفِیَّةِ صِفَاتِهِ وَ غَمَضَتْ مَدَاخِلُ الْعُقُولِ فِی حَیْثُ لاتَبْلُغُهُ الصِّفَاتُ لِتَنَاوُلِ عِلْمِ ذَاتِهِ رَدَعَهَا وَ هِیَ تَجُوبُ مَهَاوِیَ سُدَفِ الْغُیُوبِ مُتَخَلِّصَةً إِلَیْهِ سُبْحَانَهُ؛ اگر قلب ها حیران و شیفته او شوند تا کیفیت صفات او را دریابند و اگر عقل ها کنجکاوی کنند تا از آن جهت که به صفاتش دست نمی یابند، علمِ ذاتش را به دست آورند، خداوند آن قلب ها و عقل ها را بازمی گرداند، درحالی که راه های هلاکت و تاریکی های عوالم غیب را پیموده و مخلصانه به او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36" w:name="__RefHeading___Toc680911_1395250215"/>
      <w:bookmarkStart w:id="37" w:name="_Toc15"/>
      <w:bookmarkEnd w:id="36"/>
      <w:r>
        <w:rPr/>
        <w:t>1</w:t>
      </w:r>
      <w:r>
        <w:rPr>
          <w:rtl w:val="true"/>
        </w:rPr>
        <w:t>ـ</w:t>
      </w:r>
      <w:r>
        <w:rPr/>
        <w:t>4</w:t>
      </w:r>
      <w:r>
        <w:rPr>
          <w:rtl w:val="true"/>
        </w:rPr>
        <w:t xml:space="preserve">. </w:t>
      </w:r>
      <w:r>
        <w:rPr>
          <w:rtl w:val="true"/>
        </w:rPr>
        <w:t>محدودیت در شناخت وصف خاص</w:t>
      </w:r>
      <w:bookmarkEnd w:id="37"/>
    </w:p>
    <w:p>
      <w:pPr>
        <w:pStyle w:val="BookText"/>
        <w:rPr/>
      </w:pPr>
      <w:r>
        <w:rPr>
          <w:rFonts w:ascii="IRNazanin" w:hAnsi="IRNazanin" w:eastAsia="IRNazanin"/>
          <w:color w:val="111111"/>
          <w:sz w:val="28"/>
          <w:sz w:val="28"/>
          <w:szCs w:val="28"/>
          <w:rtl w:val="true"/>
          <w:lang w:bidi="fa-IR"/>
        </w:rPr>
        <w:t xml:space="preserve">حتی در صورتی که عمومیتِ روایات 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عقل در شناخت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خدشه بدانیم، مواردی وجود دارد که ناتوانیِ عقل را در شناخت برخی اوصاف اثبات می‌کنند؛ علم، قدرت و عظمت الهی، سه وصف از اوصاف الهی‌اند که در روایات با صراحت، ناتوانی عقل بشر در فهم آن‌ها بیان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الهی از اوصافی است که در روایات، خارج از دست‌رس فهم عقل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إِیَّاکُمْ وَ التَّفَکُّرَ فِی اللَّهِ وَ لَکِنْ إِذَا أَرَدْتُمْ أَنْ تَنْظُرُوا إِلَی عَظَمَتِهِ فَانْظُرُوا إِلَی عَظِیمِ خَلْقِهِ؛ از تفکر در خدا بپرهیزید، ولی اگر خواستید به عظمت خدا بنگرید، به بزرگی خلقتش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تفکر در عظمت الهی باز می دارد و نمی توان ادعا کرد که این روایت درباره افراد خاص یا گروه خاصی صارد گردیده، زیرا نهی به مطلق تفکر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لاتُقَدِّرْ عَظَمَةَ اللَّهِ سُبْحَانَهُ عَلَی قَدْرِ عَقْلِکَ فَتَکُونَ مِنَ الْهَالِکِینَ؛ عظمت خدا را به مقدار عقل خود اندازه گیری نکن که از هلاک‌شدگان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پاسخ به سؤال فردی از حضرت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مخاطب مفرد و این‌که روایت در پاسخ به یک فرد صادر شده، این احتمال را تقویت می‌کند که این روایت، تنها برای فرد خاص و شرایط خاصی است، ولی دقت بیشتر این احتمال را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روایت به صیغه مخاطب واحد آمده است، باید توجه داشت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سؤال، به جای این‌که به وی به صورت خصوصی جواب دهد، دستور داده‌اند تا مردم را جمع کنند و برای عموم مردم سخنرانی کرده‌اند؛ پس پرسش فرد، تنها زمینه را برای القای مطلب فراهم کرده و مراد اصلی،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ذیل، علاوه بر عظمت الهی، عقل در فهم قدرت و علم خدا ناتوان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لاتُقَدَّرُ قُدْرَتُهُ وَ لایَقْدِرُ الْعِبَادُ عَلَی صِفَتِهِ وَ لایَبْلُغُونَ کُنْهَ عِلْمِهِ وَ لامَبْلَغَ عَظَمَتِهِ؛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اندازه گیری نمی شود و بندگان توانایی توصیف خداوند را ندارند و به کنه علم و میزان عظمت او دست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افزون بر بیان محدودیت در شناخت صفات به صورت مطلق و کنه برخی صفات همچنین تصریح شده قدرت الهی، قابل اندازه‌گیری نیست و به دلیل آنکه یکی از شیوه‌های فهم عقل، تقدیر و اندازه‌گیری است، عقل از فهم قدرت الهی ناتوان دانسته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انْقَطَعَ دُونَ الرُّسُوخِ فِی عِلْمِهِ جَوَامِعُ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رسوخ به علمِ او، هر شرح و تفسیر جامعی منقطع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و تفسیر بشری را از رسیدن به علم الهی بی‌بهره دانسته است</w:t>
      </w:r>
      <w:r>
        <w:rPr>
          <w:rFonts w:eastAsia="Amiri" w:cs="Amiri" w:ascii="Amiri" w:hAnsi="Amiri"/>
          <w:color w:val="111111"/>
          <w:sz w:val="28"/>
          <w:szCs w:val="28"/>
          <w:rtl w:val="true"/>
          <w:lang w:bidi="ar-SA"/>
        </w:rPr>
        <w:t>.</w:t>
      </w:r>
      <w:bookmarkStart w:id="38" w:name="pg2653_32387"/>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طبق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الْقَادِرُ الَّذِی إِذَا ارْتَمَتِ الأَوْهَامُ لِتُدْرِکَ مُنْقَطَعَ قُدْرَتِهِ وَ حَاوَلَ الْفِکْرُ الْمُبَرَّأُ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الْوَسَاوِسِ أَنْ یَقَعَ عَلَیْهِ فِی عَمِیقَاتِ غُیُوبِ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قادری که اگر تمامیِ وهم ها متمرکز شوند تا منتهای قدرت او را درک کنند و اگر اندیشه ای که آلوده به وسوسه ها نگشته، بخواهد در ژرفای غیب ملکوتش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بازمی‌گرداند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از فهم قدرت الهی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ناتوانی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لتدرک منقطع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عقل در فرایند شناخت، توان ادراک قدرت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عقل در فهم اوصافی نظیر عظمت، علم و قدرت الهی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در کلام بیش از سایر اوصاف مورد مناقشه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این صفات دور از دست‌رس فهم بشری نیست و برخی بر این باورند که صفات ذاتیه مانند خود ذات، قابل ادراک عقل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نفی فهم عقلانی از صفات در این نوشتار، به معنای اعتقاد به تعطیل نیست، چراکه روایات بر اثبات صفات کمالی از سوی عقل بر خداوند تأکید دارند </w:t>
      </w:r>
      <w:r>
        <w:rPr>
          <w:rStyle w:val="FootnoteAnchor"/>
          <w:rtl w:val="true"/>
        </w:rPr>
        <w:footnoteReference w:id="10"/>
      </w:r>
      <w:r>
        <w:rPr>
          <w:rFonts w:ascii="IRNazanin" w:hAnsi="IRNazanin" w:eastAsia="IRNazanin"/>
          <w:color w:val="111111"/>
          <w:sz w:val="28"/>
          <w:sz w:val="28"/>
          <w:szCs w:val="28"/>
          <w:rtl w:val="true"/>
          <w:lang w:bidi="fa-IR"/>
        </w:rPr>
        <w:t>، اما در کیفیت، مقدار، کنه و حقیقت صفات، عقل با ابزاری که در اختیار دارد، به فهم دست نمی یابد</w:t>
      </w:r>
      <w:r>
        <w:rPr>
          <w:rFonts w:eastAsia="IRNazanin" w:cs="IRNazanin"/>
          <w:color w:val="111111"/>
          <w:sz w:val="28"/>
          <w:szCs w:val="28"/>
          <w:rtl w:val="true"/>
          <w:lang w:bidi="fa-IR"/>
        </w:rPr>
        <w:t>.</w:t>
      </w:r>
    </w:p>
    <w:p>
      <w:pPr>
        <w:pStyle w:val="Heading4"/>
        <w:numPr>
          <w:ilvl w:val="3"/>
          <w:numId w:val="1"/>
        </w:numPr>
        <w:rPr/>
      </w:pPr>
      <w:bookmarkStart w:id="39" w:name="__RefHeading___Toc680913_1395250215"/>
      <w:bookmarkStart w:id="40" w:name="_Toc16"/>
      <w:bookmarkEnd w:id="39"/>
      <w:r>
        <w:rPr/>
        <w:t>1</w:t>
      </w:r>
      <w:r>
        <w:rPr>
          <w:rtl w:val="true"/>
        </w:rPr>
        <w:t>ـ</w:t>
      </w:r>
      <w:r>
        <w:rPr/>
        <w:t>5</w:t>
      </w:r>
      <w:r>
        <w:rPr>
          <w:rtl w:val="true"/>
        </w:rPr>
        <w:t xml:space="preserve">. </w:t>
      </w:r>
      <w:r>
        <w:rPr>
          <w:rtl w:val="true"/>
        </w:rPr>
        <w:t>محدودیت در شناخت فعل الهی</w:t>
      </w:r>
      <w:bookmarkEnd w:id="40"/>
    </w:p>
    <w:p>
      <w:pPr>
        <w:pStyle w:val="BookText"/>
        <w:rPr/>
      </w:pPr>
      <w:r>
        <w:rPr>
          <w:rFonts w:ascii="IRNazanin" w:hAnsi="IRNazanin" w:eastAsia="IRNazanin"/>
          <w:color w:val="111111"/>
          <w:sz w:val="28"/>
          <w:sz w:val="28"/>
          <w:szCs w:val="28"/>
          <w:rtl w:val="true"/>
          <w:lang w:bidi="fa-IR"/>
        </w:rPr>
        <w:t>مطابق روایات، عقل نه تنها در فهم ذات و صفات الهی، بلکه در فهم فعل الهی نیز ناتوان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الهی را می توان به دو دسته تقسیم کرد؛ یکی حاصل مصدری، یعنی مخلوقات و نظام تکوین و دیگری، صفات فعلی و مراحل فعل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محدودیت عقل در شناخت هردو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بر ناکارآمدی عقل در شناخت مخلوقات الهی دلالت می کند، روایت ذیل است که ورود عقل را در حوزه هایی نظیر ملکوت و غیب، موجب سرگردانی آن دانسته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حَارَ فِی مَلَکُوتِهِ عَمِیقَاتُ مَذَاهِبِ التَّفْکِیرِ وَ انْقَطَعَ دُونَ الرُّسُوخِ فِی عِلْمِهِ جَوَامِعُ التَّفْسِیرِ وَ حَالَ دُونَ غَیْبِهِ الْمَکْنُونِ حُجُبٌ مِنَ الْغُیُوبِ تَاهَتْ فِی أَدْنَی أَدَانِیهَا طَامِحَاتُ الْعُقُولِ فِی لَطِیفَاتِ الْأُمُورِ فَتَبَارَکَ اللَّهُ الَّذِی لایَبْلُغُهُ بُعْدُ الْهِمَمِ وَ لایَنَالُهُ غَوْصُ الْفِطَن؛ روش های عمیق تفکر، در درک ملکوتش سرگردان و در رسوخ به علم او، هر شرح و تفسیر جامعی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هایی از غیب در برابر غیب نهان خدا حائل شده است که بلندپروازی های عقل ها در لطیف ترین امور پایین ترین مراتب آن غیوب گم گشته اند؛ پس بلندمرتبه است خداوندی که همت های بلند به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نمی رسند و هوش های تیزفهم به او دست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بخش از این روایت دلالت می کند که عقل بشر در شناخت مخلوقات الهی ناتوان است؛ یکی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فِی مَلَکُوتِهِ عَمِیقَاتُ مَذَاهِبِ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تعبیر، راه های تفکر از رسیدن به ملکوت الهی، حیران و سرگردان است؛ یعنی تفکر بشری، راهی برای رسیدن به ملکوت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یکی از مخلوقات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علامه مجلسی این گونه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ملکوت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است و به عالم غیب و عالم مجردات اختصاص می یابد و ملک به علم شهادت و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دُونَ غَیْبِهِ الْمَکْنُونِ حُجُبٌ مِنَ الْغُیُوبِ تَاهَتْ فِی أَدْنَی أَدَانِیهَا طَامِحَاتُ الْعُقُولِ فِی لَطِیفَاتِ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آن، عقل از فهمِ نزدیک‌ترین حجاب بر غیب نیز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عقل از فهم افعال الهی و مخلوقاتش ناتوان است، روایت در نهایت نتیجه می‌گیرد که بلند‌مرتبه است خداوندی که همت های بلند به او نمی رسند و هوش های تیزفهم به او دست نیابند؛ یعنی وقتی فعل الهی دور از دست‌رس فهم بشری است، بی‌تردید صفات و ذات او قابل شناختِ عقل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 به محدودیت عقل در فهم برخی مراحل فعل الهی اشاره کرده اند؛ برای نمونه، در احادیث از تکلف در فهم قضا و قدر نهی شده است؛ از جمله در روایتی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به پرسش درباره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وارد آن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تیره است؛ آن را نپیمایید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خداست؛ خود را به مشقت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معرفت قضا و قدر که از مراحل فعل الهی هستند، از علم انسان ها خارج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سرّی از اسرار خدا، پوششی 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های خدا و حرزی از حرزهای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حجاب خدا قرار گرفته، از خلق خدا پوشیده، با مُهر الهی مُهر خورده و در علم خدا فرو رفته و علم آن از بندگان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w:t>
      </w:r>
      <w:r>
        <w:rPr>
          <w:rFonts w:eastAsia="IRNazanin" w:cs="IRNazanin"/>
          <w:color w:val="111111"/>
          <w:sz w:val="28"/>
          <w:szCs w:val="28"/>
          <w:rtl w:val="true"/>
          <w:lang w:bidi="fa-IR"/>
        </w:rPr>
        <w:t>).</w:t>
      </w:r>
      <w:bookmarkStart w:id="41" w:name="pg2653_32389"/>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از مجموع احادیث در مراحل فعل الهی نیز می توان چنین نتیجه گرفت که کنه قضا و قدر خداوند، برای عموم انسان ها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عمومیت دارد و شامل معرفت عقلی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 که عدم معرفت به مرحله ای از فعل الهی، عدم شناخت کامل فعل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به طور کلی، به تعطیل فهم کلی در مراحل فعل الهی حکم نداده اند و برخی، نظیر ترتیب مراحل و برخی از ویژگی های مراحل فعل را که برای عقل قابل فهم و ضبط بوده است بیان کرده اند، اما باید به اشاره روایات، به عدم فهم عقلانی از کیفیت و حقیقت فعل الهی اذعان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مباحثی که در بخش گونه های محدودیت گذشت به دست می‌آید که عقل در شناخت ذات، صفات، کنه فعل الهی و برخی مخلوقات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اصلی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تنها به گزارش محدودیت عقل و گونه های آن بسنده</w:t>
      </w:r>
    </w:p>
    <w:p>
      <w:pPr>
        <w:pStyle w:val="BookText"/>
        <w:rPr/>
      </w:pPr>
      <w:r>
        <w:rPr>
          <w:rFonts w:ascii="IRNazanin" w:hAnsi="IRNazanin" w:eastAsia="IRNazanin"/>
          <w:color w:val="111111"/>
          <w:sz w:val="28"/>
          <w:sz w:val="28"/>
          <w:szCs w:val="28"/>
          <w:rtl w:val="true"/>
          <w:lang w:bidi="fa-IR"/>
        </w:rPr>
        <w:t>کرده اند، یا چراییِ این محدودیت را نیز بیان نموده اند؟</w:t>
      </w:r>
    </w:p>
    <w:p>
      <w:pPr>
        <w:pStyle w:val="Heading3"/>
        <w:numPr>
          <w:ilvl w:val="2"/>
          <w:numId w:val="1"/>
        </w:numPr>
        <w:rPr/>
      </w:pPr>
      <w:bookmarkStart w:id="42" w:name="__RefHeading___Toc680915_1395250215"/>
      <w:bookmarkStart w:id="43" w:name="_Toc17"/>
      <w:bookmarkEnd w:id="42"/>
      <w:r>
        <w:rPr/>
        <w:t>2</w:t>
      </w:r>
      <w:r>
        <w:rPr>
          <w:rtl w:val="true"/>
        </w:rPr>
        <w:t xml:space="preserve">. </w:t>
      </w:r>
      <w:r>
        <w:rPr>
          <w:rtl w:val="true"/>
        </w:rPr>
        <w:t>علت محدودیت</w:t>
      </w:r>
      <w:bookmarkEnd w:id="43"/>
    </w:p>
    <w:p>
      <w:pPr>
        <w:pStyle w:val="Heading4"/>
        <w:numPr>
          <w:ilvl w:val="3"/>
          <w:numId w:val="1"/>
        </w:numPr>
        <w:rPr/>
      </w:pPr>
      <w:bookmarkStart w:id="44" w:name="__RefHeading___Toc680917_1395250215"/>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بهترین روش در یافتن چراییِ محدودیت عقل در حوزه خداشناسی این است که شیوه ها و ابزارهایی را که از سوی عقل در فرایند شناخت عقلانی به کار گرفته می شوند، شناسایی کنیم، زیرا هر گونه خلل در روش ها و ابزارهای شناخت عقل، شناخت آن را به موارد خاصی منحصر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روایات، کانونی ترین مفهومی که شیوه کسب علم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مفهوم آن استفاده شده 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ها افزوده شده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سایر واژگان کسب علم،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تفکر، ضبط و تقدیر،</w:t>
      </w:r>
    </w:p>
    <w:p>
      <w:pPr>
        <w:pStyle w:val="BookText"/>
        <w:rPr/>
      </w:pPr>
      <w:r>
        <w:rPr>
          <w:rFonts w:ascii="IRNazanin" w:hAnsi="IRNazanin" w:eastAsia="IRNazanin"/>
          <w:color w:val="111111"/>
          <w:sz w:val="28"/>
          <w:sz w:val="28"/>
          <w:szCs w:val="28"/>
          <w:rtl w:val="true"/>
          <w:lang w:bidi="fa-IR"/>
        </w:rPr>
        <w:t>گونه هایی از احاطه عقلانی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ما را به این نتیجه می‌رساند که روایات، احاطه عقل را در خداشناسی غیرممکن و عقل را در ضبط، ناکارآمد می دانند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چیزی را می فهمد که بدان احاطه داشته باشد یا آن را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ضبط یا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چیزی محدود نباشد، نه به احاطه عقل درمی آید، نه عقل قادر به تقدیر، تحدید و ضبط آن است و نه می‌تواند آن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دلیل</w:t>
      </w:r>
      <w:bookmarkStart w:id="46" w:name="pg2653_32390"/>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اصلی در ناتوانیِ عقل به این نکته بازمی‌گردد که عقل از فهم اموری که نهایتی برای آن نیست، عاجز است و طبق تعریف روایات، چنین چیزی در مسیر وزش نسیم تفکر عقل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اللَّهُ الَّذِی لَمْ یَتَنَاهَ فِی الْعُقُولِ فَیَکُونَ فِی مَهَبِّ فِکْرِهَا مُکَیَّفاً؛ او خدایی است که در عقل ها محدود نمی گردد تا در مسیر تفکر کیفیت 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معرفت شناسی و منطق صورت آفرینی، تخیل، تفکر و ادراک مهم‌ترین روش های دست‌یابیِ عقل به متعلق علم هستند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اموری مانند تقسیم، ضبط و تقدیر در معرفت شناسی و منطق، کمتر مورد بحث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فلسفه اسلامی،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شیء 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شیوه های کسب علم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تجزیه، تصور، تخیل، تحدید، وقوف، ضبط و تقدیر شیوه‌هایی هستند که عقل در شناخت اشیا و پدیده‌های پیرامونی از آن‌ها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علت محدودیت عقل در شناخت شیء، به یکی از کاستی های عقل در این امور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عبدالرحمان بن ابی‌نجران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پیش‌تر ذکر شد، برخی کاستی های عقل را که سبب محدودیت در خداشناسی است،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روایات، تنها به بخشی از این کاستی 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ولی در مجموع، روایات، ناکارآمدیِ عقل را در شناخت خدا ثابت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ضبط، تقدیر، تقسیم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دارد و بدین سبب در حوزه خداشناسی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در محدودیت و کاستیِ عقل در تمام این موارد، به عدم تناهیِ موضوع شناخت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هم در ذات و هم در صفات وجود دارد</w:t>
      </w:r>
      <w:r>
        <w:rPr>
          <w:rFonts w:eastAsia="IRNazanin" w:cs="IRNazanin"/>
          <w:color w:val="111111"/>
          <w:sz w:val="28"/>
          <w:szCs w:val="28"/>
          <w:rtl w:val="true"/>
          <w:lang w:bidi="fa-IR"/>
        </w:rPr>
        <w:t>.</w:t>
      </w:r>
    </w:p>
    <w:p>
      <w:pPr>
        <w:pStyle w:val="Heading4"/>
        <w:numPr>
          <w:ilvl w:val="3"/>
          <w:numId w:val="1"/>
        </w:numPr>
        <w:rPr/>
      </w:pPr>
      <w:bookmarkStart w:id="47" w:name="__RefHeading___Toc680919_1395250215"/>
      <w:bookmarkStart w:id="48" w:name="_Toc19"/>
      <w:bookmarkEnd w:id="47"/>
      <w:r>
        <w:rPr/>
        <w:t>2</w:t>
      </w:r>
      <w:r>
        <w:rPr>
          <w:rtl w:val="true"/>
        </w:rPr>
        <w:t>ـ</w:t>
      </w:r>
      <w:r>
        <w:rPr/>
        <w:t>1</w:t>
      </w:r>
      <w:r>
        <w:rPr>
          <w:rtl w:val="true"/>
        </w:rPr>
        <w:t xml:space="preserve">. </w:t>
      </w:r>
      <w:r>
        <w:rPr>
          <w:rtl w:val="true"/>
        </w:rPr>
        <w:t>محدودیت در احاطه</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تُحِیطَ بِهِ صِفَةُ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توصیفات عقل ها به خداوند احاطه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محدودیت عقل اشاره شده است که از این جهت که عقل نمی‌تواند احاطه به خدا داشته باشد، در شناخت او نیز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اما روایات برای بیان عدم احاطه عقل، تنها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نمی‌کنند، بلکه با تنوع واژگانی این معنا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فَمَعَانِی الْخَلْقِ عَنْهُ مَنْفِیَّةٌ وَ سَرَائِرُهُمْ عَلَیْهِ غَیْرُ خَفِیَّةٍ الْمَعْرُوفُ بِغَیْرِ کَیْفِیَّةٍ لایُدْرَکُ بِالْحَوَاسِّ وَ لایُقَاسُ بِالنَّاسِ وَ لاتُدْرِکُهُ الأَبْصارُ وَ</w:t>
      </w:r>
      <w:bookmarkStart w:id="49" w:name="pg2653_32391"/>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لاتُحِیطُ بِهِ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مخلوقات از او نفی می شود و رازهای مخلوقات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شناخته‌شده بدون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درک نمی شود و با مردم مقایسه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درک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 فکرها به او احاطه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مِنْ أَنْ یُدْرِکَهُ بَصَرٌ أَوْ یُحِیطَهُ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والاتر از آن است که با چشم درک شود یا وهم، او را به احاطه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نمایه شده است؛ یعنی روایت با تنوع تعابیر می‌خواهد نقصان عقل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تنوعِ واژگانی تنها در جهت تبیین عقل نیست، بلکه تنوع واژگانی در بعد احاطه نیز در روایات مشهود است؛ مثلاً روایات گاهی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لاتَحْوِیهِ الْفِکَرُ یَا مَنْ لایُدْرِکُهُ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فکرها تو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چشم تو را درک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احاطه عقل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همان‌گونه که تواناییِ شناخت از بصر نفی شده، قابلیت ادراک از فکر نیز سلب شده است، با این تفاوت که در فکر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لاتحویه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فکر نمی تواند حاوی و محیط بر خدا شود و به این دلیل،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اشراف عقل سبب می شود که عقل بر اشیا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عَجَزَتِ الْعُقُولُ عَنِ الْوُقُوفِ عَلَی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ها از آگاهی بر حقیقتِ او 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وقوف، راه احاطه عقل معرفی شده و بیان شده که عقل از وقوف بر حقیقت خدا،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روایت آخر، محدودیت در احاطه را تنها به شناخت حقیقت و ذات الهی بر‌می‌گرداند، با تنقیح مناط و یافتن دلیل اصلی، که عدم تناهی موضوع شناخت است، می‌توان حکم را به شناخت صفات هم تسرّی داد، زیرا صفات الهی هم نهایتی ندارد</w:t>
      </w:r>
      <w:r>
        <w:rPr>
          <w:rFonts w:eastAsia="IRNazanin" w:cs="IRNazanin"/>
          <w:color w:val="111111"/>
          <w:sz w:val="28"/>
          <w:szCs w:val="28"/>
          <w:rtl w:val="true"/>
          <w:lang w:bidi="fa-IR"/>
        </w:rPr>
        <w:t>.</w:t>
      </w:r>
    </w:p>
    <w:p>
      <w:pPr>
        <w:pStyle w:val="Heading4"/>
        <w:numPr>
          <w:ilvl w:val="3"/>
          <w:numId w:val="1"/>
        </w:numPr>
        <w:rPr/>
      </w:pPr>
      <w:bookmarkStart w:id="50" w:name="__RefHeading___Toc680921_1395250215"/>
      <w:bookmarkStart w:id="51" w:name="_Toc20"/>
      <w:bookmarkEnd w:id="50"/>
      <w:r>
        <w:rPr/>
        <w:t>2</w:t>
      </w:r>
      <w:r>
        <w:rPr>
          <w:rtl w:val="true"/>
        </w:rPr>
        <w:t>ـ</w:t>
      </w:r>
      <w:r>
        <w:rPr/>
        <w:t>2</w:t>
      </w:r>
      <w:r>
        <w:rPr>
          <w:rtl w:val="true"/>
        </w:rPr>
        <w:t xml:space="preserve">. </w:t>
      </w:r>
      <w:r>
        <w:rPr>
          <w:rtl w:val="true"/>
        </w:rPr>
        <w:t>محدودیت در ضبط</w:t>
      </w:r>
      <w:bookmarkEnd w:id="5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 های آگاهی عقل از متعلق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در کتب لغت، به معنای ملازمه شیء با چیزی به گونه انفکاک ناپذیر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ملازمه، مطلق نیست، بلکه در آن ضبط‌کننده، ضبط‌شونده را در بر می گیرد؛ از این رو برخی لغت‌دانان، ضبط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ابن‌درید،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دیگر نیز این ملازمه را همراه با حبس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ابن‌سیده،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ضبط شیء را حفظ شیء با صلابت و اتقان دانسته اند</w:t>
      </w:r>
      <w:bookmarkStart w:id="52" w:name="pg2653_32392"/>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ضبط عقل بر هر شیئی، با نوعی شمول و احاطه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بالاتر و والاتر از احاطه عقل است و عقل، تواناییِ هیچ گونه شمولی بر ذات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لاتَضْبِطُهُ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توانایی عقل را در ضبط خداوند بیان می دارد 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مِنْ أَنْ یُدْرِکَهُ بَصَرٌ أَوْ یُحِیطَهُ وَهْمٌ أَوْ یَضْبِطَهُ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والاتر است از این‌که چشم او را درک کند یا وهم بر آن احاطه یابد و یا عقل آن را ضبط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این عدم توانایی عقل را بیان می کند که همان برتر بودن خداوند از قرار گرفتن در محدوده ای است که عقل بتواند آن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روایات، محدودیت عقل در ضبط ذات الهی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و افعال الهی، قرینه ای بر نفی یا اثبات آن وجود ندارد، ولی ضمیر سوم شخص در این روایات نیز دلیل بر انحصار محدودیت در ذات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را بپذیریم که دلیلی اصلی در ناتوانیِ ضبط عقل، به بی‌نهایت بودن ذات بازمی‌گردد، باید بگوییم که این دلیل درباره صفات الهی نیز وجود دارد؛ پس در صفات الهی نیز جاری می‌شود</w:t>
      </w:r>
      <w:r>
        <w:rPr>
          <w:rFonts w:eastAsia="IRNazanin" w:cs="IRNazanin"/>
          <w:color w:val="111111"/>
          <w:sz w:val="28"/>
          <w:szCs w:val="28"/>
          <w:rtl w:val="true"/>
          <w:lang w:bidi="fa-IR"/>
        </w:rPr>
        <w:t>.</w:t>
      </w:r>
    </w:p>
    <w:p>
      <w:pPr>
        <w:pStyle w:val="Heading4"/>
        <w:numPr>
          <w:ilvl w:val="3"/>
          <w:numId w:val="1"/>
        </w:numPr>
        <w:rPr/>
      </w:pPr>
      <w:bookmarkStart w:id="53" w:name="__RefHeading___Toc680923_1395250215"/>
      <w:bookmarkStart w:id="54" w:name="_Toc21"/>
      <w:bookmarkEnd w:id="53"/>
      <w:r>
        <w:rPr/>
        <w:t>2</w:t>
      </w:r>
      <w:r>
        <w:rPr>
          <w:rtl w:val="true"/>
        </w:rPr>
        <w:t>ـ</w:t>
      </w:r>
      <w:r>
        <w:rPr/>
        <w:t>3</w:t>
      </w:r>
      <w:r>
        <w:rPr>
          <w:rtl w:val="true"/>
        </w:rPr>
        <w:t xml:space="preserve">. </w:t>
      </w:r>
      <w:r>
        <w:rPr>
          <w:rtl w:val="true"/>
        </w:rPr>
        <w:t>محدودیت در تقسیم</w:t>
      </w:r>
      <w:bookmarkEnd w:id="54"/>
    </w:p>
    <w:p>
      <w:pPr>
        <w:pStyle w:val="BookText"/>
        <w:rPr/>
      </w:pPr>
      <w:r>
        <w:rPr>
          <w:rFonts w:ascii="IRNazanin" w:hAnsi="IRNazanin" w:eastAsia="IRNazanin"/>
          <w:color w:val="111111"/>
          <w:sz w:val="28"/>
          <w:sz w:val="28"/>
          <w:szCs w:val="28"/>
          <w:rtl w:val="true"/>
          <w:lang w:bidi="fa-IR"/>
        </w:rPr>
        <w:t>از روش های عقل در دست‌یابی به شناخت، تقسیم کل به اجزای تشکیل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کل به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نوعی شناخت به اجزای تشکیل‌دهنده برای عقل حاصل می گردد؛ و ثانیاً، عقل با تصور هیئت ترکیبی اجزای شناخته‌شده، به معرفتی ـ هرچند اجمالی ـ از موضوع شناخت،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شناخت، امری غیر قابل تقسیم به اجزا باشد و عقل نتواند برای شناخت کامل، آن را به اجزای خردتر تقسیم کند، طبیعتاً از شناخت کل ـ شناخت از طریق تقسیم ـ نیز بازخواهد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به همین نقص عقل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تقسیم خارجی و هم تقسیم عقلی از ساحت ربوبی نفی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یَنْقَسِمُ فِی وُجُودٍ وَ لاعَقْلٍ وَ لاوَهْمٍ کَذَلِکَ رَبُّنَا عَزَّوَجَلَّ؛ او در وجود، عقل و وهم تقسیم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عقل توان تقسیم خدا را ندارد و اساساً خداوند قابل تقسیم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 الصُّوَرِ لَمْ یَتَجَزَّأْ وَ لَمْ یَتَنَاهَ وَ لَمْ یَتَزَایَدْ وَ لَمْ یَتَنَاقَصْ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آفریننده صورت ها تجزیه نمی شود، متناهی نیست و ازدیاد و نقص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عقل نمی تواند با این روش نیز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وجودهای بسیط نیز علم پیدا می کند و این روایت،</w:t>
      </w:r>
      <w:bookmarkStart w:id="55" w:name="pg2653_32393"/>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نفی ترکیب از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ما در این بخش، تنها شناخت به تقسیم را در ساحت خداوند محدود می دانیم و سایر محدودیت ها در جای خود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نقیصه هم در شناخت ذات و هم در شناخت صفات وجود دارد، زیرا همان گونه که ذات الهی بسیط است، صفات خدا نیز از بساطت برخوردار است</w:t>
      </w:r>
      <w:r>
        <w:rPr>
          <w:rFonts w:eastAsia="IRNazanin" w:cs="IRNazanin"/>
          <w:color w:val="111111"/>
          <w:sz w:val="28"/>
          <w:szCs w:val="28"/>
          <w:rtl w:val="true"/>
          <w:lang w:bidi="fa-IR"/>
        </w:rPr>
        <w:t>.</w:t>
      </w:r>
    </w:p>
    <w:p>
      <w:pPr>
        <w:pStyle w:val="Heading4"/>
        <w:numPr>
          <w:ilvl w:val="3"/>
          <w:numId w:val="1"/>
        </w:numPr>
        <w:rPr/>
      </w:pPr>
      <w:bookmarkStart w:id="56" w:name="__RefHeading___Toc680925_1395250215"/>
      <w:bookmarkStart w:id="57" w:name="_Toc22"/>
      <w:bookmarkEnd w:id="56"/>
      <w:r>
        <w:rPr/>
        <w:t>2</w:t>
      </w:r>
      <w:r>
        <w:rPr>
          <w:rtl w:val="true"/>
        </w:rPr>
        <w:t>ـ</w:t>
      </w:r>
      <w:r>
        <w:rPr/>
        <w:t>4</w:t>
      </w:r>
      <w:r>
        <w:rPr>
          <w:rtl w:val="true"/>
        </w:rPr>
        <w:t xml:space="preserve">. </w:t>
      </w:r>
      <w:r>
        <w:rPr>
          <w:rtl w:val="true"/>
        </w:rPr>
        <w:t>محدودیت در تقدیر</w:t>
      </w:r>
      <w:bookmarkEnd w:id="57"/>
    </w:p>
    <w:p>
      <w:pPr>
        <w:pStyle w:val="BookText"/>
        <w:rPr/>
      </w:pPr>
      <w:r>
        <w:rPr>
          <w:rFonts w:ascii="IRNazanin" w:hAnsi="IRNazanin" w:eastAsia="IRNazanin"/>
          <w:color w:val="111111"/>
          <w:sz w:val="28"/>
          <w:sz w:val="28"/>
          <w:szCs w:val="28"/>
          <w:rtl w:val="true"/>
          <w:lang w:bidi="fa-IR"/>
        </w:rPr>
        <w:t>در صورتی که موضوع معرفت از مواردی باشد که با تقدیر و اندازه گیری بتوان به آن معرفت حاصل کرد، عقل توان اندازه گیری دارد و می تواند با این کارکرد خود، به شناخت موضوع شناسایی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شده که عقل توان تقدیر و اندازه گیری خدا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لاتُقَدِّرُهُ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ها نمی توانند او را اندازه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راه عقل نیز در شناخت خدا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به دو گونه قابل تصور است؛ تقدیر حسّی و تقدیر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حسی به تجسیم خداوند می انجامد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 کند، اما تقدیر عقلانی ـ که مورد بحث ماست ـ نیز در روایات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لاتُدْرِکُهُ الأَبْصارُ وَ لایُحِیطُ بِهِ مِقْدَارٌ؛ حقیقت ربوبیت الهی این است که چشم ها او را درک نمی کنند و اندازه ای بر او احاطه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لغت‌دانان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بیان کرده اند؛ وجه اول، تفکر در آماده سازی منظم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اندازه‌گیری با نشانه گذاری و معین کردن حدود قطعی شیء و وجه سوم، به معنای نیت قطعی و عقد قلبیِ انجام دادن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 سوم در شناخت عقلی خدا متصور نیست، زیرا این دو معنا در جایی به کار می‌روند که فرد قصد دارد متعلق تقدیر خود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می تواند در شناخت خدا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اگر تقدیر را به معنای تقدیر حسی بگیریم، عقل منتهای شیء را حدّ نهایی آن قلمداد می کند و با این حدود ارتباط مستقیمی می گیرد؛ در این صورت، در واقع شیء متناهی و دارای ویژگی جسمانی است؛ مثلاً از خصوصیات زمان مندی و مکان داری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حنفیه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صمد این است که اسم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تمثال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 و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کجایی و این‌جا و آن‌جا و بالایی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ندارد و توپر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قعود و سکون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او خالی نیست و در جایی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ندارد و به قلب خطور نمی کند و بویی که به مشام برسد،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اشیا نفی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انواع محدودیت های جسمانی، از جمله مثل و شبیه از خداوند،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مماثل این است که از جهتی دارای اشتراک و از جهتی تباین دارند؛ بنابراین، در دوگانگی خود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از خداوند صورت و تمثال را نفی می کند، چراکه این موارد محدودیت های عقلانی برای خدا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مکان، کجایی و چه زمانی، بالایی و پایینی، خلأ و ملأ، قیام و قعود، سکون و حرکت، همگی از حدود حسّی هستند که عقل برای شناخت اشیا از این ویژگی ها در تمییز و تحدید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از این ویژگی ها خالی باشد، عقل در شناخت آن متحیر خواهد ماند، زیرا راه‌کار و میزان خود را در شناخت، ناکارآمد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تحدید و تقدیر عقلی، عقل نشانه هایی را که پیش‌تر در دست‌رس او بود، استفاده می کند و با استفاده از آن نشانه ها برای موضوع شناخت، حدودی را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قرار باشد موضوع تقدیر عقل، خدا باشد، از آن‌جا که عقل شناخت مستقیمی به خدا ندارد و نهایتی برای خدا قابل تصور نیست تا عقل آن را به عنوان نشانه خود انتخاب کند، پس باید با استفاده از شناخت های دیگری که از مخلوقات کسب کرده، به نشانه گذاری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قَدَّرُوکَ عَلَی الْخِلْقَةِ الْمُخْتَلِفَةِ الْقُوَی بِقَرَائِحِ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استعداد عقل های خویش برای تو مانند مخلوقات گوناگون، مقدار معین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این نوع تقدیر را نیز در شناخت خدا ناکارآمد می داند، چراکه این نشانه ها، نشانه هایی است که می تواند مخلوق را محدود کند و نه خالق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دلیل است که نهایت و حدّی برای خدا وجود ندارد، تا عقل آن را دریابد، زیرا اگر خداوند دارای حد باشد، محدود است و قابلیت ازدیاد و نقصان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حسّ باصره قابل درک 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فرقی که بین او و مخلوقاتش وجود دارد؛ مخلوقاتی که حسّ باصره آن ها را درک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والاتر از این است که چشم او را درک کند یا وهم بر او احاطه یابد و یا عقل او را</w:t>
      </w:r>
      <w:bookmarkStart w:id="58" w:name="pg2653_32395"/>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ضبط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 او را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محدودی، متناهی به حد است و هنگامی که امکان محدود کردن باشد، احتمال زیادت و نقصان نیز هست؛ پس غیرمحدود است و قابل ازدیاد، نقصان، تجزیه و 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تحدید عقل، زمانی حاصل می شود که موضوع شناخت، تحدیدپذیر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در فعل الهی نسبت به مخلوق، قابلیت نشانه گذاری و تحدید را دارد؛ لذا در روایات به تفکر و تدبر در آیات و نشانه های الهی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تَفَکَّرَ فِی آلاءِ اللَّهِ سُبْحَانَهُ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در مخلوقات خداوند تفکر کرد، به موفقیت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درباره نحوه اضافه فعل به خداوند،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تقدیر عقل در شناخت خداوند، در مواردی به صورت مطلق در روایات آمده است که شامل ذات و صفات خداوند می گردد، و در مواردی دیگر برخی صفات، به‌ویژه به عنوان صفاتی که تحت تقدیر عقلانی قرار نمی گیرند، نام برده شده اند؛ از جمله این صفات، ربوبیت و عظمت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لاتُقَدِّرْ عَظَمَةَ اللَّهِ سُبْحَانَهُ عَلَی قَدْرِ عَقْلِکَ فَتَکُونَ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عظمت خدا را به اندازه عقل خود اندازه گیری مکن که از هلاک‌شوندگان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در صورتی که نشانه و آثار الهی دیده شوند، توصیه به تفکر و تعقل درباره آن‌ها شده است، اما در چگونگی و کیفیت فعل الهی در روایات به صورت ضمنی می توان به نفی تعقل در آنان، اشاره هایی یافت؛ از جمله روایت ذیل است که عقل انسان را از درک حقیقت ربوبیت الهی، که یکی از صفات فعل خداوند به شمار می رود، ناتوان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 وَ لایُحِیطُ بِهِ مِقْدَارٌ؛ حقیقتِ ربوبیت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درک نمی کند و هیچ مقداری او را به احاطه درنمی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محدودیت در تقدیر هم با تنقیح مناط و هم به تصریح روایات، در شناخت صفات الهی نیز صادق است و مختص شناخت ذات نیست</w:t>
      </w:r>
      <w:r>
        <w:rPr>
          <w:rFonts w:eastAsia="IRNazanin" w:cs="IRNazanin"/>
          <w:color w:val="111111"/>
          <w:sz w:val="28"/>
          <w:szCs w:val="28"/>
          <w:rtl w:val="true"/>
          <w:lang w:bidi="fa-IR"/>
        </w:rPr>
        <w:t>.</w:t>
      </w:r>
    </w:p>
    <w:p>
      <w:pPr>
        <w:pStyle w:val="Heading4"/>
        <w:numPr>
          <w:ilvl w:val="3"/>
          <w:numId w:val="1"/>
        </w:numPr>
        <w:rPr/>
      </w:pPr>
      <w:bookmarkStart w:id="59" w:name="__RefHeading___Toc680927_1395250215"/>
      <w:bookmarkStart w:id="60" w:name="_Toc23"/>
      <w:bookmarkEnd w:id="59"/>
      <w:r>
        <w:rPr/>
        <w:t>2</w:t>
      </w:r>
      <w:r>
        <w:rPr>
          <w:rtl w:val="true"/>
        </w:rPr>
        <w:t>ـ</w:t>
      </w:r>
      <w:r>
        <w:rPr/>
        <w:t>5</w:t>
      </w:r>
      <w:r>
        <w:rPr>
          <w:rtl w:val="true"/>
        </w:rPr>
        <w:t xml:space="preserve">. </w:t>
      </w:r>
      <w:r>
        <w:rPr>
          <w:rtl w:val="true"/>
        </w:rPr>
        <w:t>محدودیت تصور</w:t>
      </w:r>
      <w:bookmarkEnd w:id="6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محدودیت در تصور،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آفرینی، تخیل، تفکر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تُدْرِکُ الْعُقُولُ وَ أَوْهَامُهَا وَ لا الْفِکَرُ وَ خَطَرَاتُهَا و لاالأَلْبَابُ وَ أَذْهَانُهَا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ها، وهم ها، فکر ها و خاطرات آن ها و خردها و اذهان آن ها صفت خدا را درک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تعابیر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لب، وهم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محدودیت عقل در تصور و ادراک استفاده کرده است؛ به این معنا که با تنوع واژگانی، در صدد نشان دادن ناکارآمدیِ عقل در همه</w:t>
      </w:r>
    </w:p>
    <w:p>
      <w:pPr>
        <w:pStyle w:val="BookText"/>
        <w:rPr/>
      </w:pPr>
      <w:r>
        <w:rPr>
          <w:rFonts w:ascii="IRNazanin" w:hAnsi="IRNazanin" w:eastAsia="IRNazanin"/>
          <w:color w:val="111111"/>
          <w:sz w:val="28"/>
          <w:sz w:val="28"/>
          <w:szCs w:val="28"/>
          <w:rtl w:val="true"/>
          <w:lang w:bidi="fa-IR"/>
        </w:rPr>
        <w:t>شکل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احاطه تصوری، عقل تصویری از متعلقِ علم در خود ایجاد می کند و آن تصویر واسطه میان ذهن و متعلق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تصویرسازی برای عقل از چیزی مانند وجدان ممکن نباشد، از راه های دیگری چون ضبط، تحدید،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علم از متعلق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بیان محدودیت عقل در تصویرآفرینی بیان می کند که اگر عقل تصویری بسازد و بخواهد از آن به عنوان واسطه شناخت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تصویر با وجود خارجی خدا مطابقت ندارد و ثانیاً، این تصویر هیچ حکایتی ـ حتی به طور ناقص ـ از خداوند ندارد و تماماً با خدا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لاتُدْرِکُهُ الأَوْهَامُ کَیْفَ تُدْرِکُهُ الأَوْهَامُ وَ هُوَ خِلافُ مَا یُعْقَلُ وَ خِلافُ مَا یُتَصَوَّرُ فِی الأَوْهَامِ؛ وهم ها او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اوهام او را درک کنند، در حالی که او خلاف آن چیزی است که تعقل می شود و خلاف آن چیزی است که در وهم ها تصور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ادراک عقل را به علت مغایرت بین صورت ذهنی و صاحب صورت نشان می دهد و با دو تعبیر آن را بیان می کند؛ در تعبیر اول،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ما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که تأکید بر عقل است و در تعبیر دیگر، این مغایرت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یتصور فی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لاصُورَةٌ وَ هُوَ مُجَسِّمُ الأَجْسَامِ وَ مُصَوِّرُ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ندارد، در حالی که او خالقِ اجسام و آفریننده صورت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تغایر خدا و صورت عقلی را به این بازمی گرداند که خدا مصوّر است که تمام صورت ها برساخته اوست، و تغایر بین مصوّر و صور،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فَمَتَی تَفَکَّرَ الْعَبْدُ فِی مَاهِیَّةِ الْبَارِئِ وَ کَیْفِیَّتِهِ أَلِهَ فِیهِ وَ تَحَیَّرَ وَ لَمْ تُحِطْ فِکْرَتُهُ بِشَیْ‌ءٍ یَتَصَوَّرُ لَهُ لأَنَّهُ عَزَّ وَ جَلَّ خَالِقُ الصُّوَرِ؛ هر زمان که بنده در ماهیت خداوند و کیفیت او تفکر کند، در آن سرگردان می گردد و تفکر او بر چیزی که تصور کرده احاطه نمی یابد، زیرا خداوند آفریننده صورت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احاطه عقلی بر صورت، در برخی روایات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در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لا تُقَدِّرُهُ الْعُقُولُ وَ لا‌تَقَعُ عَلَیْهِ الأَوْهَامُ فَکُلُّ مَا قَدَّرَهُ عَقْلٌ أَوْ عُرِفَ لَهُ مِثْلٌ فَهُوَ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اندازه گیری کنند و وهم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واقع شوند؛ پس هرچه عقل او را اندازه گیرد یا برای او همانندی بشناسد، او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میان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وهم، یعنی عامل ادراک و موضوع ادراک، این گونه تصویرسازی شده است که گویا وهم پوششی است که موضوع شناخت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 رابطه، روایت این ارتباط را میان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 زیرا چنین برداشتی مستلزم محدودیت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لایُشْبِهُهُ شَیْ‌ءٌ وَ کُلَّمَا وَقَعَ فِی الْوَهْمِ فَهُوَ مُخَالِفُهُ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شبیه او نیست و هرچه در وهم واقع شود، او مخالف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ارتباط به گونه دیگری بیان شده است که در آن عقل، ظرف و موضوع شناخت، مظروف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چون خدا محدود نیست، هر آنچه در ظرف عقل بگنجد، قطعاً با خدا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عقلانی که از مشابهت و مشاکله ساخته</w:t>
      </w:r>
    </w:p>
    <w:p>
      <w:pPr>
        <w:pStyle w:val="BookText"/>
        <w:rPr/>
      </w:pPr>
      <w:r>
        <w:rPr>
          <w:rFonts w:ascii="IRNazanin" w:hAnsi="IRNazanin" w:eastAsia="IRNazanin"/>
          <w:color w:val="111111"/>
          <w:sz w:val="28"/>
          <w:sz w:val="28"/>
          <w:szCs w:val="28"/>
          <w:rtl w:val="true"/>
          <w:lang w:bidi="fa-IR"/>
        </w:rPr>
        <w:t>می شود؛ یعنی عقل در صورت‌آفرینی به شیء مورد نظر دست‌رسی ندارد، بلکه صورت را از اشیای همگون و هم‌سان می گیرد؛ به بیان دیگر، صورت خیالی صورتی است که عقل از ترکیب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اقتباسی از موجودات دیگر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الْحَمْدُ لِلَّهِ الَّذِی مَنَعَ الأَوْهَامَ أَنْ تَنَالَ إِلاّ وُجُودَهُ وَ حَجَبَ الْعُقُولَ أَنْ تَتَخَیَّلَ ذَاتَهُ لامْتِنَاعِهَا مِنَ الشَّبَهِ وَ التَّشَاکُلِ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وهم ها را از این‌که به او برسند منع کرده، جز در دانستن وجود او و عقل ها را از این‌که ذات او را تخیل کنند، به دلیل امتناع ذات از داشتن شبیه و هم شکل، محجوب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تخیل ذات خدا محال دانسته شده است، زیرا ذات خدا هیچ شبیه و نظیری ندارد؛ پس هر تصویری که در ذهن ساخته شود، خلاف ذات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بشری می‌توان مشابهت قائل شد و از این رهگذر، حکم به این داد که اگرچه عقل از راه احاطه، تقدیر، ضبط و تقسیم نمی‌تواند به صفات الهی علم پیدا کند، می‌تواند با استفاده از قوه صورت‌آفرینی و با کمک علم و اوصاف مخلوقات، به اوصاف الهی دست یابد؟ پاسخ این است که روایات گونه چهارم، پاسخ‌گوی این پرسش است و بیان می‌کند که عظمت، علم و قدرت الهی با تعقل درک</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نفی شناخت عقلانی از ذات، صفات و فعل الهی، به معنای نفی هر گونه شناختی از خداوند نیست، چراکه راه های دیگری از شناخت، نظیر معرفت فطری در وجود انسان قرار دارند که از طریق مفاهیم ذهنی و ابزارهای عقلی حاصل نشده اند تا با وجود خلل در آن ها، انسان از هر گونه شناختی از خداوند محروم بماند</w:t>
      </w:r>
      <w:r>
        <w:rPr>
          <w:rFonts w:eastAsia="IRNazanin" w:cs="IRNazanin"/>
          <w:color w:val="111111"/>
          <w:sz w:val="28"/>
          <w:szCs w:val="28"/>
          <w:rtl w:val="true"/>
          <w:lang w:bidi="fa-IR"/>
        </w:rPr>
        <w:t>.</w:t>
      </w:r>
      <w:bookmarkStart w:id="61" w:name="pg2653_32398"/>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62" w:name="__RefHeading___Toc680929_1395250215"/>
      <w:bookmarkStart w:id="63" w:name="_Toc24"/>
      <w:bookmarkEnd w:id="62"/>
      <w:r>
        <w:rPr>
          <w:rtl w:val="true"/>
        </w:rPr>
        <w:t>جمع بندی</w:t>
      </w:r>
      <w:bookmarkEnd w:id="63"/>
    </w:p>
    <w:p>
      <w:pPr>
        <w:pStyle w:val="BookText"/>
        <w:rPr/>
      </w:pPr>
      <w:r>
        <w:rPr>
          <w:rFonts w:ascii="IRNazanin" w:hAnsi="IRNazanin" w:eastAsia="IRNazanin"/>
          <w:color w:val="111111"/>
          <w:sz w:val="28"/>
          <w:sz w:val="28"/>
          <w:szCs w:val="28"/>
          <w:rtl w:val="true"/>
          <w:lang w:bidi="fa-IR"/>
        </w:rPr>
        <w:t>عقل، مهم‌ترین منبع معرفتیِ انسان در دین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در حوزه خداشناسی با محدودیت‌هایی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برخاسته از ذات عقل است و تمام انسان‌ها در این باره همانند هستند؛ از این رو، حتی با آموزش انبیا و اولیای الهی نیز این نقیصه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دینی در گزارش محدودیت عقل، به پنج دسته تقسیم می‌شوند و در نهایت، تحلیلِ آن‌ها ما را به این نتیجه می‌رساند که عقل در شناخت ذات، صفات و برخی از افعال الهی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دینی صرفاً به گزارش از ناتوانی عقل در این موارد بسنده نمی‌کنند، بلکه با تبیین عقلانی به روشن شدن چراییِ این محدودیت نیز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علت اصلی محدودیتِ عقل به این بازمی‌گردد که ذات و صفات، خصوصیتی دارند که عقل با هیچ شیوه‌ای نمی‌تواند بدان دست یابد، زیرا عدم تناهی ذات و صفات الهی، عقل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ضبط، تقسیم، تقدیر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و بدین‌سان، عقل از ادراک ذات و صفات الهی باز‌می‌ماند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ابتدایی، شاید به نظر بیاید که عقل با استفاده از شباهت‌های میان اوصاف مخلوق و خالق، از راه تصور و تخیل به صفات خدا علم ـ هرچند اجمالی ـ پیدا می‌کند، ولی چون روایات هر گونه شباهت و همانندی را از خدا نفی می‌کنند و از سوی دیگر، درباره برخی اوصاف،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قدرت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ویژه حکم می‌کنند که عقل از فهم آن‌ها ناتوان است، پس می‌توان گفت عقل با هیچ شیوه‌ای به کنه صفات الهی نمی رسد و آن ها را درک نمی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بیان محدودیت عقل تلاش می‌کنند با استفاده از تنوع واژگانی، این امر را برجسته کنند و نشان دهند که عقل در فهم ذات و صفات خدا ناتوان است؛ بدین منظور از سویی، از واژگانی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لب، وهم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از سوی دیگر، شیوه‌های دست‌یابی عقل به معرفت را با واژگانی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ضبط،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تقسیم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برمی‌شمارند و نقص عقل را در شناخت خدا، به دلیل خلل در این شیوه ها به تصویر می کشند</w:t>
      </w:r>
      <w:r>
        <w:rPr>
          <w:rFonts w:eastAsia="IRNazanin" w:cs="IRNazanin"/>
          <w:color w:val="111111"/>
          <w:sz w:val="28"/>
          <w:szCs w:val="28"/>
          <w:rtl w:val="true"/>
          <w:lang w:bidi="fa-IR"/>
        </w:rPr>
        <w:t>.</w:t>
      </w:r>
      <w:bookmarkStart w:id="64" w:name="pg2653_32399"/>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 w:name="__RefHeading___Toc680931_1395250215"/>
      <w:bookmarkStart w:id="66" w:name="_Toc25"/>
      <w:bookmarkEnd w:id="65"/>
      <w:r>
        <w:rPr>
          <w:rtl w:val="true"/>
        </w:rPr>
        <w:t>منابع</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ابن‌درید، محمد بن حسن،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اللغة، بیروت، دارالعلم للملایین،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ابن‌سیده،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المحکم و المحیط الاعظم،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هنداوی،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و منهج العبادات،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کرمانی و محمدحسن محرر، قم،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بیروت، دار احیاء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محدث،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تصنیف غررالحکم و درر الکلم،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 علی،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کشاف اصطلاحات الفنون و العلوم، بیروت، مکتبة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عطار، بیروت، دارالعلم للملایین،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مطهر،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حسن‌زاده‌آملی، قم، مؤسسة النشر الإسلامی،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القلوب الی الصواب،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ابوعبدالله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معارف اسلامی، تهران، دانشگاه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ابوالحسن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 نجف، المطبعة 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الحکمة، قم،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تهران، المطبعة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هجرت،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محمدمحسن،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الاخبار فی ما یتعلق باصول الدین،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انصاری قمی، تهران، مؤسسه مطالعات و تحقیقات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الامامیة،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رسولی‌محلاتی،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لدرر اخبار الائمة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مفضل،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مظفر، قم، داوری</w:t>
      </w:r>
      <w:r>
        <w:rPr>
          <w:rFonts w:eastAsia="IRNazanin" w:cs="IRNazanin"/>
          <w:color w:val="111111"/>
          <w:sz w:val="28"/>
          <w:szCs w:val="28"/>
          <w:rtl w:val="true"/>
          <w:lang w:bidi="fa-IR"/>
        </w:rPr>
        <w:t>.</w:t>
      </w:r>
      <w:bookmarkStart w:id="67" w:name="pg2653_32401"/>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2"/>
        <w:numPr>
          <w:ilvl w:val="1"/>
          <w:numId w:val="1"/>
        </w:numPr>
        <w:rPr/>
      </w:pPr>
      <w:bookmarkStart w:id="68" w:name="__RefHeading___Toc680933_1395250215"/>
      <w:bookmarkStart w:id="69" w:name="_Toc26"/>
      <w:bookmarkEnd w:id="68"/>
      <w:r>
        <w:rPr>
          <w:rtl w:val="true"/>
        </w:rPr>
        <w:t>شیخ مفید و مسئله ارزش داوریِ عقل در حوزه دین</w:t>
      </w:r>
      <w:bookmarkEnd w:id="69"/>
    </w:p>
    <w:p>
      <w:pPr>
        <w:pStyle w:val="Heading3"/>
        <w:numPr>
          <w:ilvl w:val="2"/>
          <w:numId w:val="1"/>
        </w:numPr>
        <w:rPr/>
      </w:pPr>
      <w:bookmarkStart w:id="70" w:name="__RefHeading___Toc680935_1395250215"/>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حمید ملک مکان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رحیم دهقان سیمکانی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1392/07/09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1393/02/20</w:t>
      </w:r>
    </w:p>
    <w:p>
      <w:pPr>
        <w:pStyle w:val="Heading3"/>
        <w:numPr>
          <w:ilvl w:val="2"/>
          <w:numId w:val="1"/>
        </w:numPr>
        <w:rPr/>
      </w:pPr>
      <w:bookmarkStart w:id="72" w:name="__RefHeading___Toc680937_1395250215"/>
      <w:bookmarkStart w:id="73" w:name="_Toc28"/>
      <w:bookmarkEnd w:id="72"/>
      <w:r>
        <w:rPr>
          <w:rtl w:val="true"/>
        </w:rPr>
        <w:t>چکیده</w:t>
      </w:r>
      <w:bookmarkEnd w:id="73"/>
    </w:p>
    <w:p>
      <w:pPr>
        <w:pStyle w:val="BookText"/>
        <w:rPr/>
      </w:pPr>
      <w:r>
        <w:rPr>
          <w:rFonts w:ascii="IRNazanin" w:hAnsi="IRNazanin" w:eastAsia="IRNazanin"/>
          <w:color w:val="111111"/>
          <w:sz w:val="28"/>
          <w:sz w:val="28"/>
          <w:szCs w:val="28"/>
          <w:rtl w:val="true"/>
          <w:lang w:bidi="fa-IR"/>
        </w:rPr>
        <w:t>شیخ مفید، متکلمی عقل‌گراست که تلاش می کند گزاره‌های کلامی و فقهی را با استدلال عقلانی تبیین کرده و اندیشمندان را به سوی ایمانِ استدلالی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عقل نه تنها ابزاری در جهت فهم معارف دینی است، بلکه در برخی موارد از نوعی استقلال برخوردار بوده و منبعی در جهت فهم دین و گزاره های دینی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مفید، عقل قادر است به تنهایی و بدون وساطت خطاب شرعی، احکامی را صادر کند که از اعتبار قطعی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 خواهد کرد ضمن تحلیل رویکرد خردگرایانه شیخ مفید، ارزش و جایگاه عقل در فهم معارف و گزاره های دینی را از منظر او تبیین کرده و نگرش وی در باب رابطه عقل و نقل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مقاله در مراجعه با آرا، استنادی و در تبیین محتوا، تحلیلی ـ تبیینی است</w:t>
      </w:r>
      <w:r>
        <w:rPr>
          <w:rFonts w:eastAsia="IRNazanin" w:cs="IRNazanin"/>
          <w:color w:val="111111"/>
          <w:sz w:val="28"/>
          <w:szCs w:val="28"/>
          <w:rtl w:val="true"/>
          <w:lang w:bidi="fa-IR"/>
        </w:rPr>
        <w:t>.</w:t>
      </w:r>
    </w:p>
    <w:p>
      <w:pPr>
        <w:pStyle w:val="Heading3"/>
        <w:numPr>
          <w:ilvl w:val="2"/>
          <w:numId w:val="1"/>
        </w:numPr>
        <w:rPr/>
      </w:pPr>
      <w:bookmarkStart w:id="74" w:name="__RefHeading___Toc680939_1395250215"/>
      <w:bookmarkStart w:id="75" w:name="_Toc29"/>
      <w:bookmarkEnd w:id="74"/>
      <w:r>
        <w:rPr>
          <w:rtl w:val="true"/>
        </w:rPr>
        <w:t>واژگان کلیدی</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عقل‌گرایی، نص، نقل، وحی، شیخ مفید</w:t>
      </w:r>
      <w:r>
        <w:rPr>
          <w:rFonts w:eastAsia="IRNazanin" w:cs="IRNazanin"/>
          <w:color w:val="111111"/>
          <w:sz w:val="28"/>
          <w:szCs w:val="28"/>
          <w:rtl w:val="true"/>
          <w:lang w:bidi="fa-IR"/>
        </w:rPr>
        <w:t>.</w:t>
      </w:r>
      <w:bookmarkStart w:id="76" w:name="pg2653_32402"/>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77" w:name="__RefHeading___Toc680941_1395250215"/>
      <w:bookmarkStart w:id="78" w:name="_Toc30"/>
      <w:bookmarkEnd w:id="77"/>
      <w:r>
        <w:rPr>
          <w:rtl w:val="true"/>
        </w:rPr>
        <w:t>مقدمه</w:t>
      </w:r>
      <w:bookmarkEnd w:id="78"/>
    </w:p>
    <w:p>
      <w:pPr>
        <w:pStyle w:val="BookText"/>
        <w:rPr/>
      </w:pPr>
      <w:r>
        <w:rPr>
          <w:rFonts w:ascii="IRNazanin" w:hAnsi="IRNazanin" w:eastAsia="IRNazanin"/>
          <w:color w:val="111111"/>
          <w:sz w:val="28"/>
          <w:sz w:val="28"/>
          <w:szCs w:val="28"/>
          <w:rtl w:val="true"/>
          <w:lang w:bidi="fa-IR"/>
        </w:rPr>
        <w:t>ملاک های گوناگونی جهت فهم و داوری در باب امور دینی، اعمّ از گزاره ها، ارزش‌ها، اصول و اعتقادات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ملاک ها، ملاک عقل و ملاک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ملاک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توجه بیشتری به ایمان و وحی دارند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مفهوم عامی است که بر هر گونه نظام فکری ـ فلسفی که نقش اساسی را به عقل می‌دهد، اطلاق می‌شود و در مقابل آن، نظام‌های فکری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مورد شیخ مفید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از آن، نظام و یا مکتب فکری است که در فهم معارف دینی بر نقش عقل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عالمانی است که به کاربرد جدّی عقل در کلام و فقه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مظفر او را نخستین فقیهی می‌داند که از نقش عقل در فقه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صدد است تا گزاره‌های کلامی و فقهی را با استدلال عقلانی تبیین کرده و اندیشمندان را به سوی ایمان استدلالی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شناخت خداوند و همه اصول اعتقادی را اکتسابی دانسته و معتقد است، اعتقاد به خداوند چیزی است که انسان با تلاش عقلانی، به آن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پیروان این روش فکری، حجیت و اعتبار عقل را پذیرفته و اصول و مبادی عقلی را شالوده معرفت بشری دانسته و معتقدند بدون به رسمیت شناختن خرد و اصول عقلی، هیچ‌گونه معرفتی برای انسان حاصل نخواهد شد و معارف دیگر اعـم از حسی، تجربی و وحیانی، مبتنی بـر مبادی عقلی هستند</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جریان عقل‌گرایی در حوزه کلام شیعی، در واقع از ثمرات مدرسه بغداد و به دست افرادی چون شیخ مفید و سید مرتضی بود که خود از جمله برکت های سفر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بغداد بوده است</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ظرفیت قابل توجهی برای رشد جریان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پیش‌تر در تفکر شیعی وجود داشت و حتی نوبختیان و شاگردان آن‌ها نیز تلاش 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قابل توجهی داشتند، اما شیخ مفید به صورت رسمی، نوعی رویکرد عقل گرایانه اعتدالی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ره‌یافت افراطی نوبختیان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استنباط احکام و اعتقادات دینی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وظیفه آدمی را شناخت خداوند دانسته و در نظر او، شناخت خدا حتی مقدم بر اثبات وجودِ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تلاش می کرد تا روشن سازد که صرف پذیرش انفعالی احادیث از سوی کسانی که استعداد اندیشه و استدلال دارند هیچ پاداشی نخواهد داشت، زیرا پذیرش انفعالی مساوی با ایمان نیست؛ از این رو، تقلید و تعبد در عقاید را نکوهش کرده و عدم جواز تقلید در عقاید را عقیده همه عالمان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با متمایز ساختن متخصصان و مدافعان دین از کسانی که مکلف به معرفت هستند، معتقد است جمهور شیعه اگر عقل خود را به کار اندازد، به معرفتی که لازم است می رسد، زیرا راه به آن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اهل حدیث را در برخورد با مسائل عقیدتی، تقلیدی خوانده و با الهام از قرآن، خواهان این است که مردم از اندیشه به ایمان برسند و به جای تعبّد و تقلید، ایمان خویش را بر پایه معرفت عقلی و مبتنی بر اکتساب و استدلال قرار دهند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تا به حال، تحقیقات خوبی در رابطه با رویکرد عقل‌گرایانه شیخ مفید صورت گرفته است </w:t>
      </w:r>
      <w:r>
        <w:rPr>
          <w:rStyle w:val="FootnoteAnchor"/>
          <w:rtl w:val="true"/>
        </w:rPr>
        <w:footnoteReference w:id="19"/>
      </w:r>
      <w:r>
        <w:rPr>
          <w:rFonts w:ascii="IRNazanin" w:hAnsi="IRNazanin" w:eastAsia="IRNazanin"/>
          <w:color w:val="111111"/>
          <w:sz w:val="28"/>
          <w:sz w:val="28"/>
          <w:szCs w:val="28"/>
          <w:rtl w:val="true"/>
          <w:lang w:bidi="fa-IR"/>
        </w:rPr>
        <w:t>، اما در آن‌ها تلاشی برای تعیین میزان بهره وری شیخ در حوزه دین پژوهی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 خواهد کرد تا بیان دارد که شیخ مفید تا چه اندازه از ملاک عقلانیت در تبیین اعتقادات و احکام دین بهره جسته و قلمرو عقل در فهم گزاره های دینی را تا کجا دانسته است؟ بهترین راه قضاوت در جهت پاسخ به این پرسش و درباره رویکرد خردگرایانه شیخ مفید و نیز نوع خردگرایی ایشان، بررسی آثار و نوشته های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مقاله، ابتدا به بررسی اعتبار ادلّه عقلی نزد ایشان پرداخته، سپس به بررسی قلمرو عقل و نگرش شیخ مفید در باب مواجهه عقل و نقل در فهم معارف دینی پرداخته و تلاش می کند تفسیری از رویکرد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شناختیِ عقلانی او به دین و اعتقادات دینی را ترسیم نماید</w:t>
      </w:r>
      <w:r>
        <w:rPr>
          <w:rFonts w:eastAsia="IRNazanin" w:cs="IRNazanin"/>
          <w:color w:val="111111"/>
          <w:sz w:val="28"/>
          <w:szCs w:val="28"/>
          <w:rtl w:val="true"/>
          <w:lang w:bidi="fa-IR"/>
        </w:rPr>
        <w:t>.</w:t>
      </w:r>
      <w:bookmarkStart w:id="79" w:name="pg2653_32404"/>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80" w:name="__RefHeading___Toc680943_1395250215"/>
      <w:bookmarkStart w:id="81" w:name="_Toc31"/>
      <w:bookmarkEnd w:id="80"/>
      <w:r>
        <w:rPr/>
        <w:t>1</w:t>
      </w:r>
      <w:r>
        <w:rPr>
          <w:rtl w:val="true"/>
        </w:rPr>
        <w:t xml:space="preserve">. </w:t>
      </w:r>
      <w:r>
        <w:rPr>
          <w:rtl w:val="true"/>
        </w:rPr>
        <w:t>اعتبار ادله عقلی نزد شیخ مفید</w:t>
      </w:r>
      <w:bookmarkEnd w:id="81"/>
    </w:p>
    <w:p>
      <w:pPr>
        <w:pStyle w:val="BookText"/>
        <w:rPr/>
      </w:pPr>
      <w:r>
        <w:rPr>
          <w:rFonts w:ascii="IRNazanin" w:hAnsi="IRNazanin" w:eastAsia="IRNazanin"/>
          <w:color w:val="111111"/>
          <w:sz w:val="28"/>
          <w:sz w:val="28"/>
          <w:szCs w:val="28"/>
          <w:rtl w:val="true"/>
          <w:lang w:bidi="fa-IR"/>
        </w:rPr>
        <w:t xml:space="preserve">متکلمان مسلمان و تا حدودی فقها، عقل را به معنای قضایا و همان آرای رایج و مشهوری می‌دانند که همه یا بیشتر مردم آن‌ها را می‌پذیرند؛ از این رو به حالت دوم و پنجم از عنوان عقل، توجه بیشتری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حائری‌یزدی،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خود از سران فقها و متکلمان شیعی است، عقل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معنی یتمیّز به من معرفة المستنبطات و یسمی عقلا لانّه یعقل عن المقبحّات؛ عقل معنایی است که بر اساس آن، مستنبطات تمییز داده می شود و از آن جهت عقل نامیده شده که از ارتکاب قبیح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عقل در نظر شیخ مفید، مجموعه علومی است که با آن، تمییز خیر و شر و ادراک واقع صورت می‌گیرد؛ این علوم غالباً بدیهیات و مشهوراتی است که برای انسان حاصل است و به ندرت به علوم کسبی 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در زمان شیخ مفید، تعریف رایج از عقل دست‌کم نزد متکلمان همین بوده است؛ مثلاً تعریفی که قاضی عبدالجبار از عقل ارائه می‌دهد،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العقل هو عبارة عن جملة من العلوم المخصوصة، متی حصلت فی المکلف صحّ منه النظر و الاستدلال و القیام باداء ما کلّف؛ بدان که عقل عبارت است از علومی مخصوص، که هرگاه این علوم در مکلف حاصل شوند، مکلف قادر به استدلال و نظر خواهد شد و به انجام تکالیف خود قیام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معنای عقل در نگرش شیخ مفید که بگذریم، در بررسی مسائل مربوط به عقل، یکی از پرسش های مهمی که باید بدان پاسخ گفت، این است که آیا احکام عقل معتبر است؟ به بیان دیگر، آیا آنچه عقل درک می کند یا بدان حکم می‌نماید، معتبر است؟ مراد از اعتبار داشتن عقل در این‌جا به معنای این قضیه کلیه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عقل درک و حکم کرد،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مراد نفی این قضیه سالبه کلیه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 فاقد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در آثار کلامی شیخ مفید و استنادات مختلف وی به دلیل عقل، اعتبار دلیل عقلی در نظر وی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موارد، تصریح کرده است که در برخی مسائل، تنها به دلیل عقل می‌توان تمسک کرد و این بالاترین دلیل بر اعتبار عقل در امور نظری و اعتقادی نزد شیخ مفید است؛ برای نمونه، او در باب بازگشت حیات به مردگان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 فرشته از مردگان پس از خروجشان از دنیا، سمع است و راه علم به بازگشت حیات به ایشان در وقت سؤال، عقل است، زیرا پرسش</w:t>
      </w:r>
      <w:bookmarkStart w:id="82" w:name="pg2653_32405"/>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از مردگان و استخبار از جمادات ممکن نیست و آنچه پسندیده است، سخن گفتن با زنده عاقل است به آنچه تکلم می‌کند و تقریر و الزام او بر آنچه بر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مسئولی در وقت سؤال، حیات به او برمی‌گردد تا آنچه به او گفته می‌شود، بفهمد؛ پس خبر، مؤکِّد و مؤیّد مفاد عقل است و اگر در این باره خبری نبود، البته حجت عقل کافی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شیخ مفید در موارد متعددی،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انحصار خلود در نار به کفّار و عدم شمول آن بر اهل 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ابطال حبط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احتیاج خداوند به مکان و نیز مسئله حکمت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اثبات اصل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ادله عقلی تمسک کرده و بیش از آن‌که از نقل بهره بگیرد، از استدلال عقلی استفاده می 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ایشان تنها در جایی به نقل تمسک می کنند که یا دلیل عقلی از آن ساکت بوده و برهان عقلی بر امتناع آن قائم نباشد و یا در موافقت با آن باشد که در این صورت نیز نقل در مقام تأیید و نه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عام نقلی را با دلیل عقل تخصیص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دلیل عقلی، توانایی تخصیص زدن بر دلیل نقلی را دارد و از این طریق، احکام نظریِ عقل را دارای حجیت و اعتبار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شاهد بر این است که او در فهم معارف و گزاره های دینی، اعتبار دلیل عقل را به رسمیت می شناسد؛ از این رو به نظر می‌رسد که می‌توان به صورت موجبه جزئیه، اعتبار برخی ادراکات و دلایل عقلی را به شیخ مفید نسبت داد و بدین ترتیب، قاعده کلی عدم اعتبار ادراکات و احکام عقلی را از دیدگاه ایشان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که به این موجبه جزئیه معتقد باشد، بی‌تردید، اعتراف خواهد کرد که در حوزه‌های مختلف</w:t>
      </w:r>
    </w:p>
    <w:p>
      <w:pPr>
        <w:pStyle w:val="BookText"/>
        <w:rPr/>
      </w:pPr>
      <w:r>
        <w:rPr>
          <w:rFonts w:ascii="IRNazanin" w:hAnsi="IRNazanin" w:eastAsia="IRNazanin"/>
          <w:color w:val="111111"/>
          <w:sz w:val="28"/>
          <w:sz w:val="28"/>
          <w:szCs w:val="28"/>
          <w:rtl w:val="true"/>
          <w:lang w:bidi="fa-IR"/>
        </w:rPr>
        <w:t>دین پژوهی، معرفت هایی حاصل از عقل وجود دارد که معتبر، قابل اعتنا و قابل استناد هستند</w:t>
      </w:r>
      <w:r>
        <w:rPr>
          <w:rFonts w:eastAsia="IRNazanin" w:cs="IRNazanin"/>
          <w:color w:val="111111"/>
          <w:sz w:val="28"/>
          <w:szCs w:val="28"/>
          <w:rtl w:val="true"/>
          <w:lang w:bidi="fa-IR"/>
        </w:rPr>
        <w:t>.</w:t>
      </w:r>
    </w:p>
    <w:p>
      <w:pPr>
        <w:pStyle w:val="Heading3"/>
        <w:numPr>
          <w:ilvl w:val="2"/>
          <w:numId w:val="1"/>
        </w:numPr>
        <w:rPr/>
      </w:pPr>
      <w:bookmarkStart w:id="83" w:name="__RefHeading___Toc680945_1395250215"/>
      <w:bookmarkStart w:id="84" w:name="_Toc32"/>
      <w:bookmarkEnd w:id="83"/>
      <w:r>
        <w:rPr/>
        <w:t>2</w:t>
      </w:r>
      <w:r>
        <w:rPr>
          <w:rtl w:val="true"/>
        </w:rPr>
        <w:t xml:space="preserve">. </w:t>
      </w:r>
      <w:r>
        <w:rPr>
          <w:rtl w:val="true"/>
        </w:rPr>
        <w:t>کارکرد عقل در دین؛ منبع یا ابزار</w:t>
      </w:r>
      <w:bookmarkEnd w:id="8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کارکردهای عقل در باب معارف دینی را در شش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استنباط، تبیین و تعلیم، تنظیم، اثبات، ردّ شبهات و نیز عقاید معارض با گزاره های دینی متصور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خلاصه‌تر می‌توان گفت، کارکردهای اصلی عقل در علم کلام در سه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ابزار بودن برای استنباط معارف از نقل، و ابزار بودن برای دفاع از معارف دینی،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هر شش مورد در باب کارکرد عقل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انسان می تواند معارف الهی و اصول تکالیف را با عقل استدلالی درک کند؛ البته این عقل استدلالی بدون خطاب خداوند و مواجهه با وحی پیدا نمی شود و در مسیر صحیح تفکر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عقل را بارور می کند و او را توانا می سازد و هنگامی که توانست به استدلال صحیح بپردازد، به تبع آن به اثبات، دفاع و حتی تعلیم و استنباط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شیخ مفید گرچه بنیان و ریشه عقل را در وحی و خطابات الهی دانسته است، با این حال به کارکردهای عقل توجه کاملاً جدی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شیخ مفید، در مقام اثبات نیز برای عقل به استقلال قائل است و آن را در عرض کتاب و سنت می داند یا این‌که فقط آن را ابزاری برای شناخت و اثبات گزاره های دینی، آن هم در طول کتاب و سنت دانسته است؟</w:t>
      </w:r>
    </w:p>
    <w:p>
      <w:pPr>
        <w:pStyle w:val="BookText"/>
        <w:rPr/>
      </w:pPr>
      <w:r>
        <w:rPr>
          <w:rFonts w:ascii="IRNazanin" w:hAnsi="IRNazanin" w:eastAsia="IRNazanin"/>
          <w:color w:val="111111"/>
          <w:sz w:val="28"/>
          <w:sz w:val="28"/>
          <w:szCs w:val="28"/>
          <w:rtl w:val="true"/>
          <w:lang w:bidi="fa-IR"/>
        </w:rPr>
        <w:t xml:space="preserve">برخی معتقدند، او هیچ استقلالی برای عقل قائل نیست و بیشتر در مقام ابزار به آن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دینانی،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اوائل المقالات فصلی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 این‌که عقل، جدایی‌ناپذیر از نقل است و در این‌که تکلیف جز از طریق پیامبران درست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معتقد است، او از عقل فقط در تطبیق فروع بر اصول، فهم کتاب و سنت و اثبات حجیت کتاب و سنت در تخصیص و تقیید احکام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شیخ مفید، عقل را نه فقط ابزار، بلکه منبعی بالقوّه برای شناخت</w:t>
      </w:r>
    </w:p>
    <w:p>
      <w:pPr>
        <w:pStyle w:val="BookText"/>
        <w:rPr/>
      </w:pPr>
      <w:r>
        <w:rPr>
          <w:rFonts w:ascii="IRNazanin" w:hAnsi="IRNazanin" w:eastAsia="IRNazanin"/>
          <w:color w:val="111111"/>
          <w:sz w:val="28"/>
          <w:sz w:val="28"/>
          <w:szCs w:val="28"/>
          <w:rtl w:val="true"/>
          <w:lang w:bidi="fa-IR"/>
        </w:rPr>
        <w:t xml:space="preserve">می داند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احکامی که بر اساس احکام قطعیِ عقلی قابل کشف است، در قرآن و سنت آمده است، هرچند عقل نیز قدرت و توان کشف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بازگشت حیات به مردگان هنگام پرسش فرشتگان از آن‌ها، خبر و نقل، صرفاً مؤکد مفاد عقل است و اگر در این باره خبری نبود، البته حجت عقل کافی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حسن و قبح عقلی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 در برابر حکم عقل، بر دو گونه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آن‌ها به حکم عقل روشن است؛ چیزی که عقل آن را ناپسند و دوری از آن را لازم شمرده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هرزگی و سبک‌سری؛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عقل درباره روا یا ناروا بودن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سمع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شرایع، قاعده آن است که هرچه نص در خصوص حرمت آن وجود نداشته باشد، انجام آن مانعی ندارد، چون شریعت‌ها حدود را مقرر می‌دارند و آنچه را حرام است، با بیان حرمتِ آن متمایز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استفاده می شود که عقل در برخی موارد، توانایی کشف حکم شرعی را دارد، ولی با آمدن شرع، قاعده آن است که شرع حد و مرز را تعیین می کند و به حرمت و یا حلیتِ چیزی حکم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دو قول مزبور </w:t>
      </w:r>
      <w:r>
        <w:rPr>
          <w:rStyle w:val="FootnoteAnchor"/>
          <w:rtl w:val="true"/>
        </w:rPr>
        <w:footnoteReference w:id="22"/>
      </w:r>
      <w:r>
        <w:rPr>
          <w:rFonts w:ascii="IRNazanin" w:hAnsi="IRNazanin" w:eastAsia="IRNazanin"/>
          <w:color w:val="111111"/>
          <w:sz w:val="28"/>
          <w:sz w:val="28"/>
          <w:szCs w:val="28"/>
          <w:rtl w:val="true"/>
          <w:lang w:bidi="fa-IR"/>
        </w:rPr>
        <w:t>، با تفحص در آثار شیخ می توان مدعی شد که او نه تنها عقل را منبعِ بالقوّه شناخت احکام دانسته، بلکه آن را منبعی بالفعل</w:t>
      </w:r>
      <w:r>
        <w:rPr>
          <w:rStyle w:val="FootnoteAnchor"/>
          <w:rtl w:val="true"/>
        </w:rPr>
        <w:footnoteReference w:id="23"/>
      </w:r>
      <w:r>
        <w:rPr>
          <w:rFonts w:ascii="IRNazanin" w:hAnsi="IRNazanin" w:eastAsia="IRNazanin"/>
          <w:color w:val="111111"/>
          <w:sz w:val="28"/>
          <w:sz w:val="28"/>
          <w:szCs w:val="28"/>
          <w:rtl w:val="true"/>
          <w:lang w:bidi="fa-IR"/>
        </w:rPr>
        <w:t>در طول دیگر منابع می‌شناسد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برشمردن منابع احکام در مرتبه نخست، تنها از قرآن و سنت نام برده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اصول الاحکام الشریعة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سبحانه و سنّة نبیه صلی الله علیه و آله و اقوال الائمة الطاهرین من بعده صلوات الله علیهم و سلامه؛ بدان که سرچشمه‌های احکام شریعت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سخنان او برمی آید که در مرتبه بعد از قرآن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اجماع را نیز در شمار منابع مزبور دانسته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عَدمَ ذلک، وَ العیاذُ بالله، وَ لَم‌یَکُن فیهِ حُکمٌ مَنصوصٌ علی حالٍ، فیُعلَم انَّهُ علی حکُمِ العَقل؛ در مواردی که فقیه سخنی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استنباط حکم نیابد و از وحی نیز هیچ حکمی یافت نشود، روشن است که باید عقل و خرد خویش را به کار گیرد و به حکم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البته باید دقت شود که این سخنِ شیخ در مقام احتجاج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چنین حالتی را انکار می‌کند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ـ العیاذ بالله ـ چنین وضعی در دوره غیبت پیش آید، چاره‌ای جز رجوع به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درباره متنازعین و اصحاب دعوی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هیچ روی از وحی و سنت، حکمی در مورد اختلاف و نزاع به دست نیاید، باید حکم عقل داور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العیاذ باللّه، لم‌یُوجد فیما اختلَفوا فیه نَصٌّ علی حکمٍ سَمعیّ، فیُعلم انَّ ذلک ممّا کانَ فی العقُولِ</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رساله الغیبه این پرسش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برای شیعه مسئله و یا نزاعی پیش آید که در قرآن و حدیث دستور صریحی برای آن نیامده، تکلیف چیست؟ و در پاسخ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با موردی روبه‌رو شد و می‌خواهد حکم شرعی را درباره آن بداند، باید به علمای شیعه امامیه مراجعه کند تا آنان تحقیق کنند که بر اساس راهنمایی‌های ائمه پیشین چگونه باید فتوا دهند و اگر هیچ حکمِ وحی‌شده‌ای که قابل انطباق بر حالتِ پیش‌آمده باشد در آن یافت نشود، آن وقت معلوم می‌شود که عقل باید در این باره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بنا بر نظر ایشان در حلّ مسائل و مشکلات جدید، نخست باید به کارشناسان رجوع کرد تا آنان با قواعد و کلیاتی که از قرآن و حدیث در اختیار دارند، حکم آن واقعه را استنباط کنند و اگر چنین قاعده ای وجود نداشت، آن‌گاه مسئله به عقل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را مخالف عقل یافتیم آن را طرد می کنیم، زیرا عقل به فساد آن حکم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پذیرفت که شیخ مفید عقل را در طول دیگر منابع قرار داده و آن را منبع بالفعل می 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کلی، سه نگرش مختلف در باب سنخ کارکرد عقل در مقام ابزار یا منبع از دیدگاه شیخ مفید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نگرش‌ها، ناشی از گوناگونیِ عبارات خودِ شیخ مفید است که در ضمن تبیین این رویکردهای متفاوت، اشاره مختصری به این عبارات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بیانات شیخ به خوبی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سویی بیان داشته اند که عقل استدلالی بدون خطاب خداوند و مواجهه با وحی، در مسیر صحیح تفکر قرار نمی گیرد؛ از سوی دیگر معتقدند، در صورت وجود حکم قطعیِ نقل و عقل، نقل، صرفاً مؤکِّد مفاد عقل است و اگر نقل نمی بود، عقل توانایی تشخیص را می داشت؛ و از سوی سوم بیان داشته اند که در هنگام فقدان وحی و</w:t>
      </w:r>
      <w:bookmarkStart w:id="85" w:name="pg2653_32409"/>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نقل در باب یک مسئله، باید با عقل و خرد خویش به حکم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بیان کاملاً در طول هم هستند و در یک راستا این نگرش را بیان می دارند که وابستگی متقابل عقل و وحی، یکی از پایه های اساسی نظام عقیدتی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بیانات، حجیت و اعتبار عقل در نظر شیخ مفید، فراتر از ابزار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شیخ استفاده می شود که در اندیشه کلامی و فقهی‌اش، عقل یکی از منابع استنباط احکام است و در مواردی که دستور صریحی از کتاب و سنت نرسیده باشد، باید به کمک عقل به حکم آن موارد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منبع بودنِ عقل در نظام معرفتیِ شیخ مفید، صرفاً به این معناست که اگر موردی یافت شد که قرآن و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 حکمی صادر نکرده باشند، نوبت به عقل رسیده و می تواند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بگوییم، شیخ مفید به استقلال عقل تصریح نکرده، ولی دست‌کم دیدگاه او زمینه‌ساز نظر صریح ابن‌ادریس در استقلال عقل به عنوان منبعی در ردیف منابع دیگر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ابن‌ادریس به صراحت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فقدت الثلاثه ـ یعنی الکتاب و السنه و الاجماع ـ فالمعتمد عند المحققین التمسک بدلیل العقل فیها؛ در هنگامی که کتاب، سنت و اجماع نباشد، دلیل عقل، مورد اعتماد محققان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86" w:name="__RefHeading___Toc680947_1395250215"/>
      <w:bookmarkStart w:id="87" w:name="_Toc33"/>
      <w:bookmarkEnd w:id="86"/>
      <w:r>
        <w:rPr/>
        <w:t>3</w:t>
      </w:r>
      <w:r>
        <w:rPr>
          <w:rtl w:val="true"/>
        </w:rPr>
        <w:t xml:space="preserve">. </w:t>
      </w:r>
      <w:r>
        <w:rPr>
          <w:rtl w:val="true"/>
        </w:rPr>
        <w:t>شیخ مفید و قلمرو محدود عقل</w:t>
      </w:r>
      <w:bookmarkEnd w:id="87"/>
    </w:p>
    <w:p>
      <w:pPr>
        <w:pStyle w:val="BookText"/>
        <w:rPr/>
      </w:pPr>
      <w:r>
        <w:rPr>
          <w:rFonts w:ascii="IRNazanin" w:hAnsi="IRNazanin" w:eastAsia="IRNazanin"/>
          <w:color w:val="111111"/>
          <w:sz w:val="28"/>
          <w:sz w:val="28"/>
          <w:szCs w:val="28"/>
          <w:rtl w:val="true"/>
          <w:lang w:bidi="fa-IR"/>
        </w:rPr>
        <w:t>پس از آن‌که روشن شد که عقل در اندیشه مفید از چه جایگاهی برخوردار است و میزان اعتماد ایشان بر ادراکات و دلایل عقلی چقدر است، حال به این مسئله می پردازیم که قلمرو عقل در نظر او تا کجاست؟ در چه حوزه هایی از معارف دینی، عقل اجازه ورود داشته و در چه جا هایی نمی‌توان بر آن تکیه زد؟ شیخ مفید مباحث نظری و اعتقادی را به سه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مسائلی که فقط با عقل قابل اثبات است؛ دسته دوم، مسائلی که هم با عقل و هم با نقل به اثبات می‌رسد و دسته سوم، مسائلی که تنها با نقل قابل اثبات است؛ از این رو باید گفت، او در جاهایی دست عقل را کوتاه دانسته و به عقل گرایی افراطی دچار نشده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و گزاره های دینی یا اعتقادات کلامی در رابطه با عقل و نقل، در نگرش شیخ مفید را می توان به سه گونه تقسیم کرد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که عقلی محض بوده و نقل، اثباتاً و نفیاً مگر از باب تأیید و یا تأکید در آن نقشی ندارد؛ از این رو، شیخ مفید برخی آیات و روایات را که در ظاهر با حکم عقل هم‌خوانی ندارند،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سخن گفتن اعضا و جوارح در قیامت که خداوند در قرآن بدان تصریح کرده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قرآن کریم در این باره فرموده، استعاره است و معنای حقیقی آن مقصود نیست؛ نظیر آن‌جایی که از قول آسمان و زمین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گفتند می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گفتنِ آن دو با نطق و سخن گفتن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صفات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مدرک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رؤیت رسول خدا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بدان‌گونه نیست که محتضر، ابدان و اجسام این بزرگواران را با چشم ببیند، بلکه مقصود، دیدنِ ثمره ولایت یا ثمره شک درباره آنان یا دشمنی با آنان و یا تقصیر در حقّ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که فاقد حکم ضروری عقل هستند؛ به این معنا که عقل در اثبات ضروری و یا نفی وجودی آن حکمی ندارد، بلکه فقط جواز و امکان آن را اثبات کرده و از بیان ضرورت وقوعیِ آن ساکت است؛ مثلاً شیخ مفید در بحث از ختم نبوّت، دلیل عقلی بر خاتمیت را قبول ندارد و به دلیل نقلی تمسک می کند، چراکه معتقد است عقل از بعثتِ پیامبر دیگری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شریعت وی نهی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شرایع پیامبران پیش از آن حضرت نسخ شده است، ممکن است شریعت او نیز نسخ شود و صرفاً اجماع و علم به این‌که بعثت جدید، خلافِ دین رسول خداست، از نسخِ آن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جواز تحریف قرآن به زیادی و نقص، به عقل استناد کرده و معتقد است عقل آن را محال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به استناد نقل، قول به عدم تحریف قرآن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نقلیِ محض بوده و صرفاً آنچه در مقام استدلال کارایی و کاربری تام دارد، دلیل نقلی است و دلیل عقلی هیچ‌گونه دخالتی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برخی صفات خداوند،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بصر، ادراک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راه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افضل بودن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لیس للعقول فی ایجابه و المنع منه 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کتاب اوائل المقالات ذیل این</w:t>
      </w:r>
      <w:bookmarkStart w:id="88" w:name="pg2653_32411"/>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سمع منفک نمی‌شود و تکلیف جز با رسولان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 همین بخش از مباحث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 اساس آنچه از آثار شیخ مفید به دست می آید می توان گفت، او در باب قلمرو عقل، پیرو اندیشه‌های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همان گونه که آن بزرگواران بر محدودیت عقل بشر اذعان داشته‌اند، او نیز بر این محدودیت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انسانی به تنهایی برای مردمان کافی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عقلی که در انسان وجود دارد، درمی‌یابد که نمی‌تواند همه‌چیز را درک کند و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درجه عقل، اعتراف به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الآمدی،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پیروی از همین مبنا، برخی معارف دینی را نقلی محض دانسته و خود را ملزم به متابعت از وحی دانسته است</w:t>
      </w:r>
      <w:r>
        <w:rPr>
          <w:rFonts w:eastAsia="IRNazanin" w:cs="IRNazanin"/>
          <w:color w:val="111111"/>
          <w:sz w:val="28"/>
          <w:szCs w:val="28"/>
          <w:rtl w:val="true"/>
          <w:lang w:bidi="fa-IR"/>
        </w:rPr>
        <w:t>.</w:t>
      </w:r>
    </w:p>
    <w:p>
      <w:pPr>
        <w:pStyle w:val="Heading3"/>
        <w:numPr>
          <w:ilvl w:val="2"/>
          <w:numId w:val="1"/>
        </w:numPr>
        <w:rPr/>
      </w:pPr>
      <w:bookmarkStart w:id="89" w:name="__RefHeading___Toc680949_1395250215"/>
      <w:bookmarkStart w:id="90" w:name="_Toc34"/>
      <w:bookmarkEnd w:id="89"/>
      <w:r>
        <w:rPr/>
        <w:t>4</w:t>
      </w:r>
      <w:r>
        <w:rPr>
          <w:rtl w:val="true"/>
        </w:rPr>
        <w:t xml:space="preserve">. </w:t>
      </w:r>
      <w:r>
        <w:rPr>
          <w:rtl w:val="true"/>
        </w:rPr>
        <w:t>رابطه عقل و نقل و تقدّم عقل در مقام تعارض دلیل عقلی و نقلی</w:t>
      </w:r>
      <w:bookmarkEnd w:id="90"/>
    </w:p>
    <w:p>
      <w:pPr>
        <w:pStyle w:val="BookText"/>
        <w:rPr/>
      </w:pPr>
      <w:r>
        <w:rPr>
          <w:rFonts w:ascii="IRNazanin" w:hAnsi="IRNazanin" w:eastAsia="IRNazanin"/>
          <w:color w:val="111111"/>
          <w:sz w:val="28"/>
          <w:sz w:val="28"/>
          <w:szCs w:val="28"/>
          <w:rtl w:val="true"/>
          <w:lang w:bidi="fa-IR"/>
        </w:rPr>
        <w:t xml:space="preserve">شیخ مفید درباره ارتباط میان عقل 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اندک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شیخ، عقل هم در مقدمات و هم در نتایج به وحی و نقل نیاز دارد و نقل نیز در جایی که برای تنبیه جاهلان به استدلال نیاز هست، جای عقل را نمی گیرد، و وجود پیامبر و رسول برای نشان دادن راه هدایت و تکالیف اخلاقی در جهان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متقابل عقل و وحی، یکی از پایه های اساسی نظام کلامی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شیخ مفید، نقل غفلت را از عاقل می زداید و او را به چگونگی استدلال رهنمون می سازد، و عقل نیز در مقابل، حجیت و اعتبار نقل را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از سمعی که غافل را بر کیفیت استدلال راهنمایی می‌کند، جدایی‌ناپذیر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نقل، تنبیه‌دهنده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انسان را در موارد غفلت یاری نموده و او را به سوی دفائن عقول رهبری می‌کند؛ از این رو، پیامبران با بیدار کردن وجدان خفته انسان‌ها و زنگار‌زدایی از فطرت پاکشان، آن‌ها را به صراط مستقیمی هدایت می‌کنند که عقل سلیم، انسان را بدان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شیخ مفید یادآور کلام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نهج‌البلاغه در اهداف بعثت است که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فیهم رسله و واتر الیهم انبیاؤه، لیستأدوهم میثاق فطرته و یذکّر و هم منسیّ نعمته و یحتجّوا علیهم بالتبلیغ و یثیروا لهم دفائن العقول؛ پیامبران را به میانشان فرستاد و پیامبران از پی یکدیگر بیامدند تا از مردم بخواهند که آن عهد را که خلقشان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آن سرشته شده است، به یاد آورند؛ آمدند تا خردهای مردم را که در پرده غفلت مستور گشته، برانگیزانند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حجیت و فهم کتاب و سنت، تخصیص و تقیید حکم، ترجیح روایتی بر روایت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شیخ مفید، تحت نظارت و دخالت عقل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الطرق الموصله الی علم المشروع</w:t>
      </w:r>
      <w:r>
        <w:rPr>
          <w:rStyle w:val="FootnoteAnchor"/>
          <w:rtl w:val="true"/>
        </w:rPr>
        <w:footnoteReference w:id="27"/>
      </w:r>
      <w:r>
        <w:rPr>
          <w:rFonts w:ascii="IRNazanin" w:hAnsi="IRNazanin" w:eastAsia="IRNazanin"/>
          <w:color w:val="111111"/>
          <w:sz w:val="28"/>
          <w:sz w:val="28"/>
          <w:szCs w:val="28"/>
          <w:rtl w:val="true"/>
          <w:lang w:bidi="fa-IR"/>
        </w:rPr>
        <w:t>فی هذه الاصول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العقل و هو سبیل الی معرفة حجیّة القرآن و دلائل الاخبار و الثانی، اللسان و هو السبیل الی المعرفه بمعانی الکلام و ثالثها، الاخبار و هی السبیل الی اثبات اعیان الاصول من الکتاب و السنّة و اقوال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راه‌هایی که ما را به شناخت این اصول راهنمایی می‌کند، سه طریق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آن راه فهم و شناخت حجیت قرآن و دلایل احادیث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آن وسیله و راه دریافت معانی سخن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اخبار؛ که راه اثبات اصول، یعنی کتاب و سنت و گفتار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رابطه عقل و نقل از دیدگاه شیخ مفید، رابطه‌ای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رابطه دوسویه عقل و نقل، می‌توان شیخ مفید را هم عقل‌گرا دانست و هم نص‌گرا، زیرا او گذشته از این‌که نص را منبع معارف دینی دانسته و از نقل استفاده فراوان می‌کند، همه کارکردهای شش‌گانه یا سه‌گانه عقل را که پیش‌تر بدان اشاره شد، در علم کلام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خود، اعتبار و حجیت عقل را در اعتقادات، هم در مقام منبع معرفتی و هم ابزاری برای فهم معارف از نقل و دفاع عقلانی از آن‌ها پذیرفته است و آن را در عملکردی عقل‌گرایانه در کتاب هایش، به‌خصوص در کتاب اوائل المقالات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این‌که عقل را در دانش و نتایج خود نیازمند به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به سان منبعی از منابع در شناخت و اثبات معارف اسلامی استفاده می کند؛ مثلاً هنگامی که از وی درباره سؤال قبر و بازگشتِ حیات به انسان در هنگام سؤال قبر پرسش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وحی وسیله ما برای شناخت واقعیتِ این پرسش است، ولی از طریق عقل می دانیم که زندگی به فرد مُرده بازمی گردد و چنان می شود که می تواند در معرض پرسش‌های فرشتگان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احادیثی نیز بر این مسئله دلالت دارند که بنا به نظر شیخ مفید، این احادیث ضرورت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مورد، عقل بدون یاری سمع می‌تواند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 اساس تبیینی که شیخ مفید از رابطه عقل و نقل ارائه می دهد، دلیل قطعی عقلی و دلیل نقلی قطعی ممکن نیست تعارض کنند، چراکه بازگشت تعارض هریک از دلیل های قطعی با دیگری به این است که در واقع یک دلیل قطعی با خودش معارض باشد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با این حال، دلیل نقلی ظنی به لحاظ سند یا دلالت، ممکن است معارض با دلیل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مواضع تعارض بین عقل و نقل، به صراحت دلیل نقلیِ مخالف عقل را مردود دانسته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مخالف احکام عقول یافتیم، به واسطه حکم عقل به فساد آن، آن را طرد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اصول فقه، عقل را مخصص عمومات نقلی می‌داند و لذا در مباحث نظری و اعتقادی نیز این تقدم عقل بر دلیل نقلی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درباره حدیث مخالف عقل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وجدنا حدیثا یخالفه الکتاب و لایصح وفاقه له علی حال أطرحناه، لقضاء الکتاب بذلک و الاجماع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کذلک إن وجدنا حدیثا یخالف أحکام العقول أطرحناه لقضیة العقل بفساده؛ هنگامی که با حدیثی مواجه شدیم که متناقض با کتاب بود و ایجاد توافق میان آن‌ها ممکن نشد، آن حدیث را طرد می کنیم، زیرا کتاب خدا و اجماع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حدیثی را مخالف عقل یافتیم، آن را نیز طرد می کنیم، زیرا عقل به فساد آن حکم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قائل به حجیتِ خبر واحد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تعارض این‌گونه احادیث با عقل، معتقد است باید به حکم عقل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موارد بسیاری از آرای شیخ صدوق را در کتاب شریف تصحیح الاعتقاد، مستند به خبر واحد و غیر قابل قبول می داند؛ برای مثال، شیخ صدوق به استناد بعضی روایات، قائل به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نفی آن را غلّو به حساب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شیخ مفید در کتاب تصحیح الاعتقاد، این بیان شیخ صدوق را نتیجه اعتماد او به اخبار واحد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برخی دیگر از اقوال شیخ صدوق را نیز مبتنی بر احادیث شاذ معرفی کرده و این احادیث را مورد اعتماد عقل ندانسته است</w:t>
      </w:r>
      <w:r>
        <w:rPr>
          <w:rFonts w:eastAsia="IRNazanin" w:cs="IRNazanin"/>
          <w:color w:val="111111"/>
          <w:sz w:val="28"/>
          <w:szCs w:val="28"/>
          <w:rtl w:val="true"/>
          <w:lang w:bidi="fa-IR"/>
        </w:rPr>
        <w:t>.</w:t>
      </w:r>
      <w:r>
        <w:rPr>
          <w:rStyle w:val="FootnoteAnchor"/>
          <w:rtl w:val="true"/>
        </w:rPr>
        <w:footnoteReference w:id="29"/>
      </w:r>
      <w:bookmarkStart w:id="91" w:name="pg2653_32414"/>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92" w:name="__RefHeading___Toc680951_1395250215"/>
      <w:bookmarkStart w:id="93" w:name="_Toc35"/>
      <w:bookmarkEnd w:id="92"/>
      <w:r>
        <w:rPr>
          <w:rtl w:val="true"/>
        </w:rPr>
        <w:t>نتیجه</w:t>
      </w:r>
      <w:bookmarkEnd w:id="93"/>
    </w:p>
    <w:p>
      <w:pPr>
        <w:pStyle w:val="BookText"/>
        <w:rPr/>
      </w:pPr>
      <w:r>
        <w:rPr>
          <w:rFonts w:ascii="IRNazanin" w:hAnsi="IRNazanin" w:eastAsia="IRNazanin"/>
          <w:color w:val="111111"/>
          <w:sz w:val="28"/>
          <w:sz w:val="28"/>
          <w:szCs w:val="28"/>
          <w:rtl w:val="true"/>
          <w:lang w:bidi="fa-IR"/>
        </w:rPr>
        <w:t>بر اساس آنچه بیان شد، شیخ مفید تلاش کرده تا بر ایمان استدلالی پای فشرده و مؤمنان را از تقلید و تعبّد در معارف دینی، به‌خصوص اصول دین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او در وحله نخست، نه تنها دفاع از عقاید دینی در برابر منکران و معاندان، بلکه توضیح و تبیین عقاید دینی برای مؤمنان و پاسخ‌گویی به نیازهای فکری آنان به منظور فهم کامل تر و دقیق تر از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پی عمق بخشیدن به ایمان مؤمنان، کوشیده تا از طریق تأملی عقلی درباره حقایق وحیانی، به فهم پیوند عقل و وحی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دست‌کم به صورت موجبه جزئیه، اعتبار برخی ادراکات و دلایل عقلی را به او نسبت داد و این قضیه سالبه کلیه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عقلی فاقد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ایشان قضیه ای کاذب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علاوه بر این‌که عقل را در مقام ابزاری برای فهم دین و گزاره های دینی به کار می گیرد، آن را منبع بالفعل دانسته و در طول منابع دیگر به حساب آورده و معتقد است، در مواردی که از کتاب و سنت حکمی به دست نیاید و عقل در آن مورد حکم قطعی داشته باشد، آن حکم عقلی از حجیت و اعتبار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باب قلمرو عقل، پیرو اندیشه‌های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همان گونه که آن بزرگواران بر محدودیت عقل بشر اذعان داشته‌اند، ایشان هم بر این محدودیت اعتراف دارد و معتقد است، برخی گزاره ها و اعتقادات دینی، نقلیِ محض بوده و صرفاً آنچه در مقام استدلال کارایی و کاربری تام دارد، دلیل نقلی است و دلیل عقلی هیچ‌گونه دخالتی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تعارض بین عقل و نقل، به صراحت دلیل نقلیِ مخالف عقل را مردود دانسته و به حکم عقل اعتماد کرده است</w:t>
      </w:r>
      <w:r>
        <w:rPr>
          <w:rFonts w:eastAsia="IRNazanin" w:cs="IRNazanin"/>
          <w:color w:val="111111"/>
          <w:sz w:val="28"/>
          <w:szCs w:val="28"/>
          <w:rtl w:val="true"/>
          <w:lang w:bidi="fa-IR"/>
        </w:rPr>
        <w:t>.</w:t>
      </w:r>
    </w:p>
    <w:p>
      <w:pPr>
        <w:pStyle w:val="Heading3"/>
        <w:numPr>
          <w:ilvl w:val="2"/>
          <w:numId w:val="1"/>
        </w:numPr>
        <w:rPr/>
      </w:pPr>
      <w:bookmarkStart w:id="94" w:name="__RefHeading___Toc680953_1395250215"/>
      <w:bookmarkStart w:id="95" w:name="_Toc36"/>
      <w:bookmarkEnd w:id="94"/>
      <w:r>
        <w:rPr>
          <w:rtl w:val="true"/>
        </w:rPr>
        <w:t>منابع</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الشریف الرضی،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صبحی‌صالح،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ابراهیمی‌دینانی، غلامحسین،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فکر فلسفی، تهران، 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ابن‌ادریس حلی،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السرائر، قم، مؤسسه النشر الاسلامی، الطبعه الثالثه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ابن‌بابویه قمی، محمد بن علی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انتشارات صدوق،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ابی‌الفضل جمال‌الدین محمّد بن مکرم بن منظور مصری،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الاسدآبادی، قاضی عبدالجبّار بن احمد الهمدانی،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بیروت، مطبعة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الآمدی التمیمی، عبدالواحد،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میرجلال‌الدین المحدّث الارموی،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الشیخ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الاصول،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الجابری،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السلفی عند الشیعه الامامیه، قم، دار احیاء الاحیاء، الطبعه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جبرئیلی، محمدصفر،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تطوّر کلام شیعه، تهران، پژوهشگاه فرهنگ و اندیشه،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کاوش‌های عقل نظری،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مزینانی، محمد صادق،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عقل در فقه از دیدگاه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حوزه، قم، دفتر تبلیغات اسلامی، ش</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المراد فی شرح کشف المراد، قم، مرکز مدیریت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انصاری‌شیرازی،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مقالات یک‌صد سال مطبوعات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اطلاع‌رسانی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الفتاوی الواضحه،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المقدمه فی المدخل الی صناعة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دانش‌پژوه، قم، الرسائل،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 در اندیشه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آیینه پژوهش، 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ابوالفتح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شیخ‌عبدالله نعمة، قم، منشورات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مصطفوی، تهران،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های استاد مطهری،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فقه، دار‌التعارف للمطبوعات، بیروت،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الصاغانیه، بیروت، دار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سلسله مؤلفات المفید، بیروت، دارالمفید، الطبعه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سیدهبة‌الدین شهرستانی،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من العیون و المحاسن،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العشرة فی الغیبة، قم، دارالکتاب للطباعه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مقدمات الاصول، سلسله مؤلفات المفید، بیروت، دارالمفید، الطبعه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فی الغیبة، بیروت، دارالمفید للطباعة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التذکرة باصول الفقه، بیروت، دارالمفید للطباعة و النشر و التوزیع،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روش کلامی شیخ مفید با کلام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فرهنگی، ش</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6" w:name="pg2653_32417"/>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2"/>
        <w:numPr>
          <w:ilvl w:val="1"/>
          <w:numId w:val="1"/>
        </w:numPr>
        <w:rPr/>
      </w:pPr>
      <w:bookmarkStart w:id="97" w:name="__RefHeading___Toc680955_1395250215"/>
      <w:bookmarkStart w:id="98" w:name="_Toc37"/>
      <w:bookmarkEnd w:id="97"/>
      <w:r>
        <w:rPr>
          <w:rtl w:val="true"/>
        </w:rPr>
        <w:t xml:space="preserve">رابطه </w:t>
      </w:r>
      <w:r>
        <w:rPr>
          <w:rtl w:val="true"/>
        </w:rPr>
        <w:t>«</w:t>
      </w:r>
      <w:r>
        <w:rPr>
          <w:rtl w:val="true"/>
        </w:rPr>
        <w:t>باورهای اعتقادی</w:t>
      </w:r>
      <w:r>
        <w:rPr>
          <w:rtl w:val="true"/>
        </w:rPr>
        <w:t xml:space="preserve">» </w:t>
      </w:r>
      <w:r>
        <w:rPr>
          <w:rtl w:val="true"/>
        </w:rPr>
        <w:t xml:space="preserve">و </w:t>
      </w:r>
      <w:r>
        <w:rPr>
          <w:rtl w:val="true"/>
        </w:rPr>
        <w:t>«</w:t>
      </w:r>
      <w:r>
        <w:rPr>
          <w:rtl w:val="true"/>
        </w:rPr>
        <w:t>احادیث امامیه</w:t>
      </w:r>
      <w:r>
        <w:rPr>
          <w:rtl w:val="true"/>
        </w:rPr>
        <w:t xml:space="preserve">» </w:t>
      </w:r>
      <w:r>
        <w:rPr>
          <w:rtl w:val="true"/>
        </w:rPr>
        <w:t>با تکیه بر فرقه واقفه</w:t>
      </w:r>
      <w:bookmarkEnd w:id="98"/>
    </w:p>
    <w:p>
      <w:pPr>
        <w:pStyle w:val="Heading3"/>
        <w:numPr>
          <w:ilvl w:val="2"/>
          <w:numId w:val="1"/>
        </w:numPr>
        <w:rPr/>
      </w:pPr>
      <w:bookmarkStart w:id="99" w:name="__RefHeading___Toc680957_1395250215"/>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مهدی غلامعلی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1393/04/25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1393/07/17</w:t>
      </w:r>
    </w:p>
    <w:p>
      <w:pPr>
        <w:pStyle w:val="Heading3"/>
        <w:numPr>
          <w:ilvl w:val="2"/>
          <w:numId w:val="1"/>
        </w:numPr>
        <w:rPr/>
      </w:pPr>
      <w:bookmarkStart w:id="101" w:name="__RefHeading___Toc680959_1395250215"/>
      <w:bookmarkStart w:id="102" w:name="_Toc39"/>
      <w:bookmarkEnd w:id="101"/>
      <w:r>
        <w:rPr>
          <w:rtl w:val="true"/>
        </w:rPr>
        <w:t>چکیده</w:t>
      </w:r>
      <w:bookmarkEnd w:id="102"/>
    </w:p>
    <w:p>
      <w:pPr>
        <w:pStyle w:val="BookText"/>
        <w:rPr/>
      </w:pPr>
      <w:r>
        <w:rPr>
          <w:rFonts w:ascii="IRNazanin" w:hAnsi="IRNazanin" w:eastAsia="IRNazanin"/>
          <w:color w:val="111111"/>
          <w:sz w:val="28"/>
          <w:sz w:val="28"/>
          <w:szCs w:val="28"/>
          <w:rtl w:val="true"/>
          <w:lang w:bidi="fa-IR"/>
        </w:rPr>
        <w:t>حضور چشم‌گیرِ راویان کج‌اندیش در اسناد متون معتبرِ روایی و اعتماد راویان و محدثان به ایشان، نشان از شیوه‌ای نظام‌مند در نقل روایات از راویان منحرف دارد که ضرورت کشف این نظام را مهم می‌نمایاند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کلام امامیه در میان گروه‌های انحرافی ـ پس از غالیان ـ بیشترین لطمه را به اندیشه کلامی شیعه وارد ساخته‌اند؛ اما روایتِ آنان برخلافِ غالیان، از گردونه روایات امامیه حذف نشده و بخش مهمی از فقه امامیه، وام‌دار روایات واقفه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استمداد از شیوه کتاب‌خانه‌ای، نخست ویژگی‌های این فرقه را برشمرده و سپس با بررسی شیوه محدثان کهن، به این نظر رهنمون شده که متقدمان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قائل به تفکیک بوده و تنها روایاتی را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بوده، منعکس نمی‌کردند</w:t>
      </w:r>
      <w:r>
        <w:rPr>
          <w:rFonts w:eastAsia="IRNazanin" w:cs="IRNazanin"/>
          <w:color w:val="111111"/>
          <w:sz w:val="28"/>
          <w:szCs w:val="28"/>
          <w:rtl w:val="true"/>
          <w:lang w:bidi="fa-IR"/>
        </w:rPr>
        <w:t>.</w:t>
      </w:r>
    </w:p>
    <w:p>
      <w:pPr>
        <w:pStyle w:val="Heading3"/>
        <w:numPr>
          <w:ilvl w:val="2"/>
          <w:numId w:val="1"/>
        </w:numPr>
        <w:rPr/>
      </w:pPr>
      <w:bookmarkStart w:id="103" w:name="__RefHeading___Toc680961_1395250215"/>
      <w:bookmarkStart w:id="104" w:name="_Toc40"/>
      <w:bookmarkEnd w:id="103"/>
      <w:r>
        <w:rPr>
          <w:rtl w:val="true"/>
        </w:rPr>
        <w:t>واژگان کلیدی</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اعتقادی، احادیث امامیه، روایات واقفه، ویژگی‌ها، تأثیر‌گذاری‌ها، واقفه</w:t>
      </w:r>
      <w:r>
        <w:rPr>
          <w:rFonts w:eastAsia="IRNazanin" w:cs="IRNazanin"/>
          <w:color w:val="111111"/>
          <w:sz w:val="28"/>
          <w:szCs w:val="28"/>
          <w:rtl w:val="true"/>
          <w:lang w:bidi="fa-IR"/>
        </w:rPr>
        <w:t>.</w:t>
      </w:r>
      <w:bookmarkStart w:id="105" w:name="pg2653_32418"/>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106" w:name="__RefHeading___Toc680963_1395250215"/>
      <w:bookmarkStart w:id="107" w:name="_Toc41"/>
      <w:bookmarkEnd w:id="106"/>
      <w:r>
        <w:rPr>
          <w:rtl w:val="true"/>
        </w:rPr>
        <w:t>درآمد</w:t>
      </w:r>
      <w:bookmarkEnd w:id="107"/>
    </w:p>
    <w:p>
      <w:pPr>
        <w:pStyle w:val="BookText"/>
        <w:rPr/>
      </w:pPr>
      <w:r>
        <w:rPr>
          <w:rFonts w:ascii="IRNazanin" w:hAnsi="IRNazanin" w:eastAsia="IRNazanin"/>
          <w:color w:val="111111"/>
          <w:sz w:val="28"/>
          <w:sz w:val="28"/>
          <w:szCs w:val="28"/>
          <w:rtl w:val="true"/>
          <w:lang w:bidi="fa-IR"/>
        </w:rPr>
        <w:t>تاریخ کلام شیعه در عصر حضور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فراز و نشیب‌هایی در ظهور فرقه‌های غیر‌امامی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اندیشه‌های انحرافی ـ فرقه‌های غیر‌امامی ـ بخش قابل توجهی از جامعه علمی شیعه را در بر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یاران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بسیارند راویانی که از مذهب حقه روی‌گردان بوده، ولی خود را خوشه‌چین دانش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نقل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انتقال تراث امامیه به نسل‌های بعد اهتمام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منابع معتبر ـ نظیر کتب اربعه ـ با علم به انحرافات اعتقادیِ این گروه از راویان، روایات آنان را گزارش کرده و احادیث برخی از ایشان را صحیح خوانده‌اند؛ به بیان دیگر، عنصر مذهب و اعتقادات راوی، نزد اندیشمندان امامیه در دوره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سده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تعیین‌کننده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بازکاویِ روایات، دارای شیوه‌هایی بوده و نقل هر گونه راوی منحرف را برنمی‌تافتند؛ این در حالی است که از عصر علامه حلی تاکنون، همواره ضعف اعتقادی راوی سبب تضعیف روایت وی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انحرافات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مهم‌ترین ضعف‌های اعتقادی در یاران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پس از معرفی اندیشه وقف به رابطه باورهای اعتقادی و نقل احادیث ایشان خواهیم پرداخت</w:t>
      </w:r>
      <w:r>
        <w:rPr>
          <w:rFonts w:eastAsia="IRNazanin" w:cs="IRNazanin"/>
          <w:color w:val="111111"/>
          <w:sz w:val="28"/>
          <w:szCs w:val="28"/>
          <w:rtl w:val="true"/>
          <w:lang w:bidi="fa-IR"/>
        </w:rPr>
        <w:t>.</w:t>
      </w:r>
    </w:p>
    <w:p>
      <w:pPr>
        <w:pStyle w:val="Heading3"/>
        <w:numPr>
          <w:ilvl w:val="2"/>
          <w:numId w:val="1"/>
        </w:numPr>
        <w:rPr/>
      </w:pPr>
      <w:bookmarkStart w:id="108" w:name="__RefHeading___Toc680965_1395250215"/>
      <w:bookmarkStart w:id="109" w:name="_Toc42"/>
      <w:bookmarkEnd w:id="108"/>
      <w:r>
        <w:rPr>
          <w:rtl w:val="true"/>
        </w:rPr>
        <w:t>توقف بر امام</w:t>
      </w:r>
      <w:bookmarkEnd w:id="109"/>
    </w:p>
    <w:p>
      <w:pPr>
        <w:pStyle w:val="BookText"/>
        <w:rPr/>
      </w:pPr>
      <w:r>
        <w:rPr>
          <w:rFonts w:ascii="IRNazanin" w:hAnsi="IRNazanin" w:eastAsia="IRNazanin"/>
          <w:color w:val="111111"/>
          <w:sz w:val="28"/>
          <w:sz w:val="28"/>
          <w:szCs w:val="28"/>
          <w:rtl w:val="true"/>
          <w:lang w:bidi="fa-IR"/>
        </w:rPr>
        <w:t>در عصر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هر امام برخی با طرح شبهاتی، در امامتِ امامِِ متوفا توقف کرده و بدین‌سان امامِ بعدی را امامِ خویش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شیعه این‌گونه ایستایی در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شد و باورمندان این شبهات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درازنای تاریخ کلام شیعه، واقفیانِ برخی امامان، با عنوانی ویژه شناخته شدند؛ از این رو،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شیعه را می‌توان به دو دسته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تمام گروه‌های واقفی نسبت به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وقف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شامل واقفیانی است که بر امامت امام هفتم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توقف کرده و امامت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برنتافتند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بیشتر گروه‌های واقفی با عناوین ویژه،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ناووسیه، سبائیه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فرقه‌شناسی معروف شده‌اند، در میان امامیه، مطلق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معنای خاصّ آن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مواردی که واقفی به معنای عام در نظر باشد، معمولاً مقید و همراه با قرینه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نمونه، کشی عنبسة بن مصعب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 واقفی علی أبی‌عبد‌الله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راویانی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که پیش از عصر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واقفی شناسانده شده‌اند، مقصود همان وقف به معنای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که واقفه بر پیکر شیعه وارد کرد، سبب شد که از دیرباز بسیاری از دانشمندان در این زمینه آثاری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آثار را نویسندگان عصر حضور خلق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محدثانی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بن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موسی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 بن حاتم بن ماهویه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بن مهران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صفوانی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بن عبد‌العزیز أراجنی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که هیچ‌یک از این آثار امروزه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ابتدای کتاب الغیبة، با معرفی واقفیان و بیان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راویان واقفه، سعی کرده شبهات ایشان را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نصرة الواقفة اثر علی بن احمد علوی را در اختیار داشته و روایات متعددی را از این کتاب در الغیبة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تنها آثار باقی‌مانده از روایات اعتقادیِ واقفیان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ابن‌داود حلی در پایان کتاب الرجال، نام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واقفیان را به صورت اختصاصی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بسیاری از آثار رجالیان متأخر، بحث‌هایی مرتبط با واقفه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کجوری شیرازی،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کنی،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محمد حبیب الناصری اثری مستقل را با عنوان الواقفیة دراسة تحلیلیة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الشاکری کتاب مختصر النحلة الواقفیة را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متعددی نیز درباره معرفی واقفه در مجلات علمی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بیوکارا،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حسین‌زاده شانه‌چی،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صفری فروشانی،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پژوهش‌های پیش‌گفته، بخشی از آن‌ها به دست ما نرسیده و بخش دیگر نیز ـ نظیر الرجال ابن‌داود ـ تنها به نام بردن از واقفیان، آن‌هم به طور ناقص بسنده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پژوهش‌های معاصر، نیز به‌ویژه در مقالات، بیشتر به رویکرد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معرفی و به ندرت تطور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مباحث کلامی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امام</w:t>
      </w:r>
      <w:bookmarkStart w:id="110" w:name="pg2653_32420"/>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واقفیان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غروی‌نائینی،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مظفری،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صفری‌فروشانی،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 این آثار بدان توجه نشده، نوع تعامل متقدمان با آثار رواییِ ایشان است؛ یعنی دانشمندان و محدثان پیش از سده پنجم، چه شیوه برخوردی با واقفیان و اندیشه‌های ایشان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متقدمان، انحراف مذهبیِ واقفیان را در شیوه‌های برخوردی خویش دخیل می‌داشتند؟ و یا با آنان چونان دیگر بزرگان و عالمان شیعی برخورد می‌کردند؟ به طور کلی، چه معیارهایی برای متقدمان از امامیه با فرقه‌های منحرفی چون واقفه وجود داشته است؟ و چرا میراث حدیثیِ واقفه ـ در میان فرقه‌های منحرف ـ از میراث امامیه حذف نشد؟</w:t>
      </w:r>
    </w:p>
    <w:p>
      <w:pPr>
        <w:pStyle w:val="BookText"/>
        <w:rPr/>
      </w:pPr>
      <w:r>
        <w:rPr>
          <w:rFonts w:ascii="IRNazanin" w:hAnsi="IRNazanin" w:eastAsia="IRNazanin"/>
          <w:color w:val="111111"/>
          <w:sz w:val="28"/>
          <w:sz w:val="28"/>
          <w:szCs w:val="28"/>
          <w:rtl w:val="true"/>
          <w:lang w:bidi="fa-IR"/>
        </w:rPr>
        <w:t>برای پاسخ به این پرسش‌ها، ناگزیر به معرفی اجمالی فرقه واقفه، اعتقادات و چگونگی رویارویی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فرقه پرداخته، تا بدین‌سان جایگاه و اهمیت این فرقه آشکار شود و سپس به ویژگی‌های اختصاصی فرقه اشاره خواهد شد</w:t>
      </w:r>
      <w:r>
        <w:rPr>
          <w:rFonts w:eastAsia="IRNazanin" w:cs="IRNazanin"/>
          <w:color w:val="111111"/>
          <w:sz w:val="28"/>
          <w:szCs w:val="28"/>
          <w:rtl w:val="true"/>
          <w:lang w:bidi="fa-IR"/>
        </w:rPr>
        <w:t>.</w:t>
      </w:r>
    </w:p>
    <w:p>
      <w:pPr>
        <w:pStyle w:val="Heading3"/>
        <w:numPr>
          <w:ilvl w:val="2"/>
          <w:numId w:val="1"/>
        </w:numPr>
        <w:rPr/>
      </w:pPr>
      <w:bookmarkStart w:id="111" w:name="__RefHeading___Toc680967_1395250215"/>
      <w:bookmarkStart w:id="112" w:name="_Toc43"/>
      <w:bookmarkEnd w:id="111"/>
      <w:r>
        <w:rPr>
          <w:rtl w:val="true"/>
        </w:rPr>
        <w:t>فرقه واقفه</w:t>
      </w:r>
      <w:bookmarkEnd w:id="112"/>
    </w:p>
    <w:p>
      <w:pPr>
        <w:pStyle w:val="BookText"/>
        <w:rPr/>
      </w:pPr>
      <w:r>
        <w:rPr>
          <w:rFonts w:ascii="IRNazanin" w:hAnsi="IRNazanin" w:eastAsia="IRNazanin"/>
          <w:color w:val="111111"/>
          <w:sz w:val="28"/>
          <w:sz w:val="28"/>
          <w:szCs w:val="28"/>
          <w:rtl w:val="true"/>
          <w:lang w:bidi="fa-IR"/>
        </w:rPr>
        <w:t>سه عنوان برای واقفه در منابع کلامی و روایی دیده می‌شود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مشهورترین عنوانی است که برای متوقفین بر امامت امام هفتم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ادبیات دینی شیعه شایع است و تمام کتاب‌های فرقه‌شناسی این واژه را برای ایشان استعمال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واژه برای این گروه به صورت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ممطوره، به سگ‌هایی گفته می‌شود که باران آن‌ها را بسیار خیس کرده و با اندکی تحرک، به راحتی اطرافیانشان را نجس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برای واقفیان در برهه‌هایی عَلَم شده بود و اکنون در متون کهن، همواره انصراف به این فرقه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ملقب شدن واقفه به این عنوان را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ذیل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میثمی ـ از نخستین متکلمان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همراه یونس بن عبدالرحمان ـ دو راویِ امام هشتم ـ در مناظرات با واقفیان بسیار توان‌مند ظاهر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یکی از این مناظرات، علی بن اسماعیل یا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واقفیان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کلاب ممطورة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واقفیان چیزی جز سگ‌های باران‌خورده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اصطلاح، با واقفه ملازم شد، به گونه‌ای که در عصر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13" w:name="pg2653_32421"/>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امامیه بـه واقفه، ممطـوره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نحله‌نویسان نیز از سده چهارم به بعد، این اصطلاح را برای واقفه به کار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کاملاً متفاوتی درباره وجه تسمیه واقفه به ممطوره در برخی متون آمده است که با گزارش‌های موجود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نقل، ممطوره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واقفیان در سالِ خشک‌سالی که تمام مردم به بیابان برای نماز باران رفته و نماز خوانده بودند و بارانی نباریده بود، به صورت گروهی مستقل، به نماز باران رفتند و تصادفاً باران بارید؛ لذا به این نام خوانده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مغنی،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درست به نظر نمی‌رسد، چراکه همواره عبارت ممطوره برای نوعی توهین به ایشان در متون آمده است، در حالی که اگر نقل دوم صحیح بود، باید از این عبارت برای احترام و بزرگ‌داشت ایشان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واقفیان بر امام 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توقف کرده‌اند و منتظر قیام آن حضرت هستند،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و نگاشته‌های سید رضی هم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14" w:name="__RefHeading___Toc680969_1395250215"/>
      <w:bookmarkStart w:id="115" w:name="_Toc44"/>
      <w:bookmarkEnd w:id="114"/>
      <w:r>
        <w:rPr>
          <w:rtl w:val="true"/>
        </w:rPr>
        <w:t>اعتقادات</w:t>
      </w:r>
      <w:bookmarkEnd w:id="115"/>
    </w:p>
    <w:p>
      <w:pPr>
        <w:pStyle w:val="BookText"/>
        <w:rPr/>
      </w:pPr>
      <w:r>
        <w:rPr>
          <w:rFonts w:ascii="IRNazanin" w:hAnsi="IRNazanin" w:eastAsia="IRNazanin"/>
          <w:color w:val="111111"/>
          <w:sz w:val="28"/>
          <w:sz w:val="28"/>
          <w:szCs w:val="28"/>
          <w:rtl w:val="true"/>
          <w:lang w:bidi="fa-IR"/>
        </w:rPr>
        <w:t>اعتقاد به غیبتِ امام مورد نظر، تقریباً نقطه مشترک تمام واقفیان ـ به معنای عام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 متوقف بر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همگی معتقد بودند که آن حضرت از دیده‌ها غایب شده و روزی قیام خواهد کرد، اما آن‌ها به دلیل اختلاف در وفات امام هفتم، خود به دو گروه تقسیم شده‌اند؛ گروه نخست، منکر شهادت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بر این باورند که آن حضرت وفات نموده و خدا او را رفعت داده تا زمان قیام ایشان فرا رسد؛ آن‌گاه او را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قائم است و پس از وی کسی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معتقدند،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دنیا نرفته، بلکه زنده بوده و همو مهدی 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بعدی امام نبوده و تنها خلفای 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سرانجام روزی خود موسی بن جعفر از پسِ پرده غیبت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می‌نمایاند این است که واقفه ـ غیر از آنچه در فراز آمد ـ اعتقادات ویژه‌ای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نیز قائل به فقه مستقل نبوده و خود را پیرو همان فقه جعفری</w:t>
      </w:r>
      <w:bookmarkStart w:id="116" w:name="pg2653_32422"/>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می‌دانند؛ البته در چند مورد خاص، فقه اختصاصی داشته‌اند که به شیوه‌های فقهای امامیه، آن مطالب را منتشر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احادیث فقهی راویان واقفی و هم‌چنین احادیث اعتقادی ایشان در غیر مسئله مهدویت و برخی مسائل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تعداد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امامیه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همین وجه، مهم‌ترین دلیلی است که سبب شده تا امامیه، روایات آنان را در منابع خویش گزارش کند</w:t>
      </w:r>
      <w:r>
        <w:rPr>
          <w:rFonts w:eastAsia="IRNazanin" w:cs="IRNazanin"/>
          <w:color w:val="111111"/>
          <w:sz w:val="28"/>
          <w:szCs w:val="28"/>
          <w:rtl w:val="true"/>
          <w:lang w:bidi="fa-IR"/>
        </w:rPr>
        <w:t>.</w:t>
      </w:r>
    </w:p>
    <w:p>
      <w:pPr>
        <w:pStyle w:val="Heading3"/>
        <w:numPr>
          <w:ilvl w:val="2"/>
          <w:numId w:val="1"/>
        </w:numPr>
        <w:rPr/>
      </w:pPr>
      <w:bookmarkStart w:id="117" w:name="__RefHeading___Toc680971_1395250215"/>
      <w:bookmarkStart w:id="118" w:name="_Toc45"/>
      <w:bookmarkEnd w:id="117"/>
      <w:r>
        <w:rPr>
          <w:rtl w:val="true"/>
        </w:rPr>
        <w:t>معصومان</w:t>
      </w:r>
      <w:r>
        <w:rPr/>
        <w:t></w:t>
      </w:r>
      <w:r>
        <w:rPr>
          <w:rtl w:val="true"/>
        </w:rPr>
        <w:t xml:space="preserve"> و واقفه</w:t>
      </w:r>
      <w:bookmarkEnd w:id="118"/>
    </w:p>
    <w:p>
      <w:pPr>
        <w:pStyle w:val="Heading4"/>
        <w:numPr>
          <w:ilvl w:val="3"/>
          <w:numId w:val="1"/>
        </w:numPr>
        <w:rPr/>
      </w:pPr>
      <w:bookmarkStart w:id="119" w:name="__RefHeading___Toc680973_1395250215"/>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مهم‌ترین رویارویی با واقفه، از سوی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بزرگی که از ناحیه شبهه مبنایی واقفه در پیش‌روی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آغاز امامت ایجاد شد، بی‌تردید بسیاری از شیعیان را متحیر نمود و زندگانی ایشان را با حیرت و شک روبه‌رو کرد؛ از این رو،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بیش از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واقفه سخن گفتند و با آنان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سال‌ها پیش از این دوران، در بیانات انگشت‌شماری امام باقر، امام صادق و به‌ویژه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ظهور این جریان را پیش‌گویی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تقریباً ائمه بعدی درباره این جریان چندان سخن نگفته‌اند و تعداد گزارش‌های ائمه پسین درباره این جریان، کمتر از بیانات پیش‌گویانه پیش‌گفته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تبِ جریان واقفه پس از ولادت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بسیار فروکش می‌کند؛ هرچند طرف‌دارانی در سده‌های بعد هم‌چنان پیرو واقفه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مجموعه برخورد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واقفه را می‌توان در سه بخش ترسیم نمود</w:t>
      </w:r>
      <w:r>
        <w:rPr>
          <w:rFonts w:eastAsia="IRNazanin" w:cs="IRNazanin"/>
          <w:color w:val="111111"/>
          <w:sz w:val="28"/>
          <w:szCs w:val="28"/>
          <w:rtl w:val="true"/>
          <w:lang w:bidi="fa-IR"/>
        </w:rPr>
        <w:t>:</w:t>
      </w:r>
    </w:p>
    <w:p>
      <w:pPr>
        <w:pStyle w:val="Heading4"/>
        <w:numPr>
          <w:ilvl w:val="3"/>
          <w:numId w:val="1"/>
        </w:numPr>
        <w:rPr/>
      </w:pPr>
      <w:bookmarkStart w:id="121" w:name="__RefHeading___Toc680975_1395250215"/>
      <w:bookmarkStart w:id="122" w:name="_Toc47"/>
      <w:bookmarkEnd w:id="121"/>
      <w:r>
        <w:rPr>
          <w:rtl w:val="true"/>
        </w:rPr>
        <w:t>الف</w:t>
      </w:r>
      <w:r>
        <w:rPr>
          <w:rtl w:val="true"/>
        </w:rPr>
        <w:t xml:space="preserve">) </w:t>
      </w:r>
      <w:r>
        <w:rPr>
          <w:rtl w:val="true"/>
        </w:rPr>
        <w:t>هشدار و نکوهش</w:t>
      </w:r>
      <w:bookmarkEnd w:id="1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درباره واقفه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پیش‌گویی‌هایی درباره پیدایش این گروه است که پیش‌تر از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 نیز در نکوهش این گروه است که بیشتر از ائمه متأخر و پس از پیدایش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صدد تبیین مواضع ماهیت واقفه و تحذیر شیعه امامیه از انحراف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به‌ویژه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ایشان را به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مذبذبین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حمیر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و از شیعیان خواسته‌اند که نه تنها به فقرای ایشان</w:t>
      </w:r>
      <w:bookmarkStart w:id="123" w:name="pg2653_32423"/>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زکات نپردازند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مجالست با ایشان نیز پرهیز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این‌که آنان بر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دروغ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خداوند نازل کرده، کفر و قدرناشناسی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حرکت و جریان واقفه، فتنه‌ای در شیعه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ـ بدترین مردمان ـ از این جریان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سزاوار لعن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به نامه علی بن عبد‌الله زبیری که نظر امام را درباره واقفه جویا شده بود، این‌گونه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الواقف عاند عن الحق و مقیم علی سیئة إن مات بها کانت جهنم مأواه و بئس المصیر؛ واقفی از حق بازمانده و بر گناه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حالت بمیرد، جهنم جایگاه اوست و چه بد سرنوشتی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وقتی پیش‌تر از وقوع چنین انحرافی در بدنه شیعه خبر دادند، به شاگرد خویش ابن‌ابی‌یعفور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و رسوله منهم بری‌ء و نحن منهم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و رسولش از ایشان بیزار‌ند و ما نیز از ایشان بیزاریم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4"/>
        <w:numPr>
          <w:ilvl w:val="3"/>
          <w:numId w:val="1"/>
        </w:numPr>
        <w:rPr/>
      </w:pPr>
      <w:bookmarkStart w:id="124" w:name="__RefHeading___Toc680977_1395250215"/>
      <w:bookmarkStart w:id="125" w:name="_Toc48"/>
      <w:bookmarkEnd w:id="124"/>
      <w:r>
        <w:rPr>
          <w:rtl w:val="true"/>
        </w:rPr>
        <w:t>ب</w:t>
      </w:r>
      <w:r>
        <w:rPr>
          <w:rtl w:val="true"/>
        </w:rPr>
        <w:t xml:space="preserve">) </w:t>
      </w:r>
      <w:r>
        <w:rPr>
          <w:rtl w:val="true"/>
        </w:rPr>
        <w:t>مناظره با سران واقفه</w:t>
      </w:r>
      <w:bookmarkEnd w:id="12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شیوه‌ای 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برخوردهای علمی خویش در پیش گرفته بودند، مناظره با سرشناسان فتنه واقفه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متعدد، بخش‌های اندکی از این مناظرات را برنموده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علی بن ابی‌حمزه بطائنی، از بنیان‌گذاران واقفه، در جلسه‌ای نسبتاً طولانی منظره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ابوسعید مکاری نیز حضور دارد، بطائنی پیوسته به روایاتی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پیشین استناد می‌کند و گاه آن‌ها را به تأویل می‌برد و امام تمام شبهات وی را پاسخ می‌دهد و در پایان، او را این‌گونه موعظه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اتق الله و لا تکن من الصادین عن دین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جلسه با ابوسعید 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قیاما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بن ابی‌سمال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مکاتباتی با حسین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گفت‌وگوها در برخی موارد سبب هدایت واقفیان شد؛ چنانچه حسین</w:t>
      </w:r>
      <w:bookmarkStart w:id="126" w:name="pg2653_32424"/>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شکاکان بسیاری نیز در این مناظرات، به حقیقت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مناظره،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هر فرصتی برای پاسخ به شبهات واقفیان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پاسخ به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با برپایی جلسات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نسبتاً کاملی در دست است که 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می‌خواست از بصره خارج شود،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 إِلَی الْکُوفَةِ فَاجْمَعِ الشِّیعَةَ هُنَاکَ وَ أَعْلِمْهُمْ أَنِّی قَادِمٌ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کوفه برو و دوستان ما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ده که من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رفتم و شیعیان آن‌جا را از تشریف‌فرماییِ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کوفه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غذایی فراهم شده بود تا شیعیان پس از صرف غذا، از سخنان امام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کوفه را در جلسه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انْظُرْ مَنْ بِالْکُوفَةِ مِنَ الْمُتَکَلِّمِینَ وَ الْعُلَمَاءِ فَأَحْضِرْهُمْ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 در کوفه از متکلمان و دانشمندان هر کس که هست،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إِنِّی أُرِیدُ أَنْ أَجْعَلَ لَکُمْ حَظّاً مِنْ نَفْسِی کَمَا جَعَلْتُ لأَهْلِ الْبَصْرَةِ وَ إِنَّ اللَّهَ قَدْ أَعْلَمَنِی کُلَّ کِتَابٍ أَنْزَلَهُ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همان طوری که مردم بصره از وجودم استفاده کرده‌اند، شما نیز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هر کتابی را که بر پیغمبران نازل فرموده،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گذشته از اندیشمندان شیعه، بزرگان ادیان دیگر نیز حاضر شده و با امام به بحث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توجی از مباحث مطرح‌شده در این جلسه پاسخ به شبهاتی بود که واقفه مطرح ساخته بودند</w:t>
      </w:r>
      <w:r>
        <w:rPr>
          <w:rFonts w:eastAsia="IRNazanin" w:cs="IRNazanin"/>
          <w:color w:val="111111"/>
          <w:sz w:val="28"/>
          <w:szCs w:val="28"/>
          <w:rtl w:val="true"/>
          <w:lang w:bidi="fa-IR"/>
        </w:rPr>
        <w:t>.</w:t>
      </w:r>
    </w:p>
    <w:p>
      <w:pPr>
        <w:pStyle w:val="Heading4"/>
        <w:numPr>
          <w:ilvl w:val="3"/>
          <w:numId w:val="1"/>
        </w:numPr>
        <w:rPr/>
      </w:pPr>
      <w:bookmarkStart w:id="127" w:name="__RefHeading___Toc680979_1395250215"/>
      <w:bookmarkStart w:id="128" w:name="_Toc49"/>
      <w:bookmarkEnd w:id="127"/>
      <w:r>
        <w:rPr>
          <w:rtl w:val="true"/>
        </w:rPr>
        <w:t>ج</w:t>
      </w:r>
      <w:r>
        <w:rPr>
          <w:rtl w:val="true"/>
        </w:rPr>
        <w:t xml:space="preserve">) </w:t>
      </w:r>
      <w:r>
        <w:rPr>
          <w:rtl w:val="true"/>
        </w:rPr>
        <w:t>استفاده از علم غیب و معجزات</w:t>
      </w:r>
      <w:bookmarkEnd w:id="128"/>
    </w:p>
    <w:p>
      <w:pPr>
        <w:pStyle w:val="BookText"/>
        <w:rPr/>
      </w:pPr>
      <w:r>
        <w:rPr>
          <w:rFonts w:ascii="IRNazanin" w:hAnsi="IRNazanin" w:eastAsia="IRNazanin"/>
          <w:color w:val="111111"/>
          <w:sz w:val="28"/>
          <w:sz w:val="28"/>
          <w:szCs w:val="28"/>
          <w:rtl w:val="true"/>
          <w:lang w:bidi="fa-IR"/>
        </w:rPr>
        <w:t>روایات متعددی که بیان‌گر علم غیب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در سیره ایشان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جهت تعداد، قابل توجه و از جهت مخاطب‌شناسی، نوعاً در برخورد با واقفه و یا متحیران در امامت ایشان در بین شیعیان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کل بخش 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یادکرد برخی معجزات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این باور است که بازگشت بزرگانی همچون عبد‌الرحمن بن حجاج، رفاعة بن موسی، یونس بن یعقوب، جمیل بن دراج، حماد بن عیسی، أحمد بن محمد بن أبی‌نصر بزنطی و حسن بن علی الوشاء، بازتاب معجزات و کرامات رضوی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امام هشتم نسبت به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علم غیب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امام گاه نام افراد و یا مطالبی را که قصد سؤال داشته‌اند و هم‌چنین اطلاعاتی</w:t>
      </w:r>
      <w:bookmarkStart w:id="129" w:name="pg2653_32425"/>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درباره شهادت خود و این‌که در کنار هارون مدفون خواهند شد را بیان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30" w:name="__RefHeading___Toc680981_1395250215"/>
      <w:bookmarkStart w:id="131" w:name="_Toc50"/>
      <w:bookmarkEnd w:id="130"/>
      <w:r>
        <w:rPr>
          <w:rtl w:val="true"/>
        </w:rPr>
        <w:t>ویژگی‌های واقفه</w:t>
      </w:r>
      <w:bookmarkEnd w:id="131"/>
    </w:p>
    <w:p>
      <w:pPr>
        <w:pStyle w:val="Heading4"/>
        <w:numPr>
          <w:ilvl w:val="3"/>
          <w:numId w:val="1"/>
        </w:numPr>
        <w:rPr/>
      </w:pPr>
      <w:bookmarkStart w:id="132" w:name="__RefHeading___Toc680983_1395250215"/>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واقفه نسبت به دیگر فرقه‌های شیعه غیر‌امامی، دارای ویژگی‌هایی است که سبب می‌شود نوع نگاه به این فرقه را ممتاز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چهار ویژگی این فرقه اشاره می‌شود</w:t>
      </w:r>
      <w:r>
        <w:rPr>
          <w:rFonts w:eastAsia="IRNazanin" w:cs="IRNazanin"/>
          <w:color w:val="111111"/>
          <w:sz w:val="28"/>
          <w:szCs w:val="28"/>
          <w:rtl w:val="true"/>
          <w:lang w:bidi="fa-IR"/>
        </w:rPr>
        <w:t>.</w:t>
      </w:r>
    </w:p>
    <w:p>
      <w:pPr>
        <w:pStyle w:val="Heading4"/>
        <w:numPr>
          <w:ilvl w:val="3"/>
          <w:numId w:val="1"/>
        </w:numPr>
        <w:rPr/>
      </w:pPr>
      <w:bookmarkStart w:id="134" w:name="__RefHeading___Toc680985_1395250215"/>
      <w:bookmarkStart w:id="135" w:name="_Toc52"/>
      <w:bookmarkEnd w:id="134"/>
      <w:r>
        <w:rPr/>
        <w:t>1</w:t>
      </w:r>
      <w:r>
        <w:rPr>
          <w:rtl w:val="true"/>
        </w:rPr>
        <w:t xml:space="preserve">. </w:t>
      </w:r>
      <w:r>
        <w:rPr>
          <w:rtl w:val="true"/>
        </w:rPr>
        <w:t>تعداد راویان</w:t>
      </w:r>
      <w:bookmarkEnd w:id="135"/>
    </w:p>
    <w:p>
      <w:pPr>
        <w:pStyle w:val="BookText"/>
        <w:rPr/>
      </w:pPr>
      <w:r>
        <w:rPr>
          <w:rFonts w:ascii="IRNazanin" w:hAnsi="IRNazanin" w:eastAsia="IRNazanin"/>
          <w:color w:val="111111"/>
          <w:sz w:val="28"/>
          <w:sz w:val="28"/>
          <w:szCs w:val="28"/>
          <w:rtl w:val="true"/>
          <w:lang w:bidi="fa-IR"/>
        </w:rPr>
        <w:t>حضور راویان غیر‌امامی در منابع رجالی شیعه،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اسامی، بیشترین تعداد راوایان غیر‌امامی به واقفه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شمارش ابن‌داود حلی توجه کنیم، بر پایه شمارش وی می‌توان این نسبت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فاسد‌المذهب به ترتیب کثرت در شمارش وی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عامی، چهل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فطحیه، شانزده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کیسانیه،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تعداد راویان واقفه بیش از آن است که او در این‌جا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شمار آن‌ها حدود یک‌صد نفر است و از سوی دیگر، ابن‌داود در پایان اسامی غالیان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تمام اسامی غالیانی که ذکر شد، گزارش‌هایی در دست است که بر غالی بودن ایشان دلالت دارد، درحالی که در غالی بودن برخی از ایشان،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تعداد واقفه بیش از آن است که ابن‌داود آورده و اسامی غالیانِ مورد اتفاق نیز کمتر از تعدادی است که او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نظر داشت که تمام غالیان از اندیشه واحدی پیروی نمی‌کردند؛ بنابراین، تعداد راویان واقفه از تمام فرقه‌ها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کتاب الرجال شیخ طوسی بیش از دیگر آثار، اسامی واقفیان را دربر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4"/>
        <w:numPr>
          <w:ilvl w:val="3"/>
          <w:numId w:val="1"/>
        </w:numPr>
        <w:rPr/>
      </w:pPr>
      <w:bookmarkStart w:id="136" w:name="__RefHeading___Toc680987_1395250215"/>
      <w:bookmarkStart w:id="137" w:name="_Toc53"/>
      <w:bookmarkEnd w:id="136"/>
      <w:r>
        <w:rPr/>
        <w:t>2</w:t>
      </w:r>
      <w:r>
        <w:rPr>
          <w:rtl w:val="true"/>
        </w:rPr>
        <w:t xml:space="preserve">. </w:t>
      </w:r>
      <w:r>
        <w:rPr>
          <w:rtl w:val="true"/>
        </w:rPr>
        <w:t>کثرت روایات</w:t>
      </w:r>
      <w:bookmarkEnd w:id="1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تعداد راویان واقفه، از دیگر فرقه‌های غیر‌امامی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اهمیت بیشتری برخوردار است، تعداد روایات قابل توجه واقفیان در منابع روایی شیعه و به‌ویژه در کتب</w:t>
      </w:r>
      <w:bookmarkStart w:id="138" w:name="pg2653_32426"/>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اربعه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کسی تعداد این روایات را استخراج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کتب اربعه، مجموعه روایات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راوی واقفی شمارش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استقصا این بود که از راویان واقفه، تعداد </w:t>
      </w:r>
      <w:r>
        <w:rPr>
          <w:rFonts w:eastAsia="IRNazanin" w:cs="IRNazanin"/>
          <w:color w:val="111111"/>
          <w:sz w:val="28"/>
          <w:szCs w:val="28"/>
          <w:lang w:bidi="fa-IR"/>
        </w:rPr>
        <w:t>10954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ـ با تکرار ـ نقل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تعداد نسبت به روایات دیگر فرقه‌های غیر‌امامی در کتب اربعه، اساساً قابل مقایسه نیست و بسیار قابل توجه است، چه این‌که به طور معمول محدثان امامیه روایات غالیان را گزارش نمی‌کرده‌اند، ولی این‌گونه تحذیر را نسبت به کل روایات واقفه نداشته‌اند؛ به بیان دیگر، هرچند تعداد راویان غالی چشم‌گیر بوده است، نمودِ چندانی به نسبت تعداد ایشان در روایات وجود ندارد</w:t>
      </w:r>
      <w:r>
        <w:rPr>
          <w:rFonts w:eastAsia="IRNazanin" w:cs="IRNazanin"/>
          <w:color w:val="111111"/>
          <w:sz w:val="28"/>
          <w:szCs w:val="28"/>
          <w:rtl w:val="true"/>
          <w:lang w:bidi="fa-IR"/>
        </w:rPr>
        <w:t>.</w:t>
      </w:r>
    </w:p>
    <w:p>
      <w:pPr>
        <w:pStyle w:val="Heading4"/>
        <w:numPr>
          <w:ilvl w:val="3"/>
          <w:numId w:val="1"/>
        </w:numPr>
        <w:rPr/>
      </w:pPr>
      <w:bookmarkStart w:id="139" w:name="__RefHeading___Toc680989_1395250215"/>
      <w:bookmarkStart w:id="140" w:name="_Toc54"/>
      <w:bookmarkEnd w:id="139"/>
      <w:r>
        <w:rPr/>
        <w:t>3</w:t>
      </w:r>
      <w:r>
        <w:rPr>
          <w:rtl w:val="true"/>
        </w:rPr>
        <w:t xml:space="preserve">. </w:t>
      </w:r>
      <w:r>
        <w:rPr>
          <w:rtl w:val="true"/>
        </w:rPr>
        <w:t>راویان دانشمند</w:t>
      </w:r>
      <w:bookmarkEnd w:id="140"/>
    </w:p>
    <w:p>
      <w:pPr>
        <w:pStyle w:val="Heading5"/>
        <w:numPr>
          <w:ilvl w:val="4"/>
          <w:numId w:val="1"/>
        </w:numPr>
        <w:rPr/>
      </w:pPr>
      <w:bookmarkStart w:id="141" w:name="__RefHeading___Toc680991_1395250215"/>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آنچه می‌تواند در نگرش به فرقه واقفه مؤثر باشد، وجود راویان فقیه و عالمان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تألیفات متعدد و حضور در جلسات علمی، در انحراف شیعیان مؤثر بوده‌اند، چه این‌که اگر منحرفان افراد بی‌سواد می‌بودند، تخطئه آن‌ها به سهولت ممکن بود، ولی متأسفانه بخشی قابل توجهی از واقفه را عالمان و دانشمندان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تمام این عالمان، به طمع حطام دنیوی واقفی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تنها سران وقف در عصر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خاطر پول،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شایع نمودند، اما دانشمندانی چون حمید بن زیاد و دیگر واقفیانی که ده‌ها سال بعد می‌زیستند، بسیار بعید می‌نمایاند که به جهت دست‌یابی به ثروت، واقفی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دانشمندان واقفی را از جهت علم و آثار مکتوب به اجمال بررسی می‌کنیم</w:t>
      </w:r>
      <w:r>
        <w:rPr>
          <w:rFonts w:eastAsia="IRNazanin" w:cs="IRNazanin"/>
          <w:color w:val="111111"/>
          <w:sz w:val="28"/>
          <w:szCs w:val="28"/>
          <w:rtl w:val="true"/>
          <w:lang w:bidi="fa-IR"/>
        </w:rPr>
        <w:t>:</w:t>
      </w:r>
    </w:p>
    <w:p>
      <w:pPr>
        <w:pStyle w:val="Heading5"/>
        <w:numPr>
          <w:ilvl w:val="4"/>
          <w:numId w:val="1"/>
        </w:numPr>
        <w:rPr/>
      </w:pPr>
      <w:bookmarkStart w:id="143" w:name="__RefHeading___Toc680993_1395250215"/>
      <w:bookmarkStart w:id="144" w:name="_Toc56"/>
      <w:bookmarkEnd w:id="143"/>
      <w:r>
        <w:rPr>
          <w:rtl w:val="true"/>
        </w:rPr>
        <w:t>الف</w:t>
      </w:r>
      <w:r>
        <w:rPr>
          <w:rtl w:val="true"/>
        </w:rPr>
        <w:t xml:space="preserve">) </w:t>
      </w:r>
      <w:r>
        <w:rPr>
          <w:rtl w:val="true"/>
        </w:rPr>
        <w:t>فزونیِ فقیهان و عالمان</w:t>
      </w:r>
      <w:bookmarkEnd w:id="1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راویان واقفه، عالمان بزرگ و محدثانِ شناخته‌شده‌ای وجود دارند که کمتر در دیگر فرقه‌های غیر‌امامی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شاخصی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مهران،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جبلة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الحسن طاطری، دیده می‌شود که در علم و یا فقاهت در عصر خویش چهره بوده‌اند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هم‌چنین نمی‌توان علی بن ابی‌حمزه بطائنی را که عمری در خدمت ابوبصیر فقیه بوده</w:t>
      </w:r>
      <w:bookmarkStart w:id="145" w:name="pg2653_32427"/>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زرعة بن محمد را که شاگرد همیشگی سماعة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علمی نادیده گرفت؛ اگرچه بطائنی به طمع دنیا، از پایه‌گذاران واقفه شد و به دنبال آن در لسان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ملعون و به حمار تشبیه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جهت علمی، شخصیت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پس از انحراف، شاگردان امامی درسش را رها کردند، ولی پیش‌تر بزرگانی چون ابن‌ابی‌عمیر، احمد بن محمد بن ابی‌نصر بزنطی و یونس بن عبدالرحمان ـ که از غیرثقه نقل روایت نمی‌کردند ـ شاگرد روایی او بوده و روایاتش را گزارش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وی در کتب اربعه، نشان‌گر شخصیت علمی بطائنی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فرزند بطائنی نیز از چهره‌های برجسته واقفه و عالمی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مفسر قرآن بود و کل قرآن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چون علی بن حسن بن فضال درباره فعالیت علمی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بن أبی‌حمزة البطائنی کذاب ملعون قد رویت عنه أحادیث کثیرة و کتبت تفسیر القرآن کله من أوله إلی آخره إلا أنی لا أستحل أن أروی عنه حدیثا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پذیرفت که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واقفه، بی‌نظیر نبوده و هم‌سانانی دانشمند و البته منحرف او را همراهی می‌کرده‌اند</w:t>
      </w:r>
      <w:r>
        <w:rPr>
          <w:rFonts w:eastAsia="IRNazanin" w:cs="IRNazanin"/>
          <w:color w:val="111111"/>
          <w:sz w:val="28"/>
          <w:szCs w:val="28"/>
          <w:rtl w:val="true"/>
          <w:lang w:bidi="fa-IR"/>
        </w:rPr>
        <w:t>.</w:t>
      </w:r>
    </w:p>
    <w:p>
      <w:pPr>
        <w:pStyle w:val="Heading5"/>
        <w:numPr>
          <w:ilvl w:val="4"/>
          <w:numId w:val="1"/>
        </w:numPr>
        <w:rPr/>
      </w:pPr>
      <w:bookmarkStart w:id="146" w:name="__RefHeading___Toc680995_1395250215"/>
      <w:bookmarkStart w:id="147" w:name="_Toc57"/>
      <w:bookmarkEnd w:id="146"/>
      <w:r>
        <w:rPr>
          <w:rtl w:val="true"/>
        </w:rPr>
        <w:t>ب</w:t>
      </w:r>
      <w:r>
        <w:rPr>
          <w:rtl w:val="true"/>
        </w:rPr>
        <w:t xml:space="preserve">) </w:t>
      </w:r>
      <w:r>
        <w:rPr>
          <w:rtl w:val="true"/>
        </w:rPr>
        <w:t>آثار مکتوب واقفه</w:t>
      </w:r>
      <w:bookmarkEnd w:id="1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واقفه، نویسندگان پرکار و توان‌مندی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بن زیاد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حسن 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مغیره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 هر کدام دست‌کم سی کتاب و هم‌چنین مؤلفانی نظیر ابوطالب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بیست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ایشان فهارس‌نگاران، اسامی حدود چهل راوی دیگر را ثبت کرده‌اند که هر کدام یک یا چند اثر روایی خلق کرده‌اند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مجموع، راویان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واقفی افزون بر دویست کتاب روایی نگاشته‌اند؛ این در حالی است که در بسیاری از موارد، رجالیان به تعداد و اسامی کتاب‌های ایشان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نیمی از راویان واقفی، نویسنده بوده‌اند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کتاب‌های نویسندگان واقفه به اندازه‌ای معتبر و مرجع بوده که بسیاری از راویان و محدثان شیعه ـ نظیر ابن‌ابی‌عمیر ـ از آن کتاب‌ها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الحمید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بن ابی‌منصور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زرعة بن محمد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بن مروان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بن عمرو 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مغیره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اسحاق بن عمار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نخستین کتاب رجالی شیعه را نیز عبد‌الله بن جبله کنانی از راویان واقفه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w:t>
      </w:r>
      <w:bookmarkStart w:id="148" w:name="pg2653_32429"/>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نویسندگانی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غیبت قائم نگاشته‌اند نیز واقفی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سماعه، فقیه و از سران واقفه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 تعصب شدید مذهبیِ او مانع از آن نشده که شیخ طوسی آثار علمی او را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التصانیف نقی الفقه حسن الانتقاء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طریق نقل کتاب‌های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شیعه،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او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کثیر التصانیف روی الأصول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علی عدد کتب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واقفه آثار بسیاری را برای شیعه امامی تدوین کرده‌اند، بلکه در انتقال تراث حدیثی نیز نقش بسزایی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گذشته، راویان واقفه نه تنها کم‌سواد نبوده‌اند، بلکه بخش قابل توجهی از ایشان اهل قلم و تألیف بوده و در میان آثار ایشان تلاش‌های نوآورانه دیده می‌شود</w:t>
      </w:r>
      <w:r>
        <w:rPr>
          <w:rFonts w:eastAsia="IRNazanin" w:cs="IRNazanin"/>
          <w:color w:val="111111"/>
          <w:sz w:val="28"/>
          <w:szCs w:val="28"/>
          <w:rtl w:val="true"/>
          <w:lang w:bidi="fa-IR"/>
        </w:rPr>
        <w:t>.</w:t>
      </w:r>
    </w:p>
    <w:p>
      <w:pPr>
        <w:pStyle w:val="Heading4"/>
        <w:numPr>
          <w:ilvl w:val="3"/>
          <w:numId w:val="1"/>
        </w:numPr>
        <w:rPr/>
      </w:pPr>
      <w:bookmarkStart w:id="149" w:name="__RefHeading___Toc680997_1395250215"/>
      <w:bookmarkStart w:id="150" w:name="_Toc58"/>
      <w:bookmarkEnd w:id="149"/>
      <w:r>
        <w:rPr/>
        <w:t>4</w:t>
      </w:r>
      <w:r>
        <w:rPr>
          <w:rtl w:val="true"/>
        </w:rPr>
        <w:t xml:space="preserve">. </w:t>
      </w:r>
      <w:r>
        <w:rPr>
          <w:rtl w:val="true"/>
        </w:rPr>
        <w:t>گستره زمانی</w:t>
      </w:r>
      <w:bookmarkEnd w:id="150"/>
    </w:p>
    <w:p>
      <w:pPr>
        <w:pStyle w:val="BookText"/>
        <w:rPr/>
      </w:pPr>
      <w:r>
        <w:rPr>
          <w:rFonts w:ascii="IRNazanin" w:hAnsi="IRNazanin" w:eastAsia="IRNazanin"/>
          <w:color w:val="111111"/>
          <w:sz w:val="28"/>
          <w:sz w:val="28"/>
          <w:szCs w:val="28"/>
          <w:rtl w:val="true"/>
          <w:lang w:bidi="fa-IR"/>
        </w:rPr>
        <w:t xml:space="preserve">دوره بروز و بقای بسیاری از فرقه‌ها محدود بوده و با از بین رفتن آن‌ها، عدم حقانیت ایشان ثابت شده است </w:t>
      </w:r>
      <w:r>
        <w:rPr>
          <w:rStyle w:val="FootnoteAnchor"/>
          <w:rtl w:val="true"/>
        </w:rPr>
        <w:footnoteReference w:id="35"/>
      </w:r>
      <w:r>
        <w:rPr>
          <w:rFonts w:ascii="IRNazanin" w:hAnsi="IRNazanin" w:eastAsia="IRNazanin"/>
          <w:color w:val="111111"/>
          <w:sz w:val="28"/>
          <w:sz w:val="28"/>
          <w:szCs w:val="28"/>
          <w:rtl w:val="true"/>
          <w:lang w:bidi="fa-IR"/>
        </w:rPr>
        <w:t>، اما واقفه از طول عمر قابل توجهی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عمده راویان و شخصیت‌های مؤثر ایشان در عصر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پس از ایشان در عصر حضور می‌زیستند، تا سده چهارم نیز رجالیان و بزرگانی چون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می‌پنداشت واقفه غیر از شمار معدودی از بین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تلخیص الشافی،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برخلاف نظر وی، واقفه در سده پنجم نیز حضوری ـ شاید کم‌رنگ، ولی شبهه‌دار ـ داشته‌اند، چه این‌که طوسی اگرچه خود نیز آنان را منقرض‌شده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نقد نظریه واقفیان در الغیبه با استناد به یکایک روایات کتاب نصرة الواقفة، نگاشته علی بن احمد علوی واقفی، بسیار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فرقه مانند دیگر فرق به طور کامل از بین رفته بودند، او همان‌گونه که نظریات فرق منحله را در چند سطر نقد می‌نمود، در این‌جا نیز به نقد مختصر بسنده می‌کرد</w:t>
      </w:r>
      <w:r>
        <w:rPr>
          <w:rFonts w:eastAsia="IRNazanin" w:cs="IRNazanin"/>
          <w:color w:val="111111"/>
          <w:sz w:val="28"/>
          <w:szCs w:val="28"/>
          <w:rtl w:val="true"/>
          <w:lang w:bidi="fa-IR"/>
        </w:rPr>
        <w:t>.</w:t>
      </w:r>
      <w:bookmarkStart w:id="151" w:name="pg2653_32430"/>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مدرسی طباطبایی با استناد به مقاله مادلونگ در باب شیعیان غیراسماعیلی در مغرب، بر این باور است که برخلاف آنچه برخی دانشمندان شیعه در قرن پنجم تصور می‌کردند که این گروه تا آن زمان منقرض شده‌اند، پیروان این مذهب دست‌کم تا اواسط قرن ششم در شمال آفریقا وجود داشتند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هر تقدیر، گستره زمانی حضور واقفه را حتی اگر تا قرن پنجم بدانیم، به نسبتِ بسیاری از فرقه‌ها، از مدت بسیار طولانی برخوردار بوده است</w:t>
      </w:r>
      <w:r>
        <w:rPr>
          <w:rFonts w:eastAsia="IRNazanin" w:cs="IRNazanin"/>
          <w:color w:val="111111"/>
          <w:sz w:val="28"/>
          <w:szCs w:val="28"/>
          <w:rtl w:val="true"/>
          <w:lang w:bidi="fa-IR"/>
        </w:rPr>
        <w:t>.</w:t>
      </w:r>
    </w:p>
    <w:p>
      <w:pPr>
        <w:pStyle w:val="Heading3"/>
        <w:numPr>
          <w:ilvl w:val="2"/>
          <w:numId w:val="1"/>
        </w:numPr>
        <w:rPr/>
      </w:pPr>
      <w:bookmarkStart w:id="152" w:name="__RefHeading___Toc680999_1395250215"/>
      <w:bookmarkStart w:id="153" w:name="_Toc59"/>
      <w:bookmarkEnd w:id="152"/>
      <w:r>
        <w:rPr>
          <w:rtl w:val="true"/>
        </w:rPr>
        <w:t>برخورد قدما با واقفه و روایات ایشان</w:t>
      </w:r>
      <w:bookmarkEnd w:id="153"/>
    </w:p>
    <w:p>
      <w:pPr>
        <w:pStyle w:val="Heading4"/>
        <w:numPr>
          <w:ilvl w:val="3"/>
          <w:numId w:val="1"/>
        </w:numPr>
        <w:rPr/>
      </w:pPr>
      <w:bookmarkStart w:id="154" w:name="__RefHeading___Toc681001_1395250215"/>
      <w:bookmarkStart w:id="155" w:name="_Toc60"/>
      <w:bookmarkEnd w:id="154"/>
      <w:r>
        <w:rPr/>
        <w:t>1</w:t>
      </w:r>
      <w:r>
        <w:rPr>
          <w:rtl w:val="true"/>
        </w:rPr>
        <w:t xml:space="preserve">. </w:t>
      </w:r>
      <w:r>
        <w:rPr>
          <w:rtl w:val="true"/>
        </w:rPr>
        <w:t>تفکیک بین مذمت</w:t>
      </w:r>
      <w:bookmarkEnd w:id="155"/>
    </w:p>
    <w:p>
      <w:pPr>
        <w:pStyle w:val="Heading5"/>
        <w:numPr>
          <w:ilvl w:val="4"/>
          <w:numId w:val="1"/>
        </w:numPr>
        <w:rPr/>
      </w:pPr>
      <w:bookmarkStart w:id="156" w:name="__RefHeading___Toc681003_1395250215"/>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متقدمان بین مذهب و چگونگی نقل روایت راوی، تفکیک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کردن بسیاری از راویان واقفه، نشان‌گر این تفکیک است؛ به عبارت دیگر، واقفی بودنِ راوی مانع از نقل روایات وی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آنان سه مقوله را از هم جدا می‌دانستند؛ نخست راست‌گویی، دوم وضعیت علمی و سوم مذهب و مذمت‌های فردی و اعتقادی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راویانی که انحراف مذهبی و حتی برخوردهای ناشایست با امامان داشته‌اند، از نگاه قدما بی‌تردید مذمومند، اما این مذمت به وثاقت آنان و راست‌گویی ایشان، همیشه با آسیب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پذیرش روایات ایشان مشروط به شرایطی است</w:t>
      </w:r>
      <w:r>
        <w:rPr>
          <w:rFonts w:eastAsia="IRNazanin" w:cs="IRNazanin"/>
          <w:color w:val="111111"/>
          <w:sz w:val="28"/>
          <w:szCs w:val="28"/>
          <w:rtl w:val="true"/>
          <w:lang w:bidi="fa-IR"/>
        </w:rPr>
        <w:t>.</w:t>
      </w:r>
    </w:p>
    <w:p>
      <w:pPr>
        <w:pStyle w:val="Heading5"/>
        <w:numPr>
          <w:ilvl w:val="4"/>
          <w:numId w:val="1"/>
        </w:numPr>
        <w:rPr/>
      </w:pPr>
      <w:bookmarkStart w:id="158" w:name="__RefHeading___Toc681005_1395250215"/>
      <w:bookmarkStart w:id="159" w:name="_Toc62"/>
      <w:bookmarkEnd w:id="158"/>
      <w:r>
        <w:rPr>
          <w:rtl w:val="true"/>
        </w:rPr>
        <w:t>الف</w:t>
      </w:r>
      <w:r>
        <w:rPr>
          <w:rtl w:val="true"/>
        </w:rPr>
        <w:t xml:space="preserve">) </w:t>
      </w:r>
      <w:r>
        <w:rPr>
          <w:rtl w:val="true"/>
        </w:rPr>
        <w:t>وثاقت و مذمت</w:t>
      </w:r>
      <w:bookmarkEnd w:id="1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قدما مهم‌تر می‌نمایانده، وثاقت فردی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وثاقت یا همان صدق مخبری، مهم‌ترین دلیل اعتماد به راویان است؛ خواه راوی منحرف و خواه امامی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توصیف برخی راویان واقفه ـ که معمولاً شخصیت‌های بارز فرقه هم هستند ـ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توصیف‌ها را می‌توان در</w:t>
      </w:r>
      <w:bookmarkStart w:id="160" w:name="pg2653_32431"/>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معرفی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أبی‌بشر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ابی‌سعید 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حسن 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عبد‌الله بن غالب 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این در حالی است که این راویان دست‌کم یک مذمت در شناخت‌نامه ایشان وجود دارد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دیگر راویان واقفی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 قابل تحلیل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برای روشن شدن این تفکیک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سماعه، فردی کثیرالحدیث، فقیه و البته متعصب در مذهب و معاند با شیعه و حتی نسبت به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محدثان و فقیهان در منابع روایی و فقهی به نقل وی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کتب اربعه روایی،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ابن‌غضائری در توصیف حسن بن علی بن أبی‌حمزة بطائنی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بن واقف ضعیف فی نفسه و أبوه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بین ضعف او در نقل روایت و مذهبش تفکیک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ابن‌غضائری،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دیگری نیز در توصیفات راویان واقفی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161" w:name="__RefHeading___Toc681007_1395250215"/>
      <w:bookmarkStart w:id="162" w:name="_Toc63"/>
      <w:bookmarkEnd w:id="161"/>
      <w:r>
        <w:rPr>
          <w:rtl w:val="true"/>
        </w:rPr>
        <w:t>ب</w:t>
      </w:r>
      <w:r>
        <w:rPr>
          <w:rtl w:val="true"/>
        </w:rPr>
        <w:t xml:space="preserve">) </w:t>
      </w:r>
      <w:r>
        <w:rPr>
          <w:rtl w:val="true"/>
        </w:rPr>
        <w:t>محتوا و علمیت</w:t>
      </w:r>
      <w:bookmarkEnd w:id="162"/>
    </w:p>
    <w:p>
      <w:pPr>
        <w:pStyle w:val="Heading6"/>
        <w:numPr>
          <w:ilvl w:val="5"/>
          <w:numId w:val="1"/>
        </w:numPr>
        <w:rPr/>
      </w:pPr>
      <w:bookmarkStart w:id="163" w:name="__RefHeading___Toc681009_1395250215"/>
      <w:bookmarkStart w:id="164" w:name="_Toc64"/>
      <w:bookmarkEnd w:id="163"/>
      <w:r>
        <w:rPr/>
        <w:t>1</w:t>
      </w:r>
      <w:r>
        <w:rPr>
          <w:rtl w:val="true"/>
        </w:rPr>
        <w:t xml:space="preserve">. </w:t>
      </w:r>
      <w:r>
        <w:rPr>
          <w:rtl w:val="true"/>
        </w:rPr>
        <w:t>بررسی علمیِ کتاب‌ها</w:t>
      </w:r>
      <w:bookmarkEnd w:id="164"/>
    </w:p>
    <w:p>
      <w:pPr>
        <w:pStyle w:val="BookText"/>
        <w:rPr/>
      </w:pPr>
      <w:r>
        <w:rPr>
          <w:rFonts w:ascii="IRNazanin" w:hAnsi="IRNazanin" w:eastAsia="IRNazanin"/>
          <w:color w:val="111111"/>
          <w:sz w:val="28"/>
          <w:sz w:val="28"/>
          <w:szCs w:val="28"/>
          <w:rtl w:val="true"/>
          <w:lang w:bidi="fa-IR"/>
        </w:rPr>
        <w:t>اطمینان به صدور روایت برای متقدمان، از جایگاه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راستی‌آزمایی روایات، غیر از بررسی سندی ـ اطمینان به وثاقت راوی ـ، راه‌کارهای بررسی محتوایی را نیز قدما در روایات پیاده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شیوه ارزیابی یا تحلیل فهرستی و بررسی کتاب را از ممیزات خویش می‌داند که عامه بدان ورود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فهرستی، اثر علمی باید از صافی ارزیابی متخصصان عبور می‌کرد؛ برای نمونه کتاب معتمَد، مشهور، مرجع یا معول‌علیها می‌توانست نشان‌گر قوّت علمی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ارزیابی‌ها به گونه‌های مختلفی در آثار واقفه انجام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واقفی‌ای است که بسیار متعصب در مذهبش و معاند با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هم در یاری واقفه نگاشته است، اما در فقه کتب روایی دارد که دو ویژگی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روایاتش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نیز معتبرند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شیخ طوسی می‌گوید</w:t>
      </w:r>
      <w:r>
        <w:rPr>
          <w:rFonts w:eastAsia="IRNazanin" w:cs="IRNazanin"/>
          <w:color w:val="111111"/>
          <w:sz w:val="28"/>
          <w:szCs w:val="28"/>
          <w:rtl w:val="true"/>
          <w:lang w:bidi="fa-IR"/>
        </w:rPr>
        <w:t>:</w:t>
      </w:r>
      <w:bookmarkStart w:id="165" w:name="pg2653_32432"/>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دو جهت، کتاب‌های او را یاد نموده و بدان تمسک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شیخ طوسی، تنها کتاب‌های فقهی وی مورد اعتماد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برخی کتاب‌های فرقه‌های منحرف،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به نظر پس از بررسی علمی کتاب بوده و یا از آن روست که مرجع و منبع عالمان امامیه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166" w:name="__RefHeading___Toc681011_1395250215"/>
      <w:bookmarkStart w:id="167" w:name="_Toc65"/>
      <w:bookmarkEnd w:id="166"/>
      <w:r>
        <w:rPr/>
        <w:t>2</w:t>
      </w:r>
      <w:r>
        <w:rPr>
          <w:rtl w:val="true"/>
        </w:rPr>
        <w:t xml:space="preserve">. </w:t>
      </w:r>
      <w:r>
        <w:rPr>
          <w:rtl w:val="true"/>
        </w:rPr>
        <w:t>ارزیابی محتوایی روایات</w:t>
      </w:r>
      <w:bookmarkEnd w:id="167"/>
    </w:p>
    <w:p>
      <w:pPr>
        <w:pStyle w:val="BookText"/>
        <w:rPr/>
      </w:pPr>
      <w:r>
        <w:rPr>
          <w:rFonts w:ascii="IRNazanin" w:hAnsi="IRNazanin" w:eastAsia="IRNazanin"/>
          <w:color w:val="111111"/>
          <w:sz w:val="28"/>
          <w:sz w:val="28"/>
          <w:szCs w:val="28"/>
          <w:rtl w:val="true"/>
          <w:lang w:bidi="fa-IR"/>
        </w:rPr>
        <w:t>از سوی دیگر، خط قرمز متقدمان عدم نقل روایات اعتقادات اختصاصیِ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در نقل روایت مربوط به اندیشه واقفه از واقفیان، حدیث نقل نمی‌کردند و معمولاً در صورت نقل، آن را نقد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ابتدای کتاب الغیبه،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راویان ثقه و غیرثقه واقفی نقل کرده و تمام آن‌ها را نقد و بررسی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جبله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اثری با عنوان کتاب الصفة فی الغیبة علی مذاهب الواقفة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کتابش روایات قائم و غیبت را به موسی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طوسی وقتی روایاتی را از وی در کتاب الغیبة نقل کرده، آن‌ها را نقد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ولی در تهذیبین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او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درایة النور، بخش اسناد،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شواهد بررسی‌های محتوایی، توصیف‌هایی است که رجالیان برای برخی راویان واقفه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محمد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مختلط الأمر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گویای ضعف در به‌هم‌ریختگی آموزه‌های راوی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به نظر می‌رسد، واقفه برای نصرت مذهب خویش، روایات را تحریف و یا با برداشت دیگری تحلیل می‌کردند؛ برای نمونه،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سننی از پیامبران است؛ سنت به‌ارث‌برده او از یوسف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روایات مشابه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قابل تأمل است؛ اول آن‌که در سند این روایت، نام دو تن از واقفه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أبی‌حمزة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 و بزرگان واقفه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آنان برای اثبات قائم بودن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مسئله زندان ایشان سوء‌استفاده کرده و</w:t>
      </w:r>
      <w:bookmarkStart w:id="168" w:name="pg2653_32433"/>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روایات را این‌گونه تحریف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تصحیف رخ داده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نکته روایات مشابه است؛ به‌ویژه آن‌که بعضی از آن‌ها را همین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أبو‌بصیر عن أبی‌جعفر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شبه من یوسف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و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شیوه برخورد متقدمان با منحرفان اعتقادی در‌می‌یابیم که باورهای اعتقادی لزوماً در نقل روایت مؤثر نیست و نمی‌توان بین اعتقادات و گفتار راوی، همیشه تلازم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به صرف انحراف اعتقادی راوی در مسئله امامت، روایت راوی را طرد نمی‌کردند، بلکه با شیوه‌هایی بین دانش راوی و اعتقادات او و هم‌چنین بین وثاقت راوی و اعتقادات او قائل به تفکیک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امامیه تنها در اعتقادات اختصاصی و فرقه‌ای روای، احتیاط نموده و روایات فرقه‌ای او را گزارش نمی‌کردند، ولی در نقل دیگر روایات ایشان، به‌ویژه روایات فقهی وی تنها بر وثاقت راوی می‌اندیشیدند</w:t>
      </w:r>
      <w:r>
        <w:rPr>
          <w:rFonts w:eastAsia="IRNazanin" w:cs="IRNazanin"/>
          <w:color w:val="111111"/>
          <w:sz w:val="28"/>
          <w:szCs w:val="28"/>
          <w:rtl w:val="true"/>
          <w:lang w:bidi="fa-IR"/>
        </w:rPr>
        <w:t>.</w:t>
      </w:r>
    </w:p>
    <w:p>
      <w:pPr>
        <w:pStyle w:val="Heading3"/>
        <w:numPr>
          <w:ilvl w:val="2"/>
          <w:numId w:val="1"/>
        </w:numPr>
        <w:rPr/>
      </w:pPr>
      <w:bookmarkStart w:id="169" w:name="__RefHeading___Toc681013_1395250215"/>
      <w:bookmarkStart w:id="170" w:name="_Toc66"/>
      <w:bookmarkEnd w:id="169"/>
      <w:r>
        <w:rPr>
          <w:rtl w:val="true"/>
        </w:rPr>
        <w:t>منابع</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ابن‌غضائری،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البرقی،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دارالجیل ـ دارالافاق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مذهب وقف و بررسی تاریخ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علوم انسانی،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الرجالیّه،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المصنف،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نرم‌افزار کتابخانه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تعلیقه علی منهج المقال،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نرم‌افزار کتابخانه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بیوکارا،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دودستگی در شیعیان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پیدایش فرقه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وحید صفری، علوم حدیث، 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حسین‌زاده شانه‌چی، حسن،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ابن‌داود،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قمی،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أبو‌الحسین قطب‌الدین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مؤسّسة الإمام المهدی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سیدرضی، محمّدبن الحسین بن موسی،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مجمع البحوث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 بن الحسین علم‌الهدی،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الحسینی،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الشافی،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مؤسسه نشر اسلامی،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نعمت‌الله و زهرا بختیاری،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فرقه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تاریخی،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درون شیعی دوران امامت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فطحیه و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المکتبة الرضویّة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طهرانی و علی احمد ناصح، قم، مؤسسه المعارف الإسلامیه،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نجف،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نجف، المکتبه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مشهد، مرکز البحوث لآستان القدس الرضوی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نائینی، نهله و عبدالله میراحمدی سلوکروئی،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مقابله با فرقه‌های کج‌اندیش در سیره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شیعه‌شناسی،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غلامعلی، مهدی،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غیبت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اندیشه،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کجوری شیرازی، مهدی،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الرجالیة،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رحمان‌ستایش،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مشهد،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 ملاعلی،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المقال،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مولوی،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سیدحسین،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در فرایند تکامل،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ایزدپناه، تهران، کویر،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مظفری، محمدحیدر،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واقفیه و موضع‌گیری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موعود، ش</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ریاض محمد حبیب،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الواقفیة دراسة تحلیلیة، مشهد، کنگره جهانی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بن جعفر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طهران، مکتبه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أبومحمد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الشیعة، تهران، المکتبة المرتضویة</w:t>
      </w:r>
      <w:r>
        <w:rPr>
          <w:rFonts w:eastAsia="IRNazanin" w:cs="IRNazanin"/>
          <w:color w:val="111111"/>
          <w:sz w:val="28"/>
          <w:szCs w:val="28"/>
          <w:rtl w:val="true"/>
          <w:lang w:bidi="fa-IR"/>
        </w:rPr>
        <w:t>.</w:t>
      </w:r>
      <w:bookmarkStart w:id="171" w:name="pg2653_32435"/>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2"/>
        <w:numPr>
          <w:ilvl w:val="1"/>
          <w:numId w:val="1"/>
        </w:numPr>
        <w:rPr/>
      </w:pPr>
      <w:bookmarkStart w:id="172" w:name="__RefHeading___Toc681015_1395250215"/>
      <w:bookmarkStart w:id="173" w:name="_Toc67"/>
      <w:bookmarkEnd w:id="172"/>
      <w:r>
        <w:rPr>
          <w:rtl w:val="true"/>
        </w:rPr>
        <w:t xml:space="preserve">ارزیابیِ دو نظریه در مفهوم </w:t>
      </w:r>
      <w:r>
        <w:rPr>
          <w:rtl w:val="true"/>
        </w:rPr>
        <w:t>«</w:t>
      </w:r>
      <w:r>
        <w:rPr>
          <w:rtl w:val="true"/>
        </w:rPr>
        <w:t>امامت</w:t>
      </w:r>
      <w:r>
        <w:rPr>
          <w:rtl w:val="true"/>
        </w:rPr>
        <w:t xml:space="preserve">» </w:t>
      </w:r>
      <w:r>
        <w:rPr>
          <w:rtl w:val="true"/>
        </w:rPr>
        <w:t>با تأکید بر آیات و روایات</w:t>
      </w:r>
      <w:bookmarkEnd w:id="173"/>
    </w:p>
    <w:p>
      <w:pPr>
        <w:pStyle w:val="Heading3"/>
        <w:numPr>
          <w:ilvl w:val="2"/>
          <w:numId w:val="1"/>
        </w:numPr>
        <w:rPr/>
      </w:pPr>
      <w:bookmarkStart w:id="174" w:name="__RefHeading___Toc681017_1395250215"/>
      <w:bookmarkStart w:id="175" w:name="_Toc6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اصغر غلامی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مهدی فرمانیان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1392/11/23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1393/04/04</w:t>
      </w:r>
    </w:p>
    <w:p>
      <w:pPr>
        <w:pStyle w:val="Heading3"/>
        <w:numPr>
          <w:ilvl w:val="2"/>
          <w:numId w:val="1"/>
        </w:numPr>
        <w:rPr/>
      </w:pPr>
      <w:bookmarkStart w:id="176" w:name="__RefHeading___Toc681019_1395250215"/>
      <w:bookmarkStart w:id="177" w:name="_Toc69"/>
      <w:bookmarkEnd w:id="176"/>
      <w:r>
        <w:rPr>
          <w:rtl w:val="true"/>
        </w:rPr>
        <w:t>چکیده</w:t>
      </w:r>
      <w:bookmarkEnd w:id="177"/>
    </w:p>
    <w:p>
      <w:pPr>
        <w:pStyle w:val="BookText"/>
        <w:rPr/>
      </w:pPr>
      <w:r>
        <w:rPr>
          <w:rFonts w:ascii="IRNazanin" w:hAnsi="IRNazanin" w:eastAsia="IRNazanin"/>
          <w:color w:val="111111"/>
          <w:sz w:val="28"/>
          <w:sz w:val="28"/>
          <w:szCs w:val="28"/>
          <w:rtl w:val="true"/>
          <w:lang w:bidi="fa-IR"/>
        </w:rPr>
        <w:t xml:space="preserve">در میان اندیشمندان شیعه،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گوناگونی وجود دارد؛ برخی عالمان و مفسران شیعه، معنای امامت را مقام وجوب اطاعت و دارا شدن حقّ امرونهی دانسته اند و در مقابل، شماری از اندیشمندان، امامت را نوعی تصرف تکوینی در قلوب بندگان خدا و هدایت و ایصال آنان به مطلوب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واکاویِ این دو دیدگاه، نقاط اشتراک و انفصال آن‌ها را بررسی کرده و با عرضه این دو دیدگاه به قرآن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نتیجه گرفته است که دیدگاه نخست با ظواهر ـ و بلکه با نصوص ـ قرآن و روایات، سازگارتر است</w:t>
      </w:r>
      <w:r>
        <w:rPr>
          <w:rFonts w:eastAsia="IRNazanin" w:cs="IRNazanin"/>
          <w:color w:val="111111"/>
          <w:sz w:val="28"/>
          <w:szCs w:val="28"/>
          <w:rtl w:val="true"/>
          <w:lang w:bidi="fa-IR"/>
        </w:rPr>
        <w:t>.</w:t>
      </w:r>
    </w:p>
    <w:p>
      <w:pPr>
        <w:pStyle w:val="Heading3"/>
        <w:numPr>
          <w:ilvl w:val="2"/>
          <w:numId w:val="1"/>
        </w:numPr>
        <w:rPr/>
      </w:pPr>
      <w:bookmarkStart w:id="178" w:name="__RefHeading___Toc681021_1395250215"/>
      <w:bookmarkStart w:id="179" w:name="_Toc70"/>
      <w:bookmarkEnd w:id="178"/>
      <w:r>
        <w:rPr>
          <w:rtl w:val="true"/>
        </w:rPr>
        <w:t>واژگان کلیدی</w:t>
      </w:r>
      <w:bookmarkEnd w:id="1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افتراض طاعت، امر و نهی، هدایت، ایصال به مطلوب</w:t>
      </w:r>
      <w:r>
        <w:rPr>
          <w:rFonts w:eastAsia="IRNazanin" w:cs="IRNazanin"/>
          <w:color w:val="111111"/>
          <w:sz w:val="28"/>
          <w:szCs w:val="28"/>
          <w:rtl w:val="true"/>
          <w:lang w:bidi="fa-IR"/>
        </w:rPr>
        <w:t>.</w:t>
      </w:r>
      <w:bookmarkStart w:id="180" w:name="pg2653_32436"/>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181" w:name="__RefHeading___Toc681023_1395250215"/>
      <w:bookmarkStart w:id="182" w:name="_Toc71"/>
      <w:bookmarkEnd w:id="181"/>
      <w:r>
        <w:rPr>
          <w:rtl w:val="true"/>
        </w:rPr>
        <w:t>طرح مسئله</w:t>
      </w:r>
      <w:bookmarkEnd w:id="182"/>
    </w:p>
    <w:p>
      <w:pPr>
        <w:pStyle w:val="BookText"/>
        <w:rPr/>
      </w:pPr>
      <w:r>
        <w:rPr>
          <w:rFonts w:ascii="IRNazanin" w:hAnsi="IRNazanin" w:eastAsia="IRNazanin"/>
          <w:color w:val="111111"/>
          <w:sz w:val="28"/>
          <w:sz w:val="28"/>
          <w:szCs w:val="28"/>
          <w:rtl w:val="true"/>
          <w:lang w:bidi="fa-IR"/>
        </w:rPr>
        <w:t>امامت الهی، مقام و منزلتی بسیار بلند است که خداوند متعال به برخی انبیا و بندگان برگزیده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درک صحیحی از این مقام، وابسته به آگاهیِ درست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بر پایه قرآن و روایات، مقام وجوب اطاعت و دارا شدن حقّ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هدایت و تربیت بندگان، از سوی خداوند به برگزیدگان الهی اعطا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مفهوم امامت، قرائت‌های گوناگونی مطرح شده و اندیشمندان بسیاری به بحث درباره مفهوم امامت پرداخته و آن را از زوایای مختلف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 از انگیزه‌های متفاوتی ریشه گرفته و منشأ تفسیرهای متعدد و متنوعی شده و مبانی متفاوتی را در فهم مقام امامت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بررسی دو دیدگاه و ارزیابی هر یک از این نظریه‌ها با معیار لغت،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3"/>
        <w:numPr>
          <w:ilvl w:val="2"/>
          <w:numId w:val="1"/>
        </w:numPr>
        <w:rPr/>
      </w:pPr>
      <w:bookmarkStart w:id="183" w:name="__RefHeading___Toc681025_1395250215"/>
      <w:bookmarkStart w:id="184" w:name="_Toc72"/>
      <w:bookmarkEnd w:id="183"/>
      <w:r>
        <w:rPr>
          <w:rtl w:val="true"/>
        </w:rPr>
        <w:t xml:space="preserve">امامت به معنای </w:t>
      </w:r>
      <w:r>
        <w:rPr>
          <w:rtl w:val="true"/>
        </w:rPr>
        <w:t>«</w:t>
      </w:r>
      <w:r>
        <w:rPr>
          <w:rtl w:val="true"/>
        </w:rPr>
        <w:t>افتراض طاعت</w:t>
      </w:r>
      <w:r>
        <w:rPr>
          <w:rtl w:val="true"/>
        </w:rPr>
        <w:t>»</w:t>
      </w:r>
      <w:bookmarkEnd w:id="184"/>
    </w:p>
    <w:p>
      <w:pPr>
        <w:pStyle w:val="BookText"/>
        <w:rPr/>
      </w:pPr>
      <w:r>
        <w:rPr>
          <w:rFonts w:ascii="IRNazanin" w:hAnsi="IRNazanin" w:eastAsia="IRNazanin"/>
          <w:color w:val="111111"/>
          <w:sz w:val="28"/>
          <w:sz w:val="28"/>
          <w:szCs w:val="28"/>
          <w:rtl w:val="true"/>
          <w:lang w:bidi="fa-IR"/>
        </w:rPr>
        <w:t xml:space="preserve">امامت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درباره مفهوم امامت، دیدگاه‌های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منشور جاوید، پس از طرح چند نظریه در مفهوم امامت و ردّ آن‌ها،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پیشوای مفترض‌الطاعه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گرو شناخت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و مرز این دو کلمه شناخته نشود، هرگز نمی‌توان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به حکم مفاد این‌که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طی مراحل نبوت و رسالت، به مقام امامت نایل گردید، می‌توان گفت که نبوت و رسالت، آخرین نقطه کمال و منصب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منشور جاوید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جز انذار و بیم‌دهی، تبلیغ و راهنمایی ندارند، نه امری دارند و نه نهی‌ای، نه دستوری می‌دهند و نه فرمانی و در این باره، جز بازگوکنندگان امر و نهی الهی، شخصیت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اطاعت خدا، موضوعیت و اطاعت پیامبر طریقیت دارد، و ما از آن نظر رسول را اطاعت می‌کنیم که اطاعت او عین اطاعت خداست، نه چیزی غیر از آن و جدا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وی تأکید می کند که 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هم در نهایت کمال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ولایتی بر هیچ انسانی ندارد، بلکه ولایت از آنِ خدایی است که به او خلقت و آفرینش داده است و بس؛ در عین حال، خدا روی مصالحی با اعتماد بر ولایت مطلقه خود، به انسان کاملی که در نشیب و فراز زندگی آزمون خوبی داده است، ولایتی می‌بخشد و او را امام و پیشوا، ولیّ و سرپرست، مطاع و فرمانده جامعه قرار می‌دهد و به مقتضای کار خود، دارای امر و نهی، تکلیف و دستور و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کتاب، شکی نیست که چنین مقامی، غیر از مقام نبوت و رسالت است که در اخذ وحی و ابلاغ دستورهای خدا خلاصه می‌گردند، در حالی که اگر به مقام امامت رسید، به مقام دیگری ارتقا یافته و عهده‌دار اداره جامعه و تنظیم امور امت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منشور جاوید بر این باور است که در نبوت و رسالتِ مجرد از امامت، اطاعتِ رسول، عین اطاعت خدا بوده و هرگز دو نوع اطاعت وجود ندارد، ولی آن‌گاه که به مقام امامت مفتخر گردید، با جعل و نصب الهی، دارای امر و نهی می‌گردد و حقّ اطاعت مستقل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طرح چند آیه در تثبیت مدعای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این آیات برداشت می‌کنیم که مقصود از امامت، سرپرستی و حقّ اطاعت است که خدا به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نبوت و رسالت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برای تکمیل بحث خود، سؤالاتی مطرح می کند و به آن‌ها پاسخ می‌دهد؛ از جمله چنین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پیامبری امام، و هر امامی پیامبر است؟ آیا هر فردی که به مقام نبوت رسید، حتماً باید امام نیز باشد و یا کسی که دارای منصب امامت گردید، حتماً باید پیامبر باشد؟ پاسخ هر دو سؤال، منفی است و آیات گذشته می‌تواند علت منفی بودن پاسخ را روشن سازد، زیرا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مدت‌ها پیامبر بود و هرگز امام نبود و هم‌چنین پیامبران دیگری که اصلاً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نرسیدند و از سوی دیگر، نبیّ معاصر با طالوت، پیامبر بود، در حالی که امامت از آنِ او نبود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 و طالوت امام بود، ولی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بخش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نبی و امام، تلازمی نیست و به اصطلاح، لازم نیست که هر پیامبر امام و هر امامی نبی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دیدگاه، برخی صاحب‌نظران در مقام تبیین آیه امامتِ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مقام امامت را از معنای تشریعیِ آن منصرف و مدلول آن را نوعی تصرف تکوینی تلقی کرده‌اند</w:t>
      </w:r>
      <w:r>
        <w:rPr>
          <w:rFonts w:eastAsia="IRNazanin" w:cs="IRNazanin"/>
          <w:color w:val="111111"/>
          <w:sz w:val="28"/>
          <w:szCs w:val="28"/>
          <w:rtl w:val="true"/>
          <w:lang w:bidi="fa-IR"/>
        </w:rPr>
        <w:t>.</w:t>
      </w:r>
      <w:bookmarkStart w:id="185" w:name="pg2653_32438"/>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این‌جا، این دیدگاه طرح و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صاحب منشور جاوید، نقدهایی به این دیدگاه دارد، جهت تکمیل بحث و روشن‌تر شدن دیدگاه نخست، نقدهای ایشان به دیدگاه دوم نیز مطرح می‌گردد</w:t>
      </w:r>
      <w:r>
        <w:rPr>
          <w:rFonts w:eastAsia="IRNazanin" w:cs="IRNazanin"/>
          <w:color w:val="111111"/>
          <w:sz w:val="28"/>
          <w:szCs w:val="28"/>
          <w:rtl w:val="true"/>
          <w:lang w:bidi="fa-IR"/>
        </w:rPr>
        <w:t>.</w:t>
      </w:r>
    </w:p>
    <w:p>
      <w:pPr>
        <w:pStyle w:val="Heading3"/>
        <w:numPr>
          <w:ilvl w:val="2"/>
          <w:numId w:val="1"/>
        </w:numPr>
        <w:rPr/>
      </w:pPr>
      <w:bookmarkStart w:id="186" w:name="__RefHeading___Toc681027_1395250215"/>
      <w:bookmarkStart w:id="187" w:name="_Toc73"/>
      <w:bookmarkEnd w:id="186"/>
      <w:r>
        <w:rPr>
          <w:rtl w:val="true"/>
        </w:rPr>
        <w:t xml:space="preserve">امامت به معنای </w:t>
      </w:r>
      <w:r>
        <w:rPr>
          <w:rtl w:val="true"/>
        </w:rPr>
        <w:t>«</w:t>
      </w:r>
      <w:r>
        <w:rPr>
          <w:rtl w:val="true"/>
        </w:rPr>
        <w:t>هدایت با تصرف در قلوب بندگان</w:t>
      </w:r>
      <w:r>
        <w:rPr>
          <w:rtl w:val="true"/>
        </w:rPr>
        <w:t>»</w:t>
      </w:r>
      <w:bookmarkEnd w:id="187"/>
    </w:p>
    <w:p>
      <w:pPr>
        <w:pStyle w:val="BookText"/>
        <w:rPr/>
      </w:pPr>
      <w:r>
        <w:rPr>
          <w:rFonts w:ascii="IRNazanin" w:hAnsi="IRNazanin" w:eastAsia="IRNazanin"/>
          <w:color w:val="111111"/>
          <w:sz w:val="28"/>
          <w:sz w:val="28"/>
          <w:szCs w:val="28"/>
          <w:rtl w:val="true"/>
          <w:lang w:bidi="fa-IR"/>
        </w:rPr>
        <w:t>صاحب تفسیر المیزان در مقام تبیین آیه امامتِ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مقام امامت را نوعی تصرف تکوینی در قلوب مؤمنان و ایصال آنان به مطلوب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درباره نبوت، رسالت و امامت، استناد به صرف مفهوم لفظی کافی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مفهوم لفظی، دارای حقیقتی از معارف حقیقیه هستند؛ پس معنای حقیقی امامت، ورای این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هرجا به معنای امامت اشاره شده، همراه آن و در جایگاه تفسیر، متعرض هدایت نیز شده است؛ برای مثال، خدای متعال در داستان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إِسْحـقَ وَ یَعْقُوبَ نافِلَةً وَ کُلاًّ جَعَلْنا صالِحِینَ وَ جَعَلْناهُمْ أَئِمَّةً یَهْدُونَ بِأَمْرِنا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استناد به این آیات معتقد است، خداوند امامت را از باب تعریف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 و سپس این هدایت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ساخته است؛ پس معنای امامت، مطلق هدایت نیست، بلکه هدایتی است که به امر خدا واقع می‌شود و حقیقتِ این امر در این آیات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 فَسُـبْحانَ الَّذِی بِیَدِهِ مَلَکُوتُ کُلِّ شَیء</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الا واحدة کلمح بالبصر</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صاحب المیزان،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تعین دادن به شیء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از نظر ایشان، امام هدایت‌گری است که به امر ملکوتی که همراه اوست، هدایت می‌کند و امامت به حسب باطن، نحوه‌ای از ولایت بر مردم در اعمال ایشان و هدایت آن‌ها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رساندنشان به مطلوب است به امر خداوند و این غیر از صرف نشان دادن راه می‌باشد که شأن نبی و رسول و هر مؤمنی است که به وسیله نصیحت و موعظه حسنه، به سوی خدای سبحان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در کنار هم قرار دادن چند آیه و تفسیر برخی آیات با آیات دیگر قرآن، سعی در ارائه معنای جدیدی از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امامت را به معنای هدایت مردم به سمت کمال مطلوبِ آن‌ها همراه با نوعی تصرف تکوینی می‌داند و با استناد به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تکوینی معرفی کرده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أَئِـمَّةً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و تسری می‌دهد و نتیجه می‌گیرد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تکوینی افراد به امر خدا و با تصرف در قلوب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ظاهر آیات، از هدایت افراد به واسطه امر و نهی تشریعی حکایت دارند و روایات در ذیل این آیات نیز مؤید این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الائمة فی کتاب الله عزوجل امامان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أَئِـمَّةً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لابأمر الناس، یقدمون أمر الله قبل أمرهم و حکم الله قبل حکمهم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یقدمون امرهم قبل أمرالله و حکمهم قبل حکم الله و یأخذون بأهوائهم خلاف ما فی کتاب الله عزوجل؛ همانا امامان در کتاب خدای تعالی، دو دسته‌اند؛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امامانی قرار دادیم که به امر ما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 دستور خدا را بر دستور ایشان و حکم خدا را بر حکم ایشان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امامانی قرار دادیم که به سوی آتش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خود را بر دستور خدا و حکمِ خود را بر حکم خداوند مقدم داشته و از هوای نفس خویش پیروی می‌کنند و برخلاف آنچه در کتاب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مزبور، به روشنی می‌توان فهمید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هدایت به امر، امر و نهی تشریعی است، نه امر تکوینی و تصرف در 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نویسنده منشور جاوید پس از طرح دیدگاه صاحب المیزان در مفهوم امامت،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استواری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برخی از شخصیت‌های والا می‌توانند علاوه بر هدایت تشریعی، دارای هدایت تکوینی گردند سخنی نیست؛ هرچند اثبات آن، نیاز به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قطعی دارد، ولی تفسیر امام به کسی که دارای چنین هدایت تکوینی است، شاهد روشنی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هرچند قرآن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جمله اخیر ناظر به توصیف و ثنای آن‌هاست، و بیان‌گر این است که آنان وظیفه هدایت را که به فرمان خدا بر دوششان نهاده شده است، به نحو احسن انجام می‌دهند و در این مورد، کوچک‌ترین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گواه این‌که ذیل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نسبت به ما خاضع و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بآیاتنا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آیات ما ایمان داشتند، نه این‌که آنان به فرمان تکوینیِ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تزکیه و تصفیه قلوب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آیه در صدد توصیف و ستایش آن‌هاست، نه در صدد بیان تعریف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مؤید نظر خویش می داند، زیرا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بأمر الناس یقدّمون أمرالله قبل أمرهم و حکم الله قبل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امرِ خدا هدایت می‌کنند، نه به امر مردم و حکم خدا را بر حکم مردم 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امامانی که به آتش دعوت می‌کنند، سخن می‌گوید و یادآور می‌شود که آنان برعکسِ گروه نخست، اراده مردم را بر اراده خدا و تمایلات آن‌ها را بر کتاب خدا مقدم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منشور جاوید تأکید می کند این روایت و نظایر آن حاکی است که هدف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ثنای آن بر اساس عصمت آن‌هاست که رضای خدا را با چیزی عوض نمی‌کنند، نه این‌که واقعیتِ امامت این است که به امر تکوینیِ خدا که با آن امر جهان را آفرید، مردم را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برابر سخن صاحب المیزان تصریح می کند که تفسیر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مطاع و لازم‌الاتباع بودن و یا اسوه و الگو بودن، به طوری که رفتار و گفتار مأموم باید طبق رفتار و گفتار امام باشد، معنای مبتذلی نیست که بعداً بر کلمه عارض شده باشد، در حالی که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الامامة نظاماً 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مایه انتظام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نویسنده منشور جاوید، قول به مطاع بودن هر پیامبری پیش از ارتقا به مقام امامت و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وجوب طاعت، چندان استوار نیست، زیرا به اعتقاد ایشان، هیچ نبیّ و</w:t>
      </w:r>
      <w:bookmarkStart w:id="188" w:name="pg2653_32441"/>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پیامبری از آن نظر که پیامبر بود، مطاع نبود، بلکه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که دارای مقام امامت بشود و توضیح این قسمت را در نظریه آینده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لیطاع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اطاعتی می‌شمارد،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اطاعت خودِ رسول؛ به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189" w:name="__RefHeading___Toc681029_1395250215"/>
      <w:bookmarkStart w:id="190" w:name="_Toc74"/>
      <w:bookmarkEnd w:id="189"/>
      <w:r>
        <w:rPr>
          <w:rtl w:val="true"/>
        </w:rPr>
        <w:t>نقاط اشتراک و انفصال دو دیدگاه</w:t>
      </w:r>
      <w:bookmarkEnd w:id="190"/>
    </w:p>
    <w:p>
      <w:pPr>
        <w:pStyle w:val="BookText"/>
        <w:rPr/>
      </w:pPr>
      <w:r>
        <w:rPr>
          <w:rFonts w:ascii="IRNazanin" w:hAnsi="IRNazanin" w:eastAsia="IRNazanin"/>
          <w:color w:val="111111"/>
          <w:sz w:val="28"/>
          <w:sz w:val="28"/>
          <w:szCs w:val="28"/>
          <w:rtl w:val="true"/>
          <w:lang w:bidi="fa-IR"/>
        </w:rPr>
        <w:t>از نظر شیعه، امامت مقامی است که خداوند با جعل آن برای بندگان برگزیده خویش، به آن‌ها حقّ امر و نهی و تصرف در امور سایر بندگان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در تفکر شیعی صرفاً در ارتباط با خداوند، قابل تحلیل و تبیین است، زیرا شیعه معتقد است به حکم عقل، تنها مالک حقیقیِ اشیا می تواند در ملک خویش تصرف و یا به آن‌ها امر و نهی کند یا به برگزیدگان خویش، مقام آمریت و حقّ تصرف در امور سایر بندگان را عطا فرماید، و چون امامت به معنای حقّ امر و نهی است، پس باید از ناحیه خدا جعل شده باشد؛ به بیانی دیگر، چون خداوند سبحان، خالق همه خلایق و مالک مطلق آن‌هاست و همه آفریدگان مِلک طلق اویند، پس تنها او حقّ امر و نهی و تصرف در امور آن‌ها را دارد و غیر او همه از این جهت که مخلوق و مملوک اویند، در عرض مساوی هستند و هیچ‌کس حقّ امر و نهی و تصرف در امور دیگری را ندارد، مگر آن‌که از سوی خدا مأذون باشد؛ در نتیجه، امامت منصبی الهی است و خداوند امام را برای تربیت و هدایت خلق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هدایت‌گری امام و الهی بودن منصب امامت، اختلافی میان دو دیدگاه مزبور نیست و هر دو در این مطلب اتفاق نظر دارند، اما در این‌که معنای امامت، حقّ تصرف تکوینی در قلوب انسان‌ها و هدایت و ایصال آنان به مطلوب است یا حقّ امر و نهی تشریعی به موجود مختار و تربیت و هدایت او به صورت اختیاری، اختلاف نظر وجود دارد؛ بنابراین تفاوت در چیستیِ معنای امامت است، نه در مقامات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نخست، امامتِ مطرح‌شده در قرآن و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مقام افتراض طاعت و حقّ امر و نهی به سایر بندگان و انسان‌های دارای آزادی و اختیار است، ولی بر پایه دیدگاه دوم، امامت به معنای تصرف تکوینی در قلوب انسان‌ها و هدایت و ایصال آنان به مطلوب است</w:t>
      </w:r>
      <w:r>
        <w:rPr>
          <w:rFonts w:eastAsia="IRNazanin" w:cs="IRNazanin"/>
          <w:color w:val="111111"/>
          <w:sz w:val="28"/>
          <w:szCs w:val="28"/>
          <w:rtl w:val="true"/>
          <w:lang w:bidi="fa-IR"/>
        </w:rPr>
        <w:t>.</w:t>
      </w:r>
      <w:bookmarkStart w:id="191" w:name="pg2653_32442"/>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192" w:name="__RefHeading___Toc681031_1395250215"/>
      <w:bookmarkStart w:id="193" w:name="_Toc75"/>
      <w:bookmarkEnd w:id="192"/>
      <w:r>
        <w:rPr>
          <w:rtl w:val="true"/>
        </w:rPr>
        <w:t>ارزیابیِ دو دیدگاه با معیار لغت، قرآن و روایات</w:t>
      </w:r>
      <w:bookmarkEnd w:id="193"/>
    </w:p>
    <w:p>
      <w:pPr>
        <w:pStyle w:val="BookText"/>
        <w:rPr/>
      </w:pPr>
      <w:r>
        <w:rPr>
          <w:rFonts w:ascii="IRNazanin" w:hAnsi="IRNazanin" w:eastAsia="IRNazanin"/>
          <w:color w:val="111111"/>
          <w:sz w:val="28"/>
          <w:sz w:val="28"/>
          <w:szCs w:val="28"/>
          <w:rtl w:val="true"/>
          <w:lang w:bidi="fa-IR"/>
        </w:rPr>
        <w:t>امامت در تفکر شیعه، در قرآن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 و قرآن و احادیث به زبان عربی مبین سخن گفته و اصطلاح جدیدی وضع نکرده‌اند؛ لذا لغت، قرآن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 صحیح برای ارزیابی دیدگاه‌های مختلف در‌باره مفهوم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ادامه با بررسی مفهوم امام در لغت، قرآن و روایات به ارزیابی دیدگاه‌های مطرح‌شده می‌پردازیم</w:t>
      </w:r>
      <w:r>
        <w:rPr>
          <w:rFonts w:eastAsia="IRNazanin" w:cs="IRNazanin"/>
          <w:color w:val="111111"/>
          <w:sz w:val="28"/>
          <w:szCs w:val="28"/>
          <w:rtl w:val="true"/>
          <w:lang w:bidi="fa-IR"/>
        </w:rPr>
        <w:t>.</w:t>
      </w:r>
    </w:p>
    <w:p>
      <w:pPr>
        <w:pStyle w:val="Heading3"/>
        <w:numPr>
          <w:ilvl w:val="2"/>
          <w:numId w:val="1"/>
        </w:numPr>
        <w:rPr/>
      </w:pPr>
      <w:bookmarkStart w:id="194" w:name="__RefHeading___Toc681033_1395250215"/>
      <w:bookmarkStart w:id="195" w:name="_Toc76"/>
      <w:bookmarkEnd w:id="194"/>
      <w:r>
        <w:rPr>
          <w:rtl w:val="true"/>
        </w:rPr>
        <w:t>معنای امام در لغت</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کسی یا چیزی است که از او تبعیت می‌شود و این تبعیت با هدف مشخصی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اطلاق می‌شود، زیرا پیمودن راه به دلیل رسیدن به مقصدی است، رسیدن به مقصد نیز فقط با تبعیتِ مطلق از طریق آن محقق می‌شود و انحراف از طریق، انسان را از مقصد دور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کسی است که به او اقتدا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جعلِ امامت برای کسی، به جهت آن است که مردم به او اقتدا و از اوامر و نواهی او تبعیت کنند تا به هدف و مقصد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معنای ارائه‌شده در دیدگاه نخست با معنای لغوی امام سازگارتر است،</w:t>
      </w:r>
    </w:p>
    <w:p>
      <w:pPr>
        <w:pStyle w:val="BookText"/>
        <w:rPr/>
      </w:pPr>
      <w:r>
        <w:rPr>
          <w:rFonts w:ascii="IRNazanin" w:hAnsi="IRNazanin" w:eastAsia="IRNazanin"/>
          <w:color w:val="111111"/>
          <w:sz w:val="28"/>
          <w:sz w:val="28"/>
          <w:szCs w:val="28"/>
          <w:rtl w:val="true"/>
          <w:lang w:bidi="fa-IR"/>
        </w:rPr>
        <w:t>اما نظریه دوم با لغت، چندان سازگار نیست، زیرا چنان‌که گذشت، اقتدا و تبعیت مردم از امام ـ که امری اختیاری است ـ، به روشنی از معنای لغوی امام قابل استفاده است؛ در حالی که</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معنای ارائه‌شده در دیدگاه دوم، یعنی تصرف تکوینی بر قلوب بندگان</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Heading3"/>
        <w:numPr>
          <w:ilvl w:val="2"/>
          <w:numId w:val="1"/>
        </w:numPr>
        <w:rPr/>
      </w:pPr>
      <w:bookmarkStart w:id="196" w:name="__RefHeading___Toc681035_1395250215"/>
      <w:bookmarkStart w:id="197" w:name="_Toc77"/>
      <w:bookmarkEnd w:id="196"/>
      <w:r>
        <w:rPr>
          <w:rtl w:val="true"/>
        </w:rPr>
        <w:t>معنای امام در قرآن</w:t>
      </w:r>
      <w:bookmarkEnd w:id="1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 این است که خدای تعالی در قرآن کریم و نیز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ایشان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روایات، روش جدیدی برای تفهیم و تفاهم ابداع نکرده‌اند و چون مردمِ عرب‌زبان، مخاطبان اولیه وحی بوده و پیامبر 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عرب‌ها سخن گفته‌اند، به طور طبیعی از همان واژه‌ها و معانی آن‌ها در کلمات عربی استفاده و مخاطبان خود را به حقایق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در اصطلاح قرآنی نیز به معنای پیشوا و کسی خواهد بود که به او اقتدا و از او تبعیت می‌شـود؛ مگـر این‌که دقت در استعمـالات قـرآنی نشان می‌دهـد، امام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اطلاقات قرآنی در سعادت، شقاوت و عاقبت امور پیروان خود، سهمی جدّی و پایدار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آیه هفدهمِ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معنای راه روشن و یا رهبری به کار رفته که برای مؤمنان و تبعیت‌کنندگان، مایه رحمت است و کفر و عدم تبعیت از آن، به عذاب الهی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دیگر، به روشنی بیان شده است هر گروهی امام و پیشوایی دارند که خداوند در روز قیامت، مردمان را با رهبرانشان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تبعیت از کسی، سرنوشت افراد را رقم زده و آن‌ها را مستوجب پاداش یا عقاب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آیه مزبور بیان‌گر آن است که پیشوایان، اعم از پیشوای هدایت یا رهبر ضلالتند و تبعیت از هر کسی، نتیجه‌ای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دیگر، به صورت روشن‌تری امامان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الهی مردم را به امر خداوند هدایت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برای رسیدن به امر خداوند و کسب رضایت او، باید از اوامر و نواهی پیشوایان الهی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روشن‌تر، امامِ الهی، راهی است که تبعیت از اوامر و نواهی او، انسان را به مقصدِ رضایت الهی می‌رساند، اما تبعیت از کسانی که از سوی خدا امام قرار داده نشده‌اند، انسان را به سوی آتش رهنمون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نتیجه تبعیت از چنین امامانی، گرفتار شدن به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ابْتَلی ابراهِـیمَ رَبُّهُ بِکَلِمات فَأَتَـمَّـهُنَّ قالَ إِنِّی جاعِلُکَ لِلنّاسِ إِماماً قالَ وَ مِنْ ذُرِّیَّتِـی قالَ لا یَنالُ عَهْدِی الظّالِمِـینَ؛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اموری چند امتحان فرمود و آن‌ها را به اتمام رسانید و به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برای مردم، پیشوا و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در برخی از ذریه تو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هرگز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خداوند برای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امامت بر مردم را جعل کرده است؛ بنابراین چون جعل امامت برای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ناحیه خداوند متعال صورت گرفته، پیروی از او پیروی از خدا خواهد بود؛ در نتیجه، تبعیت از او موجب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امامت پس از آزمون‌های سخت الهی و موفقیت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آزمایش‌ها برای ایشان</w:t>
      </w:r>
      <w:bookmarkStart w:id="198" w:name="pg2653_32444"/>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صورت گرفته است و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مقامی را برای برخی فرزندان خود نیز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نیز درخواست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پذیرفته و ضمن نفی جعل امامت الهی برای ستمکاران، آن را در نسل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امامت الهی مقامی است که از سوی خداوند متعال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حقیقی همه اشیاست و حقّ امر و نهی مطلق متعلق به اوست؛ لذا تبعیت از اوامر و نواهی کسی که از سوی خدای تعالی به این مقام رسیده باشد، لازم و واجب است؛ به عبارت دیگر، جعل امامت حقّ انحصاری خداوند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اعمال این مولویت از ناحیه خداوند می‌باشد و درخواست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 آن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جعل امامت برای ستمکاران را نفی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نکته دیگری که می‌توان از ظاهر آیه استفاده کرد، ابتلای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ظرف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است، جعل امامت از نظر رتبه زمانی، پس از ابتلائات الهی بوده است و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طریق وحی باید اوامر الهی را تلقی کرده باشد؛ یعنی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دارا بودن مقام نبوت و رسالت، مورد آزمایش الهی قرار گرفته و پس از پشت سر نهادن این آزمایش‌ها، به مقام امامت الهی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دارای نبوت بود، به جعل الهی امام شده است؛ در نتیجه می‌توان گفت، مقام امامت غیر از نبوت و افضلِ از آن است</w:t>
      </w:r>
      <w:r>
        <w:rPr>
          <w:rFonts w:eastAsia="IRNazanin" w:cs="IRNazanin"/>
          <w:color w:val="111111"/>
          <w:sz w:val="28"/>
          <w:szCs w:val="28"/>
          <w:rtl w:val="true"/>
          <w:lang w:bidi="fa-IR"/>
        </w:rPr>
        <w:t>.</w:t>
      </w:r>
    </w:p>
    <w:p>
      <w:pPr>
        <w:pStyle w:val="Heading3"/>
        <w:numPr>
          <w:ilvl w:val="2"/>
          <w:numId w:val="1"/>
        </w:numPr>
        <w:rPr/>
      </w:pPr>
      <w:bookmarkStart w:id="199" w:name="__RefHeading___Toc681037_1395250215"/>
      <w:bookmarkStart w:id="200" w:name="_Toc78"/>
      <w:bookmarkEnd w:id="199"/>
      <w:r>
        <w:rPr>
          <w:rtl w:val="true"/>
        </w:rPr>
        <w:t>معنای امامت در روایات اهل‌بیت</w:t>
      </w:r>
      <w:bookmarkEnd w:id="200"/>
    </w:p>
    <w:p>
      <w:pPr>
        <w:pStyle w:val="BookText"/>
        <w:rPr/>
      </w:pPr>
      <w:r>
        <w:rPr>
          <w:rFonts w:ascii="IRNazanin" w:hAnsi="IRNazanin" w:eastAsia="IRNazanin"/>
          <w:color w:val="111111"/>
          <w:sz w:val="28"/>
          <w:sz w:val="28"/>
          <w:szCs w:val="28"/>
          <w:rtl w:val="true"/>
          <w:lang w:bidi="fa-IR"/>
        </w:rPr>
        <w:t>همان‌گونه که پیش‌تر بیان شد، لازمه مفهوم لغوی امام، نوعی تبعیت و فرمان‌برداری از امام می‌باشد و در قرآن نیز امام به همین معنا استعمال شده است؛ به عبارت دیگر، با مراجعه به لغت و قرآن می‌توان به این نتیجه رسید که امام به معنای پیشوا و مقتدای هر قوم است که از اوامر و نواهی او تبعیت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امام از نظر لغت و استعمال، معنای عامی دارد و شامل امامِ هدایت‌گر و امامِ گمراه‌کننده می‌شود، ولی در مقاله حاضر بحث از امامی است که مقام امامت، از سوی خدای تعالی برای او جعل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پیشوایی و وجوب طاعت و مقام امر و نهی، داخل در حقیقت و معنای امامت الهی است؛ به عبارت دیگر، امام پیشوا و مقتدای مردم است و شخص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نصب الهی، به مقام امر و نهی و امامت الهی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امامت الهی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 الامام اماماً لانه قدوة للناس منصوب من قبل الله تعالی ذکره مفترض الطاعة علی العباد؛ امام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مقتدای مردم است و از سوی خدای تعالی منصوب شده و اطاعتش بر بندگان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حدیثی تصریح می‌کنند که مقام امامت، مقام وجوب اطاعت و دارا شدن حقّ امر و نهی است؛ بدین معنا که با جعل امامت برای شخصی، او حقّ امر و نهی بر دیگران پیدا می‌کند و دیگران موظفند از اوامر و نواهی او اطاعت کنند، و این بالاترین منزلتی است که خدای تعالی به کسی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ینکرون الامام المفترض الطاعة و یحجدون به والله ما فی الارض منزله اعظم عندالله من مفترض الطاعة فقد کان ابراهیم دهراً ینزل علیه الامر من الله و ما کان مفترض الطاعة حتی بدا لله أن یکرمه و یعظمه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 را که پیروی‌اش واجب است، انکار می‌کنند و به او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روی زمین مقام و منزلتی بزرگ‌تر از وجوب طاعت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روزگاری از سوی خدای تعالی امر نازل می‌شد، ولی پیروی‌اش واجب نشده بود، تا این‌که رأی خدا بر این قرار گرفت که او را تکریم و تعظیم کند؛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برای مردم امام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امرِ امامت را مقام فرض‌الطاعه معرفی کرده، به حجرالاسود می‌فرماید به این مقام برای ایشان اعتراف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عرفان حقّ امام را اعتقاد به مفترض‌الطاعه بودن او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امامتِ الهی مقام وجوب طاعت و دارا شدن حقّ امر و نهی است و این مقام از سوی خدای تعالی به برخی بندگان خاص اعطا می‌شود و با اعطای این مقام، اطاعت از تمامی اوامر و نواهی شخص امام، واجب و لازم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مقام آمریت به صورت مطلق از آنِ خدای تعالی است، زیرا خداوند، خالق همه خلایق و مالک مطلق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است که حقّ مولویت و آمریت بدون سلب و</w:t>
      </w:r>
      <w:bookmarkStart w:id="201" w:name="pg2653_32446"/>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کاستی از مالک حقیقی، قابل تفویض به دیگران نیز می‌باشد و لازم نیست مولویت به طور مستقیم بر مالکیت استوار گردد، بلکه به اذن مالک حقیقی و تفویض مولویت از سوی او، دیگری نیز مولویت و حقّ امر و نهی پیدا می‌کند، اما کسی که صاحب حقّ امر و نهی شده، به اذن الهی مولویت می‌یابد و در هر تصرفی نیازمند اذن لحظه به لحظه است و چنین نیست که با تفویض حقّ امر و نهی، این حق در اختیار امام قرار گرفته و از اختیار خداوند خارج گردد و او از سلطنت، آمریت و مولویت ساقط و معزول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فقط کسی حقّ امر و نهی پیدا می‌کند که از سوی خدای تعالی به مقام آمریت رسیده و از سوی او مأذون باشد؛ در نتیجه، مقام امامتِ الهی به جعل خداوند نیاز دارد، و این مقام مستلزم تربیت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فقط به برخی بندگان برگزیده اعطا می‌شود، به طوری که حتی بسیاری</w:t>
      </w:r>
    </w:p>
    <w:p>
      <w:pPr>
        <w:pStyle w:val="BookText"/>
        <w:rPr/>
      </w:pPr>
      <w:r>
        <w:rPr>
          <w:rFonts w:ascii="IRNazanin" w:hAnsi="IRNazanin" w:eastAsia="IRNazanin"/>
          <w:color w:val="111111"/>
          <w:sz w:val="28"/>
          <w:sz w:val="28"/>
          <w:szCs w:val="28"/>
          <w:rtl w:val="true"/>
          <w:lang w:bidi="fa-IR"/>
        </w:rPr>
        <w:t>از پیامبران و رسولان با وجود مقام نبوت و رسالت، فاقد مقام امامت و حقّ امر و نهی بوده‌اند</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الامامة عهد من الله عزوجل معهود لرجل مسمی؛ همانا امامت، عهدی از ناحیه خدای تعالی است که به شخص معین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681039_1395250215"/>
      <w:bookmarkStart w:id="203" w:name="_Toc79"/>
      <w:bookmarkEnd w:id="202"/>
      <w:r>
        <w:rPr>
          <w:rtl w:val="true"/>
        </w:rPr>
        <w:t>تغایر امامت با نبوت و رسالت</w:t>
      </w:r>
      <w:bookmarkEnd w:id="2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اهل‌سنت ذیل آیه امامت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متعرض معنای امامت نشده‌اند</w:t>
      </w:r>
      <w:r>
        <w:rPr>
          <w:rStyle w:val="FootnoteAnchor"/>
          <w:rtl w:val="true"/>
        </w:rPr>
        <w:footnoteReference w:id="47"/>
      </w:r>
      <w:r>
        <w:rPr>
          <w:rFonts w:ascii="IRNazanin" w:hAnsi="IRNazanin" w:eastAsia="IRNazanin"/>
          <w:color w:val="111111"/>
          <w:sz w:val="28"/>
          <w:sz w:val="28"/>
          <w:szCs w:val="28"/>
          <w:rtl w:val="true"/>
          <w:lang w:bidi="fa-IR"/>
        </w:rPr>
        <w:t>و جای بسی تعجب است که برخی دیگر از علمای اهل‌سنت، امامتِ مطرح‌شده در آیه امامتِ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نبوت و یا رسالت تطبیق می‌کنند</w:t>
      </w:r>
      <w:r>
        <w:rPr>
          <w:rStyle w:val="FootnoteAnchor"/>
          <w:rtl w:val="true"/>
        </w:rPr>
        <w:footnoteReference w:id="48"/>
      </w:r>
      <w:r>
        <w:rPr>
          <w:rFonts w:ascii="IRNazanin" w:hAnsi="IRNazanin" w:eastAsia="IRNazanin"/>
          <w:color w:val="111111"/>
          <w:sz w:val="28"/>
          <w:sz w:val="28"/>
          <w:szCs w:val="28"/>
          <w:rtl w:val="true"/>
          <w:lang w:bidi="fa-IR"/>
        </w:rPr>
        <w:t>؛ اما چنان‌که پیش‌تر بیان شد، از ظاهر آیه امامتِ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استفاده می‌شود که مقام امامت، غیر از نبوت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رسالت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امامت با نبوت و رسالت از نظر لغت و نیز از نظر استعمال قرآنی بسیار روشن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تغایر امامت با نبوت و رسالت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امامت غیر از نبوت است و مقام و منزلتِ امامت، به قدری بلند و رفیع است که بسیاری از پیامبران و رسولان با این‌که مقامی بس بالا نزد خداوند متعال داشتند، فاقد مقام امامت بودند و پیامبران و رسولانی چون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هنگامی به این مقام نایل می‌شدند که به توفیق الهی، امتحانات و ابتلائات سخت و دشوار الهی را با صبر و شکیبایی پشت‌سر می‌گذاشتند و اراده خود را فانیِ در اراده خداوند می‌کردند، زیرا فقط در این صورت است که شخص شایستگی دارا شدن مقام امر و نهی را پیدا می‌کند و اطاعتش بر دیگران واجب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الامامة خصّ الله عزوجلّ بها ابراهیم الخلیل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النبوة و الخلّة مرتبه ثالثة و فضیلة شرفه بها و أشاد بها ذکره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امامت، مقامی است که خداوند آن را به ابراهیم خلیل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اختصاص داد، بعد از مقام نبوت و خلت در مرتبه سوم و فضیلتی است که خداوند به واسطه آن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برتری داد و یاد او را اشاعه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را بر مردمان پیشوا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عبد خویش قرار داد، پیش از آن‌که او را نبوت دهد و او را نبی قرار داد، پیش از آن‌که رسالت دهد و او را رسول خویش قرار داد، پیش از آن‌که به مقام خلت رساند و او را خلیل خویش قرار داد، پیش از آن‌که مقام امامت به او دهد؛ پس هنگامی که همه این مقامات برای او جمع شد ـ دست او را گرفت و ـ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عظمتی که این مقام در نظر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bookmarkStart w:id="204" w:name="pg2653_32448"/>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از این احادیث، به خوبی تفاوت و برتری مقام امامت از مقام نبوت و رسالت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بر اساس قرآن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 امامت به معنای فرض‌الطاعه و حقّ امر و نهی بر موجودات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هدایت و تربیت بندگان، از سوی خداوند به برگزیدگان الهی اعطا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شخص با اراده و اختیار خود باید از اوامر و نواهیِ امام تبعیت کند و به هیچ عنوان، از تصرف تکوینی در قلوب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نشده است؛ البته مسلّم است، امامت از دیدگاه روایات در مقام فرض‌الطاعه انحصار ندارد، بلکه جهات دیگری، به‌ویژه در جنبه هدایتی و علمیِ امام وجود دارد، اما به نظر نمی‌رسد دیدگاه دوم ناظر به این جهت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وجوب طاعت، حقّ امر و نهی و مقام افتراض‌الطاعه، بالاترین منزلت نزد خدای تعالی و معنایی است که در روایاتِ مطرح‌شده ذیل آیه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امامت ذکر شده است؛ اما این سخن که منظور از امامت در آیه کریمه، تصرف تکوینی در قلوب و ایصال الی المطلوب است، قرینه مناسبی ندارد و از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مطلبی استفاده نمی‌شود</w:t>
      </w:r>
      <w:r>
        <w:rPr>
          <w:rFonts w:eastAsia="IRNazanin" w:cs="IRNazanin"/>
          <w:color w:val="111111"/>
          <w:sz w:val="28"/>
          <w:szCs w:val="28"/>
          <w:rtl w:val="true"/>
          <w:lang w:bidi="fa-IR"/>
        </w:rPr>
        <w:t>.</w:t>
      </w:r>
    </w:p>
    <w:p>
      <w:pPr>
        <w:pStyle w:val="Heading3"/>
        <w:numPr>
          <w:ilvl w:val="2"/>
          <w:numId w:val="1"/>
        </w:numPr>
        <w:rPr/>
      </w:pPr>
      <w:bookmarkStart w:id="205" w:name="__RefHeading___Toc681041_1395250215"/>
      <w:bookmarkStart w:id="206" w:name="_Toc80"/>
      <w:bookmarkEnd w:id="205"/>
      <w:r>
        <w:rPr>
          <w:rtl w:val="true"/>
        </w:rPr>
        <w:t>نتیجه گیری</w:t>
      </w:r>
      <w:bookmarkEnd w:id="206"/>
    </w:p>
    <w:p>
      <w:pPr>
        <w:pStyle w:val="BookText"/>
        <w:rPr/>
      </w:pPr>
      <w:r>
        <w:rPr>
          <w:rFonts w:ascii="IRNazanin" w:hAnsi="IRNazanin" w:eastAsia="IRNazanin"/>
          <w:color w:val="111111"/>
          <w:sz w:val="28"/>
          <w:sz w:val="28"/>
          <w:szCs w:val="28"/>
          <w:rtl w:val="true"/>
          <w:lang w:bidi="fa-IR"/>
        </w:rPr>
        <w:t xml:space="preserve">در این مقاله، به بررسی دو دیدگاه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معلوم شد که نمایندگان هریک از آن دو دیدگاه، هم ولایت تشریعی و هم ولایت تکوینی امامان را می پذیرند و اختلاف دیدگاه آنان در چیستیِ معنای امامت است، نه در مقامات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مفهوم امامت بر پایه قرآن و روایات، مقام وجوب اطاعت و دارا شدن حقّ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هدایت و تربیت بندگان، از سوی خداوند به برگزیدگان الهی اعطا می شود؛ لذا این نتیجه حاصل شد که دیدگاه نخست با ظواهرِ ـ و بلکه با نصوص ـ قرآن و روایات سازگارتر است؛ هر چند هر دو دیدگاه بر شأن هدایت‌گری امام تأکید دارند و امامت را منصبی الهی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و معتقدند، خداوند امام را برای تربیت و هدایت خلق برگزیده است</w:t>
      </w:r>
      <w:r>
        <w:rPr>
          <w:rFonts w:eastAsia="IRNazanin" w:cs="IRNazanin"/>
          <w:color w:val="111111"/>
          <w:sz w:val="28"/>
          <w:szCs w:val="28"/>
          <w:rtl w:val="true"/>
          <w:lang w:bidi="fa-IR"/>
        </w:rPr>
        <w:t>.</w:t>
      </w:r>
      <w:bookmarkStart w:id="207" w:name="pg2653_32449"/>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8" w:name="__RefHeading___Toc681043_1395250215"/>
      <w:bookmarkStart w:id="209" w:name="_Toc81"/>
      <w:bookmarkEnd w:id="208"/>
      <w:r>
        <w:rPr>
          <w:rtl w:val="true"/>
        </w:rPr>
        <w:t>منابع</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احمد بن عبدالحلیم،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السنة النبویة فی نقض کلام الشیعة و القدریة،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المیریه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المعاجز،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التحقیق باشراف فارس حسون کریم، قم، مؤسسة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تصنیف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 دفتر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عبدالفور عطار، مصر، دراالکتب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الحسن بن سلیمان،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البصار،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 جاوید، قم، مؤسسة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الحسن بن فروخ،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تبریز، شرکت چاپ کتاب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المیزان،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المکتبة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غلامی، اصغر،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امامت در پرتو آیه ابتلای حضرت ابراهیم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سفینه، ش</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امامت در پرتو آیه 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سفینه،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قم، مؤسسة الامام المهدی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 تهران، مؤسسه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غرائب القرآن، مطبوع به حاشیه تفسیر طبری،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bookmarkStart w:id="210" w:name="pg2653_32451"/>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2"/>
        <w:numPr>
          <w:ilvl w:val="1"/>
          <w:numId w:val="1"/>
        </w:numPr>
        <w:rPr/>
      </w:pPr>
      <w:bookmarkStart w:id="211" w:name="__RefHeading___Toc681045_1395250215"/>
      <w:bookmarkStart w:id="212" w:name="_Toc82"/>
      <w:bookmarkEnd w:id="211"/>
      <w:r>
        <w:rPr>
          <w:rtl w:val="true"/>
        </w:rPr>
        <w:t>شهود، یکی از روش‌های علم‌آموزیِ ائمه علیهم السلام</w:t>
      </w:r>
      <w:bookmarkEnd w:id="212"/>
    </w:p>
    <w:p>
      <w:pPr>
        <w:pStyle w:val="Heading3"/>
        <w:numPr>
          <w:ilvl w:val="2"/>
          <w:numId w:val="1"/>
        </w:numPr>
        <w:rPr/>
      </w:pPr>
      <w:bookmarkStart w:id="213" w:name="__RefHeading___Toc681047_1395250215"/>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سیدعلی هاشمی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1392/12/10</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1393/01/26</w:t>
      </w:r>
    </w:p>
    <w:p>
      <w:pPr>
        <w:pStyle w:val="Heading3"/>
        <w:numPr>
          <w:ilvl w:val="2"/>
          <w:numId w:val="1"/>
        </w:numPr>
        <w:rPr/>
      </w:pPr>
      <w:bookmarkStart w:id="215" w:name="__RefHeading___Toc681049_1395250215"/>
      <w:bookmarkStart w:id="216" w:name="_Toc84"/>
      <w:bookmarkEnd w:id="215"/>
      <w:r>
        <w:rPr>
          <w:rtl w:val="true"/>
        </w:rPr>
        <w:t>چکیده</w:t>
      </w:r>
      <w:bookmarkEnd w:id="216"/>
    </w:p>
    <w:p>
      <w:pPr>
        <w:pStyle w:val="BookText"/>
        <w:rPr/>
      </w:pPr>
      <w:r>
        <w:rPr>
          <w:rFonts w:ascii="IRNazanin" w:hAnsi="IRNazanin" w:eastAsia="IRNazanin"/>
          <w:color w:val="111111"/>
          <w:sz w:val="28"/>
          <w:sz w:val="28"/>
          <w:szCs w:val="28"/>
          <w:rtl w:val="true"/>
          <w:lang w:bidi="fa-IR"/>
        </w:rPr>
        <w:t>علوم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شیوه‌های گوناگونی در دست‌رس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شیوه‌ها، شهود برخی حقایق پنهان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کرده است به شیوه توصیفی ـ تحلیلی به گردآوری و تحلیل روایاتی بپردازد که به این شیوه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اصلی، هدف این نوشتار است که آیا شواهد روایی، وجود این شیوه علم‌آموزی را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و آیا می‌توان مصادیقی از علم شهودی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روایات شناسایی کرد؟ خبردار شدن از ایمان و کفر افراد به هنگام دیدن آنان، مشاهده اعمال مردم در عمودِ نورانی و دیدن ملکوت آسمان‌ها و زمین، مهم‌ترین محورهایی است که در این موضوع، از روایات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موجود در این روایات، این‌گونه برداشت می‌شود که این علوم از طریق شهود در اختیار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می‌گرفته است</w:t>
      </w:r>
      <w:r>
        <w:rPr>
          <w:rFonts w:eastAsia="IRNazanin" w:cs="IRNazanin"/>
          <w:color w:val="111111"/>
          <w:sz w:val="28"/>
          <w:szCs w:val="28"/>
          <w:rtl w:val="true"/>
          <w:lang w:bidi="fa-IR"/>
        </w:rPr>
        <w:t>.</w:t>
      </w:r>
    </w:p>
    <w:p>
      <w:pPr>
        <w:pStyle w:val="Heading3"/>
        <w:numPr>
          <w:ilvl w:val="2"/>
          <w:numId w:val="1"/>
        </w:numPr>
        <w:rPr/>
      </w:pPr>
      <w:bookmarkStart w:id="217" w:name="__RefHeading___Toc681051_1395250215"/>
      <w:bookmarkStart w:id="218" w:name="_Toc85"/>
      <w:bookmarkEnd w:id="217"/>
      <w:r>
        <w:rPr>
          <w:rtl w:val="true"/>
        </w:rPr>
        <w:t>واژگان کلیدی</w:t>
      </w:r>
      <w:bookmarkEnd w:id="2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عمود نورانی، ملکوت، عرضه اعمال، علم به باطن</w:t>
      </w:r>
      <w:r>
        <w:rPr>
          <w:rFonts w:eastAsia="IRNazanin" w:cs="IRNazanin"/>
          <w:color w:val="111111"/>
          <w:sz w:val="28"/>
          <w:szCs w:val="28"/>
          <w:rtl w:val="true"/>
          <w:lang w:bidi="fa-IR"/>
        </w:rPr>
        <w:t>.</w:t>
      </w:r>
      <w:bookmarkStart w:id="219" w:name="pg2653_32452"/>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220" w:name="__RefHeading___Toc681053_1395250215"/>
      <w:bookmarkStart w:id="221" w:name="_Toc86"/>
      <w:bookmarkEnd w:id="220"/>
      <w:r>
        <w:rPr>
          <w:rtl w:val="true"/>
        </w:rPr>
        <w:t>مقدمه</w:t>
      </w:r>
      <w:bookmarkEnd w:id="221"/>
    </w:p>
    <w:p>
      <w:pPr>
        <w:pStyle w:val="BookText"/>
        <w:rPr/>
      </w:pPr>
      <w:r>
        <w:rPr>
          <w:rFonts w:ascii="IRNazanin" w:hAnsi="IRNazanin" w:eastAsia="IRNazanin"/>
          <w:color w:val="111111"/>
          <w:sz w:val="28"/>
          <w:sz w:val="28"/>
          <w:szCs w:val="28"/>
          <w:rtl w:val="true"/>
          <w:lang w:bidi="fa-IR"/>
        </w:rPr>
        <w:t>شهود و شهادت، در مقابل غیبت، حضور و دیدن را می‌رساند؛ البته دیدن گاهی حسی است و گاهی نوعی مشاهده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مورد مشاهدات قلبی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شهود، خاص‌تر از علم است، زیرا علم به شیوه‌های گوناگون به دست می‌آید که گاهی بدون مشاهده معلوم است؛ مانند علم به رخ دادن حادثه‌ای از طریق خبرهای دیگران؛ در حالی که در شهادت و شهود، مشاهده مستقیم، موجب علم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حواس ما در قلمرو امور حسی و آن هم در محدوده خاصی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واقعیت‌های جهان از دایره حواس ما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معنوی مانند باورهای اعتقادی و نیت‌های افراد، از این سنخ امورند که با حواس عادی قابل مشاهده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شهود در این نوشتار آن است که افرادی بتوانند فراتر از قلمرو حواس، حقایقی از جهان را با قلب خود مشاهده کنند که دیگران قادر به دیدن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مشاهده همان چیزی است که در مباحث عرفانی از آن به شهود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فناری،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قیصری،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تلمسانی،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معلوم به گونه‌ای نزد فرد حاضر می‌شود که از جهت روشنی با مشاهده حسی قابل مقایسه است و مانند خبردار شدن، استنباط کردن، به دل افتادن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هرچند در آن مانند مشاهده حسی، از حواس ظاهری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بر روایات ـ چنان‌که در ادامه خواهد آمد ـ نشان می‌دهد که می‌توان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چنین شهودی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شیوه، یکی از شیوه‌های علم‌آموزیِ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تنها شیوه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ایشان به شیوه‌های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از حجت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بهره‌مندی از میراث مکتوب ویژه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 از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قرار می‌گیرد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اشتراک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عرفا در بهره‌مندی از این شیوه ـ در صورت اثبات این شیوه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آن نیست که شهود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شهود عرفا در تمام ویژگی‌ها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پذیرفته‌ایم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و گرفتار خطا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آنان تأییداتی خاص دارند که دیگران از آن بی‌بهره اند؛ بنابراین شهود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ویژگی‌ها مانند معصومانه بودن، با شهود عرفا متفاوت است؛ همچنین مصادیق شهود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قوی‌تر و روشن‌تر از شهود عرفاست و نسبت به برخی حقایق، مانند امور ویژه مقام امامت یا نیازمند تأییدات خاص، عرفا توان شهود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تفاوت‌های روشنی بین شهود عرفا و شهود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با وجود این‌گونه تمایزها به نظر می‌رسد می‌توان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گروه، یعنی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 استفاده کرد، زیرا گفتیم که مقصود از شهود، دیدن حقایقی از جهان با غیر دیدگان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شیوه در هر دو گروه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تفاوت در برخی ویژگی‌ها یا مراتب، موجب نادرست شمردن استفاده از این تعبیر درباره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روایات مرتبط به این موضوع می‌پردازیم تا روشن شود که آیا می‌توان بنابر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علوم شهودی به معنای یادشده دانست یا خیر؟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عرفانی به تفصیل، به تحلیل کشف و شهود عرفانی پرداخته‌اند، اما این بحث درباره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مورد توجه بوده و نیازمند بررسی‌های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بودن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استفاده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امامیه نیز تصریح کرده‌اند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اعمال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این پرسش پاسخ نداده‌اند که مقصود از شاهد بودن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دانش شهودی است یا خیر؟ برخی نیز معانی دیگری غیر از معنای یادشده شهود را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مکارم‌شیرازی،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نویسنده، کتاب یا مقاله‌ای مستقل در مورد موضوع این مقاله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ضمن بررسی‌های دلالی، به سندهای روایات نقل‌شده نیز توجه کرده‌ایم تا در مجموع روشن شود که روایات این موضوع تا چه اندازه به لحاظ سندی قابل اعتماد است؛ به همین جهت در صورتی که روایت معتبر بوده است، به آن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ضعیف بودن سند، ضرورتاً به معنای نادرستی و ساختگی بودن یک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عوامل مختلفی دارد که یکی از آن‌ها، ساختگی بودن روایت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 روایات ضعیف، اگر شواهدی بر درستیِ آن‌ها وجود داشته باشد و این قرائن، انسان را به اطمینان برساند، می‌تواند مورد پذیرش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سندیِ این مقاله، به داوری‌های کارشناسان رجالی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با توجه به دیدگاه‌های رجالی آیت الله شبیری زنجانی تهیه شده است</w:t>
      </w:r>
      <w:r>
        <w:rPr>
          <w:rFonts w:eastAsia="IRNazanin" w:cs="IRNazanin"/>
          <w:color w:val="111111"/>
          <w:sz w:val="28"/>
          <w:szCs w:val="28"/>
          <w:rtl w:val="true"/>
          <w:lang w:bidi="fa-IR"/>
        </w:rPr>
        <w:t>.</w:t>
      </w:r>
      <w:bookmarkStart w:id="222" w:name="pg2653_32454"/>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روایات بحث شهود، عمدتاً در سه محور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حوادث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ما بر حسب این سه قلمرو، به نقل و بررسی آن‌ها می‌پردازیم</w:t>
      </w:r>
      <w:r>
        <w:rPr>
          <w:rFonts w:eastAsia="IRNazanin" w:cs="IRNazanin"/>
          <w:color w:val="111111"/>
          <w:sz w:val="28"/>
          <w:szCs w:val="28"/>
          <w:rtl w:val="true"/>
          <w:lang w:bidi="fa-IR"/>
        </w:rPr>
        <w:t>.</w:t>
      </w:r>
    </w:p>
    <w:p>
      <w:pPr>
        <w:pStyle w:val="Heading3"/>
        <w:numPr>
          <w:ilvl w:val="2"/>
          <w:numId w:val="1"/>
        </w:numPr>
        <w:rPr/>
      </w:pPr>
      <w:bookmarkStart w:id="223" w:name="__RefHeading___Toc681055_1395250215"/>
      <w:bookmarkStart w:id="224" w:name="_Toc87"/>
      <w:bookmarkEnd w:id="223"/>
      <w:r>
        <w:rPr/>
        <w:t>1</w:t>
      </w:r>
      <w:r>
        <w:rPr>
          <w:rtl w:val="true"/>
        </w:rPr>
        <w:t xml:space="preserve">. </w:t>
      </w:r>
      <w:r>
        <w:rPr>
          <w:rtl w:val="true"/>
        </w:rPr>
        <w:t>شهود باورها</w:t>
      </w:r>
      <w:bookmarkEnd w:id="224"/>
    </w:p>
    <w:p>
      <w:pPr>
        <w:pStyle w:val="BookText"/>
        <w:rPr/>
      </w:pPr>
      <w:r>
        <w:rPr>
          <w:rFonts w:ascii="IRNazanin" w:hAnsi="IRNazanin" w:eastAsia="IRNazanin"/>
          <w:color w:val="111111"/>
          <w:sz w:val="28"/>
          <w:sz w:val="28"/>
          <w:szCs w:val="28"/>
          <w:rtl w:val="true"/>
          <w:lang w:bidi="fa-IR"/>
        </w:rPr>
        <w:t>مقصود از شهود باورها، شهود ایمان و کفر و حالات معنوی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حالات معنوی افراد مانند ایمان و کفر، امری مادی نیست که در ظاهر آنان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دلالت دارند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 و افکار مردم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می‌تواند از طریق شهود، الهام، خبر دادن فرشتگان یا دیگر شیوه‌ها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راه‌های دیگر وظیفه این مقاله نیست؛ به همین دلیل در این بحث به روایاتی اشاره می‌کنیم که بر شهود این‌گونه امور، دلالت روشنی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از شواهدی است که بر شهود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فراست و زیرکی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ضمن معرفیِ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متوسمین، از دیدن ایمان، نفاق یا کفر افراد به عنوان مصداقی از توسم آنان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تعابیر این روایات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ملاقات با افراد، از طریق نوعی مشاهده، از ایمان یا کفر آنان آگاه می‌شوند، نه از طریق آزمودن و استنباط از حالات و رفتار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بیان نشده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مصداق متوسمین هستند یا افراد دیگری نیز می‌توانند به این مقام برسند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متوسمان بود و پس از ایشان، خود آن حضرت و امامان پس از ایشان،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آن حضرت، شناخت ایمان یا کفر و خوبی یا بدیِ افراد را از مواردی دانستند که در چهره افراد مشاهده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مصداق متوسمان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زیرک و دارای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در برخی از این روایات توضیح داده شده است که آنان هنگام دیدن افراد، وضعیت ایمان، کفر یا دیگر حالت معنوی آنان را در چهره ایشان مشاهده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منبع، بیش از دَه روایت از این دو امام در این موضوع نقل شده که در تعدادی از آن‌ها بر مشاهده حالات باطنیِ افراد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با سند صحیح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وقتی فردی را می‌بینیم، حقیقتِ ایمان یا نفاقش را می‌شناسیم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بلکه صریح این روایات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روبه‌رو شدن با افراد، ایمان یا کفر و برخی حالات آنان را در چهره ایشان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این روایات با خبردار شدن از ایمان افراد هماهنگ نیست، بلکه از نوعی مشاهده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بدون بیان آیه یاد شده، این نکته تأکید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لَنَعْرِفُ الرَّجُلَ إِذَا رَأَیْنَاهُ بِحَقِیقَةِ الإِیمَانِ وَ حَقِیقَةِ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حقیقتِ ایمان یا نفاق افراد را زمانی که می‌بینیم،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حقیقتِ ایمان یا نفاق هر کس را می‌شناسیم، زمانی که او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ما وارد می‌شوید و ما خوبانتان را از بدانتان می‌شناسیم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نیز این محتوا را تأیید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آمده است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اصحابش درباره وضعیت اعتقادی و معنوی فردی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تعریف و تمجید از آن فرد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را خوب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 لحظه دیدنِ شخص اکتفا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یک لحظه، کاملاً وضعیت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 آن فرد را از خبیث‌ترین افراد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سایر اصحاب بعدها با مشاهده کارهای آن فرد، صحت سخن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طور واضح مشاهده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شناخت‌ها نیز گویا به همان شناخت شهودی مربوط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یادشده بیشتر به بیان اصل مسئله شهود باورها و حالات روحی و معنوی افراد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به تحلیل چگونگی این مطلب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علم به ایمان و کفر افراد، چنان‌که می‌تواند از شهود باطن افراد حاصل شده باشد، ممکن است در نتیجه حدس دقیق و قوی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حالات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قرینه روایات پیشین و برخی دیگر از روایات به نظر می‌رسد، مقصود این روایات همان شهود است؛ مثلاً در یکی از این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مخلوقی نیست، مگر آن‌که بین دو چشم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شما پنهان است، اما از امامان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بر آنان داخل نمی‌شود، مگر آن‌که او را می‌شناسند که مؤمن یا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 آن است که در هنگام دیدنِ افراد،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آنان چیزی را می‌بینند که دیگران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همان شهودی است که از</w:t>
      </w:r>
    </w:p>
    <w:p>
      <w:pPr>
        <w:pStyle w:val="BookText"/>
        <w:rPr/>
      </w:pPr>
      <w:r>
        <w:rPr>
          <w:rFonts w:ascii="IRNazanin" w:hAnsi="IRNazanin" w:eastAsia="IRNazanin"/>
          <w:color w:val="111111"/>
          <w:sz w:val="28"/>
          <w:sz w:val="28"/>
          <w:szCs w:val="28"/>
          <w:rtl w:val="true"/>
          <w:lang w:bidi="fa-IR"/>
        </w:rPr>
        <w:t xml:space="preserve">آن سخن گفتیم؛ البته به نظر می‌رسد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بر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تشبیه معقول به</w:t>
      </w:r>
    </w:p>
    <w:p>
      <w:pPr>
        <w:pStyle w:val="BookText"/>
        <w:rPr/>
      </w:pPr>
      <w:r>
        <w:rPr>
          <w:rFonts w:ascii="IRNazanin" w:hAnsi="IRNazanin" w:eastAsia="IRNazanin"/>
          <w:color w:val="111111"/>
          <w:sz w:val="28"/>
          <w:sz w:val="28"/>
          <w:szCs w:val="28"/>
          <w:rtl w:val="true"/>
          <w:lang w:bidi="fa-IR"/>
        </w:rPr>
        <w:t>محسوس است که نشان می‌دهد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دیدن حسی افراد، ایمان یا کفر آنان را شهود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با سند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کردند که ایشان دوستان و دشمنان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برخاست و ادعا کرد آن حضرت را در پیدا و پنهان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نام تو در میان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چهره تو در میان چهره‌ها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سرشت تو از غیر آن سرشت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با ولایتِ شما می‌پرستم و شما را در پنهان همان‌گونه دوست می‌دارم که در پیدا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تو از آن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ما از تو میثاق گرفته شده و روحِ تو از ارواح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تعابیر</w:t>
      </w:r>
    </w:p>
    <w:p>
      <w:pPr>
        <w:pStyle w:val="BookText"/>
        <w:rPr/>
      </w:pPr>
      <w:r>
        <w:rPr>
          <w:rFonts w:ascii="IRNazanin" w:hAnsi="IRNazanin" w:eastAsia="IRNazanin"/>
          <w:color w:val="111111"/>
          <w:sz w:val="28"/>
          <w:sz w:val="28"/>
          <w:szCs w:val="28"/>
          <w:rtl w:val="true"/>
          <w:lang w:bidi="fa-IR"/>
        </w:rPr>
        <w:t>این روایت نیز نشان می‌دهد، ایشان در همان لحظه روح و سرشت آن افراد را مشاهده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ابوبصیر نقل شده است که هنگام مشاهده حاجیانِ بیت‌الله الحرام، به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حاجیان و ناله‌کنندگان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أکثر الضجیج و أقلّ الحجیج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چقدر ناله‌کنندگان زیادند و حاجیان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در مقابل تعجب ابوبصیر، بر دیدگان او دست کشید و او اکثر آن جمیعت را به شکل حیواناتی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ابن‌عبدالوهاب،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روایت با سند موثق از ابوبصیر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نقل شده است که به نظر می‌رسد، رخدادی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قطب‌الدین 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این محتوا از عبدالرحمن بن کثیر از آن حضرت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چشمانی داریم که شبیه چشمان مردم نیست و در آن نوری است که شیطان نصیبی از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این‌گونه روایات، برداشت یاد‌شده را تقویت می‌کنند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حقایقی را مشاهده می‌کنند که دیگران قادر به مشاهده آن نیستند</w:t>
      </w:r>
      <w:r>
        <w:rPr>
          <w:rFonts w:eastAsia="IRNazanin" w:cs="IRNazanin"/>
          <w:color w:val="111111"/>
          <w:sz w:val="28"/>
          <w:szCs w:val="28"/>
          <w:rtl w:val="true"/>
          <w:lang w:bidi="fa-IR"/>
        </w:rPr>
        <w:t>.</w:t>
      </w:r>
      <w:bookmarkStart w:id="225" w:name="pg2653_32457"/>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226" w:name="__RefHeading___Toc681057_1395250215"/>
      <w:bookmarkStart w:id="227" w:name="_Toc88"/>
      <w:bookmarkEnd w:id="226"/>
      <w:r>
        <w:rPr/>
        <w:t>2</w:t>
      </w:r>
      <w:r>
        <w:rPr>
          <w:rtl w:val="true"/>
        </w:rPr>
        <w:t xml:space="preserve">. </w:t>
      </w:r>
      <w:r>
        <w:rPr>
          <w:rtl w:val="true"/>
        </w:rPr>
        <w:t>شهود اعمال</w:t>
      </w:r>
      <w:bookmarkEnd w:id="227"/>
    </w:p>
    <w:p>
      <w:pPr>
        <w:pStyle w:val="Heading4"/>
        <w:numPr>
          <w:ilvl w:val="3"/>
          <w:numId w:val="1"/>
        </w:numPr>
        <w:rPr/>
      </w:pPr>
      <w:bookmarkStart w:id="228" w:name="__RefHeading___Toc681059_1395250215"/>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از روایات هم‌چنین می‌توان دریافت که اعمال مردم بر امام عرضه می‌شود و چنان‌که در ادامه توضیح داده خواهد شد، این عرضه به صورت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با سند صحیح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اصحابشان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من برای شما موجبِ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می‌گویید و ما با شما سخن می‌گوییم و مرگم نیز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بر من عرضه می‌شود؛ اگر کار نیک و زیبایی دیدم، خدا را بر آن ستایش می‌کنم و اگر غیر آن دیدم، برایتان از خداوند طلب بخشایش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این مجموعه نقل شده است که فردی پس از این سخن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اعمال ما بر شما عرضه می‌شود، در حالی که بدن شما پوسیده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گوشت ما را بر زمین حرام کرده است؛ پس چیزی از آن را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عرضه اعمال به آن حضرت در عالم برزخ خبر می‌دهد، اما درباره چگونگی این عرضه سخنی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 عرضه اعمال بندگان خداوند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سند موثق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روایات با سند صحیح، 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روز عرضه اعمال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دیگر، از عرضه اعمال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برخی از این روایات،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می‌توان این‌گونه جمع کرد که گویا عرضه اعمال در زمان‌های مختلف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کار،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نحو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نحو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پنج‌شنبه هر هفته انجام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این روایات، عرضه اعمال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شده و بیان شده است که خداوند شاهدانی در میان بندگانش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روایات با سند صحیح و موثق کم نیست؛ افزون بر آن‌که تعداد زیاد روایاتِ دلالت‌کننده بر این مطلب،</w:t>
      </w:r>
      <w:bookmarkStart w:id="230" w:name="pg2653_32458"/>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اطمینان‌بخش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کریمه، مشاهده عادی نیست، بلکه با توجه به شواهدی از جمله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شهود اعمال انسان‌ها توسط خداوند، پیامبرش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مکارم‌شیرازی،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تطبیق عرضه اعمال در آن روایات بر این آیه کریمه می‌توان دریافت که عرضه به شیوه شهودی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مؤید این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با صراحت بیشتری از شهود اعمال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اصحاب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کاری ناپسند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درون خانه بر او نهیب زده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دیوارها، هم‌چنان که مانع دید شما می‌شوند، مانع دید ما شوند، ما و شما برابر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روایات قبل، این روایت در مقام بیان عرضه اعمال نیست، بلکه ظهور روشن‌تری در شهود اعمال دارد و چنین دانشی از لوازم مقام امامت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با سند صحیح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پشت سرم می‌بینم، همان‌گونه که در مقابلم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دیگر با سند صحیح از آن حضرت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حالی که در خواب هستم می‌بینم، همان‌گونه که در بیداری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روایت، این جمله نیز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می‌خوابد، اما قلبم نمی‌خوابد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نیز مؤید آن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ابزارهای شهودی مجهزند که دیگران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حالت خواب، از مشاهده امور و اعمال غافل نیستند</w:t>
      </w:r>
      <w:r>
        <w:rPr>
          <w:rFonts w:eastAsia="IRNazanin" w:cs="IRNazanin"/>
          <w:color w:val="111111"/>
          <w:sz w:val="28"/>
          <w:szCs w:val="28"/>
          <w:rtl w:val="true"/>
          <w:lang w:bidi="fa-IR"/>
        </w:rPr>
        <w:t>.</w:t>
      </w:r>
    </w:p>
    <w:p>
      <w:pPr>
        <w:pStyle w:val="Heading4"/>
        <w:numPr>
          <w:ilvl w:val="3"/>
          <w:numId w:val="1"/>
        </w:numPr>
        <w:rPr/>
      </w:pPr>
      <w:bookmarkStart w:id="231" w:name="__RefHeading___Toc681061_1395250215"/>
      <w:bookmarkStart w:id="232" w:name="_Toc90"/>
      <w:bookmarkEnd w:id="231"/>
      <w:r>
        <w:rPr>
          <w:rtl w:val="true"/>
        </w:rPr>
        <w:t>عمودِ نورانی و عرضه اعمال</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و مستفیضی از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 که به نظر می‌رسد، عرضه اعمال به امامان از طریق 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روایات از این دو امام، به بیش از سی روایت می‌رسد که با وجود تفاوت‌هایی در محتوا، از عمودی از نور گزارش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سند صحیح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می‌شنود، در حالی که جنینی در شکم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خداوند برای او در هر شهری مناری بلند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مخلوقات می‌نگرد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w:t>
      </w:r>
      <w:bookmarkStart w:id="233" w:name="pg2653_32459"/>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برخی دیگر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اشاراتی به این عمود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عمود نور را وسیله‌ای بین خداوند و بین امام معرفی کرده است که در آن اعمال بندگان را می‌بیند و امام به هر دانشی نیاز داشته باشد، از طریق آن دریافت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روایاتِ دارای سند‌های صحیح در این مجموعه و مستفیض بودن مجموع روایاتِ این موضوع، در اصل وجود عمود یا مناری از نور که امام از طریق آن، برخی علوم ویژه را دریافت می‌کند، جای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درباره زمانِ استفاده امام از این عمود نور در روایات یاد‌شده مشاهده می‌شود که به نظر می‌رسد به مراتب یا مراحل عرضه عمود برای امام اشاره داد که از دوران جنینیِ امام شروع شده و تا به عهده گرفتنِ مسئولیت امامت تکمیل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یاد‌شده می‌توان دریافت که مهم‌ترین کارکرد این عمود، عرضه اعمال مردم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روایات یاد‌شده، این احتمال را تقویت می‌کنند که علوم دیگری نیز از این طریق در اختیار امام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4"/>
        <w:numPr>
          <w:ilvl w:val="3"/>
          <w:numId w:val="1"/>
        </w:numPr>
        <w:rPr/>
      </w:pPr>
      <w:bookmarkStart w:id="234" w:name="__RefHeading___Toc681063_1395250215"/>
      <w:bookmarkStart w:id="235" w:name="_Toc91"/>
      <w:bookmarkEnd w:id="234"/>
      <w:r>
        <w:rPr>
          <w:rtl w:val="true"/>
        </w:rPr>
        <w:t>چیستیِ عمود نورانی</w:t>
      </w:r>
      <w:bookmarkEnd w:id="235"/>
    </w:p>
    <w:p>
      <w:pPr>
        <w:pStyle w:val="BookText"/>
        <w:rPr/>
      </w:pPr>
      <w:r>
        <w:rPr>
          <w:rFonts w:ascii="IRNazanin" w:hAnsi="IRNazanin" w:eastAsia="IRNazanin"/>
          <w:color w:val="111111"/>
          <w:sz w:val="28"/>
          <w:sz w:val="28"/>
          <w:szCs w:val="28"/>
          <w:rtl w:val="true"/>
          <w:lang w:bidi="fa-IR"/>
        </w:rPr>
        <w:t>در روایتی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عمودِ نور را از تمام مخلوقاتش غیر از امام، پنهان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حقیقتی می‌تواند حقیقتی مادی، مانند برخی امواج نور یا صوت باشد که برای افراد عادی قابل مشاهده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عمودِ نور، حقیقتی غیرمادی است که تنها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دیدگاه با شواهد یادشده در بحث عرضه اعمال، هماهنگ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 در اکثر روایات مربوط به عمود نور، این تعبیر تکرار شده است که امام در آن عمود، اعمال بندگان خدا یا مطالب دیگر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اکثریت این روایات آمده است که تأکید بر آن است که علم به اعمال از طریق مشاهده است، نه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برداشت تقویت می‌شود که شیوه عرضه اعمال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عمودِ نورانی، دیدن است؛ با وجود این، هنوز برخی جزئیات این موضوع، مانند علت تشبیه به عمودِ نورانی روشن نیست</w:t>
      </w:r>
      <w:r>
        <w:rPr>
          <w:rFonts w:eastAsia="IRNazanin" w:cs="IRNazanin"/>
          <w:color w:val="111111"/>
          <w:sz w:val="28"/>
          <w:szCs w:val="28"/>
          <w:rtl w:val="true"/>
          <w:lang w:bidi="fa-IR"/>
        </w:rPr>
        <w:t>.</w:t>
      </w:r>
      <w:bookmarkStart w:id="236" w:name="pg2653_32460"/>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237" w:name="__RefHeading___Toc681065_1395250215"/>
      <w:bookmarkStart w:id="238" w:name="_Toc92"/>
      <w:bookmarkEnd w:id="237"/>
      <w:r>
        <w:rPr/>
        <w:t>3</w:t>
      </w:r>
      <w:r>
        <w:rPr>
          <w:rtl w:val="true"/>
        </w:rPr>
        <w:t xml:space="preserve">. </w:t>
      </w:r>
      <w:r>
        <w:rPr>
          <w:rtl w:val="true"/>
        </w:rPr>
        <w:t>شهود سایر حقایق</w:t>
      </w:r>
      <w:bookmarkEnd w:id="238"/>
    </w:p>
    <w:p>
      <w:pPr>
        <w:pStyle w:val="BookText"/>
        <w:rPr/>
      </w:pPr>
      <w:r>
        <w:rPr>
          <w:rFonts w:ascii="IRNazanin" w:hAnsi="IRNazanin" w:eastAsia="IRNazanin"/>
          <w:color w:val="111111"/>
          <w:sz w:val="28"/>
          <w:sz w:val="28"/>
          <w:szCs w:val="28"/>
          <w:rtl w:val="true"/>
          <w:lang w:bidi="fa-IR"/>
        </w:rPr>
        <w:t>افزون بر شهود باورها و اعمال، روایاتی از شهودِ امور مختلفی مانند بیماری یا سلامتی افراد، حوادث برزخ و قیامت و دیگر حقایق پنهان جهان توسط امام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خدمت ایشان رسید، در حالی که رنگ چهره‌اش از بیماری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علت زردیِ چهره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بیماری خود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ما از شادی شما، شاد و از غم شما، اندوهگین و از بیماری‌تان، بیمار می‌شویم و برایتان دعا می‌کنیم؛ پس شما دعا می‌کنید و ما آمین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چه می‌گویید، اما چگونه ما دعا می‌کنیم و شما آمین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حاضر و غایب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واقع پاسخِ این استبعاد راوی بوده است که چگونه آن حضرت، در حالی که در همه‌جا حضور ندارد، از دعای شیعیانش آگاه است و آمین می‌گوید و پاسخ امام، بیان‌گرِ این واقعیت مهم است که آن حضرت از احوال شیعیان خود در مناطق مختلف آگاه بوده، برای آنان دعا می‌کند و دعای آنان را آمین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این‌گونه از طریق حواس عادی،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حاضر و غایب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آن دارد که آنان به امور پنهان از حواس عادی، همچون امور قابل مشاهده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ابتداییِ امام گویا به جهت ایجاد انس و زمینه‌چینی برای بیان آن مطالب بوده است؛ مانند سؤال خداوند متعال از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وادی مقدس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مشابه مطلب فوق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یکی از اصحابش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که مریض شود، مگر آن‌که ما به بیماریِ او بیمار می‌شویم و محزون نمی‌شود، مگر آن‌که به اندوه او، اندوهناک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نمی‌کند، مگر آن‌که دعای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نمی‌شود، مگر آن‌که برای او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 شما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برای کسانی است که همراه شما در دار‌الاماره هستند؟ درباره کسانی که در اطراف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در شرق زمین و غیر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پنهان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تعابیر به خوبی از مشاهده حقایقی فراتر از دید عادی انسان‌ها توسط آن حضرت حکایت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فرازی ابتدای نزول وحی بر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گزارش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وحی و رسالت را می‌دیدم و عطر پیامبری را استشمام می‌کردم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به درستی که ناله شیطان را هنگامی که وحی بر ایشان نازل شد،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پرستش خویش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من می‌شنوم، می‌شنوی و آنچه من می‌بینم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میان من و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تو پیامبر نیستی، بلکه وزیر هستی و بر راه خیر قرار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خ</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آمده است که آن حضرت، در وادی‌السلام ساعاتی طولانی با اموات گفت وگو کرده و به راوی خبر دادند که اگر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می‌شد، می‌دیدی که آنان با محبت، حلقه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این‌گونه روایات نشان می‌دهد آن حضرت حقایقی را می‌دیدند که دیگران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بیان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آسمان‌ها و زمین به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نشان داده شده است، نیز می‌تواند در این مجموعه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با سند صحیح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چیز به من داده شده است که قبل از من به کسی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برای من گشوده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راه‌های آسمان، یا راه‌های رسیدن به علوم الهی و حقایق پنهان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مرگ‌ها و بلاها و نَسَب‌ها و فصل خطاب آگاه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ملکوت به اذن پروردگارم نظر کردم؛ پس هیچ چیز از گذشته و آینده برایم مخفی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 این روایات پیداست که مشاهده ملکوت آسمان‌ها و زمین، به معنای مشاهده حقایقی بزرگ و الهی بوده است که از دید دیگران پنهان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 از زمین پرده برداشته شد تا زمین و ساکنانِ آن را دید و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ساکنانش، فرشتگانی که آسمان را حمل می‌کنند و عرش و ساکنان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به صاحب شما نشان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با سند صحیح از آن حضرت، مشابه همین مطالب بیان شده و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ملکوت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مستفیض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از مشاهده ملکوتِ آسمان‌ها و زمین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که سند برخی صحیح است، نیز چگونگی مشاهده ملکوت آسمان‌ها و زمین برای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برداشته شدن پرده از برابر دیدگان او تشبیه شده و تصریح شده است که این</w:t>
      </w:r>
      <w:bookmarkStart w:id="239" w:name="pg2653_32462"/>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اتفاق به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اختصاص نداشته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 این مشاهده، دیدن اموری را شامل می‌شود که از سنخ امور مادی نیستند، اما در جهان وجود</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روایات به بیان موارد دیگری از شهود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با سند موثق،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ضمن خبر دادن از زمان مرگ یکی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به تو و رفیقت می‌نگرم که در بهشت در درجه یکسانی قرار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تو و رفیقت 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نوعی مشاهده از سوی ایشان درباره حقایق پنهان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هم‌چنین نشان می‌دهند که علوم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مادیِ ما محدود نیست، بلکه حقایق جهان آخرت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شواهد مؤید آن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شهود، به برخی حقایق جهان آگاه می‌شوند</w:t>
      </w:r>
      <w:r>
        <w:rPr>
          <w:rFonts w:eastAsia="IRNazanin" w:cs="IRNazanin"/>
          <w:color w:val="111111"/>
          <w:sz w:val="28"/>
          <w:szCs w:val="28"/>
          <w:rtl w:val="true"/>
          <w:lang w:bidi="fa-IR"/>
        </w:rPr>
        <w:t>.</w:t>
      </w:r>
    </w:p>
    <w:p>
      <w:pPr>
        <w:pStyle w:val="Heading3"/>
        <w:numPr>
          <w:ilvl w:val="2"/>
          <w:numId w:val="1"/>
        </w:numPr>
        <w:rPr/>
      </w:pPr>
      <w:bookmarkStart w:id="240" w:name="__RefHeading___Toc681067_1395250215"/>
      <w:bookmarkStart w:id="241" w:name="_Toc93"/>
      <w:bookmarkEnd w:id="240"/>
      <w:r>
        <w:rPr>
          <w:rtl w:val="true"/>
        </w:rPr>
        <w:t>نتیجه‌گیری</w:t>
      </w:r>
      <w:bookmarkEnd w:id="241"/>
    </w:p>
    <w:p>
      <w:pPr>
        <w:pStyle w:val="BookText"/>
        <w:rPr/>
      </w:pPr>
      <w:r>
        <w:rPr>
          <w:rFonts w:ascii="IRNazanin" w:hAnsi="IRNazanin" w:eastAsia="IRNazanin"/>
          <w:color w:val="111111"/>
          <w:sz w:val="28"/>
          <w:sz w:val="28"/>
          <w:szCs w:val="28"/>
          <w:rtl w:val="true"/>
          <w:lang w:bidi="fa-IR"/>
        </w:rPr>
        <w:t>مهم‌ترین نتایج این بحث را می‌توان این‌گونه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یا همان دیدن حقایق غیر‌مادی توسط قلب، یکی از شیوه‌هایی است که برخی علوم بدان روش در اختیار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بر روایاتِ نقل‌شده نشان می‌دهد اموری مانند باورها، اعمال و سایر حقایق جهان، مانند ملکوت آسمان‌ها و زمین، حوادث برزخ و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علوم شهودی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برخی از این روایات به تنهایی به جهت ضعف سندی اطمینان‌آور نیستند، مجموعه روایات یک‌دیگر را تأیید کرده و در هر یک از سه موضوع محوری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باورها، شهود اعمال و شهود سایر حقایق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و قابل توجهی نیز وجود دارد که تردیدِ یاد‌شده را برطرف می‌کند</w:t>
      </w:r>
      <w:r>
        <w:rPr>
          <w:rFonts w:eastAsia="IRNazanin" w:cs="IRNazanin"/>
          <w:color w:val="111111"/>
          <w:sz w:val="28"/>
          <w:szCs w:val="28"/>
          <w:rtl w:val="true"/>
          <w:lang w:bidi="fa-IR"/>
        </w:rPr>
        <w:t>.</w:t>
      </w:r>
      <w:bookmarkStart w:id="242" w:name="pg2653_32463"/>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243" w:name="__RefHeading___Toc681069_1395250215"/>
      <w:bookmarkStart w:id="244" w:name="_Toc94"/>
      <w:bookmarkEnd w:id="243"/>
      <w:r>
        <w:rPr>
          <w:rtl w:val="true"/>
        </w:rPr>
        <w:t>منابع</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علامه،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ابن‌عبد‌الوهاب، حسین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المعجزات، قم، مکتبة الداوری،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ابن‌عربی، محیی‌الدین،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تلمسانی، عفیف‌الدین سلیمان،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منازل السائرین، قم، بیدار،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لبنان ـ سوریه، دارالعلم ـ الدار‌الشامیة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هجرت،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إعتقادات الإمامیة،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جامعه مدرسین،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جهان،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قم، دفتر انتشارات اسلامی وابسته به جامعه مدرسین حوزه علمیه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قم، دفتر انتشارات اسلامی وابسته به جامعه مدرسین حوزه علمیه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آل‌محمّد صلّی‌الله علیهم، قم، مکتبة آیة‌الله‌المرعشی النجفی،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سیدمحمدکاظم،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فهم دین،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دارالثقافة،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عبدالله،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فی اللغة، بیروت، دارالآفاق الجدیدة،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فناری، محمد بن حمزه،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مولی،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راوندی،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قم، مؤسسه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 دارالکتاب،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قیصری‌رومی، محمدداوود،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فصوص الحکم، تهران، شرکت انتشارات علمی و فرهنگی،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ـ إختیار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مشهد، مؤسسه نشر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قم، دارالحدیث،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الکوفی، تهران، سازمان چاپ و انتشارات وزارت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قم، المؤتمر العالمی لالفیة الشیخ المفید،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الإسلامیة،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موسوی‌خویی،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و تفصیل طبقات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الهلالی، قم، الهادی، چاپ اول</w:t>
      </w:r>
      <w:r>
        <w:rPr>
          <w:rFonts w:eastAsia="IRNazanin" w:cs="IRNazanin"/>
          <w:color w:val="111111"/>
          <w:sz w:val="28"/>
          <w:szCs w:val="28"/>
          <w:rtl w:val="true"/>
          <w:lang w:bidi="fa-IR"/>
        </w:rPr>
        <w:t>.</w:t>
      </w:r>
      <w:bookmarkStart w:id="245" w:name="pg2653_32465"/>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2"/>
        <w:numPr>
          <w:ilvl w:val="1"/>
          <w:numId w:val="1"/>
        </w:numPr>
        <w:rPr/>
      </w:pPr>
      <w:bookmarkStart w:id="246" w:name="__RefHeading___Toc681071_1395250215"/>
      <w:bookmarkStart w:id="247" w:name="_Toc95"/>
      <w:bookmarkEnd w:id="246"/>
      <w:r>
        <w:rPr>
          <w:rtl w:val="true"/>
        </w:rPr>
        <w:t>تأملی دوباره در خداشناسیِ فطری با تأکید بر موانع فطرت و عوامل مانع زدایی از آن</w:t>
      </w:r>
      <w:bookmarkEnd w:id="247"/>
    </w:p>
    <w:p>
      <w:pPr>
        <w:pStyle w:val="Heading3"/>
        <w:numPr>
          <w:ilvl w:val="2"/>
          <w:numId w:val="1"/>
        </w:numPr>
        <w:rPr/>
      </w:pPr>
      <w:bookmarkStart w:id="248" w:name="__RefHeading___Toc681073_1395250215"/>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اکبر ساجدی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1393/03/25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1393/06/16</w:t>
      </w:r>
    </w:p>
    <w:p>
      <w:pPr>
        <w:pStyle w:val="Heading3"/>
        <w:numPr>
          <w:ilvl w:val="2"/>
          <w:numId w:val="1"/>
        </w:numPr>
        <w:rPr/>
      </w:pPr>
      <w:bookmarkStart w:id="250" w:name="__RefHeading___Toc681075_1395250215"/>
      <w:bookmarkStart w:id="251" w:name="_Toc97"/>
      <w:bookmarkEnd w:id="250"/>
      <w:r>
        <w:rPr>
          <w:rtl w:val="true"/>
        </w:rPr>
        <w:t>چکیده</w:t>
      </w:r>
      <w:bookmarkEnd w:id="251"/>
    </w:p>
    <w:p>
      <w:pPr>
        <w:pStyle w:val="BookText"/>
        <w:rPr/>
      </w:pPr>
      <w:r>
        <w:rPr>
          <w:rFonts w:ascii="IRNazanin" w:hAnsi="IRNazanin" w:eastAsia="IRNazanin"/>
          <w:color w:val="111111"/>
          <w:sz w:val="28"/>
          <w:sz w:val="28"/>
          <w:szCs w:val="28"/>
          <w:rtl w:val="true"/>
          <w:lang w:bidi="fa-IR"/>
        </w:rPr>
        <w:t>خداشناسیِ فطری با عنایت به موانع فطرت و عوامل مانع زدایی از آن، موضوع اصلی مقاله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با تقریر دوباره تفسیرهای سه گانه از فطرت، روشنیِ وجود خدا را از این منظر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آموزه های دینی معلوم می شود که بین فطرت، ایمان و تسلیم با تجلی حقیقت الهی رابطه معناداری وجود دارد؛ در مقابل، کفر و لجاجت نیز با اختفای حقیقت الهی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توجه به موانعی که جلوی تأثیرگذاری فطرت را گرفته و عواملی که اسلام برای مانع زدایی از فطرت در نظر داشته توانسته است، زوایای پنهانی از این مسئله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های نموداری و بررسی شبهه دور در مسئله فطرت، از نوآوری های پژوهش حاضر است</w:t>
      </w:r>
      <w:r>
        <w:rPr>
          <w:rFonts w:eastAsia="IRNazanin" w:cs="IRNazanin"/>
          <w:color w:val="111111"/>
          <w:sz w:val="28"/>
          <w:szCs w:val="28"/>
          <w:rtl w:val="true"/>
          <w:lang w:bidi="fa-IR"/>
        </w:rPr>
        <w:t>.</w:t>
      </w:r>
    </w:p>
    <w:p>
      <w:pPr>
        <w:pStyle w:val="Heading3"/>
        <w:numPr>
          <w:ilvl w:val="2"/>
          <w:numId w:val="1"/>
        </w:numPr>
        <w:rPr/>
      </w:pPr>
      <w:bookmarkStart w:id="252" w:name="__RefHeading___Toc681077_1395250215"/>
      <w:bookmarkStart w:id="253" w:name="_Toc98"/>
      <w:bookmarkEnd w:id="252"/>
      <w:r>
        <w:rPr>
          <w:rtl w:val="true"/>
        </w:rPr>
        <w:t>واژگان کلیدی</w:t>
      </w:r>
      <w:bookmarkEnd w:id="2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تفسیرهای سه گانه از فطرت، تجلی حقیقت خدا، موانع فطرت، شبهه دور در فطرت</w:t>
      </w:r>
      <w:r>
        <w:rPr>
          <w:rFonts w:eastAsia="IRNazanin" w:cs="IRNazanin"/>
          <w:color w:val="111111"/>
          <w:sz w:val="28"/>
          <w:szCs w:val="28"/>
          <w:rtl w:val="true"/>
          <w:lang w:bidi="fa-IR"/>
        </w:rPr>
        <w:t>.</w:t>
      </w:r>
      <w:bookmarkStart w:id="254" w:name="pg2653_32466"/>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255" w:name="__RefHeading___Toc681079_1395250215"/>
      <w:bookmarkStart w:id="256" w:name="_Toc99"/>
      <w:bookmarkEnd w:id="255"/>
      <w:r>
        <w:rPr>
          <w:rtl w:val="true"/>
        </w:rPr>
        <w:t>طرح مسئله</w:t>
      </w:r>
      <w:bookmarkEnd w:id="256"/>
    </w:p>
    <w:p>
      <w:pPr>
        <w:pStyle w:val="BookText"/>
        <w:rPr/>
      </w:pPr>
      <w:r>
        <w:rPr>
          <w:rFonts w:ascii="IRNazanin" w:hAnsi="IRNazanin" w:eastAsia="IRNazanin"/>
          <w:color w:val="111111"/>
          <w:sz w:val="28"/>
          <w:sz w:val="28"/>
          <w:szCs w:val="28"/>
          <w:rtl w:val="true"/>
          <w:lang w:bidi="fa-IR"/>
        </w:rPr>
        <w:t>از جمله مباحثی که می توان تجلی وجود خدا را در آن ردیابی کرد، موضوع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آموزه های دینی، انسان با فطرتی خدایی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گوناگونی که از فطرت شده، روشنیِ وجود خدا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تبیین جایگاه فطرت، پیامبر و عقل در نظام اعتقادی اسلام می تواند تبیین دیگری بر روشنی وجود خدا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فطری طبق آموزه های دینی در کدامین جایگاه قرار دارد؟ و در همین راستا، فطرت الهی با چه تبیینی به تجلی حقیقت خدا منجر می شود؟ نقش انبیا و عقل در شکوفایی فطرت چیست؟ مهم‌ترین موانع شکوفایی فطرت چیست و اسلام برای آن ها چه راه کارهایی ارائه کرده است؟</w:t>
      </w:r>
    </w:p>
    <w:p>
      <w:pPr>
        <w:pStyle w:val="Heading3"/>
        <w:numPr>
          <w:ilvl w:val="2"/>
          <w:numId w:val="1"/>
        </w:numPr>
        <w:rPr/>
      </w:pPr>
      <w:bookmarkStart w:id="257" w:name="__RefHeading___Toc681081_1395250215"/>
      <w:bookmarkStart w:id="258" w:name="_Toc100"/>
      <w:bookmarkEnd w:id="257"/>
      <w:r>
        <w:rPr>
          <w:rtl w:val="true"/>
        </w:rPr>
        <w:t>سه نظریه در فطرت الهی</w:t>
      </w:r>
      <w:bookmarkEnd w:id="258"/>
    </w:p>
    <w:p>
      <w:pPr>
        <w:pStyle w:val="Heading4"/>
        <w:numPr>
          <w:ilvl w:val="3"/>
          <w:numId w:val="1"/>
        </w:numPr>
        <w:rPr/>
      </w:pPr>
      <w:bookmarkStart w:id="259" w:name="__RefHeading___Toc681083_1395250215"/>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در باب فطرت خداییِ انـسان، سه نـظریه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آن است که شناخت حصولیِ خدا را فـطریِ بشر می داند؛ نظریه دوم، عقیده فطـری را علـم حضوری بشر به خداوند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نظریه سوم، فطرت الهی انسان را مربوط به دل و گرایش های درونیِ انسان</w:t>
      </w:r>
    </w:p>
    <w:p>
      <w:pPr>
        <w:pStyle w:val="BookText"/>
        <w:rPr/>
      </w:pP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از این سه نظریه چنین است</w:t>
      </w:r>
      <w:r>
        <w:rPr>
          <w:rFonts w:eastAsia="IRNazanin" w:cs="IRNazanin"/>
          <w:color w:val="111111"/>
          <w:sz w:val="28"/>
          <w:szCs w:val="28"/>
          <w:rtl w:val="true"/>
          <w:lang w:bidi="fa-IR"/>
        </w:rPr>
        <w:t>:</w:t>
      </w:r>
    </w:p>
    <w:p>
      <w:pPr>
        <w:pStyle w:val="Heading4"/>
        <w:numPr>
          <w:ilvl w:val="3"/>
          <w:numId w:val="1"/>
        </w:numPr>
        <w:rPr/>
      </w:pPr>
      <w:bookmarkStart w:id="261" w:name="__RefHeading___Toc681085_1395250215"/>
      <w:bookmarkStart w:id="262" w:name="_Toc102"/>
      <w:bookmarkEnd w:id="261"/>
      <w:r>
        <w:rPr>
          <w:rtl w:val="true"/>
        </w:rPr>
        <w:t>نظریه اول</w:t>
      </w:r>
      <w:bookmarkEnd w:id="262"/>
    </w:p>
    <w:p>
      <w:pPr>
        <w:pStyle w:val="BookText"/>
        <w:rPr/>
      </w:pPr>
      <w:r>
        <w:rPr>
          <w:rFonts w:ascii="IRNazanin" w:hAnsi="IRNazanin" w:eastAsia="IRNazanin"/>
          <w:color w:val="111111"/>
          <w:sz w:val="28"/>
          <w:sz w:val="28"/>
          <w:szCs w:val="28"/>
          <w:rtl w:val="true"/>
          <w:lang w:bidi="fa-IR"/>
        </w:rPr>
        <w:t xml:space="preserve">طبق این نظریه،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فطریات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فطری به معنای شناخت ذهنی و عقلی فطری همان است که نوعی دلیل دارد، ولی دلیلی که ذهن برای آن احتیاج به تلاش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قسمی از بدیهیات ثانویه، فطریات است و آن عبارت است از قضایایی که ثبوت محمول برای موضوع به سبب واسطه ای است که نیاز به کشف ندارد و آن واسطه همیشه در ذهن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فطری ـ در معنای علم حصولی و علم عقلانی ـ یعنی عقل از راهی به وجود خدا پی ببرد که این راه همیشه برایش باز باشد؛ در نتیجه لازم نیست عقل، راه مزبور را کسب کرده و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263" w:name="__RefHeading___Toc681087_1395250215"/>
      <w:bookmarkStart w:id="264" w:name="_Toc103"/>
      <w:bookmarkEnd w:id="263"/>
      <w:r>
        <w:rPr>
          <w:rtl w:val="true"/>
        </w:rPr>
        <w:t>نظریه دوم</w:t>
      </w:r>
      <w:bookmarkEnd w:id="2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علم حضوری انسان به خداوند را فطریِ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انسان ارتباط عمیقی با آفریننده خود دارد و هنگامی که انسان به اعماق وجود خویش توجه کند، چنین رابطه ای را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bookmarkStart w:id="265" w:name="pg2653_32467"/>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آموزه های دینی هنگامه اضطرار و بیچارگی را در انسان های عادی، زمینه ساز ظهور و بروز این معرفت شهودی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همه اسباب مادی از بین روند، نهان انسان خدا را با بینش شهودی می بیند و از حضرتش کمک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این شهود حضوری در همه انسان ها وجود دارد، ولی اکثر مردم، به‌خصوص در اوقاتی که سرگرم امور زندگی هستند، توجهی به این رابطه قلبی ندارند، ولی هنگامی که امیدشان از همه اسباب قطع می گردد، به این رابطه قلبی توجه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266" w:name="__RefHeading___Toc681089_1395250215"/>
      <w:bookmarkStart w:id="267" w:name="_Toc104"/>
      <w:bookmarkEnd w:id="266"/>
      <w:r>
        <w:rPr>
          <w:rtl w:val="true"/>
        </w:rPr>
        <w:t>نظریه سوم</w:t>
      </w:r>
      <w:bookmarkEnd w:id="267"/>
    </w:p>
    <w:p>
      <w:pPr>
        <w:pStyle w:val="BookText"/>
        <w:rPr/>
      </w:pPr>
      <w:r>
        <w:rPr>
          <w:rFonts w:ascii="IRNazanin" w:hAnsi="IRNazanin" w:eastAsia="IRNazanin"/>
          <w:color w:val="111111"/>
          <w:sz w:val="28"/>
          <w:sz w:val="28"/>
          <w:szCs w:val="28"/>
          <w:rtl w:val="true"/>
          <w:lang w:bidi="fa-IR"/>
        </w:rPr>
        <w:t>نظریه سوم، فطرت را گرایشی درونی دانسته، معتقد است خداجویی و خداپرستی، فطریِ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خدا در همه انسان ها وجود دارد و همین گرایش و احساس، می تواند مبنای اثبات وجود خداوند قرار گرفته، پایه خداشناسی گردد، نه آن که خداشناسی مستقیماً و بدون وساطت خداجویی، فطریِ بشر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می‌گوید خداشناسی فطری است، می‌گوید در وجود انسان تمایلی عالی هست که آن، تمایل به پرستش است؛ انسان خودش را با حقیقتی وابسته و پیوسته می‌داند و دلش می‌خواهد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به آن حقیقت نزدیک شود و او را تسبیح و تنزیه کند و به سوی او برود؛ تمایلی این‌گونه در وجودش هست که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پس در دل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مغز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کانون تمایلات و احساسات انسان، پایه خداشناسی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کمال در همه افراد بشر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معشوق خود را در چیزی یافته است و کعبه آمال خود را در چیزی دانسته و به سوی آن متوجه شده و از دل و جان،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در میان انسان ها در تشخیص کمال و این‌که محبوب و معشوق حقیقی کیست و کمال حقیقی در چیست، نهایت اختلاف وجود دارد، اما در اصل میل و گرایش و عشق به کمال،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ثروت را کمال حقیقی و دیگری قدرت و شهرت را محبوب حقیقی خود بپندارد و دیگری علم و جمال را؛ همگی خطای در تطبیق دارند و به دنبال کمال موهومی می روند و آن را کمال حقیقی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همه انسان ها به حقیقت گرایش دارند و می خواهند از حقیقت پیروی کنند، همان چیزی است که اسلام همه را به طرف آن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به طرف چیزی ناآشنا و</w:t>
      </w:r>
      <w:bookmarkStart w:id="268" w:name="pg2653_32468"/>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غیر قابل قبول دعوت نکرده، بلکه او را به طرف حقیقتی فرا خوانده که همه انسان ها در برابر آن حقیقت خاضعند و آن این‌که حق باید مورد تبعیت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درمی یابیم که او عاشق کمال و بلکه مطلق خیر است، به طوری که اگر بر همه خیرها و کمالاتی که در زمین وجود دارد، اطلاع پیدا نماید یا احتمال بدهد که در کره دیگری نیز خیر و کمالی وجود دارد، بدون شک آرزوی آن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مراجعه به فطرت، اموری چند برای ما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 یابیم، معشوق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برای عشق فطری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فتور برای فطرت نیست، گرچه همه راه ها را طی کرده و به همه خطرها تن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مراجعه و مکاشفه مزبور، از فطرت خویش بپرس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ذات و حقیقت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 از هر کمالی به تو خورانیدم و از هر جمالی تو را نوشانیدم؛ نه سیر شدی نه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 کن که فطرت با لسان الهام این‌چنین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خواهان کمال محض و جمال صرف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وجود عشق مطلق بالفعل در ذات و فطرت خود پی بردی، به گونه ای که در آن هیچ کسی با دیگری فرقی ندارد، چه پیامبر، یا وصی، چه مؤمن یا کافر، چه سعادت‌مند یا شقاوت‌مند،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از اوصاف اضافی است، معشوق می خواهد، و همان‌طور که تو عاشق بالفعل هستی، پس حکم کن که معشوق فطرت نیز در وادی هستی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آبادی،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روی، چه فطرت حصولی تلقی شود و چه شهودی و یا گرایش درونی، آنچه مهم است، روشنیِ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سه نظریه، خدا برای انسان، موجودی ناآشنا نیست؛ او برای همه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 دارد که جایگاه فطرت در نظام عقیدتی اسلام مورد بررسی قرار گیرد، تا زوایای دیگری از روشنی خدا تبیین شود</w:t>
      </w:r>
      <w:r>
        <w:rPr>
          <w:rFonts w:eastAsia="IRNazanin" w:cs="IRNazanin"/>
          <w:color w:val="111111"/>
          <w:sz w:val="28"/>
          <w:szCs w:val="28"/>
          <w:rtl w:val="true"/>
          <w:lang w:bidi="fa-IR"/>
        </w:rPr>
        <w:t>.</w:t>
      </w:r>
    </w:p>
    <w:p>
      <w:pPr>
        <w:pStyle w:val="Heading3"/>
        <w:numPr>
          <w:ilvl w:val="2"/>
          <w:numId w:val="1"/>
        </w:numPr>
        <w:rPr/>
      </w:pPr>
      <w:bookmarkStart w:id="269" w:name="__RefHeading___Toc681091_1395250215"/>
      <w:bookmarkStart w:id="270" w:name="_Toc105"/>
      <w:bookmarkEnd w:id="269"/>
      <w:r>
        <w:rPr>
          <w:rtl w:val="true"/>
        </w:rPr>
        <w:t>جایگاه فطرت در نظام عقیدتی اسلام</w:t>
      </w:r>
      <w:bookmarkEnd w:id="2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اسلامی سه مرحله برای خداشناسی دینی ارائه کرده است که توجه به آن ها، جایگاه فطرت را در نظام عقیدتی اسلام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موقف تعریف، خداوند خود را در مرحله ای پیش از این‌که انسان ها به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شناسایی هـمان فطرت خداشناسی انسان است که توأم با آفـرینش انسان می باشد؛ یعنی انسان از روزی که آفریده شده، خداشناس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مرحله دوم خداشناسی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 دنیا به خاطر عللی، از معرفت فطری خدا غافل می شود و خداوند متعال با مجهز کردن انسان به ابزار عقل در مقام عامل درونی، و ارسال پیامبران در مقام عامل بیرونی، زمینه یادآوری و تذکر معرفت پیشین را برای انسان فراهم کرده، حجت خود را بر انسان ها تمام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در جایگاه نتیجه طبیعی و مقبول دو مرحله پیشین، عبارت است از این‌که انسان پس از تذکر معرفت الهی، در برابر خدا سر فرود آورده، به او ایمان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فطرت در مقام زیربنای نظام عقیدتی، جایگاه ویژه‌ای دارد و پیامبر و عقل به عنوان متذکران فطرت، نقش شکوفاسازان فطرت را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خاطرنشان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جهانی و برای همه افراد بشر در تمام ادوار و اعصار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 را جز رحمتی برای جهانیان نفرستادیم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گر و هشداردهنده برای تمام مردم،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رسالت جهان شمولیِ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زنهار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تذکری برای جهانیان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مذکّر و یادآور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تذکر ده که تو تنها تذکردهنده‌ای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قرآن،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و یادآوری در موردی مناسب است که سابقه آگاهی و سابقه شناسایی بوده باشد و بار دوم تکرار شود تا از یاد نرفته، به مقتضایش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مطلبی برای اولین بار به کسی گفته می شود آموختن خواهد بود، نه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افراد بشر که همگان مشمول خطاب های قرآن هستند، غیر از اهل کتاب که با این معارف آشنا بودند، منکران و ملحدانی یافت می شوند که با نغمه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حَیاتُنَا الدُّنْیا نَمُوتُ وَ نَحْیا وَ ما نَحْنُ بِمَبْعُوثینَ</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معاد را انکار کرده و با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نَمُوتُ وَ نَحْیا وَ ما یُهْلِکُنا إِلاَّ الدَّهْرُ</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مبدأ را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مادامی که دلیل کافی بر تغلیب و مانند آن اقامه نشود، به استناد همین ظواهر گفته می شود که معارف قرآن برای همه بشر تذکر و یادآوری است؛ بنابراین لازمه اش آن است که همگان با اصول کلی قرآن سابقه آشنایی داشته باشند؛ خواه مؤمن مقر، و خواه ملحد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پیام های قرآن برای همه جنبه یادآوری دارد، با این فرق که یادآوری مزبور تنها برای مؤمن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پند ده، که مؤمنان را پند سود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تذکر با عنوان خاص خود محفوظ است، خواه سودمند باشد، خواه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پند ده، اگر پند سود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این نتیجه به دست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برای همگان نازل شده است، اعم از مؤمن و ملحد؛ ثانیاً، در جایگاه تذکره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همگان در نهاد خود بینش و گرایش خدایی را دارا هستند و با معارف کلی دین سابقه آشنایی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آیات تذکر، آیات دیگری است که به جریان سلبی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جایی است که سابقه آشنایی بوده باشد و اگر در خصوص افرادی که دین را قبلاً پذیرفته اند و سپس از آن مرتد شده اند، باشد، مناسب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خواهد بود، ولی اگر این عنوان درباره کافران اصلی که هرگز ایمان نیاورده اند به کار برده شود، نشانه آن است که آنان در موطنی خاص، به مبدأ آشنایی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مخاطب قرآن همه انسان ها هستند، اعم از مؤمن و ملحد؛ از دیگر سو، قرآن تببین معارف کلی دین را تذکر نامیده و از سوی سوم، از انکار ملحدان نیز با عنوان نسیان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یادشده، شاهد خوبی است بر این که همگان با معارف اولیه دین سابقه آشنایی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جایگاه فطرت، پیامبران و عقل را در نظام عقیدتی اسلام، می توان چنین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در رأس نظام عقیدتی اسلام قرار داشته، عقل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فطرت را برای انسان به ارمغان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فطرت خدایی و از سوی دیگر، تذکر و یادآوری فطرت، حجت را بر انسان تمام کرده، پای اراده انسان را به میان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اراده خود را در مقام اثرگذارترین عامل در تسلیم و کفر، بروز می دهد؛ پس انسان با اراده خود در برابر حق ـ پس از اتمام حجت درونی و برونی ـ یا تسلیم می شود و یا کفر را برمی گزیند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تجلی بیشتر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اختفای بیشتر آن منجر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w:t>
      </w:r>
      <w:bookmarkStart w:id="271" w:name="pg2653_32472"/>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برای اراده کفر می توان این مدل را ترسیم کرد که مبدأ آن فطرت توحیدی است، اما منتهایش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خدایانِ پراکنده بهترند یا خدای یگانه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فرض اراده تسلیم از سوی انسان، مدل دایره واری را می توان برای نظام عقیدتی اسلام ترسیم کرد که مبدأ و منتهای آن خـداست 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راجـِعُونَ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تـداعی می کند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81093_1395250215"/>
      <w:bookmarkStart w:id="273" w:name="_Toc106"/>
      <w:bookmarkEnd w:id="272"/>
      <w:r>
        <w:rPr>
          <w:rtl w:val="true"/>
        </w:rPr>
        <w:t>تجلی و اختفای حق</w:t>
      </w:r>
      <w:bookmarkEnd w:id="273"/>
    </w:p>
    <w:p>
      <w:pPr>
        <w:pStyle w:val="BookText"/>
        <w:rPr/>
      </w:pPr>
      <w:r>
        <w:rPr>
          <w:rFonts w:ascii="IRNazanin" w:hAnsi="IRNazanin" w:eastAsia="IRNazanin"/>
          <w:color w:val="111111"/>
          <w:sz w:val="28"/>
          <w:sz w:val="28"/>
          <w:szCs w:val="28"/>
          <w:rtl w:val="true"/>
          <w:lang w:bidi="fa-IR"/>
        </w:rPr>
        <w:t>نکته ای که توضیحش باقی مانده این است که چگونه تسلیم به تجلی بیشتر حق و کفر، به اختفای حق منجر می‌شود؟</w:t>
      </w:r>
    </w:p>
    <w:p>
      <w:pPr>
        <w:pStyle w:val="BookText"/>
        <w:rPr/>
      </w:pPr>
      <w:r>
        <w:rPr>
          <w:rFonts w:ascii="IRNazanin" w:hAnsi="IRNazanin" w:eastAsia="IRNazanin"/>
          <w:color w:val="111111"/>
          <w:sz w:val="28"/>
          <w:sz w:val="28"/>
          <w:szCs w:val="28"/>
          <w:rtl w:val="true"/>
          <w:lang w:bidi="fa-IR"/>
        </w:rPr>
        <w:t>اولین مرتبه از هدایت، مرحله ای است که در آن معرفتی از خدا به عموم انسان ها داده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از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این مرحله به حقیقتی که</w:t>
      </w:r>
      <w:bookmarkStart w:id="274" w:name="pg2653_32473"/>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دریافته و بر او متجلی شده، پشت کرده و کفران بورزد، در طریق کمال متوقف می شود و حتی ممکن است از یادآوری همان معرفت ابتدایی فطری نیز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تسلیم انسان در پیشگاه خدای رحمان، به میزان تسلیم و مجاهده، جلوه های بیشتری از معرفت فطری و پیشین، بر قلبش تابش کرده، معرفت مزبور شدت و نورانیت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تشدید معرفت که دارای مراحل بی‌شماری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گردد، چراکه برای عموم افراد بشر رخ نمی دهد، بلکه مختص ایمان آورندگان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انقطاع از تعلقات دنیوی، عامل مهمی در تجلی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مجاهده مؤمنان در رفع تعلقات دنیوی و توجه به خدا و پرستش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انقطاع، تذکری بیشتر و شدیدتر نسبت به معرفت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مزبور در مؤمنان به خاطر ایمانشان اختیاری است، ولی در سایرین غالباً قهری و غیراختیاری است، چراکه هنگامی انقطاع برایشان حاصل می شود که به اضطرار افتاده، از اسباب مادی قطع امید کنند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75" w:name="__RefHeading___Toc681095_1395250215"/>
      <w:bookmarkStart w:id="276" w:name="_Toc107"/>
      <w:bookmarkEnd w:id="275"/>
      <w:r>
        <w:rPr>
          <w:rtl w:val="true"/>
        </w:rPr>
        <w:t>رابطه فطرت با سه نظریه پیشین</w:t>
      </w:r>
      <w:bookmarkEnd w:id="276"/>
    </w:p>
    <w:p>
      <w:pPr>
        <w:pStyle w:val="BookText"/>
        <w:rPr/>
      </w:pPr>
      <w:r>
        <w:rPr>
          <w:rFonts w:ascii="IRNazanin" w:hAnsi="IRNazanin" w:eastAsia="IRNazanin"/>
          <w:color w:val="111111"/>
          <w:sz w:val="28"/>
          <w:sz w:val="28"/>
          <w:szCs w:val="28"/>
          <w:rtl w:val="true"/>
          <w:lang w:bidi="fa-IR"/>
        </w:rPr>
        <w:t>فطرتی که در این نوشتار مورد بحث قرار گرفته است، با سه نظریه مطرح‌شده در باب فطرت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مزبور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فطری از باب فطریات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فطری از باب علم حضوری،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خداگرایی فطری از باب حقیقت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سه مرحله برای فطرتی که مورد بحث قرار گرفت،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فطرت به معنای فطریات منطقی، چندان قابل تطبیق با فطرت مورد بحث نیست، اما خداشناسی حضوری و خداگرایی کاملاً با فطرت مطرح‌شده،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چنین ادعا کرد که بین مرحله تعریف و خداشناسی حضوری، و بین مرحله تسلیم و خداگرایی، رابطه معناداری برقرار است</w:t>
      </w:r>
      <w:r>
        <w:rPr>
          <w:rFonts w:eastAsia="IRNazanin" w:cs="IRNazanin"/>
          <w:color w:val="111111"/>
          <w:sz w:val="28"/>
          <w:szCs w:val="28"/>
          <w:rtl w:val="true"/>
          <w:lang w:bidi="fa-IR"/>
        </w:rPr>
        <w:t>.</w:t>
      </w:r>
      <w:bookmarkStart w:id="277" w:name="pg2653_32474"/>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3"/>
        <w:numPr>
          <w:ilvl w:val="2"/>
          <w:numId w:val="1"/>
        </w:numPr>
        <w:rPr/>
      </w:pPr>
      <w:bookmarkStart w:id="278" w:name="__RefHeading___Toc681097_1395250215"/>
      <w:bookmarkStart w:id="279" w:name="_Toc108"/>
      <w:bookmarkEnd w:id="278"/>
      <w:r>
        <w:rPr>
          <w:rtl w:val="true"/>
        </w:rPr>
        <w:t>موانع فطرت خداشناسی</w:t>
      </w:r>
      <w:bookmarkEnd w:id="279"/>
    </w:p>
    <w:p>
      <w:pPr>
        <w:pStyle w:val="BookText"/>
        <w:rPr/>
      </w:pPr>
      <w:r>
        <w:rPr>
          <w:rFonts w:ascii="IRNazanin" w:hAnsi="IRNazanin" w:eastAsia="IRNazanin"/>
          <w:color w:val="111111"/>
          <w:sz w:val="28"/>
          <w:sz w:val="28"/>
          <w:szCs w:val="28"/>
          <w:rtl w:val="true"/>
          <w:lang w:bidi="fa-IR"/>
        </w:rPr>
        <w:t>فطرت، یکی از وجوه اشتراک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امور فراوانی وجود دارد که انسان ها را از هم جدا می کند و این امور، جلوه‌های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در دو بخش ارادی و غیرارادی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نژاد، فرهنگ، زمان، مکان، محیط،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غیرارادی اند؛ در مقابل، خلقیات، نفسانیات و رفتار انسان، ارادی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امور اختلاف ساز مزبور، فطرت نمی تواند رسالت خود را به درستی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می توان سه عامل را، علتِ اختلاف انسان ها در باب خداشناسی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خلقیات و نفسانیات، اعم از فضایل و رذایل؛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اعمال، اعم از خوب و 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خارج از وجود انسان، مثل دوری یا نزدیکی به کانون دعوت اسلام، و تیزی یا کندیِ ذهن در درک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عوامل ذهنی و خارجی در اختلاف فهم‌ها اثر بسزایی دارد؛ هر کس یک جور تصور و تصدیق دارد، یک جور برداشت و داوری می‌کند و اختلاف فهم‌ها باعث می‌شود تا مردم در درک اصولی که اسلام اساس خود را بر پایه آن ها بنا نهاده، مختلف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فهم ها به چند امر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 فهم، گاهی به اختلاف در خُلق‌های نفسانی و صفات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تأثیر بسیاری بر درک علوم و معارف بشری دارند، چون استعدادهایی را که ودیعه در ذهن است مختلف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دارای صفت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داوریِ ذهنی‌اش و درک مطلبش نظیر انسان دیگری که متصف به چموشی و سرکشی است، نمی‌باشد؛ انسان معتدل و باوقار و سکینت، معارف را طوری درک می‌کند و انسان عجول و یا متعصب و یا هواپرست و یا هرهری‌مزاجِ زودباور، طوری دیگر درک می‌نماید و انسان ابله و بی‌شعوری که اصلاً خودش نمی‌فهمد چه می‌خواهد و یا دیگران از او چه می‌خواهند، طوری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برگشت اختلاف، به اختلافِ در عمل است، چون عمل آن کسی که مخالف حق است، بـه تدریج در فهم و ذهنش اثر می‌گذارد، زیرا عمل ما یا معصیت است و یا اقسام هوسرانی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انسانی است که از این قبیل است اقسام اغواها و وسوسه‌ها که همه این ها، افکار فاسدی را در ذهن همه انسان ها و مخصوصاً انسان های ساده لوح تلقین می‌کند و ذهن او را آماده می‌سازد برای این که آرام آرام شبهات در آن رخنه کند و آرای باطل در آن راه یابد، و آن</w:t>
      </w:r>
      <w:bookmarkStart w:id="280" w:name="pg2653_32475"/>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وقت است که باز فهم‌ها مختلف می‌گردد؛ افکاری حق را می‌پذیرند و افکاری دیگر از پذیرفتن آن سر باز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عامل اختلاف در فهم، اختلاف عوامل خارجی است؛ مثل دوری از شهر و در نتیجه از مسجد و منبر و دست نیافتن به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از معارف دین یا هیچ نمی‌دانند و یا آنچه می‌دانند، بسیار ناچیز و اندک است و یا تحریف‌شده است، و یا فهم خود آنان قاصر است و به خاطر خصوصیت مزاجشان، دچار بلاهت و کندذهنی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اسلام برای رفع این موانع چه تدبیری اندیشیده است</w:t>
      </w:r>
      <w:r>
        <w:rPr>
          <w:rFonts w:eastAsia="IRNazanin" w:cs="IRNazanin"/>
          <w:color w:val="111111"/>
          <w:sz w:val="28"/>
          <w:szCs w:val="28"/>
          <w:rtl w:val="true"/>
          <w:lang w:bidi="fa-IR"/>
        </w:rPr>
        <w:t>.</w:t>
      </w:r>
    </w:p>
    <w:p>
      <w:pPr>
        <w:pStyle w:val="Heading3"/>
        <w:numPr>
          <w:ilvl w:val="2"/>
          <w:numId w:val="1"/>
        </w:numPr>
        <w:rPr/>
      </w:pPr>
      <w:bookmarkStart w:id="281" w:name="__RefHeading___Toc681099_1395250215"/>
      <w:bookmarkStart w:id="282" w:name="_Toc109"/>
      <w:bookmarkEnd w:id="281"/>
      <w:r>
        <w:rPr>
          <w:rtl w:val="true"/>
        </w:rPr>
        <w:t>راه کارهای اسلام در برطرف کردن موانع فطرت</w:t>
      </w:r>
      <w:bookmarkEnd w:id="282"/>
    </w:p>
    <w:p>
      <w:pPr>
        <w:pStyle w:val="Heading4"/>
        <w:numPr>
          <w:ilvl w:val="3"/>
          <w:numId w:val="1"/>
        </w:numPr>
        <w:rPr/>
      </w:pPr>
      <w:bookmarkStart w:id="283" w:name="__RefHeading___Toc681101_1395250215"/>
      <w:bookmarkStart w:id="284" w:name="_Toc11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اسلام به چیزی دعوت کرده که اختلاف فهم ها در آن مؤثر نیست و آن عبارت است از این‌که باید از حق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گرایشی</w:t>
      </w:r>
    </w:p>
    <w:p>
      <w:pPr>
        <w:pStyle w:val="BookText"/>
        <w:rPr/>
      </w:pPr>
      <w:r>
        <w:rPr>
          <w:rFonts w:ascii="IRNazanin" w:hAnsi="IRNazanin" w:eastAsia="IRNazanin"/>
          <w:color w:val="111111"/>
          <w:sz w:val="28"/>
          <w:sz w:val="28"/>
          <w:szCs w:val="28"/>
          <w:rtl w:val="true"/>
          <w:lang w:bidi="fa-IR"/>
        </w:rPr>
        <w:t>است که پیش‌تر با عنوان نظریه سوم فطرت خدایی بیان شد؛ البته آن‌جا فطرت گرایشی درونی و میلی باطنی قلمداد شده بـود و الآن همان میل باطنی در قالب قضیه ای ذهنی درآمـده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فراخوانی به سوی فطرت، یقیناً نتیجه بخش نیست، زیرا عواملی وجود دارند که باعث می شوند هر کس حق را بر اساس فهم و درک خود تفسیر کرده، آن را بر چیزی تطبیق کند که لزوماً با تطبیق دیگری برابر نیست؛ در نتیجه، سازوکارهای دیگری نیز باید وجود داشته باشند تا زمینه را برای اتحاد فهم ها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شأن تعلیمی، تزکیه ای و تبلیغی انبیا خود را نشان داده و زمینه اتحاد فهم ها را فراهم می کند</w:t>
      </w:r>
      <w:r>
        <w:rPr>
          <w:rFonts w:eastAsia="IRNazanin" w:cs="IRNazanin"/>
          <w:color w:val="111111"/>
          <w:sz w:val="28"/>
          <w:szCs w:val="28"/>
          <w:rtl w:val="true"/>
          <w:lang w:bidi="fa-IR"/>
        </w:rPr>
        <w:t>.</w:t>
      </w:r>
    </w:p>
    <w:p>
      <w:pPr>
        <w:pStyle w:val="Heading4"/>
        <w:numPr>
          <w:ilvl w:val="3"/>
          <w:numId w:val="1"/>
        </w:numPr>
        <w:rPr/>
      </w:pPr>
      <w:bookmarkStart w:id="285" w:name="__RefHeading___Toc681103_1395250215"/>
      <w:bookmarkStart w:id="286" w:name="_Toc111"/>
      <w:bookmarkEnd w:id="285"/>
      <w:r>
        <w:rPr>
          <w:rtl w:val="true"/>
        </w:rPr>
        <w:t>راهکار اول</w:t>
      </w:r>
      <w:bookmarkEnd w:id="286"/>
    </w:p>
    <w:p>
      <w:pPr>
        <w:pStyle w:val="BookText"/>
        <w:rPr/>
      </w:pPr>
      <w:r>
        <w:rPr>
          <w:rFonts w:ascii="IRNazanin" w:hAnsi="IRNazanin" w:eastAsia="IRNazanin"/>
          <w:color w:val="111111"/>
          <w:sz w:val="28"/>
          <w:sz w:val="28"/>
          <w:szCs w:val="28"/>
          <w:rtl w:val="true"/>
          <w:lang w:bidi="fa-IR"/>
        </w:rPr>
        <w:t>اگر اخلاقیات باعث اختلاف فهم ها هستند، اسلام آن را با شأن تزکیه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به خوبی از عهده حلّ این اختلاف برآمده است؛ اخلاق اسلامی با اصول دینی، معارف و علوم اسلامی ملایم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اسلامی که عبارت است از مکارم و فضایل اخلاق، عقایدی که مناسب آن است،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أُنْزِلَ مِنْ بَعْدِ مُوسی مُصَدِّقاً لِما بَیْنَ یَدَیْهِ یَهْدِی إِلَی الْحَقِّ وَ</w:t>
      </w:r>
      <w:bookmarkStart w:id="287" w:name="pg2653_32476"/>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إِلی طَرِیقٍ مُسْتَقِیمٍ</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288" w:name="__RefHeading___Toc681105_1395250215"/>
      <w:bookmarkStart w:id="289" w:name="_Toc112"/>
      <w:bookmarkEnd w:id="288"/>
      <w:r>
        <w:rPr>
          <w:rtl w:val="true"/>
        </w:rPr>
        <w:t>راهکار دوم</w:t>
      </w:r>
      <w:bookmarkEnd w:id="289"/>
    </w:p>
    <w:p>
      <w:pPr>
        <w:pStyle w:val="BookText"/>
        <w:rPr/>
      </w:pPr>
      <w:r>
        <w:rPr>
          <w:rFonts w:ascii="IRNazanin" w:hAnsi="IRNazanin" w:eastAsia="IRNazanin"/>
          <w:color w:val="111111"/>
          <w:sz w:val="28"/>
          <w:sz w:val="28"/>
          <w:szCs w:val="28"/>
          <w:rtl w:val="true"/>
          <w:lang w:bidi="fa-IR"/>
        </w:rPr>
        <w:t>دومین عامل اختلاف فهم، اعمال و رفتار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شأن تعلیمی انبیا، این مشکل را نیز حل کرده است؛ اولاً، علومی را از طریق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آموخته که در سایه آن علوم، راه و چاه را تشخیص دهند؛ ثانیاً، زمینه گرایش به حق و مبارزه با باطل را با جعل قوانینی مثل امر به معروف و نهی از منکر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این باره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عهده برطرف کردن این نوع اختلاف هم بر‌آمده،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جامعه را به اقامه دعوت دینی و پند و تذکر دائمی و بدون تعطیل وادار نموده؛ ثانیاً، جامعه را به امر به معروف و نهی از منکر واداشته؛ ثالثاً، به مردم عادی کناره‌گیری از شکاکان و شبهه پردازان را توصیه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پس دعوت به خیر با تلقین و تذکرش، باعث ثبات و استقرار عقاید حقه در دل ها می‌شود، و امر به معروف و نهی از منکر موانعی را که نمی‌گذارد عقاید حقه در دل ها رسوخ کند، از سر راه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الَّذِینَ یَتَّقُونَ مِنْ حِسَابِهِم مِّن شیْءٍ وَ لَکِن ذِکْرَی لَعَلَّهُمْ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الَّذِینَ اتخَّذُواْ دِینَهُمْ لَعِبًا وَ لَهْوًا وَ غَرَّتْهُمُ الْحَیَوةُ الدُّنْیَا وَ ذَکِّرْ بِهِ أَن تُبْسَلَ نَفْسُ بِمَا</w:t>
      </w:r>
      <w:bookmarkStart w:id="290" w:name="pg2653_32477"/>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کَسَبَتْ</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شریفه، از شرکت در بحث و بگومگویی که خوض و خرده‌گیری در معارف الهیه و حقایق دینیه باشد، نهی می‌کند، چه با القای شبهه و یا اعتراض و یا استهزا، هرچند به صورت تلازمی و تلویحی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می کند که این امور از نبود جدیت و باور نسبت به معارف دینی، و به شوخی و بازی گرفتن دین ایجاد می‌شود که منشأ آن فریفته شدن به حیات دنیاست، که علاجش تربیت صالح و درست، و یادآوری مقام پروردگار است، که گفتیم اسلام به طور کامل، مئونه این تذکر دادن را کفایت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291" w:name="__RefHeading___Toc681107_1395250215"/>
      <w:bookmarkStart w:id="292" w:name="_Toc113"/>
      <w:bookmarkEnd w:id="291"/>
      <w:r>
        <w:rPr>
          <w:rtl w:val="true"/>
        </w:rPr>
        <w:t>راهکار سوم</w:t>
      </w:r>
      <w:bookmarkEnd w:id="292"/>
    </w:p>
    <w:p>
      <w:pPr>
        <w:pStyle w:val="BookText"/>
        <w:rPr/>
      </w:pPr>
      <w:r>
        <w:rPr>
          <w:rFonts w:ascii="IRNazanin" w:hAnsi="IRNazanin" w:eastAsia="IRNazanin"/>
          <w:color w:val="111111"/>
          <w:sz w:val="28"/>
          <w:sz w:val="28"/>
          <w:szCs w:val="28"/>
          <w:rtl w:val="true"/>
          <w:lang w:bidi="fa-IR"/>
        </w:rPr>
        <w:t>مانع سوم، مانعی بود خارج از نفس انسان؛ مثلاً این‌که کسی در جایی به دنیا آمده است که خبر اسلام به آن‌جا نرسیده و یا ذهن و فکرش بسیار پایین بوده و درک مطالب برایش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مانع را با شأن دیگری از شئون پیامبر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تبلیغ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باشد؛ یعنی اولاً برسد و ثانیاً به صورت رسا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انبیا هم وظیفه داشتند که رسالتشان را به مردم برسانند و هم به گونه‌ای برسانند که با سطح درک مردم متناسب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 دادن به مسئله تبلیغ و مدارا کردن در دعوت و تربیت است، که هر دوی این ها از خصایص روش تبلیغی اسلام است؛ چنانچه می‌بینیم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شخص بابصیرت، مقدار تأثیر دعوت خود در دل ها را می‌داند، و می‌داند که در اشخاص مختلف که دعوت او را می‌شنوند تا چه حد تأثیر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می‌گذارد؛ در نتیجه همه مردم را به یک زبان دعوت نمی‌کند، بلکه با زبان خودِ او دعوت می‌کند تا در دل او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شیعه و سنی آن را نقل کرده‌اند،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نُکَلّمُ النّاسَ عَلَی قَدرِ عُقُولِهِم</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در قرآن کریم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گذشته این نتیجه به دست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اسلام انسان را به چیزی دعوت کرده که عوامل اختلاف آفرین در آن نقشی ندارند؛ ثانیاً، در مواردی که عوامل مزبور باعث اختلاف فهم ها می شوند، اسلام عمدتاً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موانع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بروز اختلاف در فهم و در عقاید، سه جهت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بروز بعضی از آن ها جلوگیری نموده، نمی‌گذارد در جامعه پدید آید و بعضی دیگر را بعد از پدید آمدن علاج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سخن به این‌جا رسید، شاید این نکته هم تداعی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موانعی جلوی شکوفایی فطرت را می‌گیرد و اسلام با فرستادن انبیا این موانع را از میان برده است، همین</w:t>
      </w:r>
      <w:bookmarkStart w:id="293" w:name="pg2653_32479"/>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موانع برای عقل اندیشمند نیز می تواند سدّ راه شود و آن را از اندیشه درست بازدارد و اگر برای شکوفایی اندیشه به پیامبر نیاز باشد، دور پیش می آید، چون حجیت پیامبر باید با عقل اثبات شود؛ از این رو ابتدا باید لزوم دور تبیین شده، سپس پاسخ آن ذکر گردد</w:t>
      </w:r>
      <w:r>
        <w:rPr>
          <w:rFonts w:eastAsia="IRNazanin" w:cs="IRNazanin"/>
          <w:color w:val="111111"/>
          <w:sz w:val="28"/>
          <w:szCs w:val="28"/>
          <w:rtl w:val="true"/>
          <w:lang w:bidi="fa-IR"/>
        </w:rPr>
        <w:t>.</w:t>
      </w:r>
    </w:p>
    <w:p>
      <w:pPr>
        <w:pStyle w:val="Heading3"/>
        <w:numPr>
          <w:ilvl w:val="2"/>
          <w:numId w:val="1"/>
        </w:numPr>
        <w:rPr/>
      </w:pPr>
      <w:bookmarkStart w:id="294" w:name="__RefHeading___Toc681109_1395250215"/>
      <w:bookmarkStart w:id="295" w:name="_Toc114"/>
      <w:bookmarkEnd w:id="294"/>
      <w:r>
        <w:rPr>
          <w:rtl w:val="true"/>
        </w:rPr>
        <w:t>لزوم دور در فرض تأثیرپذیریِ عقل و مانع زداییِ پیامبر</w:t>
      </w:r>
      <w:bookmarkEnd w:id="295"/>
    </w:p>
    <w:p>
      <w:pPr>
        <w:pStyle w:val="BookText"/>
        <w:rPr/>
      </w:pPr>
      <w:r>
        <w:rPr>
          <w:rFonts w:ascii="IRNazanin" w:hAnsi="IRNazanin" w:eastAsia="IRNazanin"/>
          <w:color w:val="111111"/>
          <w:sz w:val="28"/>
          <w:sz w:val="28"/>
          <w:szCs w:val="28"/>
          <w:rtl w:val="true"/>
          <w:lang w:bidi="fa-IR"/>
        </w:rPr>
        <w:t>تا حال این نتیجه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معرض احساسات، شهوات و تمایلات انسان قرار گرفته، رسالت خود را نمی تواند به درستی ایفا کند؛ از این رو لازم است خدا با نیروی کمکی به داد فطرت رسیده، نقطه ضعف فطرت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کمکی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نقاط ضعف برای عقل نیز مطرح است و او نیز در معرض احساسات، شهوات و تمایلات قرار گرفته، آزادی خود را از دست می دهد؛ در نتیجه، لازم است خدا با نیروی کمکیِ پیامبر، نقاط ضعف عقل را نیز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عقل دیگر نمی تواند نقش خود را در تشخیص حقانیت پیامبر به درستی ایفا کند، چون به خاطر غلبه عوامل درونی، آزادی عمل خود را از دست داده، تحت تأثیر آن ها قرار می گیرد؛ در حالی که عقل باید نقش اثباتی به معنای تشخیصی داشته و اثبات حقانیت پیامبر را جزو اولویت های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 تواند با حد وسط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راستین و دروغین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باب پیامبرشناسی چگونه می تواند با وجود احساسات، تمایلات و شهوات، کارآیی لازم را داشته باشد؟</w:t>
      </w:r>
    </w:p>
    <w:p>
      <w:pPr>
        <w:pStyle w:val="BookText"/>
        <w:rPr/>
      </w:pPr>
      <w:r>
        <w:rPr>
          <w:rFonts w:ascii="IRNazanin" w:hAnsi="IRNazanin" w:eastAsia="IRNazanin"/>
          <w:color w:val="111111"/>
          <w:sz w:val="28"/>
          <w:sz w:val="28"/>
          <w:szCs w:val="28"/>
          <w:rtl w:val="true"/>
          <w:lang w:bidi="fa-IR"/>
        </w:rPr>
        <w:t>گزاره های زیر را مورد توجه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عقل انسان در معرض موانع درونی و برونی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با عنایت به شئون تزکیه ای، تعلیمی و تبلیغی پیامبر، از عقل انسان مانع زدایی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تأثیر تزکیه، تعلیم و تبلیغ پیامبر، عقل باید حجیت پیامبر را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اثبات عقلانی صداقت پیامبر، باید پیامبر از عقل مانع زدایی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مانع زدایی پیامبر از عقل، باید عقل صداقت پیامبر را احراز کرده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حجیت پیامبر، منوط به استدلال آزاد عقل می شود و استدلال آزاد عقل هم منوط به حجیت پیامبر خواهد بود و این دور است</w:t>
      </w:r>
      <w:r>
        <w:rPr>
          <w:rFonts w:eastAsia="IRNazanin" w:cs="IRNazanin"/>
          <w:color w:val="111111"/>
          <w:sz w:val="28"/>
          <w:szCs w:val="28"/>
          <w:rtl w:val="true"/>
          <w:lang w:bidi="fa-IR"/>
        </w:rPr>
        <w:t>.</w:t>
      </w:r>
      <w:bookmarkStart w:id="296" w:name="pg2653_32480"/>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297" w:name="__RefHeading___Toc681111_1395250215"/>
      <w:bookmarkStart w:id="298" w:name="_Toc115"/>
      <w:bookmarkEnd w:id="297"/>
      <w:r>
        <w:rPr>
          <w:rtl w:val="true"/>
        </w:rPr>
        <w:t>پاسخ اشکال دور</w:t>
      </w:r>
      <w:bookmarkEnd w:id="298"/>
    </w:p>
    <w:p>
      <w:pPr>
        <w:pStyle w:val="BookText"/>
        <w:rPr/>
      </w:pPr>
      <w:r>
        <w:rPr>
          <w:rFonts w:ascii="IRNazanin" w:hAnsi="IRNazanin" w:eastAsia="IRNazanin"/>
          <w:color w:val="111111"/>
          <w:sz w:val="28"/>
          <w:sz w:val="28"/>
          <w:szCs w:val="28"/>
          <w:rtl w:val="true"/>
          <w:lang w:bidi="fa-IR"/>
        </w:rPr>
        <w:t>قرار داشتن عقل و فطرت در معرض موانع برونی و درونی، و جبران آن از طریق شئون مختلف پیامبران، هرگز به معنای این نیست که موانع مزبور، علت تامه خمودی عقل و فطرتند و وجود پیامبران، علت تامه شکوفایی عقل و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موانع هرگز به معنای سلب اختیار از انسان نیست؛ در نتیجه انبیا زمینه ساز شکوفایی عقل و فطرتند، نه علت هستی‌بخش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دور نسبت به عقل چنین می توان گفت که بزرگ نماییِ موانع، موجب کاستن نقش عقل و اراده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هرچند مقهور موانع قرار می گیرد و به خطای اندیشه گرفتار می شود، ولی می تواند حتی بدون الهام از مکتب پیامبران، در تشخیص پیامبر راستین خود را از متاثر شدن برهاند؛ مثلاً اگر انسان عصبانی یا شهوانی شود، طبیعی است که اندیشه اش متأثر خواهد شد، ولی انسان می تواند حتی بدون درس تزکیه ای انبیا، این مقدار از زمینه ها را برای اندیشه فراهم کند که دست‌کم در تشخیص پیامبر متأثر نگردد و پیامبر راستین را از دروغین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در اثبات ضرورت نبوت، محدودیت</w:t>
      </w:r>
      <w:r>
        <w:rPr>
          <w:rStyle w:val="FootnoteAnchor"/>
          <w:rtl w:val="true"/>
        </w:rPr>
        <w:footnoteReference w:id="64"/>
      </w:r>
      <w:r>
        <w:rPr>
          <w:rFonts w:ascii="IRNazanin" w:hAnsi="IRNazanin" w:eastAsia="IRNazanin"/>
          <w:color w:val="111111"/>
          <w:sz w:val="28"/>
          <w:sz w:val="28"/>
          <w:szCs w:val="28"/>
          <w:rtl w:val="true"/>
          <w:lang w:bidi="fa-IR"/>
        </w:rPr>
        <w:t>عقل را مطرح کنیم، بزرگ نماییِ محدودیت عقل، خود مُدرَکات عقل را از درجه اعتبار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در تشخیص راه سعادت محدود است، پس چرا در تشخیص ضرورت نبوت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حایز اهمیت این‌جاست که عقل به صورت مطلق محدود نیست تا همه مُدرَکاتش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عقل نسبی است؛ عقل نسبت به برخی از واقعیات محدود است، ولی نسبت به برخی دیگر کاملا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محدودیت عقل را به همه واقعیات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مثل چراغی است که تا جایی را نشان می دهد و بیشتر از آن جا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ابیات ذیل را نباید پارادوکسیکال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بدان‌جا رسید دانش من که بدانم همی که نادانم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ابوعلی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سال فکر کردم شب و روز معلومم شد که هیچ معلوم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خیام، رباعی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برای تعلیم این گزاره به بشر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اند، بلکه برای یادآوری گزاره مزبور و اهداف دیگری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می تواند همان گزاره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می تواند پیامبر راستین را از دروغین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تحت تأثیر قرار گرفت، نه</w:t>
      </w:r>
    </w:p>
    <w:p>
      <w:pPr>
        <w:pStyle w:val="BookText"/>
        <w:rPr/>
      </w:pPr>
      <w:r>
        <w:rPr>
          <w:rFonts w:ascii="IRNazanin" w:hAnsi="IRNazanin" w:eastAsia="IRNazanin"/>
          <w:color w:val="111111"/>
          <w:sz w:val="28"/>
          <w:sz w:val="28"/>
          <w:szCs w:val="28"/>
          <w:rtl w:val="true"/>
          <w:lang w:bidi="fa-IR"/>
        </w:rPr>
        <w:t>می تواند خدا را یادآوری کند و نه پیامبر را تشخیص دهد، اما انسان می تواند به پشتوانه فطرتی که دارد، اندیشه اش را از تأثیر عوامل برهاند؛ در نتیجه عقل انسان می تواند بدون پیامبر نیز، خدا را یادآوری کرده، پیامبر راستین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تبیین را می توان در رفع دور نسبت به فطرت نیز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تحت تأثیر قرار گرفت، فطرتش شکوفا نمی شود و به جای آب، به سراب گرایش پیدا می کند؛ اما انسان خودش می تواند حتی بدون راهنمایی پیامبران فطرتش را از متاثر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پیامبران برای بشر برای این مقدار از فطرت و عقل ضروری باشند؛ گرچه در سایر ابعاد مثل جزئیات مسائل اعتقادی، قوانین شریعت، راه تزکیه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دست‌گیری پیامبران به عنوان عاملی منحصر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ارسال رسل را از سوی خدا، نسبت به معارف مزبور، لطف و تفضل خدا بر بندگان دانست، وگرنه همان فطرت و عقل برای مرتبه حداقلی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واضح تر، خداوند با ابزارهای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را بر بندگانش تمام کرده است، اما باید دانست که اتمام حجت امری مقول به تشکیک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عقل برای انسان حجت را تمام کرده اند،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p>
    <w:p>
      <w:pPr>
        <w:pStyle w:val="BookText"/>
        <w:rPr/>
      </w:pPr>
      <w:r>
        <w:rPr>
          <w:rFonts w:ascii="IRNazanin" w:hAnsi="IRNazanin" w:eastAsia="IRNazanin"/>
          <w:color w:val="111111"/>
          <w:sz w:val="28"/>
          <w:sz w:val="28"/>
          <w:szCs w:val="28"/>
          <w:rtl w:val="true"/>
          <w:lang w:bidi="fa-IR"/>
        </w:rPr>
        <w:t>چه چیز؟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نسبت به توحید در مقام اساسی ترین اصل اعتقادی؛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نسبت به این‌که انسان باید خلقیات خود را با این روش خاص اخلاقی تزکیه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نسبت به این‌که انسان باید رفتارش را با این شریعت منطبق سازد؛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میان کسی وجود دارد که خدا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آیا برای او حجت تمام شده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با تمامی شئون تذکری، تزکیه ای، تعلیمی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یقیناً حجت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تمام شده است؛ یعنی او کسی است که نه تنها از ابزار درونی که از ابزار بیرونی نیز در حد اعلایی برخوردار بوده است، ولی با سوء اختیارش شریعت را به کناری زده، اخلاق را زیر پا گذاشته و عقل توانگرش را ناتوان ساخته و نهایتاً فطرتش را خاموش کرده است</w:t>
      </w:r>
      <w:r>
        <w:rPr>
          <w:rFonts w:eastAsia="IRNazanin" w:cs="IRNazanin"/>
          <w:color w:val="111111"/>
          <w:sz w:val="28"/>
          <w:szCs w:val="28"/>
          <w:rtl w:val="true"/>
          <w:lang w:bidi="fa-IR"/>
        </w:rPr>
        <w:t>.</w:t>
      </w:r>
      <w:bookmarkStart w:id="299" w:name="pg2653_32482"/>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اما اگر او فقط از فطرت، یا فطرت به همراه عقل و یا فطرت، عقل و شأن تذکری پیامبر بهره‌مند باشد، چگونه است؟</w:t>
      </w:r>
    </w:p>
    <w:p>
      <w:pPr>
        <w:pStyle w:val="BookText"/>
        <w:rPr/>
      </w:pPr>
      <w:r>
        <w:rPr>
          <w:rFonts w:ascii="IRNazanin" w:hAnsi="IRNazanin" w:eastAsia="IRNazanin"/>
          <w:color w:val="111111"/>
          <w:sz w:val="28"/>
          <w:sz w:val="28"/>
          <w:szCs w:val="28"/>
          <w:rtl w:val="true"/>
          <w:lang w:bidi="fa-IR"/>
        </w:rPr>
        <w:t>لازم است مرتبه حداقل اتمام حجت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مرتبه می توان، حداقل امکانات انسان را اتمام حجت و امکانات افزون را لطف و تفضل خدا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مرتبه حداقل اتمام حجت، فطرت و عقل کافی باشد، ارسال رسل نسبت به آن مرتبه تفضل خداست؛ پس بدون ارسال رسل، فطرت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هم خدا و صفات کمالیه اش را اثبات و تذکر دهند و هم صداقت پیامبر را با تکیه بر حد وسط اعجاز و صفت حکمت خدا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دیگر نیروهای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تمایلات و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برای امکانات مزبور مانع ایجاد کرده، آن ها را از اثبات، تذکر و تشخیص وادارند، اما انسان حتی بدون الهام از پیامبر نیز با تکیه بر اراده و اختیار خدادادی اش، می تواند مانع زدایی کرده، نیروهای مزبور را به مقصدشان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نماییِ موانع فطرت و عقل نباید به کاستن نقش امکانات خدادادی منجر شود، ولی اگر موانع مزبور در حد خود طرح شود، طبیعی است که امکانات بشری خواهند توانست آن ها را برطرف کنند و بدین صورت، شبهه دور پاسخ داده خواهد شد</w:t>
      </w:r>
      <w:r>
        <w:rPr>
          <w:rFonts w:eastAsia="IRNazanin" w:cs="IRNazanin"/>
          <w:color w:val="111111"/>
          <w:sz w:val="28"/>
          <w:szCs w:val="28"/>
          <w:rtl w:val="true"/>
          <w:lang w:bidi="fa-IR"/>
        </w:rPr>
        <w:t>.</w:t>
      </w:r>
    </w:p>
    <w:p>
      <w:pPr>
        <w:pStyle w:val="Heading3"/>
        <w:numPr>
          <w:ilvl w:val="2"/>
          <w:numId w:val="1"/>
        </w:numPr>
        <w:rPr/>
      </w:pPr>
      <w:bookmarkStart w:id="300" w:name="__RefHeading___Toc681113_1395250215"/>
      <w:bookmarkStart w:id="301" w:name="_Toc116"/>
      <w:bookmarkEnd w:id="300"/>
      <w:r>
        <w:rPr>
          <w:rtl w:val="true"/>
        </w:rPr>
        <w:t>جمع بندی</w:t>
      </w:r>
      <w:bookmarkEnd w:id="301"/>
    </w:p>
    <w:p>
      <w:pPr>
        <w:pStyle w:val="BookText"/>
        <w:rPr/>
      </w:pPr>
      <w:r>
        <w:rPr>
          <w:rFonts w:ascii="IRNazanin" w:hAnsi="IRNazanin" w:eastAsia="IRNazanin"/>
          <w:color w:val="111111"/>
          <w:sz w:val="28"/>
          <w:sz w:val="28"/>
          <w:szCs w:val="28"/>
          <w:rtl w:val="true"/>
          <w:lang w:bidi="fa-IR"/>
        </w:rPr>
        <w:t xml:space="preserve">اکنون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فطری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بسته، مهم ترین نتایج به‌دست‌آمده را مرور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تقریر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حصولی آسان از باب فطریات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و شهودی؛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جایگاه فطرت در نظام عقیدتی اسلام، روشن می شود که تسلیم انسان در برابر تذکرات عقل و وحی، به تجلی بیشتر حق، و عدم تسلیم و اراده کفر به اختفای حق منجر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 ها در نهاد خود به حق گرایش داشته، در تمامی زمان ها و مکان ها در اصل این گرایش باهم اتفاق نظر دارند؛ هرچند در تشخیص این حق مختلفند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رذایل نفسانی و اعمال زشت به عنوان عوامل درونی، و دوری از کانون دعوت به اسلام و کندی ذهن به عنوان عوامل بیرونی، زمینه اختلاف را در فهم انسان ها از خدا فراهم می کنند که اسلام زمینه اختلاف مزبور را با شئون سه‌گانه تزکیه، تعلیم و تبلیغ انبیا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وجود انبیا نیز، فطرت و عقل انسان می تواند در مرتبه حداقل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عمل کرده، مرتبه حداقلی حجت را بر انسان تمام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 می تواند در تشخیص پیامبر راستین آزادانه اندیشیده، او را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تقریرهای سه گانه از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وجود خدا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تقسیم‌بندی تجلی فطری خدا 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تذکر و تسلیم می توان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تقریر دوم 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تقریر سوم از فطرت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فطرت، پیامبر، عقل، اتمام حجت، اراده انسان،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هدایت در نظام عقیدتی اسلام</w:t>
      </w:r>
      <w:bookmarkStart w:id="302" w:name="pg2653_32484"/>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Heading3"/>
        <w:numPr>
          <w:ilvl w:val="2"/>
          <w:numId w:val="1"/>
        </w:numPr>
        <w:rPr/>
      </w:pPr>
      <w:bookmarkStart w:id="303" w:name="__RefHeading___Toc681115_1395250215"/>
      <w:bookmarkStart w:id="304" w:name="_Toc117"/>
      <w:bookmarkEnd w:id="303"/>
      <w:r>
        <w:rPr>
          <w:rtl w:val="true"/>
        </w:rPr>
        <w:t>منابع</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فطری خدا، تهران، مؤسسه نبأ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مقاله پیرامون مبدأ و معاد، قم،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 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حدیث، تهران، 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آبادی، محمدعلی،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الانسان و الفطرة، چاپ شده در رشحات البحار، تصحیح،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ویسی، تهران،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ابوالفضل علی بن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مشکاة الانوار، نجف، کتابخانه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حسین و غفارزاده،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اسلامی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واعظی،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دیدگاه اسلام، تهران، سمت</w:t>
      </w:r>
      <w:r>
        <w:rPr>
          <w:rFonts w:eastAsia="IRNazanin" w:cs="IRNazanin"/>
          <w:color w:val="111111"/>
          <w:sz w:val="28"/>
          <w:szCs w:val="28"/>
          <w:rtl w:val="true"/>
          <w:lang w:bidi="fa-IR"/>
        </w:rPr>
        <w:t>.</w:t>
      </w:r>
      <w:bookmarkStart w:id="305" w:name="pg2653_32485"/>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2"/>
        <w:numPr>
          <w:ilvl w:val="1"/>
          <w:numId w:val="1"/>
        </w:numPr>
        <w:rPr/>
      </w:pPr>
      <w:bookmarkStart w:id="306" w:name="__RefHeading___Toc681117_1395250215"/>
      <w:bookmarkStart w:id="307" w:name="_Toc118"/>
      <w:bookmarkEnd w:id="306"/>
      <w:r>
        <w:rPr>
          <w:rtl w:val="true"/>
        </w:rPr>
        <w:t>بررسی اقناع مخاطب در پاسخ گوییِ قرآن به شبهات اعتقادی</w:t>
      </w:r>
      <w:bookmarkEnd w:id="307"/>
    </w:p>
    <w:p>
      <w:pPr>
        <w:pStyle w:val="Heading3"/>
        <w:numPr>
          <w:ilvl w:val="2"/>
          <w:numId w:val="1"/>
        </w:numPr>
        <w:rPr/>
      </w:pPr>
      <w:bookmarkStart w:id="308" w:name="__RefHeading___Toc681119_1395250215"/>
      <w:bookmarkStart w:id="309" w:name="_Toc119"/>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داوود افقی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1393/01/20</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1393/02/27</w:t>
      </w:r>
    </w:p>
    <w:p>
      <w:pPr>
        <w:pStyle w:val="Heading3"/>
        <w:numPr>
          <w:ilvl w:val="2"/>
          <w:numId w:val="1"/>
        </w:numPr>
        <w:rPr/>
      </w:pPr>
      <w:bookmarkStart w:id="310" w:name="__RefHeading___Toc681121_1395250215"/>
      <w:bookmarkStart w:id="311" w:name="_Toc120"/>
      <w:bookmarkEnd w:id="310"/>
      <w:r>
        <w:rPr>
          <w:rtl w:val="true"/>
        </w:rPr>
        <w:t>چکیده</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متقاعد کردن، فرآیندی ارتباطی است که هدف اساسی آن، انتقال محتوا با اثرگذاری و ایجاد تغییر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برجسته پاسخ‌های قرآن به شبهات اعتقادی، اقناع مخاطب است و تمامی پاسخ‌های قرآن، دارای این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قرآنی، اقناعی کامل با ابزارهای مشروع و صحیح است که در چهارچوب اختیار و آزادی انتخابِ مخاطبان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مسیر اقناع مخاطب، از شیوه‌های گوناگونی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با ایجاد اعتماد در مخاطب و جلب توجه او شروع شده و با ارائه دلایل، مستندات و استدلال‌های منطقی، مستحکم و غیر قابل خدشه، به اثبات موضع حق، متقاعد شدن و حصول تغییر در مخاطب می‌انجامد</w:t>
      </w:r>
      <w:r>
        <w:rPr>
          <w:rFonts w:eastAsia="IRNazanin" w:cs="IRNazanin"/>
          <w:color w:val="111111"/>
          <w:sz w:val="28"/>
          <w:szCs w:val="28"/>
          <w:rtl w:val="true"/>
          <w:lang w:bidi="fa-IR"/>
        </w:rPr>
        <w:t>.</w:t>
      </w:r>
    </w:p>
    <w:p>
      <w:pPr>
        <w:pStyle w:val="Heading3"/>
        <w:numPr>
          <w:ilvl w:val="2"/>
          <w:numId w:val="1"/>
        </w:numPr>
        <w:rPr/>
      </w:pPr>
      <w:bookmarkStart w:id="312" w:name="__RefHeading___Toc681123_1395250215"/>
      <w:bookmarkStart w:id="313" w:name="_Toc121"/>
      <w:bookmarkEnd w:id="312"/>
      <w:r>
        <w:rPr>
          <w:rtl w:val="true"/>
        </w:rPr>
        <w:t>واژگان کلیدی</w:t>
      </w:r>
      <w:bookmarkEnd w:id="3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اقناع، اقناع مخاطب، پاسخ گویی قرآن، شبهات اعتقادی</w:t>
      </w:r>
      <w:r>
        <w:rPr>
          <w:rFonts w:eastAsia="IRNazanin" w:cs="IRNazanin"/>
          <w:color w:val="111111"/>
          <w:sz w:val="28"/>
          <w:szCs w:val="28"/>
          <w:rtl w:val="true"/>
          <w:lang w:bidi="fa-IR"/>
        </w:rPr>
        <w:t>.</w:t>
      </w:r>
      <w:bookmarkStart w:id="314" w:name="pg2653_32486"/>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5" w:name="__RefHeading___Toc681125_1395250215"/>
      <w:bookmarkStart w:id="316" w:name="_Toc122"/>
      <w:bookmarkEnd w:id="315"/>
      <w:r>
        <w:rPr>
          <w:rtl w:val="true"/>
        </w:rPr>
        <w:t>درآمد</w:t>
      </w:r>
      <w:bookmarkEnd w:id="316"/>
    </w:p>
    <w:p>
      <w:pPr>
        <w:pStyle w:val="BookText"/>
        <w:rPr/>
      </w:pPr>
      <w:r>
        <w:rPr>
          <w:rFonts w:ascii="IRNazanin" w:hAnsi="IRNazanin" w:eastAsia="IRNazanin"/>
          <w:color w:val="111111"/>
          <w:sz w:val="28"/>
          <w:sz w:val="28"/>
          <w:szCs w:val="28"/>
          <w:rtl w:val="true"/>
          <w:lang w:bidi="fa-IR"/>
        </w:rPr>
        <w:t xml:space="preserve">از تعاریفی که برای علم کلام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برخی از تعاریف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ابن‌خلدون،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که علم کلام دارای دو بخش و جنبه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استنباطی و جنبه دفاعی </w:t>
      </w:r>
      <w:r>
        <w:rPr>
          <w:rStyle w:val="FootnoteAnchor"/>
          <w:rtl w:val="true"/>
        </w:rPr>
        <w:footnoteReference w:id="67"/>
      </w:r>
      <w:r>
        <w:rPr>
          <w:rFonts w:ascii="IRNazanin" w:hAnsi="IRNazanin" w:eastAsia="IRNazanin"/>
          <w:color w:val="111111"/>
          <w:sz w:val="28"/>
          <w:sz w:val="28"/>
          <w:szCs w:val="28"/>
          <w:rtl w:val="true"/>
          <w:lang w:bidi="fa-IR"/>
        </w:rPr>
        <w:t>به تعبیر دیگر، دو هدف و غایت علم کلام، استنباط عقاید دینی و دفاع از آن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اعتقادی، مهم‌ترین بخش از جنبه دفاعیِ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کتاب و سنت نیز مورد توجه جدی قرار گرفته و دارای اهمیت ویژه و انکارناپذیری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جایگاه مهم‌ترین منبع اسلامی، به شبهات اعتقادی پاسخ داده و بخشی از تلاش و کارکرد قرآن، معطوف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قرآن به شبهات، دارای ویژگی‌هایی است که در راستای تحقق اهداف نزول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ویژگی‌ها، می‌توان از اقناع مخاطب به عنوان یکی از مهم‌ترینِ آن‌ها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صدد هستیم تا نحوه توجه قرآن به این مسئله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اقناع، خصوصیات اقناع قرآنی و چگونگیِ تحقق آن در پاسخ‌گویی قرآن به شبهات اعتقادی، مباحث اصلی این نوشته را تشکیل می‌دهد</w:t>
      </w:r>
      <w:r>
        <w:rPr>
          <w:rFonts w:eastAsia="IRNazanin" w:cs="IRNazanin"/>
          <w:color w:val="111111"/>
          <w:sz w:val="28"/>
          <w:szCs w:val="28"/>
          <w:rtl w:val="true"/>
          <w:lang w:bidi="fa-IR"/>
        </w:rPr>
        <w:t>.</w:t>
      </w:r>
    </w:p>
    <w:p>
      <w:pPr>
        <w:pStyle w:val="Heading3"/>
        <w:numPr>
          <w:ilvl w:val="2"/>
          <w:numId w:val="1"/>
        </w:numPr>
        <w:rPr/>
      </w:pPr>
      <w:bookmarkStart w:id="317" w:name="__RefHeading___Toc681127_1395250215"/>
      <w:bookmarkStart w:id="318" w:name="_Toc123"/>
      <w:bookmarkEnd w:id="317"/>
      <w:r>
        <w:rPr>
          <w:rtl w:val="true"/>
        </w:rPr>
        <w:t xml:space="preserve">مفهوم </w:t>
      </w:r>
      <w:r>
        <w:rPr>
          <w:rtl w:val="true"/>
        </w:rPr>
        <w:t>«</w:t>
      </w:r>
      <w:r>
        <w:rPr>
          <w:rtl w:val="true"/>
        </w:rPr>
        <w:t>اقناع</w:t>
      </w:r>
      <w:r>
        <w:rPr>
          <w:rtl w:val="true"/>
        </w:rPr>
        <w:t>»</w:t>
      </w:r>
      <w:bookmarkEnd w:id="318"/>
    </w:p>
    <w:p>
      <w:pPr>
        <w:pStyle w:val="Heading4"/>
        <w:numPr>
          <w:ilvl w:val="3"/>
          <w:numId w:val="1"/>
        </w:numPr>
        <w:rPr/>
      </w:pPr>
      <w:bookmarkStart w:id="319" w:name="__RefHeading___Toc681129_1395250215"/>
      <w:bookmarkStart w:id="320" w:name="_Toc124"/>
      <w:bookmarkEnd w:id="319"/>
      <w:r>
        <w:rPr>
          <w:rtl w:val="true"/>
        </w:rPr>
        <w:t>اشاره</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کتب لغت، چند معنا برای آن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ازهری،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صاحب بن عباد،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معانی، رضایت و خشنودی است، معنای دیگر سؤال و پرسش است و معنای سوم بالا بردن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لغت‌نامه‌های فارسی، اقناع به سر و چشم برابر چیزی داشتن، سر را برداشتن و به جانبی التفات کردن، خشنود گردانیدن و راضی کردن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اقناع بیشتر در حوزه دانش ارتباطات طرح می‌شود و در این دانش، تعاریف گوناگونی برای این اصطلاح خاص بیان شده است؛ از جمله در تعریف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اقناع، یعنی قانع و راضی کردن افراد جهت گرایش به موضوعی خاص یا انجام فعالیتی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آگاهانه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فرد یا سازمان، برای تغییر نگرش، باور، ارزش‌ها یا دیدگاه‌های فرد یا گروهی دیگر را اقناع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فرایندی ارتباطی است که هدف آن، نفوذ در گیرنده پیام است؛ به این معنا که پیامی ترغیبی، نظر یا رفتار را به شکلی داوطلبانه به گیرنده ارائه می‌دهد و انتظار می‌رود این پیام در مخاطب یا گیرنده پیام،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حاجی‌پور و 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کلی، درباره اقناع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اقناع، فرایندی ارتباطی است که هدف اساسیِ آن، انتقال محتوا با اثرگذاری بر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شاکر و حاجی‌پور،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تعاریف می‌توان چنین نتیجه گرفت که اقناع مخاطب، مساوی با اثرگذاری و تغییر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و تغییر، ابتدا در ساحت اندیشه انسانی صورت می‌گیرد؛ لذا هدف اولیه، اقناع اندیشه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نگرش‌ها، باورها و رفتارهای مخاطب نیز تحت تأثیر قرار می‌گیرد؛ به همین دلیل است که اغلب از بحث اقناع،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اندیشه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اقناع در این بحث، که مربوط به پاسخ‌گوییِ قرآن به شبهات اعتقادی است، قانع ساختن و متقاعد کردن مخاطب است، به گونه‌ای که نگرش او را به مسئله مورد شبهه و سؤال، تصحیح کرده و تغییر می‌دهد و باعث زدودن شبهه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پاسخ به شبهه، صرفاً به دنبال غلبه و اسکات مخاطب نیست، بلکه اقناع اندیشه مخاطب و متقاعد ساختن او را نیز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رفع شبهه و زدودن آن بدون اقناع مخاطب امکان ندارد، چراکه بدون اقناع، مخاطب در ذهن، فکر و درون خود، عذر و بهانه‌ای برای تبعیت از مفاد شبهه و گرایش به آن، به وجود می‌آورد و این یعنی پابرجا و زنده بودن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سخنِ گهربار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تبیین جدال احسن، به این مسئله اشاره داشته باشد؛ آن حضرت ضمن اشاره به چند نمونه از جدال‌های قرآنی و تذکر آن‌ها به عنوان مصادیقی از جدال احسن، معیار و ملاک جدال احسن را این‌گونه معرفی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الجدال بالتی هی احسن، لأنّ فیها قطع عذر الکافرین و ازالة شبهتهم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اقناع مخاطب صورت نگیرد، عذرها، بهانه‌ها و توجیه‌ها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ما این است که پاسخ‌های قرآن این خاصیت و شاخصه اقناع را دارند و هر انسان منصفی، اگر بدون لجاجت و تعصب و با آزاد‌اندیشی و حریت به سراغ پاسخ‌های قرآن برود، بی‌شک متقاعد و قانع 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اقناع قرآنی دارای سه ویژگی مهم و اساسی است</w:t>
      </w:r>
      <w:r>
        <w:rPr>
          <w:rFonts w:eastAsia="IRNazanin" w:cs="IRNazanin"/>
          <w:color w:val="111111"/>
          <w:sz w:val="28"/>
          <w:szCs w:val="28"/>
          <w:rtl w:val="true"/>
          <w:lang w:bidi="fa-IR"/>
        </w:rPr>
        <w:t>:</w:t>
      </w:r>
      <w:bookmarkStart w:id="321" w:name="pg2653_32488"/>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4"/>
        <w:numPr>
          <w:ilvl w:val="3"/>
          <w:numId w:val="1"/>
        </w:numPr>
        <w:rPr/>
      </w:pPr>
      <w:bookmarkStart w:id="322" w:name="__RefHeading___Toc681131_1395250215"/>
      <w:bookmarkStart w:id="323" w:name="_Toc125"/>
      <w:bookmarkEnd w:id="322"/>
      <w:r>
        <w:rPr/>
        <w:t>1</w:t>
      </w:r>
      <w:r>
        <w:rPr>
          <w:rtl w:val="true"/>
        </w:rPr>
        <w:t xml:space="preserve">. </w:t>
      </w:r>
      <w:r>
        <w:rPr>
          <w:rtl w:val="true"/>
        </w:rPr>
        <w:t>اقناع کامل</w:t>
      </w:r>
      <w:bookmarkEnd w:id="323"/>
    </w:p>
    <w:p>
      <w:pPr>
        <w:pStyle w:val="BookText"/>
        <w:rPr/>
      </w:pPr>
      <w:r>
        <w:rPr>
          <w:rFonts w:ascii="IRNazanin" w:hAnsi="IRNazanin" w:eastAsia="IRNazanin"/>
          <w:color w:val="111111"/>
          <w:sz w:val="28"/>
          <w:sz w:val="28"/>
          <w:szCs w:val="28"/>
          <w:rtl w:val="true"/>
          <w:lang w:bidi="fa-IR"/>
        </w:rPr>
        <w:t>اقناعِ مورد نظر قرآن، اقناع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به دنبال اقناع اندیشه و فکر مخاطب است، بلکه فراتر از آن، اقناع روح و وجدان مخاطبان خود را نیز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ذهن و فکر انسان در اثر استدلال و اقامه برهان، درباره مسئله‌ای قانع شود، اما این قانع شدن همواره مساوی با تصدیق و رضایت درونی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اتفاق می‌افتد که انسان در مقابل یک دلیل ساکت می‌شود، اما در عمق وجدان خود، نوعی شک و تردید نسبت به مدعا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جایی دیگر برای اقناع، دو مرحله قائل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اقناع فکری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اقناع روحی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پاسخ‌های قرآن به شبهات اعتقادی، این نکته را نشان می‌دهد که قرآن، اقناع وجدانی و روحی را نیز مد‌نظر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گسترده قرآن از ارجاع به فطرت و اهتمام به پاسخ‌گویی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دلایل توجه قرآن به اقناع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سؤال و پرسش‌گریِ قرآن در مقابل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 چالش کشیدن و اقناع وجدان‌ها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پاسخ‌های قرآن به شبهات، با موعظه و تذکر همراه است و قرآن تلاش دارد تا در کنار تغذیه فکری و پاسخ استدلالی، روح و جان انسان‌ها را نیز تغذیه کند و این‌ها همه نشان از توجه قرآن به اقناع روحی و تحقق اقناع کامل است</w:t>
      </w:r>
      <w:r>
        <w:rPr>
          <w:rFonts w:eastAsia="IRNazanin" w:cs="IRNazanin"/>
          <w:color w:val="111111"/>
          <w:sz w:val="28"/>
          <w:szCs w:val="28"/>
          <w:rtl w:val="true"/>
          <w:lang w:bidi="fa-IR"/>
        </w:rPr>
        <w:t>.</w:t>
      </w:r>
    </w:p>
    <w:p>
      <w:pPr>
        <w:pStyle w:val="Heading4"/>
        <w:numPr>
          <w:ilvl w:val="3"/>
          <w:numId w:val="1"/>
        </w:numPr>
        <w:rPr/>
      </w:pPr>
      <w:bookmarkStart w:id="324" w:name="__RefHeading___Toc681133_1395250215"/>
      <w:bookmarkStart w:id="325" w:name="_Toc126"/>
      <w:bookmarkEnd w:id="324"/>
      <w:r>
        <w:rPr/>
        <w:t>2</w:t>
      </w:r>
      <w:r>
        <w:rPr>
          <w:rtl w:val="true"/>
        </w:rPr>
        <w:t xml:space="preserve">. </w:t>
      </w:r>
      <w:r>
        <w:rPr>
          <w:rtl w:val="true"/>
        </w:rPr>
        <w:t>اقناع صحیح، با ابزارهای مشروع</w:t>
      </w:r>
      <w:bookmarkEnd w:id="3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پاسخ به شبهات اعتقادی، به دنبال اقناع مخاطب و تغییر نگرش اوست، اما هرگز در این مسیر از ابزار و وسایل نامقدس و نامشروع استفاده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اقناعی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اقناع است که با استفاده از ابزارهای نامشروع و نادرست صورت می‌گیرد و با فریب مخاطب، ذهنیت، نگرش و رفتار او را در جهت و مسیر مورد نظر تغییر می‌دهد، به گونه‌ای که مخاطب تصور می‌کند با میل خود و در کمال آزادی، اهداف و رهنمودهای تعیین‌شده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اقناعی امروزه یکی از محوری‌ترین شیوه‌های تبلیغات غربی را تشکیل می‌دهد و دانشمندان عرصه ارتباطات در مغرب‌زمین، گرچه فریب اقناعی را از اصل اقناع متمایز کرده‌اند، خود در</w:t>
      </w:r>
      <w:bookmarkStart w:id="326" w:name="pg2653_32489"/>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نوشته‌هایشان معترفند که شیوه اصلی در غرب، عمل بر اساس فریب اقناعی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پراتکانیس و آرنسون،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غرب تا آن‌جا پیش رفته که شیوه‌های آن را نیز مدون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پراتکانیس و آرنسون،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شده تا برخی اندیشمندان، نگاهی کاملاً منفی به مقوله اقناع داشته باشند و از اقناع با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فکر، شست‌وشوی مغزی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پراتکانیس و آرنسون،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جایی از قرآن و در هیچ تلاشی از سوی قرآن در پاسخ به شبهات، نمی‌توان اثری از روش‌های نامشروع و فریب اقناعی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w:t>
      </w:r>
      <w:r>
        <w:rPr>
          <w:rStyle w:val="FootnoteAnchor"/>
          <w:rtl w:val="true"/>
        </w:rPr>
        <w:footnoteReference w:id="68"/>
      </w:r>
      <w:r>
        <w:rPr>
          <w:rFonts w:ascii="IRNazanin" w:hAnsi="IRNazanin" w:eastAsia="IRNazanin"/>
          <w:color w:val="111111"/>
          <w:sz w:val="28"/>
          <w:sz w:val="28"/>
          <w:szCs w:val="28"/>
          <w:rtl w:val="true"/>
          <w:lang w:bidi="fa-IR"/>
        </w:rPr>
        <w:t>، سفسطه</w:t>
      </w:r>
      <w:r>
        <w:rPr>
          <w:rStyle w:val="FootnoteAnchor"/>
          <w:rtl w:val="true"/>
        </w:rPr>
        <w:footnoteReference w:id="69"/>
      </w:r>
      <w:r>
        <w:rPr>
          <w:rFonts w:ascii="IRNazanin" w:hAnsi="IRNazanin" w:eastAsia="IRNazanin"/>
          <w:color w:val="111111"/>
          <w:sz w:val="28"/>
          <w:sz w:val="28"/>
          <w:szCs w:val="28"/>
          <w:rtl w:val="true"/>
          <w:lang w:bidi="fa-IR"/>
        </w:rPr>
        <w:t>و به طور کلی شیوه‌های منفیِ تأثیرگذاری، که همگی مصادیقی از باطل هستند، جایی در قرآن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علامه طباطبایی، دعوت اسلام و قرآن بر اساس حقّ صریح است؛ بنابراین، قرآن نمی‌تواند با مقدمات و ابزارهای باطل و نامشروع، اهداف و برنامه‌های خود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به باطل متوسل شود، باطل را امضا کرده و به کرسی نشانده است؛ در نتیجه دعوتش، دعوت به باطل می‌شود، نه دعوت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نیز با ذکر مصادیق متعدد، تأکید کرده است که هدف مقدس نمی‌تواند توجیه‌گرِ ابزار نامقدس باشد و محال است که قرآن از امری نامقدس، مثلاً از امری پوچ یا باطل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عدم استفاده قرآن از روش‌های نامشروع از جمله فریب اقناعی، به عصمت تام و کامل کتاب الهی از هر گونه خطا، لغزش و انحراف نیز بستگی دارد و استفاده از هر وسیله نادرست برای متقاعد کردن مخاطب، در تعارض با عصمت کتاب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27" w:name="__RefHeading___Toc681135_1395250215"/>
      <w:bookmarkStart w:id="328" w:name="_Toc127"/>
      <w:bookmarkEnd w:id="327"/>
      <w:r>
        <w:rPr/>
        <w:t>3</w:t>
      </w:r>
      <w:r>
        <w:rPr>
          <w:rtl w:val="true"/>
        </w:rPr>
        <w:t xml:space="preserve">. </w:t>
      </w:r>
      <w:r>
        <w:rPr>
          <w:rtl w:val="true"/>
        </w:rPr>
        <w:t>اقناع در چهارچوب اختیار و آزادیِ انتخاب مخاطب</w:t>
      </w:r>
      <w:bookmarkEnd w:id="3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اقناع مخاطب از ویژگی‌های پاسخ‌های قرآن به شبهات اعتقادی است، اما این به معنای متقاعد شدن همه مخاطبان و تحقق صددرصد اقناع نیست، زیرا هرچند پاسخ‌های قرآن این خصوصیت را دارند، اما اقناع قرآن در چهارچوب اختیار و آزادی انتخاب مخاطبان صورت</w:t>
      </w:r>
      <w:bookmarkStart w:id="329" w:name="pg2653_32490"/>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می‌گیرد </w:t>
      </w:r>
      <w:r>
        <w:rPr>
          <w:rStyle w:val="FootnoteAnchor"/>
          <w:rtl w:val="true"/>
        </w:rPr>
        <w:footnoteReference w:id="70"/>
      </w:r>
      <w:r>
        <w:rPr>
          <w:rFonts w:ascii="IRNazanin" w:hAnsi="IRNazanin" w:eastAsia="IRNazanin"/>
          <w:color w:val="111111"/>
          <w:sz w:val="28"/>
          <w:sz w:val="28"/>
          <w:szCs w:val="28"/>
          <w:rtl w:val="true"/>
          <w:lang w:bidi="fa-IR"/>
        </w:rPr>
        <w:t>به تعبیر دیگر، قرآن ویژگیِ اقناع را داراست، اما این ویژگی اختیار مخاطب را سلب نکرده و او را مجبور نمی‌کند که از رهنمودهای قرآن تبعیت کند؛ به همین دلیل، خیلی افراد از روی لجاجت، غرور و یا هر دلیل دیگری ممکن است مسیر فرایند اقناعی قرآن را بر خود یا دیگران مسدود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آن که تعالیم قرآن و از جمله پاسخ‌های قرآن به شبهات، کاملاً منطقی و حق هستند و انسانِ منصف و منطقی چاره‌ای جز پذیرفتن آن‌ها ندارد، برخی چون فاسقان، منکران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تسلیم سخن محکم الهی نمی‌شوند و به ظاهر، اقناعی در آن‌ها صورت نمی‌گیرد</w:t>
      </w:r>
      <w:r>
        <w:rPr>
          <w:rFonts w:eastAsia="IRNazanin" w:cs="IRNazanin"/>
          <w:color w:val="111111"/>
          <w:sz w:val="28"/>
          <w:szCs w:val="28"/>
          <w:rtl w:val="true"/>
          <w:lang w:bidi="fa-IR"/>
        </w:rPr>
        <w:t>.</w:t>
      </w:r>
    </w:p>
    <w:p>
      <w:pPr>
        <w:pStyle w:val="Heading3"/>
        <w:numPr>
          <w:ilvl w:val="2"/>
          <w:numId w:val="1"/>
        </w:numPr>
        <w:rPr/>
      </w:pPr>
      <w:bookmarkStart w:id="330" w:name="__RefHeading___Toc681137_1395250215"/>
      <w:bookmarkStart w:id="331" w:name="_Toc128"/>
      <w:bookmarkEnd w:id="330"/>
      <w:r>
        <w:rPr>
          <w:rtl w:val="true"/>
        </w:rPr>
        <w:t>مراحل فرایند اقناع از نظر دانشمندان</w:t>
      </w:r>
      <w:bookmarkEnd w:id="331"/>
    </w:p>
    <w:p>
      <w:pPr>
        <w:pStyle w:val="Heading4"/>
        <w:numPr>
          <w:ilvl w:val="3"/>
          <w:numId w:val="1"/>
        </w:numPr>
        <w:rPr/>
      </w:pPr>
      <w:bookmarkStart w:id="332" w:name="__RefHeading___Toc681139_1395250215"/>
      <w:bookmarkStart w:id="333" w:name="_Toc12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اندیشمندان برای فرآیند اقناع، دو مرحله کلی ترسیم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حاجی‌پور و 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شدن با مخاطب است که منجر به اعتمادسازی و جلب توجه مخاطب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ابزارهای ترغیب، استدلال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بحث را در قالب این دو مرحله پی می‌گیریم</w:t>
      </w:r>
      <w:r>
        <w:rPr>
          <w:rFonts w:eastAsia="IRNazanin" w:cs="IRNazanin"/>
          <w:color w:val="111111"/>
          <w:sz w:val="28"/>
          <w:szCs w:val="28"/>
          <w:rtl w:val="true"/>
          <w:lang w:bidi="fa-IR"/>
        </w:rPr>
        <w:t>:</w:t>
      </w:r>
    </w:p>
    <w:p>
      <w:pPr>
        <w:pStyle w:val="Heading4"/>
        <w:numPr>
          <w:ilvl w:val="3"/>
          <w:numId w:val="1"/>
        </w:numPr>
        <w:rPr/>
      </w:pPr>
      <w:bookmarkStart w:id="334" w:name="__RefHeading___Toc681141_1395250215"/>
      <w:bookmarkStart w:id="335" w:name="_Toc130"/>
      <w:bookmarkEnd w:id="334"/>
      <w:r>
        <w:rPr>
          <w:rtl w:val="true"/>
        </w:rPr>
        <w:t>مرحله اول</w:t>
      </w:r>
      <w:bookmarkEnd w:id="335"/>
    </w:p>
    <w:p>
      <w:pPr>
        <w:pStyle w:val="BookText"/>
        <w:rPr/>
      </w:pPr>
      <w:r>
        <w:rPr>
          <w:rFonts w:ascii="IRNazanin" w:hAnsi="IRNazanin" w:eastAsia="IRNazanin"/>
          <w:color w:val="111111"/>
          <w:sz w:val="28"/>
          <w:sz w:val="28"/>
          <w:szCs w:val="28"/>
          <w:rtl w:val="true"/>
          <w:lang w:bidi="fa-IR"/>
        </w:rPr>
        <w:t>شروع فرآیند اقناع، با هم‌گام شدن با مخاطب و جلب اعتمادِ او صورت می‌گیرد؛ در واقع، برای گشودن ذهن مخاطب، ابتدا باید فاصله‌ها پر شود و دیوار بی‌اعتمادی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مرحله از فرآیند اقناع، اهمیت داده و بر آن تأکید کرده است؛ از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لَایَتَّخِذَ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قرآن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تا سخن با اهل کتاب را از نقطه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سَوَاءِ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تا توجه آن‌ها به تعالیم قرآنی جلب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آیه‌ای دیگر، قرآن از مسلمانان می‌خواهد تا اهل کتاب را از اعتقاد خود به تورات و انجیلِ نازل‌شده بر دو پیامبر سابق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مفسران، علت تصریح به نام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قسمتی از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 مُوسیَ وَ عِیسیَ وَ مَا أُوتی‌َ النَّبِیُّونَ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می‌دانند که مخاطب و طرفِ گفت‌و‌گو در آیه، یهودیان و مسیحیان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آگاه کردن و اعلام اعتقاد مسلمانان به کتب نازل‌شده بر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زمینه ایجاد ارتباط مثبت با پیروان این دو پیامبر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فضل‌الله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ذیل آیه شریفه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سخن گفتن، از بهترین، حکیمانه‌ترین و مؤثرترین شیوه‌ها در گفت‌و‌گوست، چرا که فضا و جوّ روانیِ ملایمی را برای گفت‌و‌گویی آرام و دل‌نشین به وجود می‌آورد که در آن از طریق نفوذ در قلب مخاطب، دروازه‌های عقل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و پذیرش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می‌شود، زیرا نزدیک‌ترین راه به عقل انسان، راهی است که از مسیر قلب بگذرد؛ اگر کسی تو را دوست بدارد، فکرت را نیز دوست می‌دارد و اگر کسی دریچه احساسش را به روی تو بگشاید، دریچه عقلش را نیز خواهد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شیوه‌هایی که قرآن در این مرحله از فرآیند اقناع به کار برده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مماشات اولیه با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قرآن برای هم‌گامی و جلب اعتماد مخاطب به ما نشان داده و آموزش می‌دهد، مماشات و همراهیِ اولیه با مخاطب است؛ در واقع، پاسخ‌گو در ابتدا و به ظاهر با شبهه‌کننده هم‌صدا شده و به مخاطب می‌فهماند که ادعای او را می‌پذیرد و با او همراه است و به این طریق، نوعی هم‌گامی و جلب اعتماد صورت می‌گیرد و مخاطب تا حدودی ذهن خود را به روی پاسخ‌گو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اولیه با مخاطب، ضمن ایجاد فضایی مثبت و به دور از تنش، زمینه اقناع اندیشه او را فراهم کرده و فرایند اقناع را تسهیل و تسریع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برای زدودن شبهه، لازم است تا پاسخ‌گو به مرحله دومِ اقناع وارد شده و به شبهه‌کننده نشان دهد که پذیرش ادعای او، چه نتایج غیر قابل قبولی به همراه دارد و به این شیوه، شبهه را ابطال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و حرکتِ گام به گام باید با هوش‌مندی و دقت کامل انجام شود، تا نتایج عکس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روشن از تلاش برای اقناع مخاطب و اعتماد‌سازی و جلب توجه او در قالب هم‌گامی و همراهی اولیه با مخاطب،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الَّیْلُ رَءَا کَوْکَبًا قَالَ هَذَا رَبّی فَلَمَّا أَفَلَ قَالَ لَا أُحِبُّ الاَفِلِینَ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الشَّمْسَ بَازِغَةً قَالَ هَذَا رَبیّ‌ِ هَذَا أَکْبرَُ فَلَمَّا أَفَلَتْ قَالَ یَقَوْمِ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مواجهه با مشرکان و برای ردّ عقاید نادرست آن‌ها، ابتدا خود را هم‌عقیده با آنان نشان داد و وانمود کرد که خدا بودن ستاره و ماه و خورشید را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رَبیّ‌ِ</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اما با غروب کردن آن‌ها، خدایی‌شان را رد کرد و باطل بودن اعتقاد مشرکان را به آنان اظهار کرد؛ به عبارت دیگر،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حصول اقناع از همان ابتدا و به صراحت، آنان را به پرستش خدای یگانه دعوت نکرد، بلکه به تدریج و با تسلیم ابتدایی به عقایدشان </w:t>
      </w:r>
      <w:r>
        <w:rPr>
          <w:rStyle w:val="FootnoteAnchor"/>
          <w:rtl w:val="true"/>
        </w:rPr>
        <w:footnoteReference w:id="72"/>
      </w:r>
      <w:r>
        <w:rPr>
          <w:rFonts w:ascii="IRNazanin" w:hAnsi="IRNazanin" w:eastAsia="IRNazanin"/>
          <w:color w:val="111111"/>
          <w:sz w:val="28"/>
          <w:sz w:val="28"/>
          <w:szCs w:val="28"/>
          <w:rtl w:val="true"/>
          <w:lang w:bidi="fa-IR"/>
        </w:rPr>
        <w:t>، زمینه‌ای فراهم کرد تا علاوه بر جلوگیری از طغیان تعصب مشرکان، ذهن و اندیشه آن‌ها برای پذیرش حق آماده شود و در ادامه با ارائه استدلال‌های محکم، بطلان و سستیِ اعتقادشان را نشان داده و به این ترتیب، اقناع لازم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وَ لَوْ جِئْتُکمُ بِأَهْدَی مِمَّا وَجَدتمُ‌ْ عَلَیْهِ ءَابَاءَکمُ‌ْ قَالُواْ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فرستاده و هشداردهنده الهی در پاسخ به توان‌گران و مترفین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آیین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رسولان آن را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نمی‌کنیم، چون منطبق بر آیین پدرانمان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بِأَهْدی مِمَّا وَجَدْتُمْ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با این‌که می‌داند در بت‌پرستی هیچ‌گونه هدایتی نیست تا دعوت به توحید، هدایت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تصریح دارند که این‌گونه سخن گفتن فرستاده الهی، از باب مماشات و مدارای با مخاطب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عواطفش جریحه‌دار نشود و زمینه تفکر و پذیرش حق فراهم شود؛ دست‌کم در افرادی که جهل، تعصب و لجاجت بر آنان حاکم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نقاط یا زمینه‌های مشترک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قرآن برای ایجاد هم‌گامی و اعتمادسازی به کار گرفته، آن است که مشاهده می‌کنیم قرآن در مواردی، پاسخ‌گوییِ خود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شبهه‌ای را با استفاده از مبانی یا نقاط مشترک و مورد توافق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قضیه‌ای را برای ایجاد زمینه مشترک فکری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از مصادیق بارز هم‌گامی با مخاطب است که باعث می‌شود ضمن ایجاد فضایی آرام و مسالمت‌آمیز، اعتماد مخاطب نیز جلب شده و زمینه اقناع مخاطب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در پاسخ به کافران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از چیزی که پدران خود را بر آن یافته‌ایم،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را به عنوان زمینه مشترک فکری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أَوَلَوْ کَانَ آبَاؤُهُمْ لایَعْقِلُونَ شَیْئاً وَ لایَهْتَدُونَ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مخالفان با باورهای صحیح قرآنی، هیچ‌گونه هم‌خوانی ندارد؛ بنابراین، قرآن برای ایجاد ارتباط و زمینه‌ای برای گفت‌و‌گو، سخنی منطقی به عنوان محور مشترک فکری مطرح می‌کند؛ سخنی که مورد قبول همه انسان‌ها بوده و هیچ عاقلی آن را رد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آبَاؤُهُمْ لاَیَعْقِلُونَ شَیْئاً وَ لاَیَهْتَدُونَ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قرآن، بدین معناست که باید از منشأ هدایت و تعقل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مطلب می‌تواند افراد عاقل و غیرمتعصب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بِأَهْدی مِمَّا وَجَدْتُمْ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اشاره شد، علاوه بر مماشات و همراهی اولیه با مخاطب، متضمن طرح زمینه و محور مشترک فکری است و آن این‌که باید از چیزی تبعیت کرد که هدایتِ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هر انسان عاقلی بی‌درنگ، تأیید کرده و با آن همراهی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شک در باور مخاطب به جای پاسخ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شیوه‌هایی که قرآن برای جلب اعتماد و توجه مخاطب انجام داده، آن است که در مواردی از همان ابتدا به طور صریح، شبهه و اعتقاد طرف مقابل را پاسخ نداده و رد نکرده است، بلکه در ابتدا سعی کرده تا او را از حالت یقین به باور خود،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کار را با به‌کارگیریِ تعابیری هدف‌مند و حساب‌شده، انجام داده تا در مخاطبی که به صورت قطع و یقین، شبهه و اعتقادی نادرست را اظهار کرده، درباره باور و اعتقاد باطلش، ایجاد شک و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به گونه‌ای است که حسّ همراهی را در مخاطب ایجاد می‌کند و او را از موضع و خاکریز یقین، وادار به عقب‌نشینی کرده و از پافشاریِ لجوجانه و تعصب‌آمیز در عقاید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صریح شبهه در مواردی ممکن است به جای آن‌که تأثیری در رفع و اصلاح آن داشته باشد، به پافشاری و عدم همراهی و توجه مخاطب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ارائه نمونه روشن، می‌توان از تعبیر استفاده‌شده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 وَ إِنَّا أَوْ إِیَّاکُمْ لَعَلیَ هُدیً أَوْ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شما را از آسمان‌ها و زمین روزی</w:t>
      </w:r>
      <w:bookmarkStart w:id="336" w:name="pg2653_32494"/>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در حقیقت، یا ما و یا شما بر هدایت یا گمراهیِ آشکاریم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در مواجهه با مشرکان و در مقام ردّ ادعاهای مشرکانه آنان، به صراحت بر گمراهی و ضلالت آن‌ها اشاره نکرده، بلکه شیوه ایجاد شک را برگزیده است تا مخاطب نوعی هم‌گامی و اعتماد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قرآن به گونه‌ای است که گویا پیش‌تر با این مسئله مواجه نشده و تا کنون درباره مخالف خود، هیچ حکمی صادر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 إِیَّاکُمْ لَعَلیَ هُدیً أَوْ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جرقه‌ای برای ایجاد شک در باور مخاطب است تا آگاهانه و عمیق به مسئله نگاه کند و مرکب اندیشه را به حرکت درآورد؛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به هدایت متصف می‌کند و نه مخالف را به گمراهی و ضلالت، بلکه به مخاطب می‌فهماند که در واقع هدایتی وجود دارد و باید از آن پیروی کرد؛ حال باید در چهارچوب گفت‌وگویی همراه با منطق و علم و به دور از تعصب و لجاجت، به دنبال حقیقت و هدایت و تبعیت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مخاطب قرآن، لجاجتِ جاهلانه را پیشه نساخته باشد، با آن همراه شده و از هدایت آن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گفت،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آبَاؤُهُمْ لایَعْقِلُونَ شَیْئاً وَ لایَهْتَدُونَ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لَوْ جِئْتُکمُ بِأَهْدَی مِمَّا وَجَدتمُ‌ْ عَلَیْهِ ءَابَاءَکمُ‌ْ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 إِیَّاکُمْ لَعَلیَ هُدیً أَوْ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بِکِتَابٍ مِّنْ عِندِ اللَّهِ هُوَ أَهْدَی مِنهُْمَا أَتَّبِعْهُ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مواجهه با مخالفان و در پاسخ‌گویی به شبهات از آن‌ها استفاده می‌کند، اعتماد و هم‌گامیِ مخاطب را جلب کرده و زمینه اقناع و رفع شبهه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فضایی آزاد و خالی از تعصب را طراحی می‌کند و اعتماد مخاطب را به حق‌طلبیِ مخالف او و تسلیم بودن او در برابر حق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این آیات به گونه‌ای است که به مخاطب القا می‌کند، هدایت و طریق صحیحی وجود دارد که باید از آن تبعیت کرد و طرف مقابل او، قصد تحمیل عقیده خود را ندارد و تنها تسلیم منطق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زمینه‌سازی آگاهانه، ظریف و دقیق قرآن برای جلب اعتماد و هم‌گامی و به دنبال آن، حصول اقناع در مخاطب است</w:t>
      </w:r>
      <w:r>
        <w:rPr>
          <w:rFonts w:eastAsia="IRNazanin" w:cs="IRNazanin"/>
          <w:color w:val="111111"/>
          <w:sz w:val="28"/>
          <w:szCs w:val="28"/>
          <w:rtl w:val="true"/>
          <w:lang w:bidi="fa-IR"/>
        </w:rPr>
        <w:t>.</w:t>
      </w:r>
    </w:p>
    <w:p>
      <w:pPr>
        <w:pStyle w:val="Heading4"/>
        <w:numPr>
          <w:ilvl w:val="3"/>
          <w:numId w:val="1"/>
        </w:numPr>
        <w:rPr/>
      </w:pPr>
      <w:bookmarkStart w:id="337" w:name="__RefHeading___Toc681143_1395250215"/>
      <w:bookmarkStart w:id="338" w:name="_Toc131"/>
      <w:bookmarkEnd w:id="337"/>
      <w:r>
        <w:rPr>
          <w:rtl w:val="true"/>
        </w:rPr>
        <w:t>مرحله دوم</w:t>
      </w:r>
      <w:bookmarkEnd w:id="3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مرحله اول اقناع، که عبارت از هم‌گام شدن با مخاطب و جلب اعتماد اوست، مرحله دوم فرایند اقناع شروع می‌شود که مرحله راهنمایی و هدایت مخاطب با ارائه دلایل، مستندات و استدلال‌های منطقی، محکم و غیر قابل خدشه است که به اثبات موضع حق، متقاعد شدن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حصول تغییر در مخاطب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پاسخ‌های قرآن به شبهات اعتقادی، از این حیث ویژگی اقناع مخاطب را 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متنی معصوم است؛ به این معنا که هیچ خطا، نقص، عیب، کژی، تحریف و اشتباهی در ساحت مقدس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تمامی پاسخ‌های قرآن به شبهات و استدلال‌های موجود در آیات آن در زمینه اقناع مخاطب، دچار هیچ نقص و کاستی نیست و به طور کامل، به حصول اقناع منجر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پاسخ‌های قرآن به شبهات اعتقادی نشان می‌دهد، قرآن در این زمینه از روش‌های متنوعی استفاده کرده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یکی از عوامل این تعدد و تنوع روش‌ها، مسئله اقناع مخاطب و اهتمام و توجه قرآن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در نظر گرفتن تنوع مخاطبان و تنوع موضوعاتِ مورد شبهه و سؤال و این‌که حصول اقناع در این موضوعات و مخاطبان، نیازمند شیوه‌های گوناگون و استدلال‌های مختلف است، اقدام به استفاده از انواع و اقسام روش‌های پاسخ‌گویی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تنوع روش‌ها درباره موضوعات و شبهات گوناگون، در موارد بسیاری ملاحظه می‌شود که قرآن به شبهه‌ای، چندین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مسئله، اهتمام قرآن به اقناع مخاطب است، چراکه با ارائه پاسخ‌های متعدد، احتمال متقاعد شدن مخاطب افزایش می‌یابد؛ برای نمونه، قرآن در مواجهه با مسیحیان و در پاسخ به شبهه الوهیت حضرت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استفاده از روش‌هایی چون ارجاع به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دادن تناقض در عقاید و ادعاها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دادن لوازم غیر قابل قبول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به عواقب این اعتقاد و بر حذر داشتن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پاسخ‌های گوناگونی به آن‌ها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پاسخ‌ها، جنبه منطقی و استدلالی دارند، برخی جنبه وجدانی و شهودی و برخی دیگر جنبه روان‌شناختی و احساسی؛ بنابراین، پاسخ‌های متنوع قرآن می‌توانند همه مخاطبان را با شخصیت و گرایش‌های مختلف تحت پوشش قرار داده و زمینه اقناع آنان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نمونه دیگرِ پاسخ‌های متعدد قرآن به شبهه‌ای،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این سوره، شبهه مشرکان درباره معاد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أَءِذَا مِتْنَا وَ کُنَّا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آیه چهارم تا آیه پانزدهم، به این شبهه و استبعاد مشرکان درباره وقوع معاد، چندین پاسخ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با اشاره به عمومیت علم و 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با استفاده از روش حس و مشاهده و تذکر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با ارائه نمونه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با روش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پاسخ‌گویی قرآن، اقناع مخاطبان را لحاظ کرده و پاسخ‌های متنوع با گرایش‌های عقلی و ذهنی، حسی و تجربی و فطری و شهودی ارائه نموده است، تا به متقاعد شدن همه آن‌ها بینجامد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نمونه‌های دیگر،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پاسخ‌های قرآن، ویژگیِ اقناع را دارا بوده و ظرفیتِ متقاعد کردن مخاطبان گوناگون را به همراه دارند و هر کدام از شیوه‌ها و پاسخ‌های قرآن را می‌توان به عنوان نمونه‌ای از اقناع قرآنی مطرح کرد که به جهت رعایت اختصار، به ذکر برخی از آن‌ها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شیوه‌های مؤثر قرآنی برای اقناع مخاطب، ارجاع به آیات آفاقی و انفسی و استفاده از حس، مشاهده و تجربه است که در آیات فراوانی مورد استفاده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قرآن برای اقناع مخاطب، توجه او را به ظواهر عالم هستی و اسرار وجود انسان جلب می‌کند و تفکر او را به سمتی سوق می‌دهد تا بتواند از خلال جست‌وجو در پیچیدگی‌های موجود در نظام هستی و با ایجاد ارتباط بین پدیده و پدیدآورنده، اندیشه و وجدانش متقاعد شده و قانع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به فطرت نیز از شیوه‌های اثرگذاری است که قرآن در جهت اقناع مخاطب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اقناع، فراتر از اقناع اندیشه است و روح و وجدان انسان‌ها را مخاطب قرار می‌دهد؛ از این رو، حصول اقناع از این طریق عمیق‌تر و باثبات‌تر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مثال، تصویرسازی و محسوس‌سازی، از دیگر شیوه‌هایی است که به صورت گسترده در قرآن برای اقناع مخاطب مورد استفاده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فوق‌العاده این شیوه به لحاظ علمی و روان‌شناختی در اقناع مخاطب، غیر قابل انکار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شیوه‌های پیشرفته و مؤثری که قرآن برای اقناع مخاطب به کار برده، طرح سؤال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قرآن برای اقناع مخاطب، به جای ارائه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پاسخ صریح، از القای غیرمستقیم مطلب بهره می‌برد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مخاطب در برابر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شبهه، تأثیر به‌مراتب بیشتری از روش مستقیم، در درک و دریافت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برای حصول اقناع، ذهن و فکر مخاطب را به کار می‌گیرد و پاسخ را از کنه وجدان مخاطب طلب می‌کند؛ در این صورت، مخاطب مطلب را حاصل اندیشه و تشخیص خود می‌انگارد و با انعطاف و همراهیِ بیشتری با آن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برای لمس بهتر نحوه تلاش قرآن برای حصول اقناع در مخاطب، به دو نمونه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ءَاتَاهُ اللَّهُ الْمُلْکَ إِذْ قَالَ إِبْرَاهیمُ رَبیّ‌َِ الَّذِی یُحْیی وَ یُمِیتُ قَالَ أَنَا أُحْی وَ أُمِیتُ قَالَ إِبْرَاهیمُ فَإِنَّ اللَّهَ یَأْتی بِالشَّمْسِ مِنَ الْمَشْرِقِ فَأْتِ بهَِا مِنَ الْمَغْرِبِ فَبُهِتَ الَّذِی کَفَرَ 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می‌توان نمونه‌ای از تلاش‌های اقناعی در قرآن برشمرد که در آن، تغییر استدلال و ادامه پاسخ تا حصول اقناع،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جریان ادعای خداییِ نمرود و محاجّه و گفت‌و‌گوی او با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مواجهه با نمرود و برای اقناع او و دیگر حاضران و مخاطبان و ردّ ادعای شرک‌آلود نمرود مبنی بر معبود بودنش </w:t>
      </w:r>
      <w:r>
        <w:rPr>
          <w:rStyle w:val="FootnoteAnchor"/>
          <w:rtl w:val="true"/>
        </w:rPr>
        <w:footnoteReference w:id="75"/>
      </w:r>
      <w:r>
        <w:rPr>
          <w:rFonts w:ascii="Amiri" w:hAnsi="Amiri" w:eastAsia="Amiri" w:cs="Amiri"/>
          <w:color w:val="111111"/>
          <w:sz w:val="28"/>
          <w:sz w:val="28"/>
          <w:szCs w:val="28"/>
          <w:rtl w:val="true"/>
          <w:lang w:bidi="ar-SA"/>
        </w:rPr>
        <w:t>، ابتدا با این استدلال وارد میدان شد که خدا زنده می‌کند و می‌میراند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الَّذِی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در مقابل استدلال حضرت ابراهیم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دست به مغالطه زد</w:t>
      </w:r>
      <w:r>
        <w:rPr>
          <w:rStyle w:val="FootnoteAnchor"/>
          <w:rtl w:val="true"/>
        </w:rPr>
        <w:footnoteReference w:id="76"/>
      </w:r>
      <w:r>
        <w:rPr>
          <w:rFonts w:ascii="IRNazanin" w:hAnsi="IRNazanin" w:eastAsia="IRNazanin"/>
          <w:color w:val="111111"/>
          <w:sz w:val="28"/>
          <w:sz w:val="28"/>
          <w:szCs w:val="28"/>
          <w:rtl w:val="true"/>
          <w:lang w:bidi="fa-IR"/>
        </w:rPr>
        <w:t>و دستور داد دو نفر زندانی را آوردند؛ یکی را دستور داد تا بکشند و دیگری را زنده نگه داشت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برای خود همان وصفی را ادعا کرده و قائل شد که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وصف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پروردگار خود می‌دانست و به این وسیله، امر را بر حاضران مشتبه کرد و جلوی متقاعد شدن و اقناع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مشاهده این وضعیت و این‌که با این استدلال دیگر نمی‌تواند مخاطبان را قانع کند، دست به تغییر استدلال خود زد و استدلال دیگری ارائه نمود؛ استدلالی اقناعی که هیچ‌کس نتوانست با آن معارضه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استدلال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مشرق برمی‌آورد؛ تو آن را از مغرب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مواجهه قرآن با یهودیان است که با ارائه چندین استدلال، زمینه متقاعد شدن و اقناع کامل فراهم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اجماع دارند که آیه شریفه در مقام پاسخ به سخن یهودیان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دلیلِ ایمان نیاوردن خود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قرآن را این‌گونه تعلیل می‌کردند که چون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دشمنیم، به قرآن ایمان نمی‌آوریم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پاسخ به آنان، به تبیین مسئله و ارائه چندین دلیل و برهان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نحوه استدلال و پاسخ قرآن نشان می‌دهد، قرآن چگونه برای اقناع مخاطب، تمامی جوانب را در نظر گرفته و به گونه‌ای پاسخ داده که جای هیچ نوع ابهام و مشکلی برای متقاعد شدن و رفع شبهه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توضیح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قرآن را از پیش خود نمی‌آورد، بلکه نزول آن به اذن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نَزَّلَهُ عَلیَ قَلْبِکَ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دشمنیِ یهود با جبرئیل نباید باعث شود از کلامی که به اذن خدا می‌آورد، اعراض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کتاب‌های بر حق و آسمانیِ پیش از خودش را تصدیق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که کسی به کتابی ایمان بیاورد و به کتابی که آن را تصدیق می‌کند، ایمان نیاورد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هدایت و بشارتِ کسانی است که به آن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بُشْرَی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ممکن است شخص عاقل از هدایت چشم پوشیده، بشارت‌های آن را به دلیل این‌که دشمن آن را آورده است، نادیده بگیرد؟</w:t>
      </w:r>
      <w:r>
        <w:rPr>
          <w:rFonts w:eastAsia="IRNazanin" w:cs="IRNazanin"/>
          <w:color w:val="111111"/>
          <w:sz w:val="28"/>
          <w:szCs w:val="28"/>
          <w:rtl w:val="true"/>
          <w:lang w:bidi="fa-IR"/>
        </w:rPr>
        <w:t>!</w:t>
      </w:r>
      <w:bookmarkStart w:id="339" w:name="pg2653_32499"/>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فرشته‌ای از فرشتگان خداست و جز امتثال دستورات الهی کاری ندارد؛ مثل میکائیل و دیگر ملائکه که تابع محض فرامین الهی‌اند؛ بنابراین، هر کس با آنان دشمنی کند، خدا دشمنِ اوست</w:t>
      </w:r>
      <w:r>
        <w:rPr>
          <w:rFonts w:eastAsia="IRNazanin" w:cs="IRNazanin"/>
          <w:color w:val="111111"/>
          <w:sz w:val="28"/>
          <w:szCs w:val="28"/>
          <w:rtl w:val="true"/>
          <w:lang w:bidi="fa-IR"/>
        </w:rPr>
        <w:t>.</w:t>
      </w:r>
    </w:p>
    <w:p>
      <w:pPr>
        <w:pStyle w:val="Heading3"/>
        <w:numPr>
          <w:ilvl w:val="2"/>
          <w:numId w:val="1"/>
        </w:numPr>
        <w:rPr/>
      </w:pPr>
      <w:bookmarkStart w:id="340" w:name="__RefHeading___Toc681145_1395250215"/>
      <w:bookmarkStart w:id="341" w:name="_Toc132"/>
      <w:bookmarkEnd w:id="340"/>
      <w:r>
        <w:rPr>
          <w:rtl w:val="true"/>
        </w:rPr>
        <w:t>نتیجه گیری</w:t>
      </w:r>
      <w:bookmarkEnd w:id="341"/>
    </w:p>
    <w:p>
      <w:pPr>
        <w:pStyle w:val="BookText"/>
        <w:rPr/>
      </w:pPr>
      <w:r>
        <w:rPr>
          <w:rFonts w:ascii="IRNazanin" w:hAnsi="IRNazanin" w:eastAsia="IRNazanin"/>
          <w:color w:val="111111"/>
          <w:sz w:val="28"/>
          <w:sz w:val="28"/>
          <w:szCs w:val="28"/>
          <w:rtl w:val="true"/>
          <w:lang w:bidi="fa-IR"/>
        </w:rPr>
        <w:t>از ویژگی‌های مهمّ پاسخ‌های قرآن به شبهات اعتقادی، اقناع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پاسخ‌های قرآن به شبهات اعتقادی، واجد این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قرآنی دارای مختصاتی است که این فرایند در چهارچوب آن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قرآنی، اقناعی کامل است که نه تنها اندیشه و فکر مخاطب، بلکه روح و وجدان او را نیز متقاعد می‌کند و او را به آرامش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قرآنی، اقناعی صحیح با ابزارهای مشروع است و قرآن هرگز در مسیر اقناعی خود، از ابزارها و وسایل نامشروع، از جمله فریب اقناعی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قرآنی در چهارچوب اختیار و آزادی انتخاب مخاطبان صورت می‌گیرد؛ بنابراین، پاسخ‌های قرآن در عین این‌که ویژگیِ اقناع را دارند، مخاطبان را مجبور به تبعیت از رهنمودهای خود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مسیر اقناع مخاطب، از شیوه‌های گوناگون استفاده می‌کند؛ در مرحله اول، با استفاده از شیوه‌هایی چون مماشات اولیه با مخاطب، طرح نقاط یا زمینه‌های مشترک فکری و ایجاد شک در باور مخاطب به جای پاسخ صریح، اقدام به ایجاد اعتماد در مخاطب و جلب توجه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قرآن با ارائه دلایل، مستندات و استدلال‌های منطقی، مستحکم و غیر قابل خدشه، در قالب روش‌های گوناگون، به اثبات موضع حق می‌پردازد و بدین ترتیب، اقناع مخاطب و حصول در تغییر در او را دنبال می‌کند</w:t>
      </w:r>
      <w:r>
        <w:rPr>
          <w:rFonts w:eastAsia="IRNazanin" w:cs="IRNazanin"/>
          <w:color w:val="111111"/>
          <w:sz w:val="28"/>
          <w:szCs w:val="28"/>
          <w:rtl w:val="true"/>
          <w:lang w:bidi="fa-IR"/>
        </w:rPr>
        <w:t>.</w:t>
      </w:r>
    </w:p>
    <w:p>
      <w:pPr>
        <w:pStyle w:val="Heading3"/>
        <w:numPr>
          <w:ilvl w:val="2"/>
          <w:numId w:val="1"/>
        </w:numPr>
        <w:rPr/>
      </w:pPr>
      <w:bookmarkStart w:id="342" w:name="__RefHeading___Toc681147_1395250215"/>
      <w:bookmarkStart w:id="343" w:name="_Toc133"/>
      <w:bookmarkEnd w:id="342"/>
      <w:r>
        <w:rPr>
          <w:rtl w:val="true"/>
        </w:rPr>
        <w:t>منابع</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ابن‌خلدون، بیروت، دار 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مقاییس اللغة، ترتیب و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العسکری ـ حیدر المسجدی، قم، 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علم کلام، قم، مؤسسه دارالحدیث و انجمن کلام اسلامی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پراتکانیس، آنتونی و الیوت آرنسون،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تبلیغات، استفاده و سوء‌استفاده روزمره از اقناع،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کاووس سیدامامی و محمدصادق عباسی، تهران،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محمدعلی،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کشاف اصطلاحات الفنون و العلوم، بیروت، مکتبة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نعسانی،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حاجی‌پور، حسین و حسینی، سید‌محمدجواد،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مبانی گفت‌وگو، قم،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خندان، علی‌اصغر،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مغالطات،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و سیدجعفر شهیدی،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قم، مکتب الاعلان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جعفر،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معارف اسلامی،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تام قرآن و برون‌دادهای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معارف، ش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محمد‌کاظم و حاجی‌پور، حسین،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بازتعریف اقناع اندیشه مخاطب از منظر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قرآن کریم،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المحیط فی‌اللغة،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آل‌یاسین، بیروت، عالم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أبوعلی الفضل بن الحسن،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و فضل‌الله یزدی طباطبایی،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أبومنصور احمد بن علی بن ابی‌طالب،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البهادری و محمد هادی‌به، تهران، دارالاسوة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قم، مکتبة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سیدمحمدحسین،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 وحی القرآن، بیروت، دارالملاک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شوارق الالهام، قم، مؤسسه امام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bookmarkStart w:id="344" w:name="pg2653_32501"/>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2"/>
        <w:numPr>
          <w:ilvl w:val="1"/>
          <w:numId w:val="1"/>
        </w:numPr>
        <w:rPr/>
      </w:pPr>
      <w:bookmarkStart w:id="345" w:name="__RefHeading___Toc681149_1395250215"/>
      <w:bookmarkStart w:id="346" w:name="_Toc134"/>
      <w:bookmarkEnd w:id="345"/>
      <w:r>
        <w:rPr>
          <w:rtl w:val="true"/>
        </w:rPr>
        <w:t>چکیده عربی مقالات</w:t>
      </w:r>
      <w:bookmarkEnd w:id="346"/>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القصور الذاتی للعقل فی معرفة الله، أنواعه و علله</w:t>
      </w:r>
    </w:p>
    <w:p>
      <w:pPr>
        <w:pStyle w:val="BookText"/>
        <w:rPr/>
      </w:pPr>
      <w:r>
        <w:rPr>
          <w:rFonts w:ascii="IRNazanin" w:hAnsi="IRNazanin" w:eastAsia="IRNazanin"/>
          <w:color w:val="111111"/>
          <w:sz w:val="28"/>
          <w:sz w:val="28"/>
          <w:szCs w:val="28"/>
          <w:rtl w:val="true"/>
          <w:lang w:bidi="fa-IR"/>
        </w:rPr>
        <w:t>محمد رکعی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شعبان النصرتی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محمدتقی السبحانی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یحتل العقل أسمی مرتبة فی معرفة الانسان، إلا أن فیه قصوراً فی میدان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تصرح النصوص الدینیة بهذا القصور فی مجال معرفة ذات الله و صفاته، بل و بعض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تبین سبب هذا القصور فی المجالات المختلفة لمعرفة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أن أسالیب حصول العقل علی المعرفة و التی تتمثل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الاحاطة و التقسیم و التقدیر و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فاعلة فی معرفة ذات الله و صفاته و بعض أفعاله؛ و ذلک أن هذه الأسالیب فاعلة فی الأمور التی یمکن اصطیادها و احتواؤها، و بما أن الذات و الصفات الالهیة غیر متناهیة و بسیطة، فلا قدرة للعقل علی إدراکها و الاحاطة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القصور، معرفة الذات و الصفات، التقدیر، التصور، الاحاطة،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الشیخ المفید و مسألة قیمة حکم العقل فی نطاق الدین</w:t>
      </w:r>
    </w:p>
    <w:p>
      <w:pPr>
        <w:pStyle w:val="BookText"/>
        <w:rPr/>
      </w:pPr>
      <w:r>
        <w:rPr>
          <w:rFonts w:ascii="IRNazanin" w:hAnsi="IRNazanin" w:eastAsia="IRNazanin"/>
          <w:color w:val="111111"/>
          <w:sz w:val="28"/>
          <w:sz w:val="28"/>
          <w:szCs w:val="28"/>
          <w:rtl w:val="true"/>
          <w:lang w:bidi="fa-IR"/>
        </w:rPr>
        <w:t>حمید ملک مکان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رحیم الدهقان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الشیخ المفید متکلم ذو صبغة عقلیة یحاول أن یبین الروایات الکلامیة و الفقهیة من خلال الاستدلال العقلی، و یدعو العلماء نحو الایمان المبرهن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من منظاره لیس مجرد أداة لفهم المعارف الدینیة، و إنما له نوع من الاستقلال أحیاناً و یعد مصدراً لفهم الدین و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أن العقل بمجرده و من دون وساطة الخطابات الشرعیة قادر علی إصدار أحکام تتمتع بصفة الاعتبار الجزمی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 الحاضر تحاول ـ من خلال تحلیل النزعة العقلیة للشیخ المفید ـ أن تبین قیمة و منزلة العقل فی فهم المعارف و النصوص الدینیة من منظاره، و رؤیته فی مجال علاقة العقل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منهجنا فی هذا المقال فی الرجوع للآراء وثائقی، و فی بیان المضمون تحلیلی ـ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النزعة العقلیة، النص، النقل، الوحی،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العلاقة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بالاعتماد علی فرقة الواقفة</w:t>
      </w:r>
    </w:p>
    <w:p>
      <w:pPr>
        <w:pStyle w:val="BookText"/>
        <w:rPr/>
      </w:pPr>
      <w:r>
        <w:rPr>
          <w:rFonts w:ascii="IRNazanin" w:hAnsi="IRNazanin" w:eastAsia="IRNazanin"/>
          <w:color w:val="111111"/>
          <w:sz w:val="28"/>
          <w:sz w:val="28"/>
          <w:szCs w:val="28"/>
          <w:rtl w:val="true"/>
          <w:lang w:bidi="fa-IR"/>
        </w:rPr>
        <w:t>مهدی غلامعلی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إن الوجود الواضح للرواة المنحرفین فی أسانید النصوص المعتبرة و اعتماد الرواة و المحدثین علیها یکشف عن وجود منهج مبرمج فی نقل النصوص عن الرواة المنحرفین، و هو ما یبرز أهمیة کشف 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تاریخ کلام الامامیة و عقائدهم قد تضررت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أی فرقة أخری، إلا أنهم لم یعرضوا عن روایات الواقفة ـ بخلاف روایات الغلاة ـ و لهذا فإن قسماً هاماً من روایات فقه الامامیة مدین لروایات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ـ و بأسلوب التتبع فی المکتبات ـ تناول أولاً خصائص هذه الفرقة، ثم درس أسلوب قدماء المحدثین، و انتهی الی النظریة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قدماء المحدثین یفرقون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أنهم یعرضون عن خصوص الروایات التی تبین العقائد الخاصة بتلک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العقائد، احادیث الامامیة، روایات الواقفة، الخصائص، التأثیر،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تقییم نظریتین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بالترکیز علی الآیات و الروایات</w:t>
      </w:r>
    </w:p>
    <w:p>
      <w:pPr>
        <w:pStyle w:val="BookText"/>
        <w:rPr/>
      </w:pPr>
      <w:r>
        <w:rPr>
          <w:rFonts w:ascii="IRNazanin" w:hAnsi="IRNazanin" w:eastAsia="IRNazanin"/>
          <w:color w:val="111111"/>
          <w:sz w:val="28"/>
          <w:sz w:val="28"/>
          <w:szCs w:val="28"/>
          <w:rtl w:val="true"/>
          <w:lang w:bidi="fa-IR"/>
        </w:rPr>
        <w:t xml:space="preserve">اصغر الغلامی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مهدی فرمانیان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توجد بین علماء الشیعة عدة نظریات فیما یخص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فیری بعض العلماء و المفسرین أن معناها هو مقام وجوب الطاعة و تملکه قدرة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 ذلک یری عدد من العلماء أن الإمامة نوع من التصرف التکوینی فی قلوب العباد و هدایتهم و إیصالهم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و من خلال دراسة هاتین النظریتین و ابراز النقاط الاشتراک و التمایز بینهما و عرضهما علی القرآن و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الی أن النظریة الأولی أقرب و أنسب بظواهر بل و نصوص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فرض الطاعة، الامر و النهی، الهدایة، الایصال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الشهود أحد مناهج تلقی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w:t>
      </w:r>
    </w:p>
    <w:p>
      <w:pPr>
        <w:pStyle w:val="BookText"/>
        <w:rPr/>
      </w:pPr>
      <w:r>
        <w:rPr>
          <w:rFonts w:ascii="IRNazanin" w:hAnsi="IRNazanin" w:eastAsia="IRNazanin"/>
          <w:color w:val="111111"/>
          <w:sz w:val="28"/>
          <w:sz w:val="28"/>
          <w:szCs w:val="28"/>
          <w:rtl w:val="true"/>
          <w:lang w:bidi="fa-IR"/>
        </w:rPr>
        <w:t>السیدعلی الهاشمی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ینالون علومهم بأسالیب مختلفة، أحدها الشهود لبعض الحقائق الخفیة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أن یجمع و یحلل الروایات المتعلقة بذلک، بمنهج تحلیلی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الإجابة علی هذا السؤال هی الهدف الرئیسی لهذا المقال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توجد قرائن روائیة دالة علی تلقی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للعلوم بهذا المنهج؟ و هل یمکن التعرف علی مصادیق العلم الشهودی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الروایات؟ فعلمهم بإیمان أو کفر الأفراد عند رؤیتهم، و مشاهدة أعمال الناس من خلال عمود نوری، و رؤیة ملکوت السماوات و الأرض، تعد من أهم المحاور التی تم استخراجها من الروایات لهذا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القرائن المتوفرة فی هذه الروایات یستنبط أن هذه العلوم یتلقاها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الطریق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الإمام، عمود النور، الملکوت، عرض الأعمال، العلم بالباطن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تأمل فی المعرفة الفطریة لله بالتأکید علی موانع الفطرة و اسباب ازالتها</w:t>
      </w:r>
    </w:p>
    <w:p>
      <w:pPr>
        <w:pStyle w:val="BookText"/>
        <w:rPr/>
      </w:pPr>
      <w:r>
        <w:rPr>
          <w:rFonts w:ascii="IRNazanin" w:hAnsi="IRNazanin" w:eastAsia="IRNazanin"/>
          <w:color w:val="111111"/>
          <w:sz w:val="28"/>
          <w:sz w:val="28"/>
          <w:szCs w:val="28"/>
          <w:rtl w:val="true"/>
          <w:lang w:bidi="fa-IR"/>
        </w:rPr>
        <w:t>اکبر الساجدی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المعرفة الفطریة لله بلحاظ موانع الفطرة و اسباب ازالتها هی الموضوع الأصلی لهذا المقال، و قد حاول الکاتب أن یقرر من جدید التفاسیر الثلاثة للفطرة، و یدرس وضوح وجود الله سبحانه من هذا المنظار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بالرجوع للتعالیم الدینیة یتضح وجود الترابط بین الفطرة و الایمان و التسلیم و بین تجلی الحقیقة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المقابل فإن الکفر و العناد مترابطان مع خفاء الحقیقة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الاثناء فإن الالتفات للموانع التی تحول دون تأثیر الفطرة، و العوامل التی یراها الاسلام مؤثرة فی إزالة الموانع المذکورة، من شأنه أن یکشف لنا بعض الزوایا الخفیة لهذه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أموراً نظیر استخدام الرسم البیانی فی إیضاح المسألة، و دراسة شبهة الدور فی مسألة الفطرة، هما من إبداعات المقال الحاضر</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الفطرة، التفاسیر الثلاثة للفطرة، تجلی الحقیقة الالهیة، موانع الفطرة، شبهة الدور فی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دراسة إقناع المخاطب فی أجوبة القرآن للشبهات العقیدیة</w:t>
      </w:r>
    </w:p>
    <w:p>
      <w:pPr>
        <w:pStyle w:val="BookText"/>
        <w:rPr/>
      </w:pPr>
      <w:r>
        <w:rPr>
          <w:rFonts w:ascii="IRNazanin" w:hAnsi="IRNazanin" w:eastAsia="IRNazanin"/>
          <w:color w:val="111111"/>
          <w:sz w:val="28"/>
          <w:sz w:val="28"/>
          <w:szCs w:val="28"/>
          <w:rtl w:val="true"/>
          <w:lang w:bidi="fa-IR"/>
        </w:rPr>
        <w:t>داود افقی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الاخضاع، و هو مسیر ارتباطی، و هدفه الرئیسی نقل المضمون مع التأثیر و التغییر فی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الخصائص البارزة لأجوبة القرآن للشبهات العقیدیة هی إقناع المخاطب، و إن جمیع أجوبة القرآن تحمل هذه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إقناع القرآن للمخاطب إقناع تام و بوسائل شرعیة و صحیحة، و یتم فی إطار الحریة و اختیار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یعتمد القرآن فی هذا المسیر علی عدة أسالیب، و یبدأ هذا المسیر بإیجاد الثقة عند المخاطب و إلفات نظره، و ینتهی بإثبات الحق من خلال ذکر الأدلة و الوثائق و البیان المنطقی و القوی الذی لا یطعن فیه، و بالتالی إقناع المخاطب و تغییر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الاقناع، اقناع المخاطب، أجوبة القرآن، الشبهات العقیدیة</w:t>
      </w:r>
      <w:r>
        <w:rPr>
          <w:rFonts w:eastAsia="IRNazanin" w:cs="IRNazanin"/>
          <w:color w:val="111111"/>
          <w:sz w:val="28"/>
          <w:szCs w:val="28"/>
          <w:rtl w:val="true"/>
          <w:lang w:bidi="fa-IR"/>
        </w:rPr>
        <w:t>.</w:t>
      </w:r>
      <w:bookmarkStart w:id="347" w:name="pg2653_32508"/>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8" w:name="__RefHeading___Toc681151_1395250215"/>
      <w:bookmarkStart w:id="349" w:name="_Toc135"/>
      <w:bookmarkEnd w:id="348"/>
      <w:r>
        <w:rPr>
          <w:rtl w:val="true"/>
        </w:rPr>
        <w:t>چکیده انگلیسی مقالات</w:t>
      </w:r>
      <w:bookmarkEnd w:id="349"/>
    </w:p>
    <w:p>
      <w:pPr>
        <w:pStyle w:val="BookText"/>
        <w:rPr/>
      </w:pPr>
      <w:r>
        <w:rPr>
          <w:rFonts w:eastAsia="Times New Roman" w:cs="Times New Roman" w:ascii="Times New Roman" w:hAnsi="Times New Roman"/>
          <w:color w:val="111111"/>
          <w:sz w:val="28"/>
          <w:szCs w:val="28"/>
          <w:lang w:val="en-US" w:bidi="en-US"/>
        </w:rPr>
        <w:t>p:1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Vol.2, No.7, Winter 20145</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p:2</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p:3</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Intrinsic Limitation of the Reason in Knowing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Varieties and Causes</w:t>
      </w:r>
    </w:p>
    <w:p>
      <w:pPr>
        <w:pStyle w:val="BookText"/>
        <w:rPr/>
      </w:pPr>
      <w:r>
        <w:rPr>
          <w:rFonts w:eastAsia="Times New Roman" w:cs="Times New Roman" w:ascii="Times New Roman" w:hAnsi="Times New Roman"/>
          <w:color w:val="111111"/>
          <w:sz w:val="28"/>
          <w:szCs w:val="28"/>
          <w:lang w:val="en-US" w:bidi="en-US"/>
        </w:rPr>
        <w:t>Mohammad Rokka'i</w:t>
      </w:r>
    </w:p>
    <w:p>
      <w:pPr>
        <w:pStyle w:val="BookText"/>
        <w:rPr/>
      </w:pP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Sha'ban Nusrati</w:t>
      </w:r>
    </w:p>
    <w:p>
      <w:pPr>
        <w:pStyle w:val="BookText"/>
        <w:rPr/>
      </w:pP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 Taghi Sobhani</w:t>
      </w:r>
    </w:p>
    <w:p>
      <w:p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 the most important human knowledge source, reason is suffering some limitations in the theology realm. The religious texts explicitly show these limitations in knowing Gods Nature, attributes as well as some actions (creatures) and furthermore explains the causes for these limitations. In explaining the causes for the reason's limitations in various aspects of theology, the hadiths analyzed the ways of reason for attaining knowledge, that are encompass, record, division, measuring and imagination, and regarded them as inefficient; because the knowledge gained in these ways would be limited and the Divine Nature and attributes are absolutely infinite and cannot be comprehended by reason</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limitation, knowledge of the Divine Nature and attributes, measuring, imagination, record, encompass, and reason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p:4</w:t>
      </w:r>
    </w:p>
    <w:p>
      <w:pPr>
        <w:pStyle w:val="BookText"/>
        <w:rPr/>
      </w:pPr>
      <w:r>
        <w:rPr>
          <w:rFonts w:eastAsia="Times New Roman" w:cs="Times New Roman" w:ascii="Times New Roman" w:hAnsi="Times New Roman"/>
          <w:color w:val="111111"/>
          <w:sz w:val="28"/>
          <w:szCs w:val="28"/>
          <w:lang w:val="en-US" w:bidi="en-US"/>
        </w:rPr>
        <w:t>Sheikh Mufid and the Issue of the Value of</w:t>
      </w:r>
    </w:p>
    <w:p>
      <w:pPr>
        <w:pStyle w:val="BookText"/>
        <w:rPr/>
      </w:pPr>
      <w:r>
        <w:rPr>
          <w:rFonts w:eastAsia="Times New Roman" w:cs="Times New Roman" w:ascii="Times New Roman" w:hAnsi="Times New Roman"/>
          <w:color w:val="111111"/>
          <w:sz w:val="28"/>
          <w:szCs w:val="28"/>
          <w:lang w:val="en-US" w:bidi="en-US"/>
        </w:rPr>
        <w:t>Reason's Judgment in the Realm of Religion</w:t>
      </w:r>
    </w:p>
    <w:p>
      <w:pPr>
        <w:pStyle w:val="BookText"/>
        <w:rPr/>
      </w:pPr>
      <w:r>
        <w:rPr>
          <w:rFonts w:eastAsia="Times New Roman" w:cs="Times New Roman" w:ascii="Times New Roman" w:hAnsi="Times New Roman"/>
          <w:color w:val="111111"/>
          <w:sz w:val="28"/>
          <w:szCs w:val="28"/>
          <w:lang w:val="en-US" w:bidi="en-US"/>
        </w:rPr>
        <w:t>Hamid Malekmakan</w:t>
      </w:r>
    </w:p>
    <w:p>
      <w:pPr>
        <w:pStyle w:val="BookText"/>
        <w:rPr/>
      </w:pP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Rahim Dehghan</w:t>
      </w:r>
    </w:p>
    <w:p>
      <w:pPr>
        <w:pStyle w:val="BookText"/>
        <w:rPr/>
      </w:pP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Sheikh Mufid is a rational theologian that attempts to explain the theological and jurisprudential propositions with arguments and invite the scholars to rational faith. In his view, reason is not only a means to grasp the religious teachings, but also is independent in some cases and counted as a source for understanding religion and religious propositions. In Sheikh Mufid's point of view, reason, independently and without the medium of legal speech, is capable of issuing some sentences that are certainly authentic. Analyzing the rationalistic approach of Sheikh Mufid, this article attempts to explain the value and place of reason in understanding the religious teachings and propositions from his viewpoints and show his opinion about the relation of reason and narration. The article's method in explaining the views is documentary and in explaining the content is analytic-explanatory</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reason, rationalism, explicit text, narration, revelation, Sheikh Mufid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p:5</w:t>
      </w:r>
    </w:p>
    <w:p>
      <w:pPr>
        <w:pStyle w:val="BookText"/>
        <w:rPr/>
      </w:pPr>
      <w:r>
        <w:rPr>
          <w:rFonts w:eastAsia="Times New Roman" w:cs="Times New Roman" w:ascii="Times New Roman" w:hAnsi="Times New Roman"/>
          <w:color w:val="111111"/>
          <w:sz w:val="28"/>
          <w:szCs w:val="28"/>
          <w:lang w:val="en-US" w:bidi="en-US"/>
        </w:rPr>
        <w:t>The Relation of "the Faith Beliefs" and "the Imamiyyah Hadiths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an Emphasis on the Wakifan Denomination</w:t>
      </w:r>
    </w:p>
    <w:p>
      <w:pPr>
        <w:pStyle w:val="BookText"/>
        <w:rPr/>
      </w:pPr>
      <w:r>
        <w:rPr>
          <w:rFonts w:eastAsia="Times New Roman" w:cs="Times New Roman" w:ascii="Times New Roman" w:hAnsi="Times New Roman"/>
          <w:color w:val="111111"/>
          <w:sz w:val="28"/>
          <w:szCs w:val="28"/>
          <w:lang w:val="en-US" w:bidi="en-US"/>
        </w:rPr>
        <w:t>Mehdi Gholamali</w:t>
      </w:r>
    </w:p>
    <w:p>
      <w:pPr>
        <w:pStyle w:val="BookText"/>
        <w:rPr/>
      </w:pP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considerable presence of the misguided narrators in the documentation of the authentic narrations and the confidence of the narrators and muhaddiths on them indicates a systematic way in narrating the narration by medium of the pervert narrators that necessitates discovering of this system. In the Imamiyyah Kalam history, amongst the misguided groups, although in the second place after theGhalian (the Belief Extremists),the Wakifan entered the most destruction in the Kalami thoughts of Shi'a; but their narrations, unlike the Ghalian, is not omitted from the Imamiyyah circle of narration and a significant part of the Imamiyyah jurisprudence is indebted the Wakifi narrations. Using the library method of research, this study at first explains the features of this denomination and, then, examining the method of the old narrators, leads to this point of view that the fore masters separated the "knowledge of the narrators" of their "beliefs" and do not narrated the only narrations that show the "characteristic beliefs" of the denomination</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faith beliefs, Imamiyyah narrations, the Wakifan narrations, characteristics, influences, the Wakifan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p:6</w:t>
      </w:r>
    </w:p>
    <w:p>
      <w:pPr>
        <w:pStyle w:val="BookText"/>
        <w:rPr/>
      </w:pPr>
      <w:r>
        <w:rPr>
          <w:rFonts w:eastAsia="Times New Roman" w:cs="Times New Roman" w:ascii="Times New Roman" w:hAnsi="Times New Roman"/>
          <w:color w:val="111111"/>
          <w:sz w:val="28"/>
          <w:szCs w:val="28"/>
          <w:lang w:val="en-US" w:bidi="en-US"/>
        </w:rPr>
        <w:t>Examining Two Theories on the Concept of Imamah</w:t>
      </w:r>
    </w:p>
    <w:p>
      <w:pPr>
        <w:pStyle w:val="BookText"/>
        <w:rPr/>
      </w:pPr>
      <w:r>
        <w:rPr>
          <w:rFonts w:eastAsia="Times New Roman" w:cs="Times New Roman" w:ascii="Times New Roman" w:hAnsi="Times New Roman"/>
          <w:color w:val="111111"/>
          <w:sz w:val="28"/>
          <w:szCs w:val="28"/>
          <w:lang w:val="en-US" w:bidi="en-US"/>
        </w:rPr>
        <w:t>on the Bases of Qur'nic Verses and Hadiths</w:t>
      </w:r>
    </w:p>
    <w:p>
      <w:pPr>
        <w:pStyle w:val="BookText"/>
        <w:rPr/>
      </w:pPr>
      <w:r>
        <w:rPr>
          <w:rFonts w:eastAsia="Times New Roman" w:cs="Times New Roman" w:ascii="Times New Roman" w:hAnsi="Times New Roman"/>
          <w:color w:val="111111"/>
          <w:sz w:val="28"/>
          <w:szCs w:val="28"/>
          <w:lang w:val="en-US" w:bidi="en-US"/>
        </w:rPr>
        <w:t>Asghar Gholami</w:t>
      </w:r>
    </w:p>
    <w:p>
      <w:pPr>
        <w:pStyle w:val="BookText"/>
        <w:rPr/>
      </w:pP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Mehdi Farmanian</w:t>
      </w:r>
    </w:p>
    <w:p>
      <w:pPr>
        <w:pStyle w:val="BookText"/>
        <w:rPr/>
      </w:pP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There are various views about the concept of Imamah among the Shi'a scholars. Some of the Shi'a scholars and commentators regarded the meaning of Imamah as the stance of mandating obedience and having the right to order and forbid and, in contrary, some others considered it as a kind of existential action in the heart of the God's servants andexistentially guiding them into the goal. By exploring these two views, the author examined their common and different points and comparing them to the Holy Qur'an and hadiths, concluded that the first viewpoint is more consistent to the apparent but also to the explicit meanings of the Holy Qur'an and hadiths</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Imamah, necessity of obedience, order and forbid, guidance, to take sth/sb to the goal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lang w:val="en-US" w:bidi="en-US"/>
        </w:rPr>
        <w:t>Intuition as One of the Imams Ways of Learning</w:t>
      </w:r>
    </w:p>
    <w:p>
      <w:pPr>
        <w:pStyle w:val="BookText"/>
        <w:rPr/>
      </w:pPr>
      <w:r>
        <w:rPr>
          <w:rFonts w:eastAsia="Times New Roman" w:cs="Times New Roman" w:ascii="Times New Roman" w:hAnsi="Times New Roman"/>
          <w:color w:val="111111"/>
          <w:sz w:val="28"/>
          <w:szCs w:val="28"/>
          <w:lang w:val="en-US" w:bidi="en-US"/>
        </w:rPr>
        <w:t>Sayyed Ali Hashemi</w:t>
      </w:r>
    </w:p>
    <w:p>
      <w:pPr>
        <w:pStyle w:val="BookText"/>
        <w:rPr/>
      </w:pP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The Imams' knowledges are gained in various ways. One of these is the intuition of the facts that are hidden from the others. With a descriptive-analytic method, this article attempted to compile and analyze the narrations pertaining to this way. The purpose of this writing is to answer the principal question that whether the narrated evidences confirms the existence of this way of learning for the Imams and whether one can identify some cases of the Imams' intuitive knowledge on the bases of narrations. Awareness of people's faith and infidelity when seeing them, seeing the acts of the people in a light column and seeing the kingdom of the heavens and earth are among the most important cases in this regard that were extracted from the narrations. From the evidences available in these narrations, one can found that the Imams achieved these knowledges through intuition</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Imam's Knowledge, light column, kingdom, acts offering, knowledge of inner self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p:8</w:t>
      </w:r>
    </w:p>
    <w:p>
      <w:pPr>
        <w:pStyle w:val="BookText"/>
        <w:rPr/>
      </w:pPr>
      <w:r>
        <w:rPr>
          <w:rFonts w:eastAsia="Times New Roman" w:cs="Times New Roman" w:ascii="Times New Roman" w:hAnsi="Times New Roman"/>
          <w:color w:val="111111"/>
          <w:sz w:val="28"/>
          <w:szCs w:val="28"/>
          <w:lang w:val="en-US" w:bidi="en-US"/>
        </w:rPr>
        <w:t>Re-conflicting on the Fitri Theology with an Emphasis</w:t>
      </w:r>
    </w:p>
    <w:p>
      <w:pPr>
        <w:pStyle w:val="BookText"/>
        <w:rPr/>
      </w:pPr>
      <w:r>
        <w:rPr>
          <w:rFonts w:eastAsia="Times New Roman" w:cs="Times New Roman" w:ascii="Times New Roman" w:hAnsi="Times New Roman"/>
          <w:color w:val="111111"/>
          <w:sz w:val="28"/>
          <w:szCs w:val="28"/>
          <w:lang w:val="en-US" w:bidi="en-US"/>
        </w:rPr>
        <w:t>on the Obstacles of Fitrahand the Factors</w:t>
      </w:r>
    </w:p>
    <w:p>
      <w:pPr>
        <w:pStyle w:val="BookText"/>
        <w:rPr/>
      </w:pPr>
      <w:r>
        <w:rPr>
          <w:rFonts w:eastAsia="Times New Roman" w:cs="Times New Roman" w:ascii="Times New Roman" w:hAnsi="Times New Roman"/>
          <w:color w:val="111111"/>
          <w:sz w:val="28"/>
          <w:szCs w:val="28"/>
          <w:lang w:val="en-US" w:bidi="en-US"/>
        </w:rPr>
        <w:t>to Obliterate the Obstacles</w:t>
      </w:r>
    </w:p>
    <w:p>
      <w:pPr>
        <w:pStyle w:val="BookText"/>
        <w:rPr/>
      </w:pPr>
      <w:r>
        <w:rPr>
          <w:rFonts w:eastAsia="Times New Roman" w:cs="Times New Roman" w:ascii="Times New Roman" w:hAnsi="Times New Roman"/>
          <w:color w:val="111111"/>
          <w:sz w:val="28"/>
          <w:szCs w:val="28"/>
          <w:lang w:val="en-US" w:bidi="en-US"/>
        </w:rPr>
        <w:t>Akbar Sajedi</w:t>
      </w:r>
    </w:p>
    <w:p>
      <w:pPr>
        <w:pStyle w:val="BookText"/>
        <w:rPr/>
      </w:pP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The fitri (innate) theology, paying attention to the obstacles of Fitrah (the Kind of creation that the Creator created the creature) and the factors that canobliterate the obstacles is the main subject of this article. By explaining the three interpretations of Fitrah, the author attempts to examine the clarity of God's existence from this point of view. By referring to the religious teachings, it is disclosed that there is a significant relation between Fitrah, faith and submission with the Divine manifestation. In contrary, infidelity and animosity is related to veiling of the Divine. Alongside, in order to clarify the hidden aspects of the issue, one must pay attention to the obstacles prevents the influence of Fitrah and to the factors that Islam paid attention to as obliterating the obstacles. Diagrammatic explanations and examining the misgiving of circularity are amongst the new achievements of this study</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Fitrah, the three interpretations of Fitrah, the Divine manifestation, the obstacles of Fitrah, the misgiving of circularity in Fitrah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p:9</w:t>
      </w:r>
    </w:p>
    <w:p>
      <w:pPr>
        <w:pStyle w:val="BookText"/>
        <w:rPr/>
      </w:pPr>
      <w:r>
        <w:rPr>
          <w:rFonts w:eastAsia="Times New Roman" w:cs="Times New Roman" w:ascii="Times New Roman" w:hAnsi="Times New Roman"/>
          <w:color w:val="111111"/>
          <w:sz w:val="28"/>
          <w:szCs w:val="28"/>
          <w:lang w:val="en-US" w:bidi="en-US"/>
        </w:rPr>
        <w:t>Studying the Audience Convincement</w:t>
      </w:r>
    </w:p>
    <w:p>
      <w:pPr>
        <w:pStyle w:val="BookText"/>
        <w:rPr/>
      </w:pPr>
      <w:r>
        <w:rPr>
          <w:rFonts w:eastAsia="Times New Roman" w:cs="Times New Roman" w:ascii="Times New Roman" w:hAnsi="Times New Roman"/>
          <w:color w:val="111111"/>
          <w:sz w:val="28"/>
          <w:szCs w:val="28"/>
          <w:lang w:val="en-US" w:bidi="en-US"/>
        </w:rPr>
        <w:t>in the Qur'anic Answers to the Belief Misgivings</w:t>
      </w:r>
    </w:p>
    <w:p>
      <w:pPr>
        <w:pStyle w:val="BookText"/>
        <w:rPr/>
      </w:pPr>
      <w:r>
        <w:rPr>
          <w:rFonts w:eastAsia="Times New Roman" w:cs="Times New Roman" w:ascii="Times New Roman" w:hAnsi="Times New Roman"/>
          <w:color w:val="111111"/>
          <w:sz w:val="28"/>
          <w:szCs w:val="28"/>
          <w:lang w:val="en-US" w:bidi="en-US"/>
        </w:rPr>
        <w:t>Dawud Ofoghi</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Reza Brenjkar</w:t>
      </w:r>
    </w:p>
    <w:p>
      <w:pPr>
        <w:pStyle w:val="BookText"/>
        <w:rPr/>
      </w:pP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 convince is a relational process which its principal purpose is to communicate the content accompanied with influencing the audience and changing him. One of the understandable characteristics of the Qur'anic answers to the belief misgivings is to convince the audience, and all the Qur'anic answers possess this feature. The Qur'anic convincement is a complete one by means of legal and right ways in the realm of the audiences' free will and free choice. In its path to convince the audience, the Holy Qur'an uses various ways. This path begins with creating confidence in the audience and attraction of his/her attention, and, by offering indisputable and logical arguments and evidences, it leads tothe confirmation of the right position, convincement and change in the audience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Convincement, Convincing the audience, the Qur'anic answers, the belief misgivings</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فَبِالْعَقْلِ عَرَفَ الْعِبَادُ خَالِقَهُمْ وَ أَنَّهُمْ مَخْلُوقُونَ وَ أَنَّهُ الْمُدَبِّرُ لَهُمْ وَ أَنَّهُمُ الْمُدَبَّرُون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یُعْرَفُ بِهِ الصَّادِقُ عَلَی اللَّهِ فَیُصَدِّقُهُ وَ الْکَاذِبُ عَلَی اللَّهِ فَیُکَذِّبُهُ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 قَدْ بَیَّنَّا لَکُمُ الاَْیَاتِ لَعَلَّکُمْ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محدودیت عقل در حوزه های دیگر می توان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مثال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الْإِمَامَةَ أَجَلُّ قَدْراً وَ أَعْظَمُ شَأْناً وَ أَعْلَی مَکَاناً وَ أَمْنَعُ جَانِباً وَ أَبْعَدُ غَوْراً مِنْ أَنْ یَبْلُغَهَا النَّاسُ بِعُقُولِهِمْ أَوْ یَنَالُوهَا بِآرَائِهِمْ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کاربرد روایی، در متن به صورت مجزا خواهد آمد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فَبِالْعَقْلِ عَرَفَ الْعِبَادُ خَالِقَهُمْ وَ أَنَّهُمْ مَخْلُوقُونَ وَ أَنَّهُ الْمُدَبِّرُ لَهُمْ وَ أَنَّهُمُ الْمُدَبَّرُون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و وسعت در خدا و انسان، شیوه ارتباط علمی را بیان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احاطه و سعه علمی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احاطه علمی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مباحث منطق ارسطویی، بر روش های کسب علم حصولی بنیان نهاده شده است؛ به عبارت دیگر، منطق به دنبال ارائه مواد و مبادی صحیح برای تبدیل مجهول به معلوم است؛ لذا بیشتر از تصور و تصدیق که در علم حصولی مطرحند، بحث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حلی،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نیز این روایت را با اندکی اختلاف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و مذاهب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جامعةالمصطفی و دانشجوی دکتری دین پژوهی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رویکرد را می توان در آثار شیخ مفید، شیخ طوسی و سید مرتضی به خوبی مشاهده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طوسی،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جبرئیلی،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ربانی‌گلپایگانی،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برای گشودن راه استدلال و رواج آن در فقه با تفکر اهل حدیث، به مبارزه‌ای همه‌جانبه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پیروی از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قیاس و رأی به شدت مخالفت کرده، استناد به آن را ضلالت و گمراهی آشکار خوانده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عقیده ما این است که قیاس نمی‌تواند هیچ حکم شرعی را استخراج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قیاس، هیچ مطلب حقّی شناخته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قیاس در احکام شرعی اعتماد کند، گمراه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عقل در اندیشه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محسن کدیور که در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آیینه پژوهش منتشر شده، از جمله تحقیقات بسیار خوب در این زمینه است و نگارنده نیز در این مقاله از آراء ایشان بهره برده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کلامی شیخ مفید 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تمامی احکامی که بر اساس احکام قطعی عقل قابل کشف است، در بطن قرآن و سنت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مزینانی، محمد صادق،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برای تبیین این دو نگرش، از منبع مذکور استفاده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در صورتی که هیچ حکمِ وحی‌شده ای در رابطه با موضوعی یافت نشود، عقل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مستقلاً وارد شده و حکم 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فقها، از جمله سیدمرتضی و ابن‌ادریس نیز عقل را یکی از منابع در طول دیگر منابع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سرائر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فقدت الثلاثه فالمعتمد فی المساله الشرعیة عند المحققین الباحثین عن ماخذ الشریعه التمسک بدلیل العقل فیها فانها مبقاة علیه و موکول الیه فمن هذه الطریق توصل الی العلم بجمیع الاحکام الشرعیه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الاعتماد علیها و التمسک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ابن‌ادریس،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می توان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قرینه گرفت بر این مطلب که شیخ مفید مسئله ای را سراغ نداشته که حکم آن در کتاب و سنت نیامده باشد؛ با این حال این عبارت نشان می دهد که مرحوم شیخ مفید، اصل توانایی عقل در کشف احکام شرعی را پذیرفته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تقسیم بندی از کتاب ارزش‌مند سیر تطوّر کلام شیعه، نوشته فاضل ارجمند حجة الاسلام‌و‌المسلمین محمدصفر جبرئیلی استفاده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دقت کرد که در این‌جا بحث فقهی است نه کلامی، اما به جهت این‌که مقاله، رابطه عقل و نقل را به طور کلی مد نظر دارد، بیشتر بر چارچوب فکری شیخ مفید تمرکز کرده و تلاش دارد تا بیشتر، روشِ ایشان در برخورد با عقل و نقل را ترسیم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رابطه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الانصاری، بی‌تا،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بررسی این روایات به دست می آید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ناسپاسی و قدرناشناسی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اگر روایات افرادی که بخشی از عمر خویش یا تا پیش از وفات واقفی بوده و سپس توبه کرده‌اند را از این تعداد کسر کنیم، می 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یعنی تأثیر ویژه‌ای بر این آمار نمی گذارد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افرادی چون عبدالله بن مغیرة ـ از اصحاب اجماع ـ و عبیدالله بن أبی‌زید الأنباری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فقیهان بزرگ بوده‌اند که بخشی از عمر خود را واقفی بوده و سپس دوباره امامی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حلی،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فهارس‌نگاران، راویان واقفی را معرفی کرده‌اند که هرکدام دست‌کم یک کتاب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این راویانِ واقفی و مؤلف،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أبی‌بکر محمد بن ابی‌سمال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بن علی بن أبی‌حمزة، له کتب، دَه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بن أبی‌سعید مکاری، نویسنده کتاب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أبوسعید هاشم بن حیان مکاری، کتاب نوادر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جبلة کنانی، هشت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أبی‌حمزة بطائنی، چهار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عثمان بن عیسی کلابی رواسی، سه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بن شمون بغدادی، پنج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عبد‌الله بن غالب انصاری بزاز، کتاب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بن أبی‌بشر سراج، کتاب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زرعة بن محمد حضرمی، له أصل و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أمیة بن عمرو شعیری،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بن محمد بن سماعة، له کتاب النوادر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بن مختار قلانسی،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حنان بن سدیر الصیرفی،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درست بن أبی‌منصور الواسطی، له کتاب یرویه جماعة منهم ابن‌ابی‌عمیر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زیاد بن مروان القندی،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بن عمرو خثعمی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قاسم بن محمد جوهری،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بن بکر واسطی،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منصور بن یونس بزرج،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إبراهیم بن عبدالحمید،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حسان هاشمی، له کتاب تفسیر 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إبراهیم بن صالح أنماطی أسدی،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بشیر،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داود بن حصین أسدی کوفی،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إسحاق بن عمار الصیرفی، له کتاب کثیر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إسماعیل بن عمر بن أبان کلبی،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بن حسن بن إسماعیل، له کتاب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بن مهران، له کتاب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بن رباح القلاء و احمد بن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طوسی،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محمد بن علی بن عمر بن رباح القلاء،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إدریس بن فضل خولانی، سه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زکریا بن محمد مؤمن،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عمر اعرج، له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عبید بن صاعد، له کتاب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إبراهیم بن عبد الحمید صنعانی، له کتاب نوادر، له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طوسی،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وهیب بن حفص جریری، صنف کتبا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کلثوم بنت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نکته سبب شده که ملل و نحل‌نویسان و حتی فقیهانی چون سید مرتضی با استناد به روایت مشهور باقی ماندن فرقه ناجیه، ازبین رفتن فرقه‌ها را نشانه بطلان و خلاف حق بودن آن‌ها تحلیل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مرتضی، تلخیص الشافی،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مادلونگ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ابن‌حوقل که در حدود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را می نوشت،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نواحی اقصای سوس در غرب مغرب، قسمتی سنی مالکی و قسمتی شیعه موسوی هستند که پس از موسی بن جعفر، به امام دیگری معتقد نیستند و پیروان دانشمند علی بن ورسند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ادریسی نیز که در حوالی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جغرافیای خود را نوشته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مرکز 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تارودانت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مالکی‌اند، ولی اهالی دومین شهر مهمّ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تیویوین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 روز راه از تارودانت فاصله دارد، بر مذهب موسی بن جعفرند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مذهب در شمال آفریقا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به نخستین رهبر آن علی بن ورسند بجلی، دانشمند و مؤلف شیعه در اوایل قرن سوم هجری، شناخته می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مدرسی طباطبایی،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 روایت دوازده امام را که ابن‌جبله نقل کرده،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ما شهدت به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کمال‌الدین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امامیه دانشگاه تهران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و مذاهب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استحاق و یعقوب را به عنوان نافله و از باب موهبت به او بخشیدیم و همه ایشان را از صالحان قرار داده و ایشان را امامانی قرار دادیم که به امر ما هدایت می‌کنند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ایشان، امامانی قرار دادیم که به امر ما هدایت می‌کنند، به خاطر آن‌که شکیبایی کرده و به آیات ما یقین می‌ورزیدند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امرِ او چنان است که هرگاه اراده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نماید،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پس منزه است خدایی که ملکوت هر چیزی به دست اوست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ما نیست، مگر به یک آن؛ مانند چشم بر هم زدن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می‌دانیم مانعی ندارد در استعمالات قرآنی و روایی، تقیید و تحدیدی یا توسّعی در معنای لغوی صورت گیرد که نشان دادن این موارد، به فحص و عرضه قرائن مناسب نیاز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آیه، نصّ بر لزوم عصمت امام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تغایر امامت با نبوت و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موضوع به تفصیل بررسی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ابن‌تیمیه که از دشمنان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ذیل آیه امامت حضرت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اساساً متعرض مفهوم امامت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ابن‌تیمیه، بی‌تا،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ذیل آیه امامتِ حضرت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الاکثرون علی أن الامام هاهنا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اکثر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این آیه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نیشابوری، بی‌تا،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اسلامی جامعةالمصطفی العالمیة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معارف دانشگاه علوم پزشکی تبریز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زندگانی دنیای ما چیزی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می‌میریم و زندگی می‌کنیم و دیگر برانگیخته نخواهیم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می‌میریم و زنده می‌شویم، و ما را جز طبیعت هلاک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رَکِبُوا فِی الْفُلْکِ دَعَوُا اللَّهَ مُخْلِصینَ لَهُ الدِّینَ فَلَمَّا نَجَّاهُمْ إِلَی الْبَرِّ إِذا هُمْ یُشْرِکُون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هنگامی که بر کشتی سوار می‌شوند، خدا را پاک‌دلانه می‌خوانند،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سوی خشکی رساند و نجاتشان داد، به ناگاه شرک می‌ورزند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را بعد از موسی نازل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خود است، و به سوی حق و به سوی راهی راست، راهبری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هرکه را از خشنودی او پیروی کند، به وسیله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راه‌های سلامت رهنمون می‌شود و به توفیق خویش، آنان را از تاریکی‌ها به سوی روشنایی بیرون می‌برد و به راهی راست هدایتشان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در راه ما کوشیده‌اند، به یقین راه‌های خود را بر آنان می‌نماییم و در حقیقت، خدا با نیکوکاران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باید از میان شما، گروهی،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دعوت کنند و به کار شایسته وادارند و از زشتی بازدارند، و آنان همان رستگارانند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ببینی کسانی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 تخطئه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ما فرو می‌روند از ایشان روی برتاب، تا در سخنی غیر از آن درآیند و اگر شیطان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فراموشی انداخت، پس از 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قوم ستمکار منشین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چیزی از حساب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عهده کسانی که پروا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تذکر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استهزا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را که دین خود را به بازی و سرگرمی گرفتند و زندگی دنیا آنان را فریفته است، رها کن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 ده، مبادا کسی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کسب کرده به هلاکت 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عَلَی الرَّسُولِ إِلاَّ الْبَلاغُ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ابلاغ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راه من، که من و هر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با بینایی به سوی خدا دعوت می‌کنیم، و منزه است خدا، و من از مشرکان نیستم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پیامبران، با مردم به اندازه سطح فکری شان سخن می 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اندکی تفاوت نیز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الْأَنْبِیَاءِ أُمِرْنَا أَنْ نُکَلِّمَ النَّاسَ عَلَی قَدْرِ عُقُولِهِمْ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شایسته نیست مؤمنان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از هر فرقه‌ای از آنان، دسته‌ای کوچ نمی‌کنند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دسته‌ای بمانند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آگاهی پیدا کنند و قوم خود را ـ وقتی به سوی آنان بازگشتند ـ بیم دهند؛ باشد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کیفر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محدودیت های عقل همین مقهوریت عقل نسبت به عوامل درونی و برونی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و غفارزاده،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شهید مدنی آذربایجان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جامعی که از کلام ارائه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دانشی است که درباره اعتقادات دینی به شیوه عقلی و نقلی بحث می‌کند و ضمن استنباط این اعتقادات از منابع آن، به تبیین، تنظیم و اثبات اعتقادات دینی پرداخته، به شبهات و اعتراضات مخالفان پاسخ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منطقی، قیاس فاسدی است که منتج به نتیجه صحیح نباشد و فساد آن یا از جهت صورت است یا از جهت ماده و یا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تعریفی عام، می توان مغالطه را انواع خطاها و آشفتگی هایی دانست که کم و بیش با خطای در استدلال مرتبط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خندان،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مغالطه ای که عمدی بوده و فریب‌دهنده مخاطب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خندان،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اختیار و آزادی انتخاب انسان و حدود و مختصات آن در قرآن، بحث مفصلی است که از حوصله این مقاله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اجمالاً اصل اختیار و آزادی انتخاب انسان در قرآن، با توجه به آیات بسیار، قطعی و غیر قابل انکار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سخن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بین مفسران بحث و اختلاف نظر وجود داشته و اقوال گوناگونی ارائه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رازی،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تصریح کرده اند که سخن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باب مماشات، تسلیم و هم‌گامیِ اولیه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آلوسی،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پیش‌تر این نکته را متذکر شدیم که اقناع قرآن در چهارچوب اختیار و آزادی مخاطب و حقّ انتخاب او صورت می گیرد؛ بنابراین، ممکن است مخاطبی به دلایلی، از پاسخ های قرآن متقاعد نشده و تسلیم استدلال های آن نشود و ظاهراً اقناع حاصل نشود و این مسئله، خدشه ای به ویژگی اقناعی پاسخ های قرآن وارد نمی کند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پژوهشی که نگارنده انجام داده است، بالغ بر هفده روشِ پاسخ‌گویی به شبهات، از آیات قرآن استخراج شده و مورد بررسی قرار گرفته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المیزان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قرائن موجود در آیه شریفه به دست می‌آید که محاجه و بگومگویی که بین نمرود و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واقع شد، این بود که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من،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لاغیر، و نمرود در پاسخ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نیز معبود تو هستم؛ معبود تو و همه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موقعی که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علیه ادعای او چنین استدلال کرد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 الَّذِی یُحْیِی وَ یُمِیتُ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 من کسی است که زنده می‌کند و می‌میراند، او در پاسخ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زنده می‌کنم و می‌میرانم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خلاصه برای خود همان وصفی را ادعا کرد و قائل شد که ابراهیم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آن را وصفِ پروردگار خود می‌دانست، تا آن جناب را مجبور کند به این‌که در برابرش خاضع شود و به عبادتش بپردازد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مغالطه او این بود که حیات و موت را به معنای مجازیِ آن گرفت و یا به معنایی اعم از معنای حقیقی و مجازی، چون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بر زنده کردن موجود بی‌جانی چون جنین در رحم و نفخه روح در او اطلاق می‌شود، بر نجات دادن انسانی از ورطه مرگ نیز اطلاق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همان‌گونه که بر میراندن‌ـ که کار خداست‌ـ اطلاق می‌شود، بر کشتن با آلت قتاله نیز اطلاق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به این نوع مغالطه، مغالطه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الکلامیه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الکلامیه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مرکز ابحاث العلوم والثقافة الاسلامیة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الادیان و المذاهب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الأبحاث الدینیة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القرآن و الحدیث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الکلام الامامیة فی جامعة طهران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الادیان والمذاهب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الکلام الإسلامی ـ جامعة المصطفی العالمیة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قسم المعارف ـ جامعة العلوم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الشهید مدنی ـ محافظة أذربیجان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بروفسور فی جامعة طهران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researcher for the Qur'an and Hadith Research Center, Ahl ul-Bayt's Kalam Research Department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researcher for the Qur'an and Hadith Research Center, Ahl ul-Bayt's Kalam Research Department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Academy of Islamic Sciences and Culture</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University of Religions and Denominations</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Doctorate Student of Religious Studies; email: r.dehghan@urd.ac.ir</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Qur'an and Hadith University</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Doctorate student of Imamiyyah Kalam in the Tehran University</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University of Religions and Denominations</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Doctorate Candidate for the Islamic Kalam in the Almustafa Internal University; email: s.a.h@chmail.ir</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Ma'aref department in the Medical Sciences University of Tabriz; email: akbarsajedi@gmail.com</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Shahid Madani University in Azerbaijan</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Professor of Tehran University</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48448</Words>
  <Characters>199851</Characters>
  <CharactersWithSpaces>246453</CharactersWithSpaces>
  <Paragraphs>1892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2026-08-17T12:09:35Z</dcterms:created>
  <dc:creator>ghaemiyeh.com</dc:creator>
  <dc:description/>
  <dc:language>en-US</dc:language>
  <cp:lastModifiedBy/>
  <dcterms:modified xsi:type="dcterms:W3CDTF">2026-08-17T15:39:40Z</dcterms:modified>
  <cp:revision>1</cp:revision>
  <dc:subject/>
  <dc:title>فصلنامه تحقیقات کلامی شماره 7</dc:title>
</cp:coreProperties>
</file>

<file path=docProps/custom.xml><?xml version="1.0" encoding="utf-8"?>
<Properties xmlns="http://schemas.openxmlformats.org/officeDocument/2006/custom-properties" xmlns:vt="http://schemas.openxmlformats.org/officeDocument/2006/docPropsVTypes"/>
</file>