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تحقیقات کلامی شماره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7835_1395250215">
            <w:r>
              <w:rPr>
                <w:webHidden/>
                <w:rStyle w:val="IndexLink"/>
                <w:rtl w:val="true"/>
              </w:rPr>
              <w:t>مشخصات فصلنامه</w:t>
            </w:r>
            <w:r>
              <w:rPr>
                <w:rStyle w:val="IndexLink"/>
                <w:rtl w:val="true"/>
              </w:rPr>
              <w:tab/>
            </w:r>
            <w:r>
              <w:rPr>
                <w:rStyle w:val="IndexLink"/>
              </w:rPr>
              <w:t>8</w:t>
            </w:r>
          </w:hyperlink>
        </w:p>
        <w:p>
          <w:pPr>
            <w:pStyle w:val="Contents2"/>
            <w:tabs>
              <w:tab w:val="clear" w:pos="8743"/>
              <w:tab w:val="right" w:pos="9026" w:leader="dot"/>
            </w:tabs>
            <w:rPr/>
          </w:pPr>
          <w:hyperlink w:anchor="__RefHeading___Toc627837_1395250215">
            <w:r>
              <w:rPr>
                <w:webHidden/>
                <w:rStyle w:val="IndexLink"/>
                <w:rtl w:val="true"/>
              </w:rPr>
              <w:t>رتبه علمی فصلنامه</w:t>
            </w:r>
            <w:r>
              <w:rPr>
                <w:rStyle w:val="IndexLink"/>
                <w:rtl w:val="true"/>
              </w:rPr>
              <w:tab/>
            </w:r>
            <w:r>
              <w:rPr>
                <w:rStyle w:val="IndexLink"/>
              </w:rPr>
              <w:t>8</w:t>
            </w:r>
          </w:hyperlink>
        </w:p>
        <w:p>
          <w:pPr>
            <w:pStyle w:val="Contents2"/>
            <w:tabs>
              <w:tab w:val="clear" w:pos="8743"/>
              <w:tab w:val="right" w:pos="9026" w:leader="dot"/>
            </w:tabs>
            <w:rPr/>
          </w:pPr>
          <w:hyperlink w:anchor="__RefHeading___Toc627839_1395250215">
            <w:r>
              <w:rPr>
                <w:webHidden/>
                <w:rStyle w:val="IndexLink"/>
                <w:rtl w:val="true"/>
              </w:rPr>
              <w:t>راهنمای نویسندگان</w:t>
            </w:r>
            <w:r>
              <w:rPr>
                <w:rStyle w:val="IndexLink"/>
                <w:rtl w:val="true"/>
              </w:rPr>
              <w:tab/>
            </w:r>
            <w:r>
              <w:rPr>
                <w:rStyle w:val="IndexLink"/>
              </w:rPr>
              <w:t>10</w:t>
            </w:r>
          </w:hyperlink>
        </w:p>
        <w:p>
          <w:pPr>
            <w:pStyle w:val="Contents2"/>
            <w:tabs>
              <w:tab w:val="clear" w:pos="8743"/>
              <w:tab w:val="right" w:pos="9026" w:leader="dot"/>
            </w:tabs>
            <w:rPr/>
          </w:pPr>
          <w:hyperlink w:anchor="__RefHeading___Toc627841_1395250215">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627843_1395250215">
            <w:r>
              <w:rPr>
                <w:webHidden/>
                <w:rStyle w:val="IndexLink"/>
                <w:rtl w:val="true"/>
              </w:rPr>
              <w:t>کاربستِ عقل عملی در استنباط آموزه‌های کلامی با تکیه بر متون کلامی</w:t>
            </w:r>
            <w:r>
              <w:rPr>
                <w:rStyle w:val="IndexLink"/>
                <w:rtl w:val="true"/>
              </w:rPr>
              <w:tab/>
            </w:r>
            <w:r>
              <w:rPr>
                <w:rStyle w:val="IndexLink"/>
              </w:rPr>
              <w:t>13</w:t>
            </w:r>
          </w:hyperlink>
        </w:p>
        <w:p>
          <w:pPr>
            <w:pStyle w:val="Contents3"/>
            <w:tabs>
              <w:tab w:val="clear" w:pos="8459"/>
              <w:tab w:val="right" w:pos="9026" w:leader="dot"/>
            </w:tabs>
            <w:rPr/>
          </w:pPr>
          <w:hyperlink w:anchor="__RefHeading___Toc627845_1395250215">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27847_1395250215">
            <w:r>
              <w:rPr>
                <w:webHidden/>
                <w:rStyle w:val="IndexLink"/>
                <w:rtl w:val="true"/>
              </w:rPr>
              <w:t>چکیده</w:t>
            </w:r>
            <w:r>
              <w:rPr>
                <w:rStyle w:val="IndexLink"/>
                <w:rtl w:val="true"/>
              </w:rPr>
              <w:tab/>
            </w:r>
            <w:r>
              <w:rPr>
                <w:rStyle w:val="IndexLink"/>
              </w:rPr>
              <w:t>13</w:t>
            </w:r>
          </w:hyperlink>
        </w:p>
        <w:p>
          <w:pPr>
            <w:pStyle w:val="Contents3"/>
            <w:tabs>
              <w:tab w:val="clear" w:pos="8459"/>
              <w:tab w:val="right" w:pos="9026" w:leader="dot"/>
            </w:tabs>
            <w:rPr/>
          </w:pPr>
          <w:hyperlink w:anchor="__RefHeading___Toc627849_1395250215">
            <w:r>
              <w:rPr>
                <w:webHidden/>
                <w:rStyle w:val="IndexLink"/>
                <w:rtl w:val="true"/>
              </w:rPr>
              <w:t>واژگان کلیدی</w:t>
            </w:r>
            <w:r>
              <w:rPr>
                <w:rStyle w:val="IndexLink"/>
                <w:rtl w:val="true"/>
              </w:rPr>
              <w:tab/>
            </w:r>
            <w:r>
              <w:rPr>
                <w:rStyle w:val="IndexLink"/>
              </w:rPr>
              <w:t>13</w:t>
            </w:r>
          </w:hyperlink>
        </w:p>
        <w:p>
          <w:pPr>
            <w:pStyle w:val="Contents3"/>
            <w:tabs>
              <w:tab w:val="clear" w:pos="8459"/>
              <w:tab w:val="right" w:pos="9026" w:leader="dot"/>
            </w:tabs>
            <w:rPr/>
          </w:pPr>
          <w:hyperlink w:anchor="__RefHeading___Toc627851_1395250215">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627853_1395250215">
            <w:r>
              <w:rPr>
                <w:webHidden/>
                <w:rStyle w:val="IndexLink"/>
                <w:rtl w:val="true"/>
              </w:rPr>
              <w:t>مفهوم شناسی</w:t>
            </w:r>
            <w:r>
              <w:rPr>
                <w:rStyle w:val="IndexLink"/>
                <w:rtl w:val="true"/>
              </w:rPr>
              <w:tab/>
            </w:r>
            <w:r>
              <w:rPr>
                <w:rStyle w:val="IndexLink"/>
              </w:rPr>
              <w:t>14</w:t>
            </w:r>
          </w:hyperlink>
        </w:p>
        <w:p>
          <w:pPr>
            <w:pStyle w:val="Contents3"/>
            <w:tabs>
              <w:tab w:val="clear" w:pos="8459"/>
              <w:tab w:val="right" w:pos="9026" w:leader="dot"/>
            </w:tabs>
            <w:rPr/>
          </w:pPr>
          <w:hyperlink w:anchor="__RefHeading___Toc627855_1395250215">
            <w:r>
              <w:rPr>
                <w:webHidden/>
                <w:rStyle w:val="IndexLink"/>
                <w:rtl w:val="true"/>
              </w:rPr>
              <w:t>اقسام عقل</w:t>
            </w:r>
            <w:r>
              <w:rPr>
                <w:rStyle w:val="IndexLink"/>
                <w:rtl w:val="true"/>
              </w:rPr>
              <w:tab/>
            </w:r>
            <w:r>
              <w:rPr>
                <w:rStyle w:val="IndexLink"/>
              </w:rPr>
              <w:t>15</w:t>
            </w:r>
          </w:hyperlink>
        </w:p>
        <w:p>
          <w:pPr>
            <w:pStyle w:val="Contents3"/>
            <w:tabs>
              <w:tab w:val="clear" w:pos="8459"/>
              <w:tab w:val="right" w:pos="9026" w:leader="dot"/>
            </w:tabs>
            <w:rPr/>
          </w:pPr>
          <w:hyperlink w:anchor="__RefHeading___Toc627857_1395250215">
            <w:r>
              <w:rPr>
                <w:webHidden/>
                <w:rStyle w:val="IndexLink"/>
                <w:rtl w:val="true"/>
              </w:rPr>
              <w:t>حجیت عقل عملی</w:t>
            </w:r>
            <w:r>
              <w:rPr>
                <w:rStyle w:val="IndexLink"/>
                <w:rtl w:val="true"/>
              </w:rPr>
              <w:tab/>
            </w:r>
            <w:r>
              <w:rPr>
                <w:rStyle w:val="IndexLink"/>
              </w:rPr>
              <w:t>16</w:t>
            </w:r>
          </w:hyperlink>
        </w:p>
        <w:p>
          <w:pPr>
            <w:pStyle w:val="Contents3"/>
            <w:tabs>
              <w:tab w:val="clear" w:pos="8459"/>
              <w:tab w:val="right" w:pos="9026" w:leader="dot"/>
            </w:tabs>
            <w:rPr/>
          </w:pPr>
          <w:hyperlink w:anchor="__RefHeading___Toc627859_1395250215">
            <w:r>
              <w:rPr>
                <w:webHidden/>
                <w:rStyle w:val="IndexLink"/>
                <w:rtl w:val="true"/>
              </w:rPr>
              <w:t>قوائد عقل عملی در علم کلام</w:t>
            </w:r>
            <w:r>
              <w:rPr>
                <w:rStyle w:val="IndexLink"/>
                <w:rtl w:val="true"/>
              </w:rPr>
              <w:tab/>
            </w:r>
            <w:r>
              <w:rPr>
                <w:rStyle w:val="IndexLink"/>
              </w:rPr>
              <w:t>18</w:t>
            </w:r>
          </w:hyperlink>
        </w:p>
        <w:p>
          <w:pPr>
            <w:pStyle w:val="Contents4"/>
            <w:tabs>
              <w:tab w:val="clear" w:pos="8176"/>
              <w:tab w:val="right" w:pos="9026" w:leader="dot"/>
            </w:tabs>
            <w:rPr/>
          </w:pPr>
          <w:hyperlink w:anchor="__RefHeading___Toc627861_1395250215">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627863_1395250215">
            <w:r>
              <w:rPr>
                <w:webHidden/>
                <w:rStyle w:val="IndexLink"/>
              </w:rPr>
              <w:t>1</w:t>
            </w:r>
            <w:r>
              <w:rPr>
                <w:rStyle w:val="IndexLink"/>
                <w:rtl w:val="true"/>
              </w:rPr>
              <w:t>.</w:t>
            </w:r>
            <w:r>
              <w:rPr>
                <w:rStyle w:val="IndexLink"/>
                <w:rtl w:val="true"/>
              </w:rPr>
              <w:t>قاعده حسن و قبح</w:t>
            </w:r>
            <w:r>
              <w:rPr>
                <w:rStyle w:val="IndexLink"/>
                <w:rtl w:val="true"/>
              </w:rPr>
              <w:tab/>
            </w:r>
            <w:r>
              <w:rPr>
                <w:rStyle w:val="IndexLink"/>
              </w:rPr>
              <w:t>18</w:t>
            </w:r>
          </w:hyperlink>
        </w:p>
        <w:p>
          <w:pPr>
            <w:pStyle w:val="Contents5"/>
            <w:tabs>
              <w:tab w:val="clear" w:pos="7892"/>
              <w:tab w:val="right" w:pos="9026" w:leader="dot"/>
            </w:tabs>
            <w:rPr/>
          </w:pPr>
          <w:hyperlink w:anchor="__RefHeading___Toc627865_1395250215">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627867_1395250215">
            <w:r>
              <w:rPr>
                <w:webHidden/>
                <w:rStyle w:val="IndexLink"/>
              </w:rPr>
              <w:t>1-1</w:t>
            </w:r>
            <w:r>
              <w:rPr>
                <w:rStyle w:val="IndexLink"/>
                <w:rtl w:val="true"/>
              </w:rPr>
              <w:t xml:space="preserve"> </w:t>
            </w:r>
            <w:r>
              <w:rPr>
                <w:rStyle w:val="IndexLink"/>
                <w:rtl w:val="true"/>
              </w:rPr>
              <w:t>قاعده حسن و قبح</w:t>
            </w:r>
            <w:r>
              <w:rPr>
                <w:rStyle w:val="IndexLink"/>
                <w:rtl w:val="true"/>
              </w:rPr>
              <w:tab/>
            </w:r>
            <w:r>
              <w:rPr>
                <w:rStyle w:val="IndexLink"/>
              </w:rPr>
              <w:t>18</w:t>
            </w:r>
          </w:hyperlink>
        </w:p>
        <w:p>
          <w:pPr>
            <w:pStyle w:val="Contents5"/>
            <w:tabs>
              <w:tab w:val="clear" w:pos="7892"/>
              <w:tab w:val="right" w:pos="9026" w:leader="dot"/>
            </w:tabs>
            <w:rPr/>
          </w:pPr>
          <w:hyperlink w:anchor="__RefHeading___Toc627869_1395250215">
            <w:r>
              <w:rPr>
                <w:webHidden/>
                <w:rStyle w:val="IndexLink"/>
              </w:rPr>
              <w:t>1-2</w:t>
            </w:r>
            <w:r>
              <w:rPr>
                <w:rStyle w:val="IndexLink"/>
                <w:rtl w:val="true"/>
              </w:rPr>
              <w:t xml:space="preserve"> </w:t>
            </w:r>
            <w:r>
              <w:rPr>
                <w:rStyle w:val="IndexLink"/>
                <w:rtl w:val="true"/>
              </w:rPr>
              <w:t>ثواب و عقاب</w:t>
            </w:r>
            <w:r>
              <w:rPr>
                <w:rStyle w:val="IndexLink"/>
                <w:rtl w:val="true"/>
              </w:rPr>
              <w:tab/>
            </w:r>
            <w:r>
              <w:rPr>
                <w:rStyle w:val="IndexLink"/>
              </w:rPr>
              <w:t>19</w:t>
            </w:r>
          </w:hyperlink>
        </w:p>
        <w:p>
          <w:pPr>
            <w:pStyle w:val="Contents5"/>
            <w:tabs>
              <w:tab w:val="clear" w:pos="7892"/>
              <w:tab w:val="right" w:pos="9026" w:leader="dot"/>
            </w:tabs>
            <w:rPr/>
          </w:pPr>
          <w:hyperlink w:anchor="__RefHeading___Toc627871_1395250215">
            <w:r>
              <w:rPr>
                <w:webHidden/>
                <w:rStyle w:val="IndexLink"/>
              </w:rPr>
              <w:t>1-3</w:t>
            </w:r>
            <w:r>
              <w:rPr>
                <w:rStyle w:val="IndexLink"/>
                <w:rtl w:val="true"/>
              </w:rPr>
              <w:t xml:space="preserve"> </w:t>
            </w:r>
            <w:r>
              <w:rPr>
                <w:rStyle w:val="IndexLink"/>
                <w:rtl w:val="true"/>
              </w:rPr>
              <w:t>وجوب معرفت الله</w:t>
            </w:r>
            <w:r>
              <w:rPr>
                <w:rStyle w:val="IndexLink"/>
                <w:rtl w:val="true"/>
              </w:rPr>
              <w:tab/>
            </w:r>
            <w:r>
              <w:rPr>
                <w:rStyle w:val="IndexLink"/>
              </w:rPr>
              <w:t>19</w:t>
            </w:r>
          </w:hyperlink>
        </w:p>
        <w:p>
          <w:pPr>
            <w:pStyle w:val="Contents5"/>
            <w:tabs>
              <w:tab w:val="clear" w:pos="7892"/>
              <w:tab w:val="right" w:pos="9026" w:leader="dot"/>
            </w:tabs>
            <w:rPr/>
          </w:pPr>
          <w:hyperlink w:anchor="__RefHeading___Toc627873_1395250215">
            <w:r>
              <w:rPr>
                <w:webHidden/>
                <w:rStyle w:val="IndexLink"/>
              </w:rPr>
              <w:t>1-4</w:t>
            </w:r>
            <w:r>
              <w:rPr>
                <w:rStyle w:val="IndexLink"/>
                <w:rtl w:val="true"/>
              </w:rPr>
              <w:t xml:space="preserve"> </w:t>
            </w:r>
            <w:r>
              <w:rPr>
                <w:rStyle w:val="IndexLink"/>
                <w:rtl w:val="true"/>
              </w:rPr>
              <w:t>پیراستگی فعل خدا از بیهودگی و عبث</w:t>
            </w:r>
            <w:r>
              <w:rPr>
                <w:rStyle w:val="IndexLink"/>
                <w:rtl w:val="true"/>
              </w:rPr>
              <w:tab/>
            </w:r>
            <w:r>
              <w:rPr>
                <w:rStyle w:val="IndexLink"/>
              </w:rPr>
              <w:t>20</w:t>
            </w:r>
          </w:hyperlink>
        </w:p>
        <w:p>
          <w:pPr>
            <w:pStyle w:val="Contents5"/>
            <w:tabs>
              <w:tab w:val="clear" w:pos="7892"/>
              <w:tab w:val="right" w:pos="9026" w:leader="dot"/>
            </w:tabs>
            <w:rPr/>
          </w:pPr>
          <w:hyperlink w:anchor="__RefHeading___Toc627875_1395250215">
            <w:r>
              <w:rPr>
                <w:webHidden/>
                <w:rStyle w:val="IndexLink"/>
              </w:rPr>
              <w:t>1-5</w:t>
            </w:r>
            <w:r>
              <w:rPr>
                <w:rStyle w:val="IndexLink"/>
                <w:rtl w:val="true"/>
              </w:rPr>
              <w:t xml:space="preserve"> </w:t>
            </w:r>
            <w:r>
              <w:rPr>
                <w:rStyle w:val="IndexLink"/>
                <w:rtl w:val="true"/>
              </w:rPr>
              <w:t>تامل در براهین مدعیان نبوت</w:t>
            </w:r>
            <w:r>
              <w:rPr>
                <w:rStyle w:val="IndexLink"/>
                <w:rtl w:val="true"/>
              </w:rPr>
              <w:tab/>
            </w:r>
            <w:r>
              <w:rPr>
                <w:rStyle w:val="IndexLink"/>
              </w:rPr>
              <w:t>20</w:t>
            </w:r>
          </w:hyperlink>
        </w:p>
        <w:p>
          <w:pPr>
            <w:pStyle w:val="Contents5"/>
            <w:tabs>
              <w:tab w:val="clear" w:pos="7892"/>
              <w:tab w:val="right" w:pos="9026" w:leader="dot"/>
            </w:tabs>
            <w:rPr/>
          </w:pPr>
          <w:hyperlink w:anchor="__RefHeading___Toc627877_1395250215">
            <w:r>
              <w:rPr>
                <w:webHidden/>
                <w:rStyle w:val="IndexLink"/>
              </w:rPr>
              <w:t>1-6</w:t>
            </w:r>
            <w:r>
              <w:rPr>
                <w:rStyle w:val="IndexLink"/>
                <w:rtl w:val="true"/>
              </w:rPr>
              <w:t xml:space="preserve"> </w:t>
            </w:r>
            <w:r>
              <w:rPr>
                <w:rStyle w:val="IndexLink"/>
                <w:rtl w:val="true"/>
              </w:rPr>
              <w:t>تکلیف مالا یطاق</w:t>
            </w:r>
            <w:r>
              <w:rPr>
                <w:rStyle w:val="IndexLink"/>
                <w:rtl w:val="true"/>
              </w:rPr>
              <w:tab/>
            </w:r>
            <w:r>
              <w:rPr>
                <w:rStyle w:val="IndexLink"/>
              </w:rPr>
              <w:t>21</w:t>
            </w:r>
          </w:hyperlink>
        </w:p>
        <w:p>
          <w:pPr>
            <w:pStyle w:val="Contents5"/>
            <w:tabs>
              <w:tab w:val="clear" w:pos="7892"/>
              <w:tab w:val="right" w:pos="9026" w:leader="dot"/>
            </w:tabs>
            <w:rPr/>
          </w:pPr>
          <w:hyperlink w:anchor="__RefHeading___Toc627879_1395250215">
            <w:r>
              <w:rPr>
                <w:webHidden/>
                <w:rStyle w:val="IndexLink"/>
              </w:rPr>
              <w:t>1-7</w:t>
            </w:r>
            <w:r>
              <w:rPr>
                <w:rStyle w:val="IndexLink"/>
                <w:rtl w:val="true"/>
              </w:rPr>
              <w:t xml:space="preserve"> </w:t>
            </w:r>
            <w:r>
              <w:rPr>
                <w:rStyle w:val="IndexLink"/>
                <w:rtl w:val="true"/>
              </w:rPr>
              <w:t>عقاب بلا بیان</w:t>
            </w:r>
            <w:r>
              <w:rPr>
                <w:rStyle w:val="IndexLink"/>
                <w:rtl w:val="true"/>
              </w:rPr>
              <w:tab/>
            </w:r>
            <w:r>
              <w:rPr>
                <w:rStyle w:val="IndexLink"/>
              </w:rPr>
              <w:t>22</w:t>
            </w:r>
          </w:hyperlink>
        </w:p>
        <w:p>
          <w:pPr>
            <w:pStyle w:val="Contents5"/>
            <w:tabs>
              <w:tab w:val="clear" w:pos="7892"/>
              <w:tab w:val="right" w:pos="9026" w:leader="dot"/>
            </w:tabs>
            <w:rPr/>
          </w:pPr>
          <w:hyperlink w:anchor="__RefHeading___Toc627881_1395250215">
            <w:r>
              <w:rPr>
                <w:webHidden/>
                <w:rStyle w:val="IndexLink"/>
              </w:rPr>
              <w:t>1-8</w:t>
            </w:r>
            <w:r>
              <w:rPr>
                <w:rStyle w:val="IndexLink"/>
                <w:rtl w:val="true"/>
              </w:rPr>
              <w:t xml:space="preserve"> </w:t>
            </w:r>
            <w:r>
              <w:rPr>
                <w:rStyle w:val="IndexLink"/>
                <w:rtl w:val="true"/>
              </w:rPr>
              <w:t>رابطه معجزه با نبوت</w:t>
            </w:r>
            <w:r>
              <w:rPr>
                <w:rStyle w:val="IndexLink"/>
                <w:rtl w:val="true"/>
              </w:rPr>
              <w:tab/>
            </w:r>
            <w:r>
              <w:rPr>
                <w:rStyle w:val="IndexLink"/>
              </w:rPr>
              <w:t>22</w:t>
            </w:r>
          </w:hyperlink>
        </w:p>
        <w:p>
          <w:pPr>
            <w:pStyle w:val="Contents5"/>
            <w:tabs>
              <w:tab w:val="clear" w:pos="7892"/>
              <w:tab w:val="right" w:pos="9026" w:leader="dot"/>
            </w:tabs>
            <w:rPr/>
          </w:pPr>
          <w:hyperlink w:anchor="__RefHeading___Toc627883_1395250215">
            <w:r>
              <w:rPr>
                <w:webHidden/>
                <w:rStyle w:val="IndexLink"/>
              </w:rPr>
              <w:t>1-9</w:t>
            </w:r>
            <w:r>
              <w:rPr>
                <w:rStyle w:val="IndexLink"/>
                <w:rtl w:val="true"/>
              </w:rPr>
              <w:t xml:space="preserve"> </w:t>
            </w:r>
            <w:r>
              <w:rPr>
                <w:rStyle w:val="IndexLink"/>
                <w:rtl w:val="true"/>
              </w:rPr>
              <w:t>عصمت پیامبران</w:t>
            </w:r>
            <w:r>
              <w:rPr>
                <w:rStyle w:val="IndexLink"/>
                <w:rtl w:val="true"/>
              </w:rPr>
              <w:tab/>
            </w:r>
            <w:r>
              <w:rPr>
                <w:rStyle w:val="IndexLink"/>
              </w:rPr>
              <w:t>22</w:t>
            </w:r>
          </w:hyperlink>
        </w:p>
        <w:p>
          <w:pPr>
            <w:pStyle w:val="Contents5"/>
            <w:tabs>
              <w:tab w:val="clear" w:pos="7892"/>
              <w:tab w:val="right" w:pos="9026" w:leader="dot"/>
            </w:tabs>
            <w:rPr/>
          </w:pPr>
          <w:hyperlink w:anchor="__RefHeading___Toc627885_1395250215">
            <w:r>
              <w:rPr>
                <w:webHidden/>
                <w:rStyle w:val="IndexLink"/>
              </w:rPr>
              <w:t>1-10</w:t>
            </w:r>
            <w:r>
              <w:rPr>
                <w:rStyle w:val="IndexLink"/>
                <w:rtl w:val="true"/>
              </w:rPr>
              <w:t xml:space="preserve"> </w:t>
            </w:r>
            <w:r>
              <w:rPr>
                <w:rStyle w:val="IndexLink"/>
                <w:rtl w:val="true"/>
              </w:rPr>
              <w:t>عذاب اطفال</w:t>
            </w:r>
            <w:r>
              <w:rPr>
                <w:rStyle w:val="IndexLink"/>
                <w:rtl w:val="true"/>
              </w:rPr>
              <w:tab/>
            </w:r>
            <w:r>
              <w:rPr>
                <w:rStyle w:val="IndexLink"/>
              </w:rPr>
              <w:t>23</w:t>
            </w:r>
          </w:hyperlink>
        </w:p>
        <w:p>
          <w:pPr>
            <w:pStyle w:val="Contents4"/>
            <w:tabs>
              <w:tab w:val="clear" w:pos="8176"/>
              <w:tab w:val="right" w:pos="9026" w:leader="dot"/>
            </w:tabs>
            <w:rPr/>
          </w:pPr>
          <w:hyperlink w:anchor="__RefHeading___Toc627887_1395250215">
            <w:r>
              <w:rPr>
                <w:webHidden/>
                <w:rStyle w:val="IndexLink"/>
              </w:rPr>
              <w:t>2</w:t>
            </w:r>
            <w:r>
              <w:rPr>
                <w:rStyle w:val="IndexLink"/>
                <w:rtl w:val="true"/>
              </w:rPr>
              <w:t xml:space="preserve">. </w:t>
            </w:r>
            <w:r>
              <w:rPr>
                <w:rStyle w:val="IndexLink"/>
                <w:rtl w:val="true"/>
              </w:rPr>
              <w:t>قائده دفع ضرر محتمل</w:t>
            </w:r>
            <w:r>
              <w:rPr>
                <w:rStyle w:val="IndexLink"/>
                <w:rtl w:val="true"/>
              </w:rPr>
              <w:tab/>
            </w:r>
            <w:r>
              <w:rPr>
                <w:rStyle w:val="IndexLink"/>
              </w:rPr>
              <w:t>23</w:t>
            </w:r>
          </w:hyperlink>
        </w:p>
        <w:p>
          <w:pPr>
            <w:pStyle w:val="Contents5"/>
            <w:tabs>
              <w:tab w:val="clear" w:pos="7892"/>
              <w:tab w:val="right" w:pos="9026" w:leader="dot"/>
            </w:tabs>
            <w:rPr/>
          </w:pPr>
          <w:hyperlink w:anchor="__RefHeading___Toc627889_1395250215">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627891_1395250215">
            <w:r>
              <w:rPr>
                <w:webHidden/>
                <w:rStyle w:val="IndexLink"/>
              </w:rPr>
              <w:t>2-1</w:t>
            </w:r>
            <w:r>
              <w:rPr>
                <w:rStyle w:val="IndexLink"/>
                <w:rtl w:val="true"/>
              </w:rPr>
              <w:t xml:space="preserve"> </w:t>
            </w:r>
            <w:r>
              <w:rPr>
                <w:rStyle w:val="IndexLink"/>
                <w:rtl w:val="true"/>
              </w:rPr>
              <w:t>وجوب معرفت الله</w:t>
            </w:r>
            <w:r>
              <w:rPr>
                <w:rStyle w:val="IndexLink"/>
                <w:rtl w:val="true"/>
              </w:rPr>
              <w:tab/>
            </w:r>
            <w:r>
              <w:rPr>
                <w:rStyle w:val="IndexLink"/>
              </w:rPr>
              <w:t>23</w:t>
            </w:r>
          </w:hyperlink>
        </w:p>
        <w:p>
          <w:pPr>
            <w:pStyle w:val="Contents5"/>
            <w:tabs>
              <w:tab w:val="clear" w:pos="7892"/>
              <w:tab w:val="right" w:pos="9026" w:leader="dot"/>
            </w:tabs>
            <w:rPr/>
          </w:pPr>
          <w:hyperlink w:anchor="__RefHeading___Toc627893_1395250215">
            <w:r>
              <w:rPr>
                <w:webHidden/>
                <w:rStyle w:val="IndexLink"/>
              </w:rPr>
              <w:t>2-2</w:t>
            </w:r>
            <w:r>
              <w:rPr>
                <w:rStyle w:val="IndexLink"/>
                <w:rtl w:val="true"/>
              </w:rPr>
              <w:t xml:space="preserve"> </w:t>
            </w:r>
            <w:r>
              <w:rPr>
                <w:rStyle w:val="IndexLink"/>
                <w:rtl w:val="true"/>
              </w:rPr>
              <w:t>وجوب تدین</w:t>
            </w:r>
            <w:r>
              <w:rPr>
                <w:rStyle w:val="IndexLink"/>
                <w:rtl w:val="true"/>
              </w:rPr>
              <w:tab/>
            </w:r>
            <w:r>
              <w:rPr>
                <w:rStyle w:val="IndexLink"/>
              </w:rPr>
              <w:t>24</w:t>
            </w:r>
          </w:hyperlink>
        </w:p>
        <w:p>
          <w:pPr>
            <w:pStyle w:val="Contents4"/>
            <w:tabs>
              <w:tab w:val="clear" w:pos="8176"/>
              <w:tab w:val="right" w:pos="9026" w:leader="dot"/>
            </w:tabs>
            <w:rPr/>
          </w:pPr>
          <w:hyperlink w:anchor="__RefHeading___Toc627895_1395250215">
            <w:r>
              <w:rPr>
                <w:webHidden/>
                <w:rStyle w:val="IndexLink"/>
              </w:rPr>
              <w:t>3</w:t>
            </w:r>
            <w:r>
              <w:rPr>
                <w:rStyle w:val="IndexLink"/>
                <w:rtl w:val="true"/>
              </w:rPr>
              <w:t xml:space="preserve">. </w:t>
            </w:r>
            <w:r>
              <w:rPr>
                <w:rStyle w:val="IndexLink"/>
                <w:rtl w:val="true"/>
              </w:rPr>
              <w:t>قائده شکر منعم</w:t>
            </w:r>
            <w:r>
              <w:rPr>
                <w:rStyle w:val="IndexLink"/>
                <w:rtl w:val="true"/>
              </w:rPr>
              <w:tab/>
            </w:r>
            <w:r>
              <w:rPr>
                <w:rStyle w:val="IndexLink"/>
              </w:rPr>
              <w:t>24</w:t>
            </w:r>
          </w:hyperlink>
        </w:p>
        <w:p>
          <w:pPr>
            <w:pStyle w:val="Contents4"/>
            <w:tabs>
              <w:tab w:val="clear" w:pos="8176"/>
              <w:tab w:val="right" w:pos="9026" w:leader="dot"/>
            </w:tabs>
            <w:rPr/>
          </w:pPr>
          <w:hyperlink w:anchor="__RefHeading___Toc627897_1395250215">
            <w:r>
              <w:rPr>
                <w:webHidden/>
                <w:rStyle w:val="IndexLink"/>
              </w:rPr>
              <w:t>4</w:t>
            </w:r>
            <w:r>
              <w:rPr>
                <w:rStyle w:val="IndexLink"/>
                <w:rtl w:val="true"/>
              </w:rPr>
              <w:t xml:space="preserve">. </w:t>
            </w:r>
            <w:r>
              <w:rPr>
                <w:rStyle w:val="IndexLink"/>
                <w:rtl w:val="true"/>
              </w:rPr>
              <w:t>قاعده تعلیق الواجب بالجائز</w:t>
            </w:r>
            <w:r>
              <w:rPr>
                <w:rStyle w:val="IndexLink"/>
                <w:rtl w:val="true"/>
              </w:rPr>
              <w:tab/>
            </w:r>
            <w:r>
              <w:rPr>
                <w:rStyle w:val="IndexLink"/>
              </w:rPr>
              <w:t>25</w:t>
            </w:r>
          </w:hyperlink>
        </w:p>
        <w:p>
          <w:pPr>
            <w:pStyle w:val="Contents4"/>
            <w:tabs>
              <w:tab w:val="clear" w:pos="8176"/>
              <w:tab w:val="right" w:pos="9026" w:leader="dot"/>
            </w:tabs>
            <w:rPr/>
          </w:pPr>
          <w:hyperlink w:anchor="__RefHeading___Toc627899_1395250215">
            <w:r>
              <w:rPr>
                <w:webHidden/>
                <w:rStyle w:val="IndexLink"/>
              </w:rPr>
              <w:t>5</w:t>
            </w:r>
            <w:r>
              <w:rPr>
                <w:rStyle w:val="IndexLink"/>
                <w:rtl w:val="true"/>
              </w:rPr>
              <w:t xml:space="preserve">. </w:t>
            </w:r>
            <w:r>
              <w:rPr>
                <w:rStyle w:val="IndexLink"/>
                <w:rtl w:val="true"/>
              </w:rPr>
              <w:t>قائده لطف</w:t>
            </w:r>
            <w:r>
              <w:rPr>
                <w:rStyle w:val="IndexLink"/>
                <w:rtl w:val="true"/>
              </w:rPr>
              <w:tab/>
            </w:r>
            <w:r>
              <w:rPr>
                <w:rStyle w:val="IndexLink"/>
              </w:rPr>
              <w:t>25</w:t>
            </w:r>
          </w:hyperlink>
        </w:p>
        <w:p>
          <w:pPr>
            <w:pStyle w:val="Contents5"/>
            <w:tabs>
              <w:tab w:val="clear" w:pos="7892"/>
              <w:tab w:val="right" w:pos="9026" w:leader="dot"/>
            </w:tabs>
            <w:rPr/>
          </w:pPr>
          <w:hyperlink w:anchor="__RefHeading___Toc627901_1395250215">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627903_1395250215">
            <w:r>
              <w:rPr>
                <w:webHidden/>
                <w:rStyle w:val="IndexLink"/>
              </w:rPr>
              <w:t>5-1</w:t>
            </w:r>
            <w:r>
              <w:rPr>
                <w:rStyle w:val="IndexLink"/>
                <w:rtl w:val="true"/>
              </w:rPr>
              <w:t xml:space="preserve">. </w:t>
            </w:r>
            <w:r>
              <w:rPr>
                <w:rStyle w:val="IndexLink"/>
                <w:rtl w:val="true"/>
              </w:rPr>
              <w:t>بعثت پیامبران</w:t>
            </w:r>
            <w:r>
              <w:rPr>
                <w:rStyle w:val="IndexLink"/>
                <w:rtl w:val="true"/>
              </w:rPr>
              <w:tab/>
            </w:r>
            <w:r>
              <w:rPr>
                <w:rStyle w:val="IndexLink"/>
              </w:rPr>
              <w:t>27</w:t>
            </w:r>
          </w:hyperlink>
        </w:p>
        <w:p>
          <w:pPr>
            <w:pStyle w:val="Contents5"/>
            <w:tabs>
              <w:tab w:val="clear" w:pos="7892"/>
              <w:tab w:val="right" w:pos="9026" w:leader="dot"/>
            </w:tabs>
            <w:rPr/>
          </w:pPr>
          <w:hyperlink w:anchor="__RefHeading___Toc627905_1395250215">
            <w:r>
              <w:rPr>
                <w:webHidden/>
                <w:rStyle w:val="IndexLink"/>
              </w:rPr>
              <w:t>5-2</w:t>
            </w:r>
            <w:r>
              <w:rPr>
                <w:rStyle w:val="IndexLink"/>
                <w:rtl w:val="true"/>
              </w:rPr>
              <w:t xml:space="preserve">. </w:t>
            </w:r>
            <w:r>
              <w:rPr>
                <w:rStyle w:val="IndexLink"/>
                <w:rtl w:val="true"/>
              </w:rPr>
              <w:t>امامت</w:t>
            </w:r>
            <w:r>
              <w:rPr>
                <w:rStyle w:val="IndexLink"/>
                <w:rtl w:val="true"/>
              </w:rPr>
              <w:tab/>
            </w:r>
            <w:r>
              <w:rPr>
                <w:rStyle w:val="IndexLink"/>
              </w:rPr>
              <w:t>27</w:t>
            </w:r>
          </w:hyperlink>
        </w:p>
        <w:p>
          <w:pPr>
            <w:pStyle w:val="Contents5"/>
            <w:tabs>
              <w:tab w:val="clear" w:pos="7892"/>
              <w:tab w:val="right" w:pos="9026" w:leader="dot"/>
            </w:tabs>
            <w:rPr/>
          </w:pPr>
          <w:hyperlink w:anchor="__RefHeading___Toc627907_1395250215">
            <w:r>
              <w:rPr>
                <w:webHidden/>
                <w:rStyle w:val="IndexLink"/>
              </w:rPr>
              <w:t>5-3</w:t>
            </w:r>
            <w:r>
              <w:rPr>
                <w:rStyle w:val="IndexLink"/>
                <w:rtl w:val="true"/>
              </w:rPr>
              <w:t xml:space="preserve">. </w:t>
            </w:r>
            <w:r>
              <w:rPr>
                <w:rStyle w:val="IndexLink"/>
                <w:rtl w:val="true"/>
              </w:rPr>
              <w:t>فرصت دادن به فرد توبه کار برای جبران</w:t>
            </w:r>
            <w:r>
              <w:rPr>
                <w:rStyle w:val="IndexLink"/>
                <w:rtl w:val="true"/>
              </w:rPr>
              <w:tab/>
            </w:r>
            <w:r>
              <w:rPr>
                <w:rStyle w:val="IndexLink"/>
              </w:rPr>
              <w:t>28</w:t>
            </w:r>
          </w:hyperlink>
        </w:p>
        <w:p>
          <w:pPr>
            <w:pStyle w:val="Contents3"/>
            <w:tabs>
              <w:tab w:val="clear" w:pos="8459"/>
              <w:tab w:val="right" w:pos="9026" w:leader="dot"/>
            </w:tabs>
            <w:rPr/>
          </w:pPr>
          <w:hyperlink w:anchor="__RefHeading___Toc627909_1395250215">
            <w:r>
              <w:rPr>
                <w:webHidden/>
                <w:rStyle w:val="IndexLink"/>
                <w:rtl w:val="true"/>
              </w:rPr>
              <w:t>نتیجه گیری</w:t>
            </w:r>
            <w:r>
              <w:rPr>
                <w:rStyle w:val="IndexLink"/>
                <w:rtl w:val="true"/>
              </w:rPr>
              <w:tab/>
            </w:r>
            <w:r>
              <w:rPr>
                <w:rStyle w:val="IndexLink"/>
              </w:rPr>
              <w:t>29</w:t>
            </w:r>
          </w:hyperlink>
        </w:p>
        <w:p>
          <w:pPr>
            <w:pStyle w:val="Contents3"/>
            <w:tabs>
              <w:tab w:val="clear" w:pos="8459"/>
              <w:tab w:val="right" w:pos="9026" w:leader="dot"/>
            </w:tabs>
            <w:rPr/>
          </w:pPr>
          <w:hyperlink w:anchor="__RefHeading___Toc627911_1395250215">
            <w:r>
              <w:rPr>
                <w:webHidden/>
                <w:rStyle w:val="IndexLink"/>
                <w:rtl w:val="true"/>
              </w:rPr>
              <w:t>منابع</w:t>
            </w:r>
            <w:r>
              <w:rPr>
                <w:rStyle w:val="IndexLink"/>
                <w:rtl w:val="true"/>
              </w:rPr>
              <w:tab/>
            </w:r>
            <w:r>
              <w:rPr>
                <w:rStyle w:val="IndexLink"/>
              </w:rPr>
              <w:t>29</w:t>
            </w:r>
          </w:hyperlink>
        </w:p>
        <w:p>
          <w:pPr>
            <w:pStyle w:val="Contents2"/>
            <w:tabs>
              <w:tab w:val="clear" w:pos="8743"/>
              <w:tab w:val="right" w:pos="9026" w:leader="dot"/>
            </w:tabs>
            <w:rPr/>
          </w:pPr>
          <w:hyperlink w:anchor="__RefHeading___Toc627913_1395250215">
            <w:r>
              <w:rPr>
                <w:webHidden/>
                <w:rStyle w:val="IndexLink"/>
                <w:rtl w:val="true"/>
              </w:rPr>
              <w:t>مقایسه دیدگاه ملاصدرا و علامه طباطبائی درباره اراده الهی و ارزیابی دو دیدگاه بر اساس روایات</w:t>
            </w:r>
            <w:r>
              <w:rPr>
                <w:rStyle w:val="IndexLink"/>
                <w:rtl w:val="true"/>
              </w:rPr>
              <w:tab/>
            </w:r>
            <w:r>
              <w:rPr>
                <w:rStyle w:val="IndexLink"/>
              </w:rPr>
              <w:t>31</w:t>
            </w:r>
          </w:hyperlink>
        </w:p>
        <w:p>
          <w:pPr>
            <w:pStyle w:val="Contents3"/>
            <w:tabs>
              <w:tab w:val="clear" w:pos="8459"/>
              <w:tab w:val="right" w:pos="9026" w:leader="dot"/>
            </w:tabs>
            <w:rPr/>
          </w:pPr>
          <w:hyperlink w:anchor="__RefHeading___Toc627915_139525021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627917_1395250215">
            <w:r>
              <w:rPr>
                <w:webHidden/>
                <w:rStyle w:val="IndexLink"/>
                <w:rtl w:val="true"/>
              </w:rPr>
              <w:t>چکیده</w:t>
            </w:r>
            <w:r>
              <w:rPr>
                <w:rStyle w:val="IndexLink"/>
                <w:rtl w:val="true"/>
              </w:rPr>
              <w:tab/>
            </w:r>
            <w:r>
              <w:rPr>
                <w:rStyle w:val="IndexLink"/>
              </w:rPr>
              <w:t>31</w:t>
            </w:r>
          </w:hyperlink>
        </w:p>
        <w:p>
          <w:pPr>
            <w:pStyle w:val="Contents3"/>
            <w:tabs>
              <w:tab w:val="clear" w:pos="8459"/>
              <w:tab w:val="right" w:pos="9026" w:leader="dot"/>
            </w:tabs>
            <w:rPr/>
          </w:pPr>
          <w:hyperlink w:anchor="__RefHeading___Toc627919_1395250215">
            <w:r>
              <w:rPr>
                <w:webHidden/>
                <w:rStyle w:val="IndexLink"/>
                <w:rtl w:val="true"/>
              </w:rPr>
              <w:t>واژگان کلیدی</w:t>
            </w:r>
            <w:r>
              <w:rPr>
                <w:rStyle w:val="IndexLink"/>
                <w:rtl w:val="true"/>
              </w:rPr>
              <w:tab/>
            </w:r>
            <w:r>
              <w:rPr>
                <w:rStyle w:val="IndexLink"/>
              </w:rPr>
              <w:t>31</w:t>
            </w:r>
          </w:hyperlink>
        </w:p>
        <w:p>
          <w:pPr>
            <w:pStyle w:val="Contents3"/>
            <w:tabs>
              <w:tab w:val="clear" w:pos="8459"/>
              <w:tab w:val="right" w:pos="9026" w:leader="dot"/>
            </w:tabs>
            <w:rPr/>
          </w:pPr>
          <w:hyperlink w:anchor="__RefHeading___Toc627921_1395250215">
            <w:r>
              <w:rPr>
                <w:webHidden/>
                <w:rStyle w:val="IndexLink"/>
                <w:rtl w:val="true"/>
              </w:rPr>
              <w:t>بیان مسئله</w:t>
            </w:r>
            <w:r>
              <w:rPr>
                <w:rStyle w:val="IndexLink"/>
                <w:rtl w:val="true"/>
              </w:rPr>
              <w:tab/>
            </w:r>
            <w:r>
              <w:rPr>
                <w:rStyle w:val="IndexLink"/>
              </w:rPr>
              <w:t>32</w:t>
            </w:r>
          </w:hyperlink>
        </w:p>
        <w:p>
          <w:pPr>
            <w:pStyle w:val="Contents3"/>
            <w:tabs>
              <w:tab w:val="clear" w:pos="8459"/>
              <w:tab w:val="right" w:pos="9026" w:leader="dot"/>
            </w:tabs>
            <w:rPr/>
          </w:pPr>
          <w:hyperlink w:anchor="__RefHeading___Toc627923_1395250215">
            <w:r>
              <w:rPr>
                <w:webHidden/>
                <w:rStyle w:val="IndexLink"/>
                <w:rtl w:val="true"/>
              </w:rPr>
              <w:t>دیدگاه صدر المتالهین</w:t>
            </w:r>
            <w:r>
              <w:rPr>
                <w:rStyle w:val="IndexLink"/>
                <w:rtl w:val="true"/>
              </w:rPr>
              <w:tab/>
            </w:r>
            <w:r>
              <w:rPr>
                <w:rStyle w:val="IndexLink"/>
              </w:rPr>
              <w:t>33</w:t>
            </w:r>
          </w:hyperlink>
        </w:p>
        <w:p>
          <w:pPr>
            <w:pStyle w:val="Contents4"/>
            <w:tabs>
              <w:tab w:val="clear" w:pos="8176"/>
              <w:tab w:val="right" w:pos="9026" w:leader="dot"/>
            </w:tabs>
            <w:rPr/>
          </w:pPr>
          <w:hyperlink w:anchor="__RefHeading___Toc627925_139525021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27927_1395250215">
            <w:r>
              <w:rPr>
                <w:webHidden/>
                <w:rStyle w:val="IndexLink"/>
              </w:rPr>
              <w:t>1</w:t>
            </w:r>
            <w:r>
              <w:rPr>
                <w:rStyle w:val="IndexLink"/>
                <w:rtl w:val="true"/>
              </w:rPr>
              <w:t xml:space="preserve">. </w:t>
            </w:r>
            <w:r>
              <w:rPr>
                <w:rStyle w:val="IndexLink"/>
                <w:rtl w:val="true"/>
              </w:rPr>
              <w:t>ماهیت اراده</w:t>
            </w:r>
            <w:r>
              <w:rPr>
                <w:rStyle w:val="IndexLink"/>
                <w:rtl w:val="true"/>
              </w:rPr>
              <w:tab/>
            </w:r>
            <w:r>
              <w:rPr>
                <w:rStyle w:val="IndexLink"/>
              </w:rPr>
              <w:t>33</w:t>
            </w:r>
          </w:hyperlink>
        </w:p>
        <w:p>
          <w:pPr>
            <w:pStyle w:val="Contents5"/>
            <w:tabs>
              <w:tab w:val="clear" w:pos="7892"/>
              <w:tab w:val="right" w:pos="9026" w:leader="dot"/>
            </w:tabs>
            <w:rPr/>
          </w:pPr>
          <w:hyperlink w:anchor="__RefHeading___Toc627929_1395250215">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627931_1395250215">
            <w:r>
              <w:rPr>
                <w:webHidden/>
                <w:rStyle w:val="IndexLink"/>
                <w:rtl w:val="true"/>
              </w:rPr>
              <w:t>الف</w:t>
            </w:r>
            <w:r>
              <w:rPr>
                <w:rStyle w:val="IndexLink"/>
                <w:rtl w:val="true"/>
              </w:rPr>
              <w:t xml:space="preserve">) </w:t>
            </w:r>
            <w:r>
              <w:rPr>
                <w:rStyle w:val="IndexLink"/>
                <w:rtl w:val="true"/>
              </w:rPr>
              <w:t>علم الهی</w:t>
            </w:r>
            <w:r>
              <w:rPr>
                <w:rStyle w:val="IndexLink"/>
                <w:rtl w:val="true"/>
              </w:rPr>
              <w:tab/>
            </w:r>
            <w:r>
              <w:rPr>
                <w:rStyle w:val="IndexLink"/>
              </w:rPr>
              <w:t>33</w:t>
            </w:r>
          </w:hyperlink>
        </w:p>
        <w:p>
          <w:pPr>
            <w:pStyle w:val="Contents5"/>
            <w:tabs>
              <w:tab w:val="clear" w:pos="7892"/>
              <w:tab w:val="right" w:pos="9026" w:leader="dot"/>
            </w:tabs>
            <w:rPr/>
          </w:pPr>
          <w:hyperlink w:anchor="__RefHeading___Toc627933_1395250215">
            <w:r>
              <w:rPr>
                <w:webHidden/>
                <w:rStyle w:val="IndexLink"/>
                <w:rtl w:val="true"/>
              </w:rPr>
              <w:t>ب</w:t>
            </w:r>
            <w:r>
              <w:rPr>
                <w:rStyle w:val="IndexLink"/>
                <w:rtl w:val="true"/>
              </w:rPr>
              <w:t xml:space="preserve">) </w:t>
            </w:r>
            <w:r>
              <w:rPr>
                <w:rStyle w:val="IndexLink"/>
                <w:rtl w:val="true"/>
              </w:rPr>
              <w:t>ابتهاج و حب ذاتی</w:t>
            </w:r>
            <w:r>
              <w:rPr>
                <w:rStyle w:val="IndexLink"/>
                <w:rtl w:val="true"/>
              </w:rPr>
              <w:tab/>
            </w:r>
            <w:r>
              <w:rPr>
                <w:rStyle w:val="IndexLink"/>
              </w:rPr>
              <w:t>34</w:t>
            </w:r>
          </w:hyperlink>
        </w:p>
        <w:p>
          <w:pPr>
            <w:pStyle w:val="Contents4"/>
            <w:tabs>
              <w:tab w:val="clear" w:pos="8176"/>
              <w:tab w:val="right" w:pos="9026" w:leader="dot"/>
            </w:tabs>
            <w:rPr/>
          </w:pPr>
          <w:hyperlink w:anchor="__RefHeading___Toc627935_1395250215">
            <w:r>
              <w:rPr>
                <w:webHidden/>
                <w:rStyle w:val="IndexLink"/>
              </w:rPr>
              <w:t>2</w:t>
            </w:r>
            <w:r>
              <w:rPr>
                <w:rStyle w:val="IndexLink"/>
                <w:rtl w:val="true"/>
              </w:rPr>
              <w:t xml:space="preserve">. </w:t>
            </w:r>
            <w:r>
              <w:rPr>
                <w:rStyle w:val="IndexLink"/>
                <w:rtl w:val="true"/>
              </w:rPr>
              <w:t>جایگاه اراده در صفات الهی</w:t>
            </w:r>
            <w:r>
              <w:rPr>
                <w:rStyle w:val="IndexLink"/>
                <w:rtl w:val="true"/>
              </w:rPr>
              <w:tab/>
            </w:r>
            <w:r>
              <w:rPr>
                <w:rStyle w:val="IndexLink"/>
              </w:rPr>
              <w:t>35</w:t>
            </w:r>
          </w:hyperlink>
        </w:p>
        <w:p>
          <w:pPr>
            <w:pStyle w:val="Contents4"/>
            <w:tabs>
              <w:tab w:val="clear" w:pos="8176"/>
              <w:tab w:val="right" w:pos="9026" w:leader="dot"/>
            </w:tabs>
            <w:rPr/>
          </w:pPr>
          <w:hyperlink w:anchor="__RefHeading___Toc627937_1395250215">
            <w:r>
              <w:rPr>
                <w:webHidden/>
                <w:rStyle w:val="IndexLink"/>
              </w:rPr>
              <w:t>3</w:t>
            </w:r>
            <w:r>
              <w:rPr>
                <w:rStyle w:val="IndexLink"/>
                <w:rtl w:val="true"/>
              </w:rPr>
              <w:t xml:space="preserve">. </w:t>
            </w:r>
            <w:r>
              <w:rPr>
                <w:rStyle w:val="IndexLink"/>
                <w:rtl w:val="true"/>
              </w:rPr>
              <w:t>فرق اراده الهی و اراده انسان</w:t>
            </w:r>
            <w:r>
              <w:rPr>
                <w:rStyle w:val="IndexLink"/>
                <w:rtl w:val="true"/>
              </w:rPr>
              <w:tab/>
            </w:r>
            <w:r>
              <w:rPr>
                <w:rStyle w:val="IndexLink"/>
              </w:rPr>
              <w:t>36</w:t>
            </w:r>
          </w:hyperlink>
        </w:p>
        <w:p>
          <w:pPr>
            <w:pStyle w:val="Contents4"/>
            <w:tabs>
              <w:tab w:val="clear" w:pos="8176"/>
              <w:tab w:val="right" w:pos="9026" w:leader="dot"/>
            </w:tabs>
            <w:rPr/>
          </w:pPr>
          <w:hyperlink w:anchor="__RefHeading___Toc627939_1395250215">
            <w:r>
              <w:rPr>
                <w:webHidden/>
                <w:rStyle w:val="IndexLink"/>
              </w:rPr>
              <w:t>4</w:t>
            </w:r>
            <w:r>
              <w:rPr>
                <w:rStyle w:val="IndexLink"/>
                <w:rtl w:val="true"/>
              </w:rPr>
              <w:t xml:space="preserve">. </w:t>
            </w:r>
            <w:r>
              <w:rPr>
                <w:rStyle w:val="IndexLink"/>
                <w:rtl w:val="true"/>
              </w:rPr>
              <w:t>جایگاه مشیت در نظریه صدرا</w:t>
            </w:r>
            <w:r>
              <w:rPr>
                <w:rStyle w:val="IndexLink"/>
                <w:rtl w:val="true"/>
              </w:rPr>
              <w:tab/>
            </w:r>
            <w:r>
              <w:rPr>
                <w:rStyle w:val="IndexLink"/>
              </w:rPr>
              <w:t>36</w:t>
            </w:r>
          </w:hyperlink>
        </w:p>
        <w:p>
          <w:pPr>
            <w:pStyle w:val="Contents3"/>
            <w:tabs>
              <w:tab w:val="clear" w:pos="8459"/>
              <w:tab w:val="right" w:pos="9026" w:leader="dot"/>
            </w:tabs>
            <w:rPr/>
          </w:pPr>
          <w:hyperlink w:anchor="__RefHeading___Toc627941_1395250215">
            <w:r>
              <w:rPr>
                <w:webHidden/>
                <w:rStyle w:val="IndexLink"/>
                <w:rtl w:val="true"/>
              </w:rPr>
              <w:t>دیدگاه علامه طباطبایی</w:t>
            </w:r>
            <w:r>
              <w:rPr>
                <w:rStyle w:val="IndexLink"/>
                <w:rtl w:val="true"/>
              </w:rPr>
              <w:tab/>
            </w:r>
            <w:r>
              <w:rPr>
                <w:rStyle w:val="IndexLink"/>
              </w:rPr>
              <w:t>37</w:t>
            </w:r>
          </w:hyperlink>
        </w:p>
        <w:p>
          <w:pPr>
            <w:pStyle w:val="Contents4"/>
            <w:tabs>
              <w:tab w:val="clear" w:pos="8176"/>
              <w:tab w:val="right" w:pos="9026" w:leader="dot"/>
            </w:tabs>
            <w:rPr/>
          </w:pPr>
          <w:hyperlink w:anchor="__RefHeading___Toc627943_139525021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627945_1395250215">
            <w:r>
              <w:rPr>
                <w:webHidden/>
                <w:rStyle w:val="IndexLink"/>
              </w:rPr>
              <w:t>1</w:t>
            </w:r>
            <w:r>
              <w:rPr>
                <w:rStyle w:val="IndexLink"/>
                <w:rtl w:val="true"/>
              </w:rPr>
              <w:t xml:space="preserve">. </w:t>
            </w:r>
            <w:r>
              <w:rPr>
                <w:rStyle w:val="IndexLink"/>
                <w:rtl w:val="true"/>
              </w:rPr>
              <w:t>نقد روش شناختی علامه به صدرا در بحث اراده الهی</w:t>
            </w:r>
            <w:r>
              <w:rPr>
                <w:rStyle w:val="IndexLink"/>
                <w:rtl w:val="true"/>
              </w:rPr>
              <w:tab/>
            </w:r>
            <w:r>
              <w:rPr>
                <w:rStyle w:val="IndexLink"/>
              </w:rPr>
              <w:t>37</w:t>
            </w:r>
          </w:hyperlink>
        </w:p>
        <w:p>
          <w:pPr>
            <w:pStyle w:val="Contents4"/>
            <w:tabs>
              <w:tab w:val="clear" w:pos="8176"/>
              <w:tab w:val="right" w:pos="9026" w:leader="dot"/>
            </w:tabs>
            <w:rPr/>
          </w:pPr>
          <w:hyperlink w:anchor="__RefHeading___Toc627947_1395250215">
            <w:r>
              <w:rPr>
                <w:webHidden/>
                <w:rStyle w:val="IndexLink"/>
              </w:rPr>
              <w:t>2</w:t>
            </w:r>
            <w:r>
              <w:rPr>
                <w:rStyle w:val="IndexLink"/>
                <w:rtl w:val="true"/>
              </w:rPr>
              <w:t xml:space="preserve">. </w:t>
            </w:r>
            <w:r>
              <w:rPr>
                <w:rStyle w:val="IndexLink"/>
                <w:rtl w:val="true"/>
              </w:rPr>
              <w:t>ماهیت اراده</w:t>
            </w:r>
            <w:r>
              <w:rPr>
                <w:rStyle w:val="IndexLink"/>
                <w:rtl w:val="true"/>
              </w:rPr>
              <w:tab/>
            </w:r>
            <w:r>
              <w:rPr>
                <w:rStyle w:val="IndexLink"/>
              </w:rPr>
              <w:t>37</w:t>
            </w:r>
          </w:hyperlink>
        </w:p>
        <w:p>
          <w:pPr>
            <w:pStyle w:val="Contents4"/>
            <w:tabs>
              <w:tab w:val="clear" w:pos="8176"/>
              <w:tab w:val="right" w:pos="9026" w:leader="dot"/>
            </w:tabs>
            <w:rPr/>
          </w:pPr>
          <w:hyperlink w:anchor="__RefHeading___Toc627949_1395250215">
            <w:r>
              <w:rPr>
                <w:webHidden/>
                <w:rStyle w:val="IndexLink"/>
              </w:rPr>
              <w:t>3</w:t>
            </w:r>
            <w:r>
              <w:rPr>
                <w:rStyle w:val="IndexLink"/>
                <w:rtl w:val="true"/>
              </w:rPr>
              <w:t xml:space="preserve">. </w:t>
            </w:r>
            <w:r>
              <w:rPr>
                <w:rStyle w:val="IndexLink"/>
                <w:rtl w:val="true"/>
              </w:rPr>
              <w:t>جایگاه اراده در صفات الهی</w:t>
            </w:r>
            <w:r>
              <w:rPr>
                <w:rStyle w:val="IndexLink"/>
                <w:rtl w:val="true"/>
              </w:rPr>
              <w:tab/>
            </w:r>
            <w:r>
              <w:rPr>
                <w:rStyle w:val="IndexLink"/>
              </w:rPr>
              <w:t>38</w:t>
            </w:r>
          </w:hyperlink>
        </w:p>
        <w:p>
          <w:pPr>
            <w:pStyle w:val="Contents4"/>
            <w:tabs>
              <w:tab w:val="clear" w:pos="8176"/>
              <w:tab w:val="right" w:pos="9026" w:leader="dot"/>
            </w:tabs>
            <w:rPr/>
          </w:pPr>
          <w:hyperlink w:anchor="__RefHeading___Toc627951_1395250215">
            <w:r>
              <w:rPr>
                <w:webHidden/>
                <w:rStyle w:val="IndexLink"/>
              </w:rPr>
              <w:t>4</w:t>
            </w:r>
            <w:r>
              <w:rPr>
                <w:rStyle w:val="IndexLink"/>
                <w:rtl w:val="true"/>
              </w:rPr>
              <w:t xml:space="preserve">. </w:t>
            </w:r>
            <w:r>
              <w:rPr>
                <w:rStyle w:val="IndexLink"/>
                <w:rtl w:val="true"/>
              </w:rPr>
              <w:t>جایگاه مشیت در نظریه علامه طباطبایی</w:t>
            </w:r>
            <w:r>
              <w:rPr>
                <w:rStyle w:val="IndexLink"/>
                <w:rtl w:val="true"/>
              </w:rPr>
              <w:tab/>
            </w:r>
            <w:r>
              <w:rPr>
                <w:rStyle w:val="IndexLink"/>
              </w:rPr>
              <w:t>39</w:t>
            </w:r>
          </w:hyperlink>
        </w:p>
        <w:p>
          <w:pPr>
            <w:pStyle w:val="Contents3"/>
            <w:tabs>
              <w:tab w:val="clear" w:pos="8459"/>
              <w:tab w:val="right" w:pos="9026" w:leader="dot"/>
            </w:tabs>
            <w:rPr/>
          </w:pPr>
          <w:hyperlink w:anchor="__RefHeading___Toc627953_1395250215">
            <w:r>
              <w:rPr>
                <w:webHidden/>
                <w:rStyle w:val="IndexLink"/>
                <w:rtl w:val="true"/>
              </w:rPr>
              <w:t>برسی اراده الهی در روایات</w:t>
            </w:r>
            <w:r>
              <w:rPr>
                <w:rStyle w:val="IndexLink"/>
                <w:rtl w:val="true"/>
              </w:rPr>
              <w:tab/>
            </w:r>
            <w:r>
              <w:rPr>
                <w:rStyle w:val="IndexLink"/>
              </w:rPr>
              <w:t>39</w:t>
            </w:r>
          </w:hyperlink>
        </w:p>
        <w:p>
          <w:pPr>
            <w:pStyle w:val="Contents4"/>
            <w:tabs>
              <w:tab w:val="clear" w:pos="8176"/>
              <w:tab w:val="right" w:pos="9026" w:leader="dot"/>
            </w:tabs>
            <w:rPr/>
          </w:pPr>
          <w:hyperlink w:anchor="__RefHeading___Toc627955_139525021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27957_1395250215">
            <w:r>
              <w:rPr>
                <w:webHidden/>
                <w:rStyle w:val="IndexLink"/>
              </w:rPr>
              <w:t>1</w:t>
            </w:r>
            <w:r>
              <w:rPr>
                <w:rStyle w:val="IndexLink"/>
                <w:rtl w:val="true"/>
              </w:rPr>
              <w:t xml:space="preserve">. </w:t>
            </w:r>
            <w:r>
              <w:rPr>
                <w:rStyle w:val="IndexLink"/>
                <w:rtl w:val="true"/>
              </w:rPr>
              <w:t>نوع پردازش روایات به مبحث اراده</w:t>
            </w:r>
            <w:r>
              <w:rPr>
                <w:rStyle w:val="IndexLink"/>
                <w:rtl w:val="true"/>
              </w:rPr>
              <w:tab/>
            </w:r>
            <w:r>
              <w:rPr>
                <w:rStyle w:val="IndexLink"/>
              </w:rPr>
              <w:t>40</w:t>
            </w:r>
          </w:hyperlink>
        </w:p>
        <w:p>
          <w:pPr>
            <w:pStyle w:val="Contents5"/>
            <w:tabs>
              <w:tab w:val="clear" w:pos="7892"/>
              <w:tab w:val="right" w:pos="9026" w:leader="dot"/>
            </w:tabs>
            <w:rPr/>
          </w:pPr>
          <w:hyperlink w:anchor="__RefHeading___Toc627959_1395250215">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627961_1395250215">
            <w:r>
              <w:rPr>
                <w:webHidden/>
                <w:rStyle w:val="IndexLink"/>
                <w:rtl w:val="true"/>
              </w:rPr>
              <w:t>الف</w:t>
            </w:r>
            <w:r>
              <w:rPr>
                <w:rStyle w:val="IndexLink"/>
                <w:rtl w:val="true"/>
              </w:rPr>
              <w:t xml:space="preserve">) </w:t>
            </w:r>
            <w:r>
              <w:rPr>
                <w:rStyle w:val="IndexLink"/>
                <w:rtl w:val="true"/>
              </w:rPr>
              <w:t>نفی نقلیص بشری از اراده الهی</w:t>
            </w:r>
            <w:r>
              <w:rPr>
                <w:rStyle w:val="IndexLink"/>
                <w:rtl w:val="true"/>
              </w:rPr>
              <w:tab/>
            </w:r>
            <w:r>
              <w:rPr>
                <w:rStyle w:val="IndexLink"/>
              </w:rPr>
              <w:t>40</w:t>
            </w:r>
          </w:hyperlink>
        </w:p>
        <w:p>
          <w:pPr>
            <w:pStyle w:val="Contents5"/>
            <w:tabs>
              <w:tab w:val="clear" w:pos="7892"/>
              <w:tab w:val="right" w:pos="9026" w:leader="dot"/>
            </w:tabs>
            <w:rPr/>
          </w:pPr>
          <w:hyperlink w:anchor="__RefHeading___Toc627963_1395250215">
            <w:r>
              <w:rPr>
                <w:webHidden/>
                <w:rStyle w:val="IndexLink"/>
                <w:rtl w:val="true"/>
              </w:rPr>
              <w:t>ب</w:t>
            </w:r>
            <w:r>
              <w:rPr>
                <w:rStyle w:val="IndexLink"/>
                <w:rtl w:val="true"/>
              </w:rPr>
              <w:t xml:space="preserve">) </w:t>
            </w:r>
            <w:r>
              <w:rPr>
                <w:rStyle w:val="IndexLink"/>
                <w:rtl w:val="true"/>
              </w:rPr>
              <w:t>نفی سنخیت اراده خالق و مخلوق</w:t>
            </w:r>
            <w:r>
              <w:rPr>
                <w:rStyle w:val="IndexLink"/>
                <w:rtl w:val="true"/>
              </w:rPr>
              <w:tab/>
            </w:r>
            <w:r>
              <w:rPr>
                <w:rStyle w:val="IndexLink"/>
              </w:rPr>
              <w:t>41</w:t>
            </w:r>
          </w:hyperlink>
        </w:p>
        <w:p>
          <w:pPr>
            <w:pStyle w:val="Contents5"/>
            <w:tabs>
              <w:tab w:val="clear" w:pos="7892"/>
              <w:tab w:val="right" w:pos="9026" w:leader="dot"/>
            </w:tabs>
            <w:rPr/>
          </w:pPr>
          <w:hyperlink w:anchor="__RefHeading___Toc627965_1395250215">
            <w:r>
              <w:rPr>
                <w:webHidden/>
                <w:rStyle w:val="IndexLink"/>
                <w:rtl w:val="true"/>
              </w:rPr>
              <w:t>ج</w:t>
            </w:r>
            <w:r>
              <w:rPr>
                <w:rStyle w:val="IndexLink"/>
                <w:rtl w:val="true"/>
              </w:rPr>
              <w:t xml:space="preserve">) </w:t>
            </w:r>
            <w:r>
              <w:rPr>
                <w:rStyle w:val="IndexLink"/>
                <w:rtl w:val="true"/>
              </w:rPr>
              <w:t>تقدم علم خدا بر مشیت ئ اراده او</w:t>
            </w:r>
            <w:r>
              <w:rPr>
                <w:rStyle w:val="IndexLink"/>
                <w:rtl w:val="true"/>
              </w:rPr>
              <w:tab/>
            </w:r>
            <w:r>
              <w:rPr>
                <w:rStyle w:val="IndexLink"/>
              </w:rPr>
              <w:t>41</w:t>
            </w:r>
          </w:hyperlink>
        </w:p>
        <w:p>
          <w:pPr>
            <w:pStyle w:val="Contents5"/>
            <w:tabs>
              <w:tab w:val="clear" w:pos="7892"/>
              <w:tab w:val="right" w:pos="9026" w:leader="dot"/>
            </w:tabs>
            <w:rPr/>
          </w:pPr>
          <w:hyperlink w:anchor="__RefHeading___Toc627967_1395250215">
            <w:r>
              <w:rPr>
                <w:webHidden/>
                <w:rStyle w:val="IndexLink"/>
                <w:rtl w:val="true"/>
              </w:rPr>
              <w:t>د</w:t>
            </w:r>
            <w:r>
              <w:rPr>
                <w:rStyle w:val="IndexLink"/>
                <w:rtl w:val="true"/>
              </w:rPr>
              <w:t xml:space="preserve">) </w:t>
            </w:r>
            <w:r>
              <w:rPr>
                <w:rStyle w:val="IndexLink"/>
                <w:rtl w:val="true"/>
              </w:rPr>
              <w:t>نفی رابطه مشیت و اراده الهی با حب و رضای او</w:t>
            </w:r>
            <w:r>
              <w:rPr>
                <w:rStyle w:val="IndexLink"/>
                <w:rtl w:val="true"/>
              </w:rPr>
              <w:tab/>
            </w:r>
            <w:r>
              <w:rPr>
                <w:rStyle w:val="IndexLink"/>
              </w:rPr>
              <w:t>42</w:t>
            </w:r>
          </w:hyperlink>
        </w:p>
        <w:p>
          <w:pPr>
            <w:pStyle w:val="Contents4"/>
            <w:tabs>
              <w:tab w:val="clear" w:pos="8176"/>
              <w:tab w:val="right" w:pos="9026" w:leader="dot"/>
            </w:tabs>
            <w:rPr/>
          </w:pPr>
          <w:hyperlink w:anchor="__RefHeading___Toc627969_1395250215">
            <w:r>
              <w:rPr>
                <w:webHidden/>
                <w:rStyle w:val="IndexLink"/>
              </w:rPr>
              <w:t>2</w:t>
            </w:r>
            <w:r>
              <w:rPr>
                <w:rStyle w:val="IndexLink"/>
                <w:rtl w:val="true"/>
              </w:rPr>
              <w:t xml:space="preserve">. </w:t>
            </w:r>
            <w:r>
              <w:rPr>
                <w:rStyle w:val="IndexLink"/>
                <w:rtl w:val="true"/>
              </w:rPr>
              <w:t>تبیین اراده الهی</w:t>
            </w:r>
            <w:r>
              <w:rPr>
                <w:rStyle w:val="IndexLink"/>
                <w:rtl w:val="true"/>
              </w:rPr>
              <w:tab/>
            </w:r>
            <w:r>
              <w:rPr>
                <w:rStyle w:val="IndexLink"/>
              </w:rPr>
              <w:t>42</w:t>
            </w:r>
          </w:hyperlink>
        </w:p>
        <w:p>
          <w:pPr>
            <w:pStyle w:val="Contents5"/>
            <w:tabs>
              <w:tab w:val="clear" w:pos="7892"/>
              <w:tab w:val="right" w:pos="9026" w:leader="dot"/>
            </w:tabs>
            <w:rPr/>
          </w:pPr>
          <w:hyperlink w:anchor="__RefHeading___Toc627971_1395250215">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627973_1395250215">
            <w:r>
              <w:rPr>
                <w:webHidden/>
                <w:rStyle w:val="IndexLink"/>
                <w:rtl w:val="true"/>
              </w:rPr>
              <w:t>الف</w:t>
            </w:r>
            <w:r>
              <w:rPr>
                <w:rStyle w:val="IndexLink"/>
                <w:rtl w:val="true"/>
              </w:rPr>
              <w:t xml:space="preserve">) </w:t>
            </w:r>
            <w:r>
              <w:rPr>
                <w:rStyle w:val="IndexLink"/>
                <w:rtl w:val="true"/>
              </w:rPr>
              <w:t>اراده به عنوان یکی از اجزای فرایند تحقق پدیده ها</w:t>
            </w:r>
            <w:r>
              <w:rPr>
                <w:rStyle w:val="IndexLink"/>
                <w:rtl w:val="true"/>
              </w:rPr>
              <w:tab/>
            </w:r>
            <w:r>
              <w:rPr>
                <w:rStyle w:val="IndexLink"/>
              </w:rPr>
              <w:t>42</w:t>
            </w:r>
          </w:hyperlink>
        </w:p>
        <w:p>
          <w:pPr>
            <w:pStyle w:val="Contents5"/>
            <w:tabs>
              <w:tab w:val="clear" w:pos="7892"/>
              <w:tab w:val="right" w:pos="9026" w:leader="dot"/>
            </w:tabs>
            <w:rPr/>
          </w:pPr>
          <w:hyperlink w:anchor="__RefHeading___Toc627975_1395250215">
            <w:r>
              <w:rPr>
                <w:webHidden/>
                <w:rStyle w:val="IndexLink"/>
                <w:rtl w:val="true"/>
              </w:rPr>
              <w:t>ب</w:t>
            </w:r>
            <w:r>
              <w:rPr>
                <w:rStyle w:val="IndexLink"/>
                <w:rtl w:val="true"/>
              </w:rPr>
              <w:t xml:space="preserve">) </w:t>
            </w:r>
            <w:r>
              <w:rPr>
                <w:rStyle w:val="IndexLink"/>
                <w:rtl w:val="true"/>
              </w:rPr>
              <w:t>جایگاه مشیت در بحث اراده</w:t>
            </w:r>
            <w:r>
              <w:rPr>
                <w:rStyle w:val="IndexLink"/>
                <w:rtl w:val="true"/>
              </w:rPr>
              <w:tab/>
            </w:r>
            <w:r>
              <w:rPr>
                <w:rStyle w:val="IndexLink"/>
              </w:rPr>
              <w:t>43</w:t>
            </w:r>
          </w:hyperlink>
        </w:p>
        <w:p>
          <w:pPr>
            <w:pStyle w:val="Contents5"/>
            <w:tabs>
              <w:tab w:val="clear" w:pos="7892"/>
              <w:tab w:val="right" w:pos="9026" w:leader="dot"/>
            </w:tabs>
            <w:rPr/>
          </w:pPr>
          <w:hyperlink w:anchor="__RefHeading___Toc627977_1395250215">
            <w:r>
              <w:rPr>
                <w:webHidden/>
                <w:rStyle w:val="IndexLink"/>
                <w:rtl w:val="true"/>
              </w:rPr>
              <w:t>ج</w:t>
            </w:r>
            <w:r>
              <w:rPr>
                <w:rStyle w:val="IndexLink"/>
                <w:rtl w:val="true"/>
              </w:rPr>
              <w:t xml:space="preserve">) </w:t>
            </w:r>
            <w:r>
              <w:rPr>
                <w:rStyle w:val="IndexLink"/>
                <w:rtl w:val="true"/>
              </w:rPr>
              <w:t>رابطه مشیت و حکمت</w:t>
            </w:r>
            <w:r>
              <w:rPr>
                <w:rStyle w:val="IndexLink"/>
                <w:rtl w:val="true"/>
              </w:rPr>
              <w:tab/>
            </w:r>
            <w:r>
              <w:rPr>
                <w:rStyle w:val="IndexLink"/>
              </w:rPr>
              <w:t>44</w:t>
            </w:r>
          </w:hyperlink>
        </w:p>
        <w:p>
          <w:pPr>
            <w:pStyle w:val="Contents5"/>
            <w:tabs>
              <w:tab w:val="clear" w:pos="7892"/>
              <w:tab w:val="right" w:pos="9026" w:leader="dot"/>
            </w:tabs>
            <w:rPr/>
          </w:pPr>
          <w:hyperlink w:anchor="__RefHeading___Toc627979_1395250215">
            <w:r>
              <w:rPr>
                <w:webHidden/>
                <w:rStyle w:val="IndexLink"/>
                <w:rtl w:val="true"/>
              </w:rPr>
              <w:t>د</w:t>
            </w:r>
            <w:r>
              <w:rPr>
                <w:rStyle w:val="IndexLink"/>
                <w:rtl w:val="true"/>
              </w:rPr>
              <w:t xml:space="preserve">) </w:t>
            </w:r>
            <w:r>
              <w:rPr>
                <w:rStyle w:val="IndexLink"/>
                <w:rtl w:val="true"/>
              </w:rPr>
              <w:t>فرق اراده خدا و اراده مخلوقات</w:t>
            </w:r>
            <w:r>
              <w:rPr>
                <w:rStyle w:val="IndexLink"/>
                <w:rtl w:val="true"/>
              </w:rPr>
              <w:tab/>
            </w:r>
            <w:r>
              <w:rPr>
                <w:rStyle w:val="IndexLink"/>
              </w:rPr>
              <w:t>45</w:t>
            </w:r>
          </w:hyperlink>
        </w:p>
        <w:p>
          <w:pPr>
            <w:pStyle w:val="Contents3"/>
            <w:tabs>
              <w:tab w:val="clear" w:pos="8459"/>
              <w:tab w:val="right" w:pos="9026" w:leader="dot"/>
            </w:tabs>
            <w:rPr/>
          </w:pPr>
          <w:hyperlink w:anchor="__RefHeading___Toc627981_1395250215">
            <w:r>
              <w:rPr>
                <w:webHidden/>
                <w:rStyle w:val="IndexLink"/>
                <w:rtl w:val="true"/>
              </w:rPr>
              <w:t>نتیجه گیری</w:t>
            </w:r>
            <w:r>
              <w:rPr>
                <w:rStyle w:val="IndexLink"/>
                <w:rtl w:val="true"/>
              </w:rPr>
              <w:tab/>
            </w:r>
            <w:r>
              <w:rPr>
                <w:rStyle w:val="IndexLink"/>
              </w:rPr>
              <w:t>45</w:t>
            </w:r>
          </w:hyperlink>
        </w:p>
        <w:p>
          <w:pPr>
            <w:pStyle w:val="Contents3"/>
            <w:tabs>
              <w:tab w:val="clear" w:pos="8459"/>
              <w:tab w:val="right" w:pos="9026" w:leader="dot"/>
            </w:tabs>
            <w:rPr/>
          </w:pPr>
          <w:hyperlink w:anchor="__RefHeading___Toc627983_1395250215">
            <w:r>
              <w:rPr>
                <w:webHidden/>
                <w:rStyle w:val="IndexLink"/>
                <w:rtl w:val="true"/>
              </w:rPr>
              <w:t>منابع</w:t>
            </w:r>
            <w:r>
              <w:rPr>
                <w:rStyle w:val="IndexLink"/>
                <w:rtl w:val="true"/>
              </w:rPr>
              <w:tab/>
            </w:r>
            <w:r>
              <w:rPr>
                <w:rStyle w:val="IndexLink"/>
              </w:rPr>
              <w:t>46</w:t>
            </w:r>
          </w:hyperlink>
        </w:p>
        <w:p>
          <w:pPr>
            <w:pStyle w:val="Contents2"/>
            <w:tabs>
              <w:tab w:val="clear" w:pos="8743"/>
              <w:tab w:val="right" w:pos="9026" w:leader="dot"/>
            </w:tabs>
            <w:rPr/>
          </w:pPr>
          <w:hyperlink w:anchor="__RefHeading___Toc627985_1395250215">
            <w:r>
              <w:rPr>
                <w:webHidden/>
                <w:rStyle w:val="IndexLink"/>
                <w:rtl w:val="true"/>
              </w:rPr>
              <w:t xml:space="preserve">نقشِ مصلحت </w:t>
            </w:r>
            <w:r>
              <w:rPr>
                <w:rStyle w:val="IndexLink"/>
                <w:rtl w:val="true"/>
              </w:rPr>
              <w:t>(</w:t>
            </w:r>
            <w:r>
              <w:rPr>
                <w:rStyle w:val="IndexLink"/>
                <w:rtl w:val="true"/>
              </w:rPr>
              <w:t>لطف و اعتبار</w:t>
            </w:r>
            <w:r>
              <w:rPr>
                <w:rStyle w:val="IndexLink"/>
                <w:rtl w:val="true"/>
              </w:rPr>
              <w:t xml:space="preserve">) </w:t>
            </w:r>
            <w:r>
              <w:rPr>
                <w:rStyle w:val="IndexLink"/>
                <w:rtl w:val="true"/>
              </w:rPr>
              <w:t>در توجیه آلام ابتدایی در رهیافت کلامی</w:t>
            </w:r>
            <w:r>
              <w:rPr>
                <w:rStyle w:val="IndexLink"/>
                <w:rtl w:val="true"/>
              </w:rPr>
              <w:tab/>
            </w:r>
            <w:r>
              <w:rPr>
                <w:rStyle w:val="IndexLink"/>
              </w:rPr>
              <w:t>47</w:t>
            </w:r>
          </w:hyperlink>
        </w:p>
        <w:p>
          <w:pPr>
            <w:pStyle w:val="Contents3"/>
            <w:tabs>
              <w:tab w:val="clear" w:pos="8459"/>
              <w:tab w:val="right" w:pos="9026" w:leader="dot"/>
            </w:tabs>
            <w:rPr/>
          </w:pPr>
          <w:hyperlink w:anchor="__RefHeading___Toc627987_1395250215">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27989_1395250215">
            <w:r>
              <w:rPr>
                <w:webHidden/>
                <w:rStyle w:val="IndexLink"/>
                <w:rtl w:val="true"/>
              </w:rPr>
              <w:t>چکیده</w:t>
            </w:r>
            <w:r>
              <w:rPr>
                <w:rStyle w:val="IndexLink"/>
                <w:rtl w:val="true"/>
              </w:rPr>
              <w:tab/>
            </w:r>
            <w:r>
              <w:rPr>
                <w:rStyle w:val="IndexLink"/>
              </w:rPr>
              <w:t>47</w:t>
            </w:r>
          </w:hyperlink>
        </w:p>
        <w:p>
          <w:pPr>
            <w:pStyle w:val="Contents3"/>
            <w:tabs>
              <w:tab w:val="clear" w:pos="8459"/>
              <w:tab w:val="right" w:pos="9026" w:leader="dot"/>
            </w:tabs>
            <w:rPr/>
          </w:pPr>
          <w:hyperlink w:anchor="__RefHeading___Toc627991_1395250215">
            <w:r>
              <w:rPr>
                <w:webHidden/>
                <w:rStyle w:val="IndexLink"/>
                <w:rtl w:val="true"/>
              </w:rPr>
              <w:t>واژگان کلیدی</w:t>
            </w:r>
            <w:r>
              <w:rPr>
                <w:rStyle w:val="IndexLink"/>
                <w:rtl w:val="true"/>
              </w:rPr>
              <w:tab/>
            </w:r>
            <w:r>
              <w:rPr>
                <w:rStyle w:val="IndexLink"/>
              </w:rPr>
              <w:t>47</w:t>
            </w:r>
          </w:hyperlink>
        </w:p>
        <w:p>
          <w:pPr>
            <w:pStyle w:val="Contents3"/>
            <w:tabs>
              <w:tab w:val="clear" w:pos="8459"/>
              <w:tab w:val="right" w:pos="9026" w:leader="dot"/>
            </w:tabs>
            <w:rPr/>
          </w:pPr>
          <w:hyperlink w:anchor="__RefHeading___Toc627993_1395250215">
            <w:r>
              <w:rPr>
                <w:webHidden/>
                <w:rStyle w:val="IndexLink"/>
                <w:rtl w:val="true"/>
              </w:rPr>
              <w:t>بیان مسئله</w:t>
            </w:r>
            <w:r>
              <w:rPr>
                <w:rStyle w:val="IndexLink"/>
                <w:rtl w:val="true"/>
              </w:rPr>
              <w:tab/>
            </w:r>
            <w:r>
              <w:rPr>
                <w:rStyle w:val="IndexLink"/>
              </w:rPr>
              <w:t>48</w:t>
            </w:r>
          </w:hyperlink>
        </w:p>
        <w:p>
          <w:pPr>
            <w:pStyle w:val="Contents3"/>
            <w:tabs>
              <w:tab w:val="clear" w:pos="8459"/>
              <w:tab w:val="right" w:pos="9026" w:leader="dot"/>
            </w:tabs>
            <w:rPr/>
          </w:pPr>
          <w:hyperlink w:anchor="__RefHeading___Toc627995_1395250215">
            <w:r>
              <w:rPr>
                <w:webHidden/>
                <w:rStyle w:val="IndexLink"/>
                <w:rtl w:val="true"/>
              </w:rPr>
              <w:t xml:space="preserve">مبانی تصدیقیه بحث </w:t>
            </w:r>
            <w:r>
              <w:rPr>
                <w:rStyle w:val="IndexLink"/>
                <w:rtl w:val="true"/>
              </w:rPr>
              <w:t>(</w:t>
            </w:r>
            <w:r>
              <w:rPr>
                <w:rStyle w:val="IndexLink"/>
                <w:rtl w:val="true"/>
              </w:rPr>
              <w:t>پیش فرض های پذیرفته شده</w:t>
            </w:r>
            <w:r>
              <w:rPr>
                <w:rStyle w:val="IndexLink"/>
                <w:rtl w:val="true"/>
              </w:rPr>
              <w:t>)</w:t>
              <w:tab/>
            </w:r>
            <w:r>
              <w:rPr>
                <w:rStyle w:val="IndexLink"/>
              </w:rPr>
              <w:t>48</w:t>
            </w:r>
          </w:hyperlink>
        </w:p>
        <w:p>
          <w:pPr>
            <w:pStyle w:val="Contents4"/>
            <w:tabs>
              <w:tab w:val="clear" w:pos="8176"/>
              <w:tab w:val="right" w:pos="9026" w:leader="dot"/>
            </w:tabs>
            <w:rPr/>
          </w:pPr>
          <w:hyperlink w:anchor="__RefHeading___Toc627997_139525021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27999_1395250215">
            <w:r>
              <w:rPr>
                <w:webHidden/>
                <w:rStyle w:val="IndexLink"/>
              </w:rPr>
              <w:t>1</w:t>
            </w:r>
            <w:r>
              <w:rPr>
                <w:rStyle w:val="IndexLink"/>
                <w:rtl w:val="true"/>
              </w:rPr>
              <w:t xml:space="preserve">. </w:t>
            </w:r>
            <w:r>
              <w:rPr>
                <w:rStyle w:val="IndexLink"/>
                <w:rtl w:val="true"/>
              </w:rPr>
              <w:t>بدیهی بودن وجود آلام</w:t>
            </w:r>
            <w:r>
              <w:rPr>
                <w:rStyle w:val="IndexLink"/>
                <w:rtl w:val="true"/>
              </w:rPr>
              <w:tab/>
            </w:r>
            <w:r>
              <w:rPr>
                <w:rStyle w:val="IndexLink"/>
              </w:rPr>
              <w:t>48</w:t>
            </w:r>
          </w:hyperlink>
        </w:p>
        <w:p>
          <w:pPr>
            <w:pStyle w:val="Contents4"/>
            <w:tabs>
              <w:tab w:val="clear" w:pos="8176"/>
              <w:tab w:val="right" w:pos="9026" w:leader="dot"/>
            </w:tabs>
            <w:rPr/>
          </w:pPr>
          <w:hyperlink w:anchor="__RefHeading___Toc628001_1395250215">
            <w:r>
              <w:rPr>
                <w:webHidden/>
                <w:rStyle w:val="IndexLink"/>
              </w:rPr>
              <w:t>2</w:t>
            </w:r>
            <w:r>
              <w:rPr>
                <w:rStyle w:val="IndexLink"/>
                <w:rtl w:val="true"/>
              </w:rPr>
              <w:t xml:space="preserve">. </w:t>
            </w:r>
            <w:r>
              <w:rPr>
                <w:rStyle w:val="IndexLink"/>
                <w:rtl w:val="true"/>
              </w:rPr>
              <w:t>بدیهی بودن وجود آلام ابتدایی</w:t>
            </w:r>
            <w:r>
              <w:rPr>
                <w:rStyle w:val="IndexLink"/>
                <w:rtl w:val="true"/>
              </w:rPr>
              <w:tab/>
            </w:r>
            <w:r>
              <w:rPr>
                <w:rStyle w:val="IndexLink"/>
              </w:rPr>
              <w:t>49</w:t>
            </w:r>
          </w:hyperlink>
        </w:p>
        <w:p>
          <w:pPr>
            <w:pStyle w:val="Contents4"/>
            <w:tabs>
              <w:tab w:val="clear" w:pos="8176"/>
              <w:tab w:val="right" w:pos="9026" w:leader="dot"/>
            </w:tabs>
            <w:rPr/>
          </w:pPr>
          <w:hyperlink w:anchor="__RefHeading___Toc628003_1395250215">
            <w:r>
              <w:rPr>
                <w:webHidden/>
                <w:rStyle w:val="IndexLink"/>
              </w:rPr>
              <w:t>3</w:t>
            </w:r>
            <w:r>
              <w:rPr>
                <w:rStyle w:val="IndexLink"/>
                <w:rtl w:val="true"/>
              </w:rPr>
              <w:t xml:space="preserve">. </w:t>
            </w:r>
            <w:r>
              <w:rPr>
                <w:rStyle w:val="IndexLink"/>
                <w:rtl w:val="true"/>
              </w:rPr>
              <w:t>نیکو بودن آلام ابتدایی</w:t>
            </w:r>
            <w:r>
              <w:rPr>
                <w:rStyle w:val="IndexLink"/>
                <w:rtl w:val="true"/>
              </w:rPr>
              <w:tab/>
            </w:r>
            <w:r>
              <w:rPr>
                <w:rStyle w:val="IndexLink"/>
              </w:rPr>
              <w:t>49</w:t>
            </w:r>
          </w:hyperlink>
        </w:p>
        <w:p>
          <w:pPr>
            <w:pStyle w:val="Contents3"/>
            <w:tabs>
              <w:tab w:val="clear" w:pos="8459"/>
              <w:tab w:val="right" w:pos="9026" w:leader="dot"/>
            </w:tabs>
            <w:rPr/>
          </w:pPr>
          <w:hyperlink w:anchor="__RefHeading___Toc628005_1395250215">
            <w:r>
              <w:rPr>
                <w:webHidden/>
                <w:rStyle w:val="IndexLink"/>
                <w:rtl w:val="true"/>
              </w:rPr>
              <w:t xml:space="preserve">معنای مصلحت </w:t>
            </w:r>
            <w:r>
              <w:rPr>
                <w:rStyle w:val="IndexLink"/>
                <w:rtl w:val="true"/>
              </w:rPr>
              <w:t>(</w:t>
            </w:r>
            <w:r>
              <w:rPr>
                <w:rStyle w:val="IndexLink"/>
                <w:rtl w:val="true"/>
              </w:rPr>
              <w:t>لطف و اعتبار</w:t>
            </w:r>
            <w:r>
              <w:rPr>
                <w:rStyle w:val="IndexLink"/>
                <w:rtl w:val="true"/>
              </w:rPr>
              <w:t xml:space="preserve">) </w:t>
            </w:r>
            <w:r>
              <w:rPr>
                <w:rStyle w:val="IndexLink"/>
                <w:rtl w:val="true"/>
              </w:rPr>
              <w:t>در رهیافت کلامی و آیات و روایات</w:t>
            </w:r>
            <w:r>
              <w:rPr>
                <w:rStyle w:val="IndexLink"/>
                <w:rtl w:val="true"/>
              </w:rPr>
              <w:tab/>
            </w:r>
            <w:r>
              <w:rPr>
                <w:rStyle w:val="IndexLink"/>
              </w:rPr>
              <w:t>50</w:t>
            </w:r>
          </w:hyperlink>
        </w:p>
        <w:p>
          <w:pPr>
            <w:pStyle w:val="Contents4"/>
            <w:tabs>
              <w:tab w:val="clear" w:pos="8176"/>
              <w:tab w:val="right" w:pos="9026" w:leader="dot"/>
            </w:tabs>
            <w:rPr/>
          </w:pPr>
          <w:hyperlink w:anchor="__RefHeading___Toc628007_139525021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628009_1395250215">
            <w:r>
              <w:rPr>
                <w:webHidden/>
                <w:rStyle w:val="IndexLink"/>
              </w:rPr>
              <w:t>1</w:t>
            </w:r>
            <w:r>
              <w:rPr>
                <w:rStyle w:val="IndexLink"/>
                <w:rtl w:val="true"/>
              </w:rPr>
              <w:t xml:space="preserve">. </w:t>
            </w:r>
            <w:r>
              <w:rPr>
                <w:rStyle w:val="IndexLink"/>
                <w:rtl w:val="true"/>
              </w:rPr>
              <w:t xml:space="preserve">معنای مصلحت </w:t>
            </w:r>
            <w:r>
              <w:rPr>
                <w:rStyle w:val="IndexLink"/>
                <w:rtl w:val="true"/>
              </w:rPr>
              <w:t xml:space="preserve">( </w:t>
            </w:r>
            <w:r>
              <w:rPr>
                <w:rStyle w:val="IndexLink"/>
                <w:rtl w:val="true"/>
              </w:rPr>
              <w:t>لطف و اعتبار</w:t>
            </w:r>
            <w:r>
              <w:rPr>
                <w:rStyle w:val="IndexLink"/>
                <w:rtl w:val="true"/>
              </w:rPr>
              <w:t xml:space="preserve">) </w:t>
            </w:r>
            <w:r>
              <w:rPr>
                <w:rStyle w:val="IndexLink"/>
                <w:rtl w:val="true"/>
              </w:rPr>
              <w:t>در رهیافت کلامی</w:t>
            </w:r>
            <w:r>
              <w:rPr>
                <w:rStyle w:val="IndexLink"/>
                <w:rtl w:val="true"/>
              </w:rPr>
              <w:tab/>
            </w:r>
            <w:r>
              <w:rPr>
                <w:rStyle w:val="IndexLink"/>
              </w:rPr>
              <w:t>50</w:t>
            </w:r>
          </w:hyperlink>
        </w:p>
        <w:p>
          <w:pPr>
            <w:pStyle w:val="Contents4"/>
            <w:tabs>
              <w:tab w:val="clear" w:pos="8176"/>
              <w:tab w:val="right" w:pos="9026" w:leader="dot"/>
            </w:tabs>
            <w:rPr/>
          </w:pPr>
          <w:hyperlink w:anchor="__RefHeading___Toc628011_1395250215">
            <w:r>
              <w:rPr>
                <w:webHidden/>
                <w:rStyle w:val="IndexLink"/>
              </w:rPr>
              <w:t>2</w:t>
            </w:r>
            <w:r>
              <w:rPr>
                <w:rStyle w:val="IndexLink"/>
                <w:rtl w:val="true"/>
              </w:rPr>
              <w:t xml:space="preserve">. </w:t>
            </w:r>
            <w:r>
              <w:rPr>
                <w:rStyle w:val="IndexLink"/>
                <w:rtl w:val="true"/>
              </w:rPr>
              <w:t>معنای مصلحت در آیات و روایات</w:t>
            </w:r>
            <w:r>
              <w:rPr>
                <w:rStyle w:val="IndexLink"/>
                <w:rtl w:val="true"/>
              </w:rPr>
              <w:tab/>
            </w:r>
            <w:r>
              <w:rPr>
                <w:rStyle w:val="IndexLink"/>
              </w:rPr>
              <w:t>52</w:t>
            </w:r>
          </w:hyperlink>
        </w:p>
        <w:p>
          <w:pPr>
            <w:pStyle w:val="Contents3"/>
            <w:tabs>
              <w:tab w:val="clear" w:pos="8459"/>
              <w:tab w:val="right" w:pos="9026" w:leader="dot"/>
            </w:tabs>
            <w:rPr/>
          </w:pPr>
          <w:hyperlink w:anchor="__RefHeading___Toc628013_1395250215">
            <w:r>
              <w:rPr>
                <w:webHidden/>
                <w:rStyle w:val="IndexLink"/>
                <w:rtl w:val="true"/>
              </w:rPr>
              <w:t>مصلحت و نیکویی آلام ابتدایی</w:t>
            </w:r>
            <w:r>
              <w:rPr>
                <w:rStyle w:val="IndexLink"/>
                <w:rtl w:val="true"/>
              </w:rPr>
              <w:tab/>
            </w:r>
            <w:r>
              <w:rPr>
                <w:rStyle w:val="IndexLink"/>
              </w:rPr>
              <w:t>53</w:t>
            </w:r>
          </w:hyperlink>
        </w:p>
        <w:p>
          <w:pPr>
            <w:pStyle w:val="Contents4"/>
            <w:tabs>
              <w:tab w:val="clear" w:pos="8176"/>
              <w:tab w:val="right" w:pos="9026" w:leader="dot"/>
            </w:tabs>
            <w:rPr/>
          </w:pPr>
          <w:hyperlink w:anchor="__RefHeading___Toc628015_139525021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28017_1395250215">
            <w:r>
              <w:rPr>
                <w:webHidden/>
                <w:rStyle w:val="IndexLink"/>
              </w:rPr>
              <w:t>1</w:t>
            </w:r>
            <w:r>
              <w:rPr>
                <w:rStyle w:val="IndexLink"/>
                <w:rtl w:val="true"/>
              </w:rPr>
              <w:t xml:space="preserve">. </w:t>
            </w:r>
            <w:r>
              <w:rPr>
                <w:rStyle w:val="IndexLink"/>
                <w:rtl w:val="true"/>
              </w:rPr>
              <w:t>فعل الهی بودن آلام ابتدایی، دلیل بر نیکویی</w:t>
            </w:r>
            <w:r>
              <w:rPr>
                <w:rStyle w:val="IndexLink"/>
                <w:rtl w:val="true"/>
              </w:rPr>
              <w:tab/>
            </w:r>
            <w:r>
              <w:rPr>
                <w:rStyle w:val="IndexLink"/>
              </w:rPr>
              <w:t>53</w:t>
            </w:r>
          </w:hyperlink>
        </w:p>
        <w:p>
          <w:pPr>
            <w:pStyle w:val="Contents5"/>
            <w:tabs>
              <w:tab w:val="clear" w:pos="7892"/>
              <w:tab w:val="right" w:pos="9026" w:leader="dot"/>
            </w:tabs>
            <w:rPr/>
          </w:pPr>
          <w:hyperlink w:anchor="__RefHeading___Toc628019_1395250215">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628021_1395250215">
            <w:r>
              <w:rPr>
                <w:webHidden/>
                <w:rStyle w:val="IndexLink"/>
                <w:rtl w:val="true"/>
              </w:rPr>
              <w:t>نقد و برسی</w:t>
            </w:r>
            <w:r>
              <w:rPr>
                <w:rStyle w:val="IndexLink"/>
                <w:rtl w:val="true"/>
              </w:rPr>
              <w:t xml:space="preserve">: </w:t>
            </w:r>
            <w:r>
              <w:rPr>
                <w:rStyle w:val="IndexLink"/>
                <w:rtl w:val="true"/>
              </w:rPr>
              <w:t>منافات داشتن این قول با حکمت و عدالت خداوند</w:t>
            </w:r>
            <w:r>
              <w:rPr>
                <w:rStyle w:val="IndexLink"/>
                <w:rtl w:val="true"/>
              </w:rPr>
              <w:tab/>
            </w:r>
            <w:r>
              <w:rPr>
                <w:rStyle w:val="IndexLink"/>
              </w:rPr>
              <w:t>53</w:t>
            </w:r>
          </w:hyperlink>
        </w:p>
        <w:p>
          <w:pPr>
            <w:pStyle w:val="Contents4"/>
            <w:tabs>
              <w:tab w:val="clear" w:pos="8176"/>
              <w:tab w:val="right" w:pos="9026" w:leader="dot"/>
            </w:tabs>
            <w:rPr/>
          </w:pPr>
          <w:hyperlink w:anchor="__RefHeading___Toc628023_1395250215">
            <w:r>
              <w:rPr>
                <w:webHidden/>
                <w:rStyle w:val="IndexLink"/>
              </w:rPr>
              <w:t>2</w:t>
            </w:r>
            <w:r>
              <w:rPr>
                <w:rStyle w:val="IndexLink"/>
                <w:rtl w:val="true"/>
              </w:rPr>
              <w:t xml:space="preserve">. </w:t>
            </w:r>
            <w:r>
              <w:rPr>
                <w:rStyle w:val="IndexLink"/>
                <w:rtl w:val="true"/>
              </w:rPr>
              <w:t>لطف محض بودن آلام ابتدایی و بی نیازی از مصلحت بیرونی برای نیکویی آن</w:t>
            </w:r>
            <w:r>
              <w:rPr>
                <w:rStyle w:val="IndexLink"/>
                <w:rtl w:val="true"/>
              </w:rPr>
              <w:tab/>
            </w:r>
            <w:r>
              <w:rPr>
                <w:rStyle w:val="IndexLink"/>
              </w:rPr>
              <w:t>54</w:t>
            </w:r>
          </w:hyperlink>
        </w:p>
        <w:p>
          <w:pPr>
            <w:pStyle w:val="Contents5"/>
            <w:tabs>
              <w:tab w:val="clear" w:pos="7892"/>
              <w:tab w:val="right" w:pos="9026" w:leader="dot"/>
            </w:tabs>
            <w:rPr/>
          </w:pPr>
          <w:hyperlink w:anchor="__RefHeading___Toc628025_1395250215">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628027_1395250215">
            <w:r>
              <w:rPr>
                <w:webHidden/>
                <w:rStyle w:val="IndexLink"/>
                <w:rtl w:val="true"/>
              </w:rPr>
              <w:t>نقد و برسی</w:t>
            </w:r>
            <w:r>
              <w:rPr>
                <w:rStyle w:val="IndexLink"/>
                <w:rtl w:val="true"/>
              </w:rPr>
              <w:t xml:space="preserve">: </w:t>
            </w:r>
            <w:r>
              <w:rPr>
                <w:rStyle w:val="IndexLink"/>
                <w:rtl w:val="true"/>
              </w:rPr>
              <w:t>اخص بودن دلیل نسبت به مدعا</w:t>
            </w:r>
            <w:r>
              <w:rPr>
                <w:rStyle w:val="IndexLink"/>
                <w:rtl w:val="true"/>
              </w:rPr>
              <w:tab/>
            </w:r>
            <w:r>
              <w:rPr>
                <w:rStyle w:val="IndexLink"/>
              </w:rPr>
              <w:t>55</w:t>
            </w:r>
          </w:hyperlink>
        </w:p>
        <w:p>
          <w:pPr>
            <w:pStyle w:val="Contents4"/>
            <w:tabs>
              <w:tab w:val="clear" w:pos="8176"/>
              <w:tab w:val="right" w:pos="9026" w:leader="dot"/>
            </w:tabs>
            <w:rPr/>
          </w:pPr>
          <w:hyperlink w:anchor="__RefHeading___Toc628029_1395250215">
            <w:r>
              <w:rPr>
                <w:webHidden/>
                <w:rStyle w:val="IndexLink"/>
              </w:rPr>
              <w:t>3</w:t>
            </w:r>
            <w:r>
              <w:rPr>
                <w:rStyle w:val="IndexLink"/>
                <w:rtl w:val="true"/>
              </w:rPr>
              <w:t>.</w:t>
            </w:r>
            <w:r>
              <w:rPr>
                <w:rStyle w:val="IndexLink"/>
                <w:rtl w:val="true"/>
              </w:rPr>
              <w:t>ضرورت نداشتن مصلحت در نیکویی آلام ابتدایی</w:t>
            </w:r>
            <w:r>
              <w:rPr>
                <w:rStyle w:val="IndexLink"/>
                <w:rtl w:val="true"/>
              </w:rPr>
              <w:tab/>
            </w:r>
            <w:r>
              <w:rPr>
                <w:rStyle w:val="IndexLink"/>
              </w:rPr>
              <w:t>55</w:t>
            </w:r>
          </w:hyperlink>
        </w:p>
        <w:p>
          <w:pPr>
            <w:pStyle w:val="Contents5"/>
            <w:tabs>
              <w:tab w:val="clear" w:pos="7892"/>
              <w:tab w:val="right" w:pos="9026" w:leader="dot"/>
            </w:tabs>
            <w:rPr/>
          </w:pPr>
          <w:hyperlink w:anchor="__RefHeading___Toc628031_139525021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628033_1395250215">
            <w:r>
              <w:rPr>
                <w:webHidden/>
                <w:rStyle w:val="IndexLink"/>
                <w:rtl w:val="true"/>
              </w:rPr>
              <w:t>نقد و برسی</w:t>
            </w:r>
            <w:r>
              <w:rPr>
                <w:rStyle w:val="IndexLink"/>
                <w:rtl w:val="true"/>
              </w:rPr>
              <w:t xml:space="preserve">: </w:t>
            </w:r>
            <w:r>
              <w:rPr>
                <w:rStyle w:val="IndexLink"/>
                <w:rtl w:val="true"/>
              </w:rPr>
              <w:t>عبث بودن فعل الهی در صورت خالی بودن از مصلحت</w:t>
            </w:r>
            <w:r>
              <w:rPr>
                <w:rStyle w:val="IndexLink"/>
                <w:rtl w:val="true"/>
              </w:rPr>
              <w:tab/>
            </w:r>
            <w:r>
              <w:rPr>
                <w:rStyle w:val="IndexLink"/>
              </w:rPr>
              <w:t>55</w:t>
            </w:r>
          </w:hyperlink>
        </w:p>
        <w:p>
          <w:pPr>
            <w:pStyle w:val="Contents4"/>
            <w:tabs>
              <w:tab w:val="clear" w:pos="8176"/>
              <w:tab w:val="right" w:pos="9026" w:leader="dot"/>
            </w:tabs>
            <w:rPr/>
          </w:pPr>
          <w:hyperlink w:anchor="__RefHeading___Toc628035_1395250215">
            <w:r>
              <w:rPr>
                <w:webHidden/>
                <w:rStyle w:val="IndexLink"/>
              </w:rPr>
              <w:t>4</w:t>
            </w:r>
            <w:r>
              <w:rPr>
                <w:rStyle w:val="IndexLink"/>
                <w:rtl w:val="true"/>
              </w:rPr>
              <w:t xml:space="preserve">. </w:t>
            </w:r>
            <w:r>
              <w:rPr>
                <w:rStyle w:val="IndexLink"/>
                <w:rtl w:val="true"/>
              </w:rPr>
              <w:t>نیکویی آلام ابتدایی، به شرط مصلحت درونی الم و جبران بیرونی</w:t>
            </w:r>
            <w:r>
              <w:rPr>
                <w:rStyle w:val="IndexLink"/>
                <w:rtl w:val="true"/>
              </w:rPr>
              <w:tab/>
            </w:r>
            <w:r>
              <w:rPr>
                <w:rStyle w:val="IndexLink"/>
              </w:rPr>
              <w:t>55</w:t>
            </w:r>
          </w:hyperlink>
        </w:p>
        <w:p>
          <w:pPr>
            <w:pStyle w:val="Contents5"/>
            <w:tabs>
              <w:tab w:val="clear" w:pos="7892"/>
              <w:tab w:val="right" w:pos="9026" w:leader="dot"/>
            </w:tabs>
            <w:rPr/>
          </w:pPr>
          <w:hyperlink w:anchor="__RefHeading___Toc628037_1395250215">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628039_1395250215">
            <w:r>
              <w:rPr>
                <w:webHidden/>
                <w:rStyle w:val="IndexLink"/>
                <w:rtl w:val="true"/>
              </w:rPr>
              <w:t>نقد و برسی</w:t>
            </w:r>
            <w:r>
              <w:rPr>
                <w:rStyle w:val="IndexLink"/>
                <w:rtl w:val="true"/>
              </w:rPr>
              <w:t xml:space="preserve">: </w:t>
            </w:r>
            <w:r>
              <w:rPr>
                <w:rStyle w:val="IndexLink"/>
                <w:rtl w:val="true"/>
              </w:rPr>
              <w:t>عدم ضرورت جبران بیرونی در تمام آلام ابتدایی</w:t>
            </w:r>
            <w:r>
              <w:rPr>
                <w:rStyle w:val="IndexLink"/>
                <w:rtl w:val="true"/>
              </w:rPr>
              <w:tab/>
            </w:r>
            <w:r>
              <w:rPr>
                <w:rStyle w:val="IndexLink"/>
              </w:rPr>
              <w:t>58</w:t>
            </w:r>
          </w:hyperlink>
        </w:p>
        <w:p>
          <w:pPr>
            <w:pStyle w:val="Contents3"/>
            <w:tabs>
              <w:tab w:val="clear" w:pos="8459"/>
              <w:tab w:val="right" w:pos="9026" w:leader="dot"/>
            </w:tabs>
            <w:rPr/>
          </w:pPr>
          <w:hyperlink w:anchor="__RefHeading___Toc628041_1395250215">
            <w:r>
              <w:rPr>
                <w:webHidden/>
                <w:rStyle w:val="IndexLink"/>
                <w:rtl w:val="true"/>
              </w:rPr>
              <w:t xml:space="preserve">نظریه جدید </w:t>
            </w:r>
            <w:r>
              <w:rPr>
                <w:rStyle w:val="IndexLink"/>
                <w:rtl w:val="true"/>
              </w:rPr>
              <w:t xml:space="preserve">: </w:t>
            </w:r>
            <w:r>
              <w:rPr>
                <w:rStyle w:val="IndexLink"/>
                <w:rtl w:val="true"/>
              </w:rPr>
              <w:t>شرط لازم بودن مصلحت در نیکویی تمام آلام ابتدایی و شرط کافی بودن آن در برخی</w:t>
            </w:r>
            <w:r>
              <w:rPr>
                <w:rStyle w:val="IndexLink"/>
                <w:rtl w:val="true"/>
              </w:rPr>
              <w:tab/>
            </w:r>
            <w:r>
              <w:rPr>
                <w:rStyle w:val="IndexLink"/>
              </w:rPr>
              <w:t>59</w:t>
            </w:r>
          </w:hyperlink>
        </w:p>
        <w:p>
          <w:pPr>
            <w:pStyle w:val="Contents3"/>
            <w:tabs>
              <w:tab w:val="clear" w:pos="8459"/>
              <w:tab w:val="right" w:pos="9026" w:leader="dot"/>
            </w:tabs>
            <w:rPr/>
          </w:pPr>
          <w:hyperlink w:anchor="__RefHeading___Toc628043_1395250215">
            <w:r>
              <w:rPr>
                <w:webHidden/>
                <w:rStyle w:val="IndexLink"/>
                <w:rtl w:val="true"/>
              </w:rPr>
              <w:t>نتیجه گیری</w:t>
            </w:r>
            <w:r>
              <w:rPr>
                <w:rStyle w:val="IndexLink"/>
                <w:rtl w:val="true"/>
              </w:rPr>
              <w:tab/>
            </w:r>
            <w:r>
              <w:rPr>
                <w:rStyle w:val="IndexLink"/>
              </w:rPr>
              <w:t>60</w:t>
            </w:r>
          </w:hyperlink>
        </w:p>
        <w:p>
          <w:pPr>
            <w:pStyle w:val="Contents3"/>
            <w:tabs>
              <w:tab w:val="clear" w:pos="8459"/>
              <w:tab w:val="right" w:pos="9026" w:leader="dot"/>
            </w:tabs>
            <w:rPr/>
          </w:pPr>
          <w:hyperlink w:anchor="__RefHeading___Toc628045_1395250215">
            <w:r>
              <w:rPr>
                <w:webHidden/>
                <w:rStyle w:val="IndexLink"/>
                <w:rtl w:val="true"/>
              </w:rPr>
              <w:t>منابع</w:t>
            </w:r>
            <w:r>
              <w:rPr>
                <w:rStyle w:val="IndexLink"/>
                <w:rtl w:val="true"/>
              </w:rPr>
              <w:tab/>
            </w:r>
            <w:r>
              <w:rPr>
                <w:rStyle w:val="IndexLink"/>
              </w:rPr>
              <w:t>60</w:t>
            </w:r>
          </w:hyperlink>
        </w:p>
        <w:p>
          <w:pPr>
            <w:pStyle w:val="Contents2"/>
            <w:tabs>
              <w:tab w:val="clear" w:pos="8743"/>
              <w:tab w:val="right" w:pos="9026" w:leader="dot"/>
            </w:tabs>
            <w:rPr/>
          </w:pPr>
          <w:hyperlink w:anchor="__RefHeading___Toc628047_1395250215">
            <w:r>
              <w:rPr>
                <w:webHidden/>
                <w:rStyle w:val="IndexLink"/>
                <w:rtl w:val="true"/>
              </w:rPr>
              <w:t xml:space="preserve">امامت و مسئله بداء در اسماعیل بن‌جعفر </w:t>
            </w:r>
            <w:r>
              <w:rPr>
                <w:rStyle w:val="IndexLink"/>
                <w:rtl w:val="true"/>
              </w:rPr>
              <w:t>(</w:t>
            </w:r>
            <w:r>
              <w:rPr>
                <w:rStyle w:val="IndexLink"/>
                <w:rtl w:val="true"/>
              </w:rPr>
              <w:t>بررسی روایت</w:t>
            </w:r>
            <w:r>
              <w:rPr>
                <w:rStyle w:val="IndexLink"/>
                <w:rtl w:val="true"/>
              </w:rPr>
              <w:t>: «</w:t>
            </w:r>
            <w:r>
              <w:rPr>
                <w:rStyle w:val="IndexLink"/>
                <w:rtl w:val="true"/>
              </w:rPr>
              <w:t>ما بدا لله مثل ما بدا فی اسماعیل</w:t>
            </w:r>
            <w:r>
              <w:rPr>
                <w:rStyle w:val="IndexLink"/>
                <w:rtl w:val="true"/>
              </w:rPr>
              <w:t>»)</w:t>
              <w:tab/>
            </w:r>
            <w:r>
              <w:rPr>
                <w:rStyle w:val="IndexLink"/>
              </w:rPr>
              <w:t>64</w:t>
            </w:r>
          </w:hyperlink>
        </w:p>
        <w:p>
          <w:pPr>
            <w:pStyle w:val="Contents3"/>
            <w:tabs>
              <w:tab w:val="clear" w:pos="8459"/>
              <w:tab w:val="right" w:pos="9026" w:leader="dot"/>
            </w:tabs>
            <w:rPr/>
          </w:pPr>
          <w:hyperlink w:anchor="__RefHeading___Toc628049_1395250215">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628051_1395250215">
            <w:r>
              <w:rPr>
                <w:webHidden/>
                <w:rStyle w:val="IndexLink"/>
                <w:rtl w:val="true"/>
              </w:rPr>
              <w:t>چکیده</w:t>
            </w:r>
            <w:r>
              <w:rPr>
                <w:rStyle w:val="IndexLink"/>
                <w:rtl w:val="true"/>
              </w:rPr>
              <w:tab/>
            </w:r>
            <w:r>
              <w:rPr>
                <w:rStyle w:val="IndexLink"/>
              </w:rPr>
              <w:t>64</w:t>
            </w:r>
          </w:hyperlink>
        </w:p>
        <w:p>
          <w:pPr>
            <w:pStyle w:val="Contents3"/>
            <w:tabs>
              <w:tab w:val="clear" w:pos="8459"/>
              <w:tab w:val="right" w:pos="9026" w:leader="dot"/>
            </w:tabs>
            <w:rPr/>
          </w:pPr>
          <w:hyperlink w:anchor="__RefHeading___Toc628053_1395250215">
            <w:r>
              <w:rPr>
                <w:webHidden/>
                <w:rStyle w:val="IndexLink"/>
                <w:rtl w:val="true"/>
              </w:rPr>
              <w:t>واژگان کلیدی</w:t>
            </w:r>
            <w:r>
              <w:rPr>
                <w:rStyle w:val="IndexLink"/>
                <w:rtl w:val="true"/>
              </w:rPr>
              <w:tab/>
            </w:r>
            <w:r>
              <w:rPr>
                <w:rStyle w:val="IndexLink"/>
              </w:rPr>
              <w:t>64</w:t>
            </w:r>
          </w:hyperlink>
        </w:p>
        <w:p>
          <w:pPr>
            <w:pStyle w:val="Contents3"/>
            <w:tabs>
              <w:tab w:val="clear" w:pos="8459"/>
              <w:tab w:val="right" w:pos="9026" w:leader="dot"/>
            </w:tabs>
            <w:rPr/>
          </w:pPr>
          <w:hyperlink w:anchor="__RefHeading___Toc628055_1395250215">
            <w:r>
              <w:rPr>
                <w:webHidden/>
                <w:rStyle w:val="IndexLink"/>
                <w:rtl w:val="true"/>
              </w:rPr>
              <w:t>مقدمه</w:t>
            </w:r>
            <w:r>
              <w:rPr>
                <w:rStyle w:val="IndexLink"/>
                <w:rtl w:val="true"/>
              </w:rPr>
              <w:tab/>
            </w:r>
            <w:r>
              <w:rPr>
                <w:rStyle w:val="IndexLink"/>
              </w:rPr>
              <w:t>65</w:t>
            </w:r>
          </w:hyperlink>
        </w:p>
        <w:p>
          <w:pPr>
            <w:pStyle w:val="Contents3"/>
            <w:tabs>
              <w:tab w:val="clear" w:pos="8459"/>
              <w:tab w:val="right" w:pos="9026" w:leader="dot"/>
            </w:tabs>
            <w:rPr/>
          </w:pPr>
          <w:hyperlink w:anchor="__RefHeading___Toc628057_1395250215">
            <w:r>
              <w:rPr>
                <w:webHidden/>
                <w:rStyle w:val="IndexLink"/>
                <w:rtl w:val="true"/>
              </w:rPr>
              <w:t>حدیث بداء در منابع حدیثی امامیه</w:t>
            </w:r>
            <w:r>
              <w:rPr>
                <w:rStyle w:val="IndexLink"/>
                <w:rtl w:val="true"/>
              </w:rPr>
              <w:tab/>
            </w:r>
            <w:r>
              <w:rPr>
                <w:rStyle w:val="IndexLink"/>
              </w:rPr>
              <w:t>65</w:t>
            </w:r>
          </w:hyperlink>
        </w:p>
        <w:p>
          <w:pPr>
            <w:pStyle w:val="Contents3"/>
            <w:tabs>
              <w:tab w:val="clear" w:pos="8459"/>
              <w:tab w:val="right" w:pos="9026" w:leader="dot"/>
            </w:tabs>
            <w:rPr/>
          </w:pPr>
          <w:hyperlink w:anchor="__RefHeading___Toc628059_1395250215">
            <w:r>
              <w:rPr>
                <w:webHidden/>
                <w:rStyle w:val="IndexLink"/>
                <w:rtl w:val="true"/>
              </w:rPr>
              <w:t>حدیث بداء در منابع دیگر مذاهب و تفاسیر آنان از حدیث</w:t>
            </w:r>
            <w:r>
              <w:rPr>
                <w:rStyle w:val="IndexLink"/>
                <w:rtl w:val="true"/>
              </w:rPr>
              <w:tab/>
            </w:r>
            <w:r>
              <w:rPr>
                <w:rStyle w:val="IndexLink"/>
              </w:rPr>
              <w:t>66</w:t>
            </w:r>
          </w:hyperlink>
        </w:p>
        <w:p>
          <w:pPr>
            <w:pStyle w:val="Contents3"/>
            <w:tabs>
              <w:tab w:val="clear" w:pos="8459"/>
              <w:tab w:val="right" w:pos="9026" w:leader="dot"/>
            </w:tabs>
            <w:rPr/>
          </w:pPr>
          <w:hyperlink w:anchor="__RefHeading___Toc628061_1395250215">
            <w:r>
              <w:rPr>
                <w:webHidden/>
                <w:rStyle w:val="IndexLink"/>
                <w:rtl w:val="true"/>
              </w:rPr>
              <w:t>برسی سندی حدیث بداء</w:t>
            </w:r>
            <w:r>
              <w:rPr>
                <w:rStyle w:val="IndexLink"/>
                <w:rtl w:val="true"/>
              </w:rPr>
              <w:tab/>
            </w:r>
            <w:r>
              <w:rPr>
                <w:rStyle w:val="IndexLink"/>
              </w:rPr>
              <w:t>70</w:t>
            </w:r>
          </w:hyperlink>
        </w:p>
        <w:p>
          <w:pPr>
            <w:pStyle w:val="Contents3"/>
            <w:tabs>
              <w:tab w:val="clear" w:pos="8459"/>
              <w:tab w:val="right" w:pos="9026" w:leader="dot"/>
            </w:tabs>
            <w:rPr/>
          </w:pPr>
          <w:hyperlink w:anchor="__RefHeading___Toc628063_1395250215">
            <w:r>
              <w:rPr>
                <w:webHidden/>
                <w:rStyle w:val="IndexLink"/>
                <w:rtl w:val="true"/>
              </w:rPr>
              <w:t>دلایل و عوامل پیدایش شبهه امامت اسماعیل</w:t>
            </w:r>
            <w:r>
              <w:rPr>
                <w:rStyle w:val="IndexLink"/>
                <w:rtl w:val="true"/>
              </w:rPr>
              <w:tab/>
            </w:r>
            <w:r>
              <w:rPr>
                <w:rStyle w:val="IndexLink"/>
              </w:rPr>
              <w:t>71</w:t>
            </w:r>
          </w:hyperlink>
        </w:p>
        <w:p>
          <w:pPr>
            <w:pStyle w:val="Contents3"/>
            <w:tabs>
              <w:tab w:val="clear" w:pos="8459"/>
              <w:tab w:val="right" w:pos="9026" w:leader="dot"/>
            </w:tabs>
            <w:rPr/>
          </w:pPr>
          <w:hyperlink w:anchor="__RefHeading___Toc628065_1395250215">
            <w:r>
              <w:rPr>
                <w:webHidden/>
                <w:rStyle w:val="IndexLink"/>
                <w:rtl w:val="true"/>
              </w:rPr>
              <w:t xml:space="preserve">تفسیر امامیه از حدیث </w:t>
            </w:r>
            <w:r>
              <w:rPr>
                <w:rStyle w:val="IndexLink"/>
                <w:rtl w:val="true"/>
              </w:rPr>
              <w:t xml:space="preserve">« </w:t>
            </w:r>
            <w:r>
              <w:rPr>
                <w:rStyle w:val="IndexLink"/>
                <w:rtl w:val="true"/>
              </w:rPr>
              <w:t>بدا لله</w:t>
            </w:r>
            <w:r>
              <w:rPr>
                <w:rStyle w:val="IndexLink"/>
                <w:rtl w:val="true"/>
              </w:rPr>
              <w:t>»</w:t>
              <w:tab/>
            </w:r>
            <w:r>
              <w:rPr>
                <w:rStyle w:val="IndexLink"/>
              </w:rPr>
              <w:t>72</w:t>
            </w:r>
          </w:hyperlink>
        </w:p>
        <w:p>
          <w:pPr>
            <w:pStyle w:val="Contents3"/>
            <w:tabs>
              <w:tab w:val="clear" w:pos="8459"/>
              <w:tab w:val="right" w:pos="9026" w:leader="dot"/>
            </w:tabs>
            <w:rPr/>
          </w:pPr>
          <w:hyperlink w:anchor="__RefHeading___Toc628067_1395250215">
            <w:r>
              <w:rPr>
                <w:webHidden/>
                <w:rStyle w:val="IndexLink"/>
                <w:rtl w:val="true"/>
              </w:rPr>
              <w:t>نتیجه گیری</w:t>
            </w:r>
            <w:r>
              <w:rPr>
                <w:rStyle w:val="IndexLink"/>
                <w:rtl w:val="true"/>
              </w:rPr>
              <w:tab/>
            </w:r>
            <w:r>
              <w:rPr>
                <w:rStyle w:val="IndexLink"/>
              </w:rPr>
              <w:t>75</w:t>
            </w:r>
          </w:hyperlink>
        </w:p>
        <w:p>
          <w:pPr>
            <w:pStyle w:val="Contents3"/>
            <w:tabs>
              <w:tab w:val="clear" w:pos="8459"/>
              <w:tab w:val="right" w:pos="9026" w:leader="dot"/>
            </w:tabs>
            <w:rPr/>
          </w:pPr>
          <w:hyperlink w:anchor="__RefHeading___Toc628069_1395250215">
            <w:r>
              <w:rPr>
                <w:webHidden/>
                <w:rStyle w:val="IndexLink"/>
                <w:rtl w:val="true"/>
              </w:rPr>
              <w:t>منابع</w:t>
            </w:r>
            <w:r>
              <w:rPr>
                <w:rStyle w:val="IndexLink"/>
                <w:rtl w:val="true"/>
              </w:rPr>
              <w:tab/>
            </w:r>
            <w:r>
              <w:rPr>
                <w:rStyle w:val="IndexLink"/>
              </w:rPr>
              <w:t>76</w:t>
            </w:r>
          </w:hyperlink>
        </w:p>
        <w:p>
          <w:pPr>
            <w:pStyle w:val="Contents2"/>
            <w:tabs>
              <w:tab w:val="clear" w:pos="8743"/>
              <w:tab w:val="right" w:pos="9026" w:leader="dot"/>
            </w:tabs>
            <w:rPr/>
          </w:pPr>
          <w:hyperlink w:anchor="__RefHeading___Toc628071_1395250215">
            <w:r>
              <w:rPr>
                <w:webHidden/>
                <w:rStyle w:val="IndexLink"/>
                <w:rtl w:val="true"/>
              </w:rPr>
              <w:t>تبیین و نقد ادله قرآنی متکلمان در استطاعت کلامی</w:t>
            </w:r>
            <w:r>
              <w:rPr>
                <w:rStyle w:val="IndexLink"/>
                <w:rtl w:val="true"/>
              </w:rPr>
              <w:tab/>
            </w:r>
            <w:r>
              <w:rPr>
                <w:rStyle w:val="IndexLink"/>
              </w:rPr>
              <w:t>80</w:t>
            </w:r>
          </w:hyperlink>
        </w:p>
        <w:p>
          <w:pPr>
            <w:pStyle w:val="Contents3"/>
            <w:tabs>
              <w:tab w:val="clear" w:pos="8459"/>
              <w:tab w:val="right" w:pos="9026" w:leader="dot"/>
            </w:tabs>
            <w:rPr/>
          </w:pPr>
          <w:hyperlink w:anchor="__RefHeading___Toc628073_1395250215">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628075_1395250215">
            <w:r>
              <w:rPr>
                <w:webHidden/>
                <w:rStyle w:val="IndexLink"/>
                <w:rtl w:val="true"/>
              </w:rPr>
              <w:t>چکیده</w:t>
            </w:r>
            <w:r>
              <w:rPr>
                <w:rStyle w:val="IndexLink"/>
                <w:rtl w:val="true"/>
              </w:rPr>
              <w:tab/>
            </w:r>
            <w:r>
              <w:rPr>
                <w:rStyle w:val="IndexLink"/>
              </w:rPr>
              <w:t>80</w:t>
            </w:r>
          </w:hyperlink>
        </w:p>
        <w:p>
          <w:pPr>
            <w:pStyle w:val="Contents3"/>
            <w:tabs>
              <w:tab w:val="clear" w:pos="8459"/>
              <w:tab w:val="right" w:pos="9026" w:leader="dot"/>
            </w:tabs>
            <w:rPr/>
          </w:pPr>
          <w:hyperlink w:anchor="__RefHeading___Toc628077_1395250215">
            <w:r>
              <w:rPr>
                <w:webHidden/>
                <w:rStyle w:val="IndexLink"/>
                <w:rtl w:val="true"/>
              </w:rPr>
              <w:t>واژگان کلیدی</w:t>
            </w:r>
            <w:r>
              <w:rPr>
                <w:rStyle w:val="IndexLink"/>
                <w:rtl w:val="true"/>
              </w:rPr>
              <w:tab/>
            </w:r>
            <w:r>
              <w:rPr>
                <w:rStyle w:val="IndexLink"/>
              </w:rPr>
              <w:t>80</w:t>
            </w:r>
          </w:hyperlink>
        </w:p>
        <w:p>
          <w:pPr>
            <w:pStyle w:val="Contents3"/>
            <w:tabs>
              <w:tab w:val="clear" w:pos="8459"/>
              <w:tab w:val="right" w:pos="9026" w:leader="dot"/>
            </w:tabs>
            <w:rPr/>
          </w:pPr>
          <w:hyperlink w:anchor="__RefHeading___Toc628079_1395250215">
            <w:r>
              <w:rPr>
                <w:webHidden/>
                <w:rStyle w:val="IndexLink"/>
                <w:rtl w:val="true"/>
              </w:rPr>
              <w:t>مقدمه</w:t>
            </w:r>
            <w:r>
              <w:rPr>
                <w:rStyle w:val="IndexLink"/>
                <w:rtl w:val="true"/>
              </w:rPr>
              <w:tab/>
            </w:r>
            <w:r>
              <w:rPr>
                <w:rStyle w:val="IndexLink"/>
              </w:rPr>
              <w:t>81</w:t>
            </w:r>
          </w:hyperlink>
        </w:p>
        <w:p>
          <w:pPr>
            <w:pStyle w:val="Contents3"/>
            <w:tabs>
              <w:tab w:val="clear" w:pos="8459"/>
              <w:tab w:val="right" w:pos="9026" w:leader="dot"/>
            </w:tabs>
            <w:rPr/>
          </w:pPr>
          <w:hyperlink w:anchor="__RefHeading___Toc628081_1395250215">
            <w:r>
              <w:rPr>
                <w:webHidden/>
                <w:rStyle w:val="IndexLink"/>
                <w:rtl w:val="true"/>
              </w:rPr>
              <w:t>مبانی و ادله قرآنی مذاهب در مسئله استطاعت</w:t>
            </w:r>
            <w:r>
              <w:rPr>
                <w:rStyle w:val="IndexLink"/>
                <w:rtl w:val="true"/>
              </w:rPr>
              <w:tab/>
            </w:r>
            <w:r>
              <w:rPr>
                <w:rStyle w:val="IndexLink"/>
              </w:rPr>
              <w:t>83</w:t>
            </w:r>
          </w:hyperlink>
        </w:p>
        <w:p>
          <w:pPr>
            <w:pStyle w:val="Contents4"/>
            <w:tabs>
              <w:tab w:val="clear" w:pos="8176"/>
              <w:tab w:val="right" w:pos="9026" w:leader="dot"/>
            </w:tabs>
            <w:rPr/>
          </w:pPr>
          <w:hyperlink w:anchor="__RefHeading___Toc628083_139525021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628085_1395250215">
            <w:r>
              <w:rPr>
                <w:webHidden/>
                <w:rStyle w:val="IndexLink"/>
              </w:rPr>
              <w:t>1</w:t>
            </w:r>
            <w:r>
              <w:rPr>
                <w:rStyle w:val="IndexLink"/>
                <w:rtl w:val="true"/>
              </w:rPr>
              <w:t xml:space="preserve">. </w:t>
            </w:r>
            <w:r>
              <w:rPr>
                <w:rStyle w:val="IndexLink"/>
                <w:rtl w:val="true"/>
              </w:rPr>
              <w:t>استطاعت نزد معتزله</w:t>
            </w:r>
            <w:r>
              <w:rPr>
                <w:rStyle w:val="IndexLink"/>
                <w:rtl w:val="true"/>
              </w:rPr>
              <w:tab/>
            </w:r>
            <w:r>
              <w:rPr>
                <w:rStyle w:val="IndexLink"/>
              </w:rPr>
              <w:t>83</w:t>
            </w:r>
          </w:hyperlink>
        </w:p>
        <w:p>
          <w:pPr>
            <w:pStyle w:val="Contents5"/>
            <w:tabs>
              <w:tab w:val="clear" w:pos="7892"/>
              <w:tab w:val="right" w:pos="9026" w:leader="dot"/>
            </w:tabs>
            <w:rPr/>
          </w:pPr>
          <w:hyperlink w:anchor="__RefHeading___Toc628087_139525021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628089_1395250215">
            <w:r>
              <w:rPr>
                <w:webHidden/>
                <w:rStyle w:val="IndexLink"/>
                <w:rtl w:val="true"/>
              </w:rPr>
              <w:t>استدلال عالمان معتزلی به آیات قرآن</w:t>
            </w:r>
            <w:r>
              <w:rPr>
                <w:rStyle w:val="IndexLink"/>
                <w:rtl w:val="true"/>
              </w:rPr>
              <w:tab/>
            </w:r>
            <w:r>
              <w:rPr>
                <w:rStyle w:val="IndexLink"/>
              </w:rPr>
              <w:t>84</w:t>
            </w:r>
          </w:hyperlink>
        </w:p>
        <w:p>
          <w:pPr>
            <w:pStyle w:val="Contents5"/>
            <w:tabs>
              <w:tab w:val="clear" w:pos="7892"/>
              <w:tab w:val="right" w:pos="9026" w:leader="dot"/>
            </w:tabs>
            <w:rPr/>
          </w:pPr>
          <w:hyperlink w:anchor="__RefHeading___Toc628091_1395250215">
            <w:r>
              <w:rPr>
                <w:webHidden/>
                <w:rStyle w:val="IndexLink"/>
                <w:rtl w:val="true"/>
              </w:rPr>
              <w:t>نقد اندیشه معتزله</w:t>
            </w:r>
            <w:r>
              <w:rPr>
                <w:rStyle w:val="IndexLink"/>
                <w:rtl w:val="true"/>
              </w:rPr>
              <w:tab/>
            </w:r>
            <w:r>
              <w:rPr>
                <w:rStyle w:val="IndexLink"/>
              </w:rPr>
              <w:t>86</w:t>
            </w:r>
          </w:hyperlink>
        </w:p>
        <w:p>
          <w:pPr>
            <w:pStyle w:val="Contents4"/>
            <w:tabs>
              <w:tab w:val="clear" w:pos="8176"/>
              <w:tab w:val="right" w:pos="9026" w:leader="dot"/>
            </w:tabs>
            <w:rPr/>
          </w:pPr>
          <w:hyperlink w:anchor="__RefHeading___Toc628093_1395250215">
            <w:r>
              <w:rPr>
                <w:webHidden/>
                <w:rStyle w:val="IndexLink"/>
              </w:rPr>
              <w:t>2</w:t>
            </w:r>
            <w:r>
              <w:rPr>
                <w:rStyle w:val="IndexLink"/>
                <w:rtl w:val="true"/>
              </w:rPr>
              <w:t xml:space="preserve">. </w:t>
            </w:r>
            <w:r>
              <w:rPr>
                <w:rStyle w:val="IndexLink"/>
                <w:rtl w:val="true"/>
              </w:rPr>
              <w:t>اندیشه گروهی از اهل حدیث در مسئله استطاعت</w:t>
            </w:r>
            <w:r>
              <w:rPr>
                <w:rStyle w:val="IndexLink"/>
                <w:rtl w:val="true"/>
              </w:rPr>
              <w:tab/>
            </w:r>
            <w:r>
              <w:rPr>
                <w:rStyle w:val="IndexLink"/>
              </w:rPr>
              <w:t>87</w:t>
            </w:r>
          </w:hyperlink>
        </w:p>
        <w:p>
          <w:pPr>
            <w:pStyle w:val="Contents5"/>
            <w:tabs>
              <w:tab w:val="clear" w:pos="7892"/>
              <w:tab w:val="right" w:pos="9026" w:leader="dot"/>
            </w:tabs>
            <w:rPr/>
          </w:pPr>
          <w:hyperlink w:anchor="__RefHeading___Toc628095_1395250215">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628097_1395250215">
            <w:r>
              <w:rPr>
                <w:webHidden/>
                <w:rStyle w:val="IndexLink"/>
                <w:rtl w:val="true"/>
              </w:rPr>
              <w:t>تفسیر ابن حزم از آیه های استطاعت</w:t>
            </w:r>
            <w:r>
              <w:rPr>
                <w:rStyle w:val="IndexLink"/>
                <w:rtl w:val="true"/>
              </w:rPr>
              <w:tab/>
            </w:r>
            <w:r>
              <w:rPr>
                <w:rStyle w:val="IndexLink"/>
              </w:rPr>
              <w:t>88</w:t>
            </w:r>
          </w:hyperlink>
        </w:p>
        <w:p>
          <w:pPr>
            <w:pStyle w:val="Contents5"/>
            <w:tabs>
              <w:tab w:val="clear" w:pos="7892"/>
              <w:tab w:val="right" w:pos="9026" w:leader="dot"/>
            </w:tabs>
            <w:rPr/>
          </w:pPr>
          <w:hyperlink w:anchor="__RefHeading___Toc628099_1395250215">
            <w:r>
              <w:rPr>
                <w:webHidden/>
                <w:rStyle w:val="IndexLink"/>
                <w:rtl w:val="true"/>
              </w:rPr>
              <w:t>نقد اندیشه ابن تیمیه</w:t>
            </w:r>
            <w:r>
              <w:rPr>
                <w:rStyle w:val="IndexLink"/>
                <w:rtl w:val="true"/>
              </w:rPr>
              <w:tab/>
            </w:r>
            <w:r>
              <w:rPr>
                <w:rStyle w:val="IndexLink"/>
              </w:rPr>
              <w:t>90</w:t>
            </w:r>
          </w:hyperlink>
        </w:p>
        <w:p>
          <w:pPr>
            <w:pStyle w:val="Contents4"/>
            <w:tabs>
              <w:tab w:val="clear" w:pos="8176"/>
              <w:tab w:val="right" w:pos="9026" w:leader="dot"/>
            </w:tabs>
            <w:rPr/>
          </w:pPr>
          <w:hyperlink w:anchor="__RefHeading___Toc628101_1395250215">
            <w:r>
              <w:rPr>
                <w:webHidden/>
                <w:rStyle w:val="IndexLink"/>
              </w:rPr>
              <w:t>3</w:t>
            </w:r>
            <w:r>
              <w:rPr>
                <w:rStyle w:val="IndexLink"/>
                <w:rtl w:val="true"/>
              </w:rPr>
              <w:t xml:space="preserve">. </w:t>
            </w:r>
            <w:r>
              <w:rPr>
                <w:rStyle w:val="IndexLink"/>
                <w:rtl w:val="true"/>
              </w:rPr>
              <w:t>اندیشه اشاعره در مسئله استطاعت</w:t>
            </w:r>
            <w:r>
              <w:rPr>
                <w:rStyle w:val="IndexLink"/>
                <w:rtl w:val="true"/>
              </w:rPr>
              <w:tab/>
            </w:r>
            <w:r>
              <w:rPr>
                <w:rStyle w:val="IndexLink"/>
              </w:rPr>
              <w:t>90</w:t>
            </w:r>
          </w:hyperlink>
        </w:p>
        <w:p>
          <w:pPr>
            <w:pStyle w:val="Contents5"/>
            <w:tabs>
              <w:tab w:val="clear" w:pos="7892"/>
              <w:tab w:val="right" w:pos="9026" w:leader="dot"/>
            </w:tabs>
            <w:rPr/>
          </w:pPr>
          <w:hyperlink w:anchor="__RefHeading___Toc628103_1395250215">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628105_1395250215">
            <w:r>
              <w:rPr>
                <w:webHidden/>
                <w:rStyle w:val="IndexLink"/>
                <w:rtl w:val="true"/>
              </w:rPr>
              <w:t>الف</w:t>
            </w:r>
            <w:r>
              <w:rPr>
                <w:rStyle w:val="IndexLink"/>
                <w:rtl w:val="true"/>
              </w:rPr>
              <w:t xml:space="preserve">) </w:t>
            </w:r>
            <w:r>
              <w:rPr>
                <w:rStyle w:val="IndexLink"/>
                <w:rtl w:val="true"/>
              </w:rPr>
              <w:t>خلق افعال بندگان توسط بندگان</w:t>
            </w:r>
            <w:r>
              <w:rPr>
                <w:rStyle w:val="IndexLink"/>
                <w:rtl w:val="true"/>
              </w:rPr>
              <w:tab/>
            </w:r>
            <w:r>
              <w:rPr>
                <w:rStyle w:val="IndexLink"/>
              </w:rPr>
              <w:t>90</w:t>
            </w:r>
          </w:hyperlink>
        </w:p>
        <w:p>
          <w:pPr>
            <w:pStyle w:val="Contents5"/>
            <w:tabs>
              <w:tab w:val="clear" w:pos="7892"/>
              <w:tab w:val="right" w:pos="9026" w:leader="dot"/>
            </w:tabs>
            <w:rPr/>
          </w:pPr>
          <w:hyperlink w:anchor="__RefHeading___Toc628107_1395250215">
            <w:r>
              <w:rPr>
                <w:webHidden/>
                <w:rStyle w:val="IndexLink"/>
                <w:rtl w:val="true"/>
              </w:rPr>
              <w:t>ب</w:t>
            </w:r>
            <w:r>
              <w:rPr>
                <w:rStyle w:val="IndexLink"/>
                <w:rtl w:val="true"/>
              </w:rPr>
              <w:t xml:space="preserve">) </w:t>
            </w:r>
            <w:r>
              <w:rPr>
                <w:rStyle w:val="IndexLink"/>
                <w:rtl w:val="true"/>
              </w:rPr>
              <w:t>جواز تکلیف به مالایطاق</w:t>
            </w:r>
            <w:r>
              <w:rPr>
                <w:rStyle w:val="IndexLink"/>
                <w:rtl w:val="true"/>
              </w:rPr>
              <w:tab/>
            </w:r>
            <w:r>
              <w:rPr>
                <w:rStyle w:val="IndexLink"/>
              </w:rPr>
              <w:t>91</w:t>
            </w:r>
          </w:hyperlink>
        </w:p>
        <w:p>
          <w:pPr>
            <w:pStyle w:val="Contents5"/>
            <w:tabs>
              <w:tab w:val="clear" w:pos="7892"/>
              <w:tab w:val="right" w:pos="9026" w:leader="dot"/>
            </w:tabs>
            <w:rPr/>
          </w:pPr>
          <w:hyperlink w:anchor="__RefHeading___Toc628109_1395250215">
            <w:r>
              <w:rPr>
                <w:webHidden/>
                <w:rStyle w:val="IndexLink"/>
                <w:rtl w:val="true"/>
              </w:rPr>
              <w:t>نقد اندیشه اشاعره</w:t>
            </w:r>
            <w:r>
              <w:rPr>
                <w:rStyle w:val="IndexLink"/>
                <w:rtl w:val="true"/>
              </w:rPr>
              <w:tab/>
            </w:r>
            <w:r>
              <w:rPr>
                <w:rStyle w:val="IndexLink"/>
              </w:rPr>
              <w:t>92</w:t>
            </w:r>
          </w:hyperlink>
        </w:p>
        <w:p>
          <w:pPr>
            <w:pStyle w:val="Contents4"/>
            <w:tabs>
              <w:tab w:val="clear" w:pos="8176"/>
              <w:tab w:val="right" w:pos="9026" w:leader="dot"/>
            </w:tabs>
            <w:rPr/>
          </w:pPr>
          <w:hyperlink w:anchor="__RefHeading___Toc628111_1395250215">
            <w:r>
              <w:rPr>
                <w:webHidden/>
                <w:rStyle w:val="IndexLink"/>
              </w:rPr>
              <w:t>4</w:t>
            </w:r>
            <w:r>
              <w:rPr>
                <w:rStyle w:val="IndexLink"/>
                <w:rtl w:val="true"/>
              </w:rPr>
              <w:t xml:space="preserve">. </w:t>
            </w:r>
            <w:r>
              <w:rPr>
                <w:rStyle w:val="IndexLink"/>
                <w:rtl w:val="true"/>
              </w:rPr>
              <w:t>اندیشه ما تریدیان</w:t>
            </w:r>
            <w:r>
              <w:rPr>
                <w:rStyle w:val="IndexLink"/>
                <w:rtl w:val="true"/>
              </w:rPr>
              <w:tab/>
            </w:r>
            <w:r>
              <w:rPr>
                <w:rStyle w:val="IndexLink"/>
              </w:rPr>
              <w:t>93</w:t>
            </w:r>
          </w:hyperlink>
        </w:p>
        <w:p>
          <w:pPr>
            <w:pStyle w:val="Contents4"/>
            <w:tabs>
              <w:tab w:val="clear" w:pos="8176"/>
              <w:tab w:val="right" w:pos="9026" w:leader="dot"/>
            </w:tabs>
            <w:rPr/>
          </w:pPr>
          <w:hyperlink w:anchor="__RefHeading___Toc628113_1395250215">
            <w:r>
              <w:rPr>
                <w:webHidden/>
                <w:rStyle w:val="IndexLink"/>
              </w:rPr>
              <w:t>5</w:t>
            </w:r>
            <w:r>
              <w:rPr>
                <w:rStyle w:val="IndexLink"/>
                <w:rtl w:val="true"/>
              </w:rPr>
              <w:t xml:space="preserve">. </w:t>
            </w:r>
            <w:r>
              <w:rPr>
                <w:rStyle w:val="IndexLink"/>
                <w:rtl w:val="true"/>
              </w:rPr>
              <w:t>اندیشه امامیه در استطاعت</w:t>
            </w:r>
            <w:r>
              <w:rPr>
                <w:rStyle w:val="IndexLink"/>
                <w:rtl w:val="true"/>
              </w:rPr>
              <w:tab/>
            </w:r>
            <w:r>
              <w:rPr>
                <w:rStyle w:val="IndexLink"/>
              </w:rPr>
              <w:t>94</w:t>
            </w:r>
          </w:hyperlink>
        </w:p>
        <w:p>
          <w:pPr>
            <w:pStyle w:val="Contents5"/>
            <w:tabs>
              <w:tab w:val="clear" w:pos="7892"/>
              <w:tab w:val="right" w:pos="9026" w:leader="dot"/>
            </w:tabs>
            <w:rPr/>
          </w:pPr>
          <w:hyperlink w:anchor="__RefHeading___Toc628115_1395250215">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628117_1395250215">
            <w:r>
              <w:rPr>
                <w:webHidden/>
                <w:rStyle w:val="IndexLink"/>
                <w:rtl w:val="true"/>
              </w:rPr>
              <w:t>ادله قرانی برخی از عالمان شیعه</w:t>
            </w:r>
            <w:r>
              <w:rPr>
                <w:rStyle w:val="IndexLink"/>
                <w:rtl w:val="true"/>
              </w:rPr>
              <w:tab/>
            </w:r>
            <w:r>
              <w:rPr>
                <w:rStyle w:val="IndexLink"/>
              </w:rPr>
              <w:t>95</w:t>
            </w:r>
          </w:hyperlink>
        </w:p>
        <w:p>
          <w:pPr>
            <w:pStyle w:val="Contents6"/>
            <w:tabs>
              <w:tab w:val="clear" w:pos="7609"/>
              <w:tab w:val="right" w:pos="9026" w:leader="dot"/>
            </w:tabs>
            <w:rPr/>
          </w:pPr>
          <w:hyperlink w:anchor="__RefHeading___Toc628119_1395250215">
            <w:r>
              <w:rPr>
                <w:webHidden/>
                <w:rStyle w:val="IndexLink"/>
                <w:rtl w:val="true"/>
              </w:rPr>
              <w:t>سید مرتضی</w:t>
            </w:r>
            <w:r>
              <w:rPr>
                <w:rStyle w:val="IndexLink"/>
                <w:rtl w:val="true"/>
              </w:rPr>
              <w:tab/>
            </w:r>
            <w:r>
              <w:rPr>
                <w:rStyle w:val="IndexLink"/>
              </w:rPr>
              <w:t>95</w:t>
            </w:r>
          </w:hyperlink>
        </w:p>
        <w:p>
          <w:pPr>
            <w:pStyle w:val="Contents6"/>
            <w:tabs>
              <w:tab w:val="clear" w:pos="7609"/>
              <w:tab w:val="right" w:pos="9026" w:leader="dot"/>
            </w:tabs>
            <w:rPr/>
          </w:pPr>
          <w:hyperlink w:anchor="__RefHeading___Toc628121_1395250215">
            <w:r>
              <w:rPr>
                <w:webHidden/>
                <w:rStyle w:val="IndexLink"/>
                <w:rtl w:val="true"/>
              </w:rPr>
              <w:t>شیخ مفید</w:t>
            </w:r>
            <w:r>
              <w:rPr>
                <w:rStyle w:val="IndexLink"/>
                <w:rtl w:val="true"/>
              </w:rPr>
              <w:tab/>
            </w:r>
            <w:r>
              <w:rPr>
                <w:rStyle w:val="IndexLink"/>
              </w:rPr>
              <w:t>96</w:t>
            </w:r>
          </w:hyperlink>
        </w:p>
        <w:p>
          <w:pPr>
            <w:pStyle w:val="Contents6"/>
            <w:tabs>
              <w:tab w:val="clear" w:pos="7609"/>
              <w:tab w:val="right" w:pos="9026" w:leader="dot"/>
            </w:tabs>
            <w:rPr/>
          </w:pPr>
          <w:hyperlink w:anchor="__RefHeading___Toc628123_1395250215">
            <w:r>
              <w:rPr>
                <w:webHidden/>
                <w:rStyle w:val="IndexLink"/>
                <w:rtl w:val="true"/>
              </w:rPr>
              <w:t>نقد سید مرتضی و شیخ مفید</w:t>
            </w:r>
            <w:r>
              <w:rPr>
                <w:rStyle w:val="IndexLink"/>
                <w:rtl w:val="true"/>
              </w:rPr>
              <w:tab/>
            </w:r>
            <w:r>
              <w:rPr>
                <w:rStyle w:val="IndexLink"/>
              </w:rPr>
              <w:t>96</w:t>
            </w:r>
          </w:hyperlink>
        </w:p>
        <w:p>
          <w:pPr>
            <w:pStyle w:val="Contents6"/>
            <w:tabs>
              <w:tab w:val="clear" w:pos="7609"/>
              <w:tab w:val="right" w:pos="9026" w:leader="dot"/>
            </w:tabs>
            <w:rPr/>
          </w:pPr>
          <w:hyperlink w:anchor="__RefHeading___Toc628125_1395250215">
            <w:r>
              <w:rPr>
                <w:webHidden/>
                <w:rStyle w:val="IndexLink"/>
                <w:rtl w:val="true"/>
              </w:rPr>
              <w:t>فیض کاشانی</w:t>
            </w:r>
            <w:r>
              <w:rPr>
                <w:rStyle w:val="IndexLink"/>
                <w:rtl w:val="true"/>
              </w:rPr>
              <w:tab/>
            </w:r>
            <w:r>
              <w:rPr>
                <w:rStyle w:val="IndexLink"/>
              </w:rPr>
              <w:t>96</w:t>
            </w:r>
          </w:hyperlink>
        </w:p>
        <w:p>
          <w:pPr>
            <w:pStyle w:val="Contents3"/>
            <w:tabs>
              <w:tab w:val="clear" w:pos="8459"/>
              <w:tab w:val="right" w:pos="9026" w:leader="dot"/>
            </w:tabs>
            <w:rPr/>
          </w:pPr>
          <w:hyperlink w:anchor="__RefHeading___Toc628127_1395250215">
            <w:r>
              <w:rPr>
                <w:webHidden/>
                <w:rStyle w:val="IndexLink"/>
                <w:rtl w:val="true"/>
              </w:rPr>
              <w:t>نتیجه گیری</w:t>
            </w:r>
            <w:r>
              <w:rPr>
                <w:rStyle w:val="IndexLink"/>
                <w:rtl w:val="true"/>
              </w:rPr>
              <w:tab/>
            </w:r>
            <w:r>
              <w:rPr>
                <w:rStyle w:val="IndexLink"/>
              </w:rPr>
              <w:t>96</w:t>
            </w:r>
          </w:hyperlink>
        </w:p>
        <w:p>
          <w:pPr>
            <w:pStyle w:val="Contents3"/>
            <w:tabs>
              <w:tab w:val="clear" w:pos="8459"/>
              <w:tab w:val="right" w:pos="9026" w:leader="dot"/>
            </w:tabs>
            <w:rPr/>
          </w:pPr>
          <w:hyperlink w:anchor="__RefHeading___Toc628129_1395250215">
            <w:r>
              <w:rPr>
                <w:webHidden/>
                <w:rStyle w:val="IndexLink"/>
                <w:rtl w:val="true"/>
              </w:rPr>
              <w:t>منابع</w:t>
            </w:r>
            <w:r>
              <w:rPr>
                <w:rStyle w:val="IndexLink"/>
                <w:rtl w:val="true"/>
              </w:rPr>
              <w:tab/>
            </w:r>
            <w:r>
              <w:rPr>
                <w:rStyle w:val="IndexLink"/>
              </w:rPr>
              <w:t>97</w:t>
            </w:r>
          </w:hyperlink>
        </w:p>
        <w:p>
          <w:pPr>
            <w:pStyle w:val="Contents2"/>
            <w:tabs>
              <w:tab w:val="clear" w:pos="8743"/>
              <w:tab w:val="right" w:pos="9026" w:leader="dot"/>
            </w:tabs>
            <w:rPr/>
          </w:pPr>
          <w:hyperlink w:anchor="__RefHeading___Toc628131_1395250215">
            <w:r>
              <w:rPr>
                <w:webHidden/>
                <w:rStyle w:val="IndexLink"/>
                <w:rtl w:val="true"/>
              </w:rPr>
              <w:t xml:space="preserve">موارد استدلال تفسیری ـ کلامی به آیه </w:t>
            </w:r>
            <w:r>
              <w:rPr>
                <w:rStyle w:val="IndexLink"/>
                <w:rtl w:val="true"/>
              </w:rPr>
              <w:t>«</w:t>
            </w:r>
            <w:r>
              <w:rPr>
                <w:rStyle w:val="IndexLink"/>
                <w:rtl w:val="true"/>
              </w:rPr>
              <w:t>لا اکراه فی الدین</w:t>
            </w:r>
            <w:r>
              <w:rPr>
                <w:rStyle w:val="IndexLink"/>
                <w:rtl w:val="true"/>
              </w:rPr>
              <w:t>»</w:t>
              <w:tab/>
            </w:r>
            <w:r>
              <w:rPr>
                <w:rStyle w:val="IndexLink"/>
              </w:rPr>
              <w:t>102</w:t>
            </w:r>
          </w:hyperlink>
        </w:p>
        <w:p>
          <w:pPr>
            <w:pStyle w:val="Contents3"/>
            <w:tabs>
              <w:tab w:val="clear" w:pos="8459"/>
              <w:tab w:val="right" w:pos="9026" w:leader="dot"/>
            </w:tabs>
            <w:rPr/>
          </w:pPr>
          <w:hyperlink w:anchor="__RefHeading___Toc628133_1395250215">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628135_1395250215">
            <w:r>
              <w:rPr>
                <w:webHidden/>
                <w:rStyle w:val="IndexLink"/>
                <w:rtl w:val="true"/>
              </w:rPr>
              <w:t>چکیده</w:t>
            </w:r>
            <w:r>
              <w:rPr>
                <w:rStyle w:val="IndexLink"/>
                <w:rtl w:val="true"/>
              </w:rPr>
              <w:tab/>
            </w:r>
            <w:r>
              <w:rPr>
                <w:rStyle w:val="IndexLink"/>
              </w:rPr>
              <w:t>102</w:t>
            </w:r>
          </w:hyperlink>
        </w:p>
        <w:p>
          <w:pPr>
            <w:pStyle w:val="Contents3"/>
            <w:tabs>
              <w:tab w:val="clear" w:pos="8459"/>
              <w:tab w:val="right" w:pos="9026" w:leader="dot"/>
            </w:tabs>
            <w:rPr/>
          </w:pPr>
          <w:hyperlink w:anchor="__RefHeading___Toc628137_1395250215">
            <w:r>
              <w:rPr>
                <w:webHidden/>
                <w:rStyle w:val="IndexLink"/>
                <w:rtl w:val="true"/>
              </w:rPr>
              <w:t>واژگان کلیدی</w:t>
            </w:r>
            <w:r>
              <w:rPr>
                <w:rStyle w:val="IndexLink"/>
                <w:rtl w:val="true"/>
              </w:rPr>
              <w:tab/>
            </w:r>
            <w:r>
              <w:rPr>
                <w:rStyle w:val="IndexLink"/>
              </w:rPr>
              <w:t>102</w:t>
            </w:r>
          </w:hyperlink>
        </w:p>
        <w:p>
          <w:pPr>
            <w:pStyle w:val="Contents3"/>
            <w:tabs>
              <w:tab w:val="clear" w:pos="8459"/>
              <w:tab w:val="right" w:pos="9026" w:leader="dot"/>
            </w:tabs>
            <w:rPr/>
          </w:pPr>
          <w:hyperlink w:anchor="__RefHeading___Toc628139_1395250215">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628141_1395250215">
            <w:r>
              <w:rPr>
                <w:webHidden/>
                <w:rStyle w:val="IndexLink"/>
                <w:rtl w:val="true"/>
              </w:rPr>
              <w:t>پیشینه بحث</w:t>
            </w:r>
            <w:r>
              <w:rPr>
                <w:rStyle w:val="IndexLink"/>
                <w:rtl w:val="true"/>
              </w:rPr>
              <w:tab/>
            </w:r>
            <w:r>
              <w:rPr>
                <w:rStyle w:val="IndexLink"/>
              </w:rPr>
              <w:t>103</w:t>
            </w:r>
          </w:hyperlink>
        </w:p>
        <w:p>
          <w:pPr>
            <w:pStyle w:val="Contents3"/>
            <w:tabs>
              <w:tab w:val="clear" w:pos="8459"/>
              <w:tab w:val="right" w:pos="9026" w:leader="dot"/>
            </w:tabs>
            <w:rPr/>
          </w:pPr>
          <w:hyperlink w:anchor="__RefHeading___Toc628143_1395250215">
            <w:r>
              <w:rPr>
                <w:webHidden/>
                <w:rStyle w:val="IndexLink"/>
                <w:rtl w:val="true"/>
              </w:rPr>
              <w:t>شان نزول</w:t>
            </w:r>
            <w:r>
              <w:rPr>
                <w:rStyle w:val="IndexLink"/>
                <w:rtl w:val="true"/>
              </w:rPr>
              <w:tab/>
            </w:r>
            <w:r>
              <w:rPr>
                <w:rStyle w:val="IndexLink"/>
              </w:rPr>
              <w:t>104</w:t>
            </w:r>
          </w:hyperlink>
        </w:p>
        <w:p>
          <w:pPr>
            <w:pStyle w:val="Contents3"/>
            <w:tabs>
              <w:tab w:val="clear" w:pos="8459"/>
              <w:tab w:val="right" w:pos="9026" w:leader="dot"/>
            </w:tabs>
            <w:rPr/>
          </w:pPr>
          <w:hyperlink w:anchor="__RefHeading___Toc628145_1395250215">
            <w:r>
              <w:rPr>
                <w:webHidden/>
                <w:rStyle w:val="IndexLink"/>
                <w:rtl w:val="true"/>
              </w:rPr>
              <w:t>ارتباط آیه</w:t>
            </w:r>
            <w:r>
              <w:rPr>
                <w:rStyle w:val="IndexLink"/>
                <w:rtl w:val="true"/>
              </w:rPr>
              <w:tab/>
            </w:r>
            <w:r>
              <w:rPr>
                <w:rStyle w:val="IndexLink"/>
              </w:rPr>
              <w:t>105</w:t>
            </w:r>
          </w:hyperlink>
        </w:p>
        <w:p>
          <w:pPr>
            <w:pStyle w:val="Contents3"/>
            <w:tabs>
              <w:tab w:val="clear" w:pos="8459"/>
              <w:tab w:val="right" w:pos="9026" w:leader="dot"/>
            </w:tabs>
            <w:rPr/>
          </w:pPr>
          <w:hyperlink w:anchor="__RefHeading___Toc628147_1395250215">
            <w:r>
              <w:rPr>
                <w:webHidden/>
                <w:rStyle w:val="IndexLink"/>
                <w:rtl w:val="true"/>
              </w:rPr>
              <w:t>معنا شناسی دین</w:t>
            </w:r>
            <w:r>
              <w:rPr>
                <w:rStyle w:val="IndexLink"/>
                <w:rtl w:val="true"/>
              </w:rPr>
              <w:tab/>
            </w:r>
            <w:r>
              <w:rPr>
                <w:rStyle w:val="IndexLink"/>
              </w:rPr>
              <w:t>105</w:t>
            </w:r>
          </w:hyperlink>
        </w:p>
        <w:p>
          <w:pPr>
            <w:pStyle w:val="Contents3"/>
            <w:tabs>
              <w:tab w:val="clear" w:pos="8459"/>
              <w:tab w:val="right" w:pos="9026" w:leader="dot"/>
            </w:tabs>
            <w:rPr/>
          </w:pPr>
          <w:hyperlink w:anchor="__RefHeading___Toc628149_1395250215">
            <w:r>
              <w:rPr>
                <w:webHidden/>
                <w:rStyle w:val="IndexLink"/>
                <w:rtl w:val="true"/>
              </w:rPr>
              <w:t>گستره دین</w:t>
            </w:r>
            <w:r>
              <w:rPr>
                <w:rStyle w:val="IndexLink"/>
                <w:rtl w:val="true"/>
              </w:rPr>
              <w:tab/>
            </w:r>
            <w:r>
              <w:rPr>
                <w:rStyle w:val="IndexLink"/>
              </w:rPr>
              <w:t>107</w:t>
            </w:r>
          </w:hyperlink>
        </w:p>
        <w:p>
          <w:pPr>
            <w:pStyle w:val="Contents3"/>
            <w:tabs>
              <w:tab w:val="clear" w:pos="8459"/>
              <w:tab w:val="right" w:pos="9026" w:leader="dot"/>
            </w:tabs>
            <w:rPr/>
          </w:pPr>
          <w:hyperlink w:anchor="__RefHeading___Toc628151_1395250215">
            <w:r>
              <w:rPr>
                <w:webHidden/>
                <w:rStyle w:val="IndexLink"/>
                <w:rtl w:val="true"/>
              </w:rPr>
              <w:t>قائده لطف</w:t>
            </w:r>
            <w:r>
              <w:rPr>
                <w:rStyle w:val="IndexLink"/>
                <w:rtl w:val="true"/>
              </w:rPr>
              <w:tab/>
            </w:r>
            <w:r>
              <w:rPr>
                <w:rStyle w:val="IndexLink"/>
              </w:rPr>
              <w:t>107</w:t>
            </w:r>
          </w:hyperlink>
        </w:p>
        <w:p>
          <w:pPr>
            <w:pStyle w:val="Contents3"/>
            <w:tabs>
              <w:tab w:val="clear" w:pos="8459"/>
              <w:tab w:val="right" w:pos="9026" w:leader="dot"/>
            </w:tabs>
            <w:rPr/>
          </w:pPr>
          <w:hyperlink w:anchor="__RefHeading___Toc628153_1395250215">
            <w:r>
              <w:rPr>
                <w:webHidden/>
                <w:rStyle w:val="IndexLink"/>
                <w:rtl w:val="true"/>
              </w:rPr>
              <w:t>وجوب امر به معروف و نهی از منکر</w:t>
            </w:r>
            <w:r>
              <w:rPr>
                <w:rStyle w:val="IndexLink"/>
                <w:rtl w:val="true"/>
              </w:rPr>
              <w:tab/>
            </w:r>
            <w:r>
              <w:rPr>
                <w:rStyle w:val="IndexLink"/>
              </w:rPr>
              <w:t>107</w:t>
            </w:r>
          </w:hyperlink>
        </w:p>
        <w:p>
          <w:pPr>
            <w:pStyle w:val="Contents3"/>
            <w:tabs>
              <w:tab w:val="clear" w:pos="8459"/>
              <w:tab w:val="right" w:pos="9026" w:leader="dot"/>
            </w:tabs>
            <w:rPr/>
          </w:pPr>
          <w:hyperlink w:anchor="__RefHeading___Toc628155_1395250215">
            <w:r>
              <w:rPr>
                <w:webHidden/>
                <w:rStyle w:val="IndexLink"/>
                <w:rtl w:val="true"/>
              </w:rPr>
              <w:t>عدم اجبار در انجام تکالیف</w:t>
            </w:r>
            <w:r>
              <w:rPr>
                <w:rStyle w:val="IndexLink"/>
                <w:rtl w:val="true"/>
              </w:rPr>
              <w:tab/>
            </w:r>
            <w:r>
              <w:rPr>
                <w:rStyle w:val="IndexLink"/>
              </w:rPr>
              <w:t>108</w:t>
            </w:r>
          </w:hyperlink>
        </w:p>
        <w:p>
          <w:pPr>
            <w:pStyle w:val="Contents3"/>
            <w:tabs>
              <w:tab w:val="clear" w:pos="8459"/>
              <w:tab w:val="right" w:pos="9026" w:leader="dot"/>
            </w:tabs>
            <w:rPr/>
          </w:pPr>
          <w:hyperlink w:anchor="__RefHeading___Toc628157_1395250215">
            <w:r>
              <w:rPr>
                <w:webHidden/>
                <w:rStyle w:val="IndexLink"/>
                <w:rtl w:val="true"/>
              </w:rPr>
              <w:t>نفی مغلوبیت خداوند</w:t>
            </w:r>
            <w:r>
              <w:rPr>
                <w:rStyle w:val="IndexLink"/>
                <w:rtl w:val="true"/>
              </w:rPr>
              <w:tab/>
            </w:r>
            <w:r>
              <w:rPr>
                <w:rStyle w:val="IndexLink"/>
              </w:rPr>
              <w:t>109</w:t>
            </w:r>
          </w:hyperlink>
        </w:p>
        <w:p>
          <w:pPr>
            <w:pStyle w:val="Contents3"/>
            <w:tabs>
              <w:tab w:val="clear" w:pos="8459"/>
              <w:tab w:val="right" w:pos="9026" w:leader="dot"/>
            </w:tabs>
            <w:rPr/>
          </w:pPr>
          <w:hyperlink w:anchor="__RefHeading___Toc628159_1395250215">
            <w:r>
              <w:rPr>
                <w:webHidden/>
                <w:rStyle w:val="IndexLink"/>
                <w:rtl w:val="true"/>
              </w:rPr>
              <w:t>امتحان الهی و اختیار</w:t>
            </w:r>
            <w:r>
              <w:rPr>
                <w:rStyle w:val="IndexLink"/>
                <w:rtl w:val="true"/>
              </w:rPr>
              <w:tab/>
            </w:r>
            <w:r>
              <w:rPr>
                <w:rStyle w:val="IndexLink"/>
              </w:rPr>
              <w:t>110</w:t>
            </w:r>
          </w:hyperlink>
        </w:p>
        <w:p>
          <w:pPr>
            <w:pStyle w:val="Contents3"/>
            <w:tabs>
              <w:tab w:val="clear" w:pos="8459"/>
              <w:tab w:val="right" w:pos="9026" w:leader="dot"/>
            </w:tabs>
            <w:rPr/>
          </w:pPr>
          <w:hyperlink w:anchor="__RefHeading___Toc628161_1395250215">
            <w:r>
              <w:rPr>
                <w:webHidden/>
                <w:rStyle w:val="IndexLink"/>
                <w:rtl w:val="true"/>
              </w:rPr>
              <w:t>عصمت پیامبر</w:t>
            </w:r>
            <w:r>
              <w:rPr>
                <w:rStyle w:val="IndexLink"/>
                <w:rtl w:val="true"/>
              </w:rPr>
              <w:tab/>
            </w:r>
            <w:r>
              <w:rPr>
                <w:rStyle w:val="IndexLink"/>
              </w:rPr>
              <w:t>110</w:t>
            </w:r>
          </w:hyperlink>
        </w:p>
        <w:p>
          <w:pPr>
            <w:pStyle w:val="Contents3"/>
            <w:tabs>
              <w:tab w:val="clear" w:pos="8459"/>
              <w:tab w:val="right" w:pos="9026" w:leader="dot"/>
            </w:tabs>
            <w:rPr/>
          </w:pPr>
          <w:hyperlink w:anchor="__RefHeading___Toc628163_1395250215">
            <w:r>
              <w:rPr>
                <w:webHidden/>
                <w:rStyle w:val="IndexLink"/>
                <w:rtl w:val="true"/>
              </w:rPr>
              <w:t>وظیفه پیامبر</w:t>
            </w:r>
            <w:r>
              <w:rPr>
                <w:rStyle w:val="IndexLink"/>
                <w:rtl w:val="true"/>
              </w:rPr>
              <w:tab/>
            </w:r>
            <w:r>
              <w:rPr>
                <w:rStyle w:val="IndexLink"/>
              </w:rPr>
              <w:t>111</w:t>
            </w:r>
          </w:hyperlink>
        </w:p>
        <w:p>
          <w:pPr>
            <w:pStyle w:val="Contents3"/>
            <w:tabs>
              <w:tab w:val="clear" w:pos="8459"/>
              <w:tab w:val="right" w:pos="9026" w:leader="dot"/>
            </w:tabs>
            <w:rPr/>
          </w:pPr>
          <w:hyperlink w:anchor="__RefHeading___Toc628165_1395250215">
            <w:r>
              <w:rPr>
                <w:webHidden/>
                <w:rStyle w:val="IndexLink"/>
                <w:rtl w:val="true"/>
              </w:rPr>
              <w:t>امامت و گسترش آیین</w:t>
            </w:r>
            <w:r>
              <w:rPr>
                <w:rStyle w:val="IndexLink"/>
                <w:rtl w:val="true"/>
              </w:rPr>
              <w:tab/>
            </w:r>
            <w:r>
              <w:rPr>
                <w:rStyle w:val="IndexLink"/>
              </w:rPr>
              <w:t>112</w:t>
            </w:r>
          </w:hyperlink>
        </w:p>
        <w:p>
          <w:pPr>
            <w:pStyle w:val="Contents3"/>
            <w:tabs>
              <w:tab w:val="clear" w:pos="8459"/>
              <w:tab w:val="right" w:pos="9026" w:leader="dot"/>
            </w:tabs>
            <w:rPr/>
          </w:pPr>
          <w:hyperlink w:anchor="__RefHeading___Toc628167_1395250215">
            <w:r>
              <w:rPr>
                <w:webHidden/>
                <w:rStyle w:val="IndexLink"/>
                <w:rtl w:val="true"/>
              </w:rPr>
              <w:t>نفی تقلید در عقاید</w:t>
            </w:r>
            <w:r>
              <w:rPr>
                <w:rStyle w:val="IndexLink"/>
                <w:rtl w:val="true"/>
              </w:rPr>
              <w:tab/>
            </w:r>
            <w:r>
              <w:rPr>
                <w:rStyle w:val="IndexLink"/>
              </w:rPr>
              <w:t>112</w:t>
            </w:r>
          </w:hyperlink>
        </w:p>
        <w:p>
          <w:pPr>
            <w:pStyle w:val="Contents3"/>
            <w:tabs>
              <w:tab w:val="clear" w:pos="8459"/>
              <w:tab w:val="right" w:pos="9026" w:leader="dot"/>
            </w:tabs>
            <w:rPr/>
          </w:pPr>
          <w:hyperlink w:anchor="__RefHeading___Toc628169_1395250215">
            <w:r>
              <w:rPr>
                <w:webHidden/>
                <w:rStyle w:val="IndexLink"/>
                <w:rtl w:val="true"/>
              </w:rPr>
              <w:t>آزادی فکر و عقیده</w:t>
            </w:r>
            <w:r>
              <w:rPr>
                <w:rStyle w:val="IndexLink"/>
                <w:rtl w:val="true"/>
              </w:rPr>
              <w:tab/>
            </w:r>
            <w:r>
              <w:rPr>
                <w:rStyle w:val="IndexLink"/>
              </w:rPr>
              <w:t>113</w:t>
            </w:r>
          </w:hyperlink>
        </w:p>
        <w:p>
          <w:pPr>
            <w:pStyle w:val="Contents3"/>
            <w:tabs>
              <w:tab w:val="clear" w:pos="8459"/>
              <w:tab w:val="right" w:pos="9026" w:leader="dot"/>
            </w:tabs>
            <w:rPr/>
          </w:pPr>
          <w:hyperlink w:anchor="__RefHeading___Toc628171_1395250215">
            <w:r>
              <w:rPr>
                <w:webHidden/>
                <w:rStyle w:val="IndexLink"/>
                <w:rtl w:val="true"/>
              </w:rPr>
              <w:t>نفی جبر</w:t>
            </w:r>
            <w:r>
              <w:rPr>
                <w:rStyle w:val="IndexLink"/>
                <w:rtl w:val="true"/>
              </w:rPr>
              <w:tab/>
            </w:r>
            <w:r>
              <w:rPr>
                <w:rStyle w:val="IndexLink"/>
              </w:rPr>
              <w:t>114</w:t>
            </w:r>
          </w:hyperlink>
        </w:p>
        <w:p>
          <w:pPr>
            <w:pStyle w:val="Contents3"/>
            <w:tabs>
              <w:tab w:val="clear" w:pos="8459"/>
              <w:tab w:val="right" w:pos="9026" w:leader="dot"/>
            </w:tabs>
            <w:rPr/>
          </w:pPr>
          <w:hyperlink w:anchor="__RefHeading___Toc628173_1395250215">
            <w:r>
              <w:rPr>
                <w:webHidden/>
                <w:rStyle w:val="IndexLink"/>
                <w:rtl w:val="true"/>
              </w:rPr>
              <w:t>کثرت گرایی دینی</w:t>
            </w:r>
            <w:r>
              <w:rPr>
                <w:rStyle w:val="IndexLink"/>
                <w:rtl w:val="true"/>
              </w:rPr>
              <w:tab/>
            </w:r>
            <w:r>
              <w:rPr>
                <w:rStyle w:val="IndexLink"/>
              </w:rPr>
              <w:t>115</w:t>
            </w:r>
          </w:hyperlink>
        </w:p>
        <w:p>
          <w:pPr>
            <w:pStyle w:val="Contents3"/>
            <w:tabs>
              <w:tab w:val="clear" w:pos="8459"/>
              <w:tab w:val="right" w:pos="9026" w:leader="dot"/>
            </w:tabs>
            <w:rPr/>
          </w:pPr>
          <w:hyperlink w:anchor="__RefHeading___Toc628175_1395250215">
            <w:r>
              <w:rPr>
                <w:webHidden/>
                <w:rStyle w:val="IndexLink"/>
                <w:rtl w:val="true"/>
              </w:rPr>
              <w:t>نتیجه گیری</w:t>
            </w:r>
            <w:r>
              <w:rPr>
                <w:rStyle w:val="IndexLink"/>
                <w:rtl w:val="true"/>
              </w:rPr>
              <w:tab/>
            </w:r>
            <w:r>
              <w:rPr>
                <w:rStyle w:val="IndexLink"/>
              </w:rPr>
              <w:t>115</w:t>
            </w:r>
          </w:hyperlink>
        </w:p>
        <w:p>
          <w:pPr>
            <w:pStyle w:val="Contents3"/>
            <w:tabs>
              <w:tab w:val="clear" w:pos="8459"/>
              <w:tab w:val="right" w:pos="9026" w:leader="dot"/>
            </w:tabs>
            <w:rPr/>
          </w:pPr>
          <w:hyperlink w:anchor="__RefHeading___Toc628177_1395250215">
            <w:r>
              <w:rPr>
                <w:webHidden/>
                <w:rStyle w:val="IndexLink"/>
                <w:rtl w:val="true"/>
              </w:rPr>
              <w:t>منابع</w:t>
            </w:r>
            <w:r>
              <w:rPr>
                <w:rStyle w:val="IndexLink"/>
                <w:rtl w:val="true"/>
              </w:rPr>
              <w:tab/>
            </w:r>
            <w:r>
              <w:rPr>
                <w:rStyle w:val="IndexLink"/>
              </w:rPr>
              <w:t>116</w:t>
            </w:r>
          </w:hyperlink>
        </w:p>
        <w:p>
          <w:pPr>
            <w:pStyle w:val="Contents2"/>
            <w:tabs>
              <w:tab w:val="clear" w:pos="8743"/>
              <w:tab w:val="right" w:pos="9026" w:leader="dot"/>
            </w:tabs>
            <w:rPr/>
          </w:pPr>
          <w:hyperlink w:anchor="__RefHeading___Toc628179_1395250215">
            <w:r>
              <w:rPr>
                <w:webHidden/>
                <w:rStyle w:val="IndexLink"/>
                <w:rtl w:val="true"/>
              </w:rPr>
              <w:t xml:space="preserve">کلام اجتماعی </w:t>
            </w:r>
            <w:r>
              <w:rPr>
                <w:rStyle w:val="IndexLink"/>
                <w:rtl w:val="true"/>
              </w:rPr>
              <w:t>(</w:t>
            </w:r>
            <w:r>
              <w:rPr>
                <w:rStyle w:val="IndexLink"/>
                <w:rtl w:val="true"/>
              </w:rPr>
              <w:t>چیستی، خاستگاه و روی‌کرد</w:t>
            </w:r>
            <w:r>
              <w:rPr>
                <w:rStyle w:val="IndexLink"/>
                <w:rtl w:val="true"/>
              </w:rPr>
              <w:t>)</w:t>
              <w:tab/>
            </w:r>
            <w:r>
              <w:rPr>
                <w:rStyle w:val="IndexLink"/>
              </w:rPr>
              <w:t>120</w:t>
            </w:r>
          </w:hyperlink>
        </w:p>
        <w:p>
          <w:pPr>
            <w:pStyle w:val="Contents3"/>
            <w:tabs>
              <w:tab w:val="clear" w:pos="8459"/>
              <w:tab w:val="right" w:pos="9026" w:leader="dot"/>
            </w:tabs>
            <w:rPr/>
          </w:pPr>
          <w:hyperlink w:anchor="__RefHeading___Toc628181_1395250215">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628183_1395250215">
            <w:r>
              <w:rPr>
                <w:webHidden/>
                <w:rStyle w:val="IndexLink"/>
                <w:rtl w:val="true"/>
              </w:rPr>
              <w:t>چکیده</w:t>
            </w:r>
            <w:r>
              <w:rPr>
                <w:rStyle w:val="IndexLink"/>
                <w:rtl w:val="true"/>
              </w:rPr>
              <w:tab/>
            </w:r>
            <w:r>
              <w:rPr>
                <w:rStyle w:val="IndexLink"/>
              </w:rPr>
              <w:t>120</w:t>
            </w:r>
          </w:hyperlink>
        </w:p>
        <w:p>
          <w:pPr>
            <w:pStyle w:val="Contents3"/>
            <w:tabs>
              <w:tab w:val="clear" w:pos="8459"/>
              <w:tab w:val="right" w:pos="9026" w:leader="dot"/>
            </w:tabs>
            <w:rPr/>
          </w:pPr>
          <w:hyperlink w:anchor="__RefHeading___Toc628185_1395250215">
            <w:r>
              <w:rPr>
                <w:webHidden/>
                <w:rStyle w:val="IndexLink"/>
                <w:rtl w:val="true"/>
              </w:rPr>
              <w:t>واژگان کلیدی</w:t>
            </w:r>
            <w:r>
              <w:rPr>
                <w:rStyle w:val="IndexLink"/>
                <w:rtl w:val="true"/>
              </w:rPr>
              <w:tab/>
            </w:r>
            <w:r>
              <w:rPr>
                <w:rStyle w:val="IndexLink"/>
              </w:rPr>
              <w:t>120</w:t>
            </w:r>
          </w:hyperlink>
        </w:p>
        <w:p>
          <w:pPr>
            <w:pStyle w:val="Contents3"/>
            <w:tabs>
              <w:tab w:val="clear" w:pos="8459"/>
              <w:tab w:val="right" w:pos="9026" w:leader="dot"/>
            </w:tabs>
            <w:rPr/>
          </w:pPr>
          <w:hyperlink w:anchor="__RefHeading___Toc628187_1395250215">
            <w:r>
              <w:rPr>
                <w:webHidden/>
                <w:rStyle w:val="IndexLink"/>
                <w:rtl w:val="true"/>
              </w:rPr>
              <w:t>بیان مسئله</w:t>
            </w:r>
            <w:r>
              <w:rPr>
                <w:rStyle w:val="IndexLink"/>
                <w:rtl w:val="true"/>
              </w:rPr>
              <w:tab/>
            </w:r>
            <w:r>
              <w:rPr>
                <w:rStyle w:val="IndexLink"/>
              </w:rPr>
              <w:t>121</w:t>
            </w:r>
          </w:hyperlink>
        </w:p>
        <w:p>
          <w:pPr>
            <w:pStyle w:val="Contents3"/>
            <w:tabs>
              <w:tab w:val="clear" w:pos="8459"/>
              <w:tab w:val="right" w:pos="9026" w:leader="dot"/>
            </w:tabs>
            <w:rPr/>
          </w:pPr>
          <w:hyperlink w:anchor="__RefHeading___Toc628189_1395250215">
            <w:r>
              <w:rPr>
                <w:webHidden/>
                <w:rStyle w:val="IndexLink"/>
                <w:rtl w:val="true"/>
              </w:rPr>
              <w:t>کلام</w:t>
            </w:r>
            <w:r>
              <w:rPr>
                <w:rStyle w:val="IndexLink"/>
                <w:rtl w:val="true"/>
              </w:rPr>
              <w:tab/>
            </w:r>
            <w:r>
              <w:rPr>
                <w:rStyle w:val="IndexLink"/>
              </w:rPr>
              <w:t>121</w:t>
            </w:r>
          </w:hyperlink>
        </w:p>
        <w:p>
          <w:pPr>
            <w:pStyle w:val="Contents3"/>
            <w:tabs>
              <w:tab w:val="clear" w:pos="8459"/>
              <w:tab w:val="right" w:pos="9026" w:leader="dot"/>
            </w:tabs>
            <w:rPr/>
          </w:pPr>
          <w:hyperlink w:anchor="__RefHeading___Toc628191_1395250215">
            <w:r>
              <w:rPr>
                <w:webHidden/>
                <w:rStyle w:val="IndexLink"/>
                <w:rtl w:val="true"/>
              </w:rPr>
              <w:t>الهیات</w:t>
            </w:r>
            <w:r>
              <w:rPr>
                <w:rStyle w:val="IndexLink"/>
                <w:rtl w:val="true"/>
              </w:rPr>
              <w:tab/>
            </w:r>
            <w:r>
              <w:rPr>
                <w:rStyle w:val="IndexLink"/>
              </w:rPr>
              <w:t>122</w:t>
            </w:r>
          </w:hyperlink>
        </w:p>
        <w:p>
          <w:pPr>
            <w:pStyle w:val="Contents3"/>
            <w:tabs>
              <w:tab w:val="clear" w:pos="8459"/>
              <w:tab w:val="right" w:pos="9026" w:leader="dot"/>
            </w:tabs>
            <w:rPr/>
          </w:pPr>
          <w:hyperlink w:anchor="__RefHeading___Toc628193_1395250215">
            <w:r>
              <w:rPr>
                <w:webHidden/>
                <w:rStyle w:val="IndexLink"/>
                <w:rtl w:val="true"/>
              </w:rPr>
              <w:t>الهیات اجتماعی</w:t>
            </w:r>
            <w:r>
              <w:rPr>
                <w:rStyle w:val="IndexLink"/>
                <w:rtl w:val="true"/>
              </w:rPr>
              <w:tab/>
            </w:r>
            <w:r>
              <w:rPr>
                <w:rStyle w:val="IndexLink"/>
              </w:rPr>
              <w:t>123</w:t>
            </w:r>
          </w:hyperlink>
        </w:p>
        <w:p>
          <w:pPr>
            <w:pStyle w:val="Contents3"/>
            <w:tabs>
              <w:tab w:val="clear" w:pos="8459"/>
              <w:tab w:val="right" w:pos="9026" w:leader="dot"/>
            </w:tabs>
            <w:rPr/>
          </w:pPr>
          <w:hyperlink w:anchor="__RefHeading___Toc628195_1395250215">
            <w:r>
              <w:rPr>
                <w:webHidden/>
                <w:rStyle w:val="IndexLink"/>
                <w:rtl w:val="true"/>
              </w:rPr>
              <w:t>کلام اجتماعی</w:t>
            </w:r>
            <w:r>
              <w:rPr>
                <w:rStyle w:val="IndexLink"/>
                <w:rtl w:val="true"/>
              </w:rPr>
              <w:tab/>
            </w:r>
            <w:r>
              <w:rPr>
                <w:rStyle w:val="IndexLink"/>
              </w:rPr>
              <w:t>124</w:t>
            </w:r>
          </w:hyperlink>
        </w:p>
        <w:p>
          <w:pPr>
            <w:pStyle w:val="Contents3"/>
            <w:tabs>
              <w:tab w:val="clear" w:pos="8459"/>
              <w:tab w:val="right" w:pos="9026" w:leader="dot"/>
            </w:tabs>
            <w:rPr/>
          </w:pPr>
          <w:hyperlink w:anchor="__RefHeading___Toc628197_1395250215">
            <w:r>
              <w:rPr>
                <w:webHidden/>
                <w:rStyle w:val="IndexLink"/>
                <w:rtl w:val="true"/>
              </w:rPr>
              <w:t>ویژگی های کلام اجتماعی در مقایسه با علوم اجتماعی</w:t>
            </w:r>
            <w:r>
              <w:rPr>
                <w:rStyle w:val="IndexLink"/>
                <w:rtl w:val="true"/>
              </w:rPr>
              <w:tab/>
            </w:r>
            <w:r>
              <w:rPr>
                <w:rStyle w:val="IndexLink"/>
              </w:rPr>
              <w:t>124</w:t>
            </w:r>
          </w:hyperlink>
        </w:p>
        <w:p>
          <w:pPr>
            <w:pStyle w:val="Contents4"/>
            <w:tabs>
              <w:tab w:val="clear" w:pos="8176"/>
              <w:tab w:val="right" w:pos="9026" w:leader="dot"/>
            </w:tabs>
            <w:rPr/>
          </w:pPr>
          <w:hyperlink w:anchor="__RefHeading___Toc628199_139525021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628201_1395250215">
            <w:r>
              <w:rPr>
                <w:webHidden/>
                <w:rStyle w:val="IndexLink"/>
                <w:rtl w:val="true"/>
              </w:rPr>
              <w:t>الف</w:t>
            </w:r>
            <w:r>
              <w:rPr>
                <w:rStyle w:val="IndexLink"/>
                <w:rtl w:val="true"/>
              </w:rPr>
              <w:t xml:space="preserve">) </w:t>
            </w:r>
            <w:r>
              <w:rPr>
                <w:rStyle w:val="IndexLink"/>
                <w:rtl w:val="true"/>
              </w:rPr>
              <w:t>روش شناسی</w:t>
            </w:r>
            <w:r>
              <w:rPr>
                <w:rStyle w:val="IndexLink"/>
                <w:rtl w:val="true"/>
              </w:rPr>
              <w:tab/>
            </w:r>
            <w:r>
              <w:rPr>
                <w:rStyle w:val="IndexLink"/>
              </w:rPr>
              <w:t>124</w:t>
            </w:r>
          </w:hyperlink>
        </w:p>
        <w:p>
          <w:pPr>
            <w:pStyle w:val="Contents4"/>
            <w:tabs>
              <w:tab w:val="clear" w:pos="8176"/>
              <w:tab w:val="right" w:pos="9026" w:leader="dot"/>
            </w:tabs>
            <w:rPr/>
          </w:pPr>
          <w:hyperlink w:anchor="__RefHeading___Toc628203_1395250215">
            <w:r>
              <w:rPr>
                <w:webHidden/>
                <w:rStyle w:val="IndexLink"/>
                <w:rtl w:val="true"/>
              </w:rPr>
              <w:t>ب</w:t>
            </w:r>
            <w:r>
              <w:rPr>
                <w:rStyle w:val="IndexLink"/>
                <w:rtl w:val="true"/>
              </w:rPr>
              <w:t xml:space="preserve">) </w:t>
            </w:r>
            <w:r>
              <w:rPr>
                <w:rStyle w:val="IndexLink"/>
                <w:rtl w:val="true"/>
              </w:rPr>
              <w:t>جهان شناسی</w:t>
            </w:r>
            <w:r>
              <w:rPr>
                <w:rStyle w:val="IndexLink"/>
                <w:rtl w:val="true"/>
              </w:rPr>
              <w:tab/>
            </w:r>
            <w:r>
              <w:rPr>
                <w:rStyle w:val="IndexLink"/>
              </w:rPr>
              <w:t>125</w:t>
            </w:r>
          </w:hyperlink>
        </w:p>
        <w:p>
          <w:pPr>
            <w:pStyle w:val="Contents4"/>
            <w:tabs>
              <w:tab w:val="clear" w:pos="8176"/>
              <w:tab w:val="right" w:pos="9026" w:leader="dot"/>
            </w:tabs>
            <w:rPr/>
          </w:pPr>
          <w:hyperlink w:anchor="__RefHeading___Toc628205_1395250215">
            <w:r>
              <w:rPr>
                <w:webHidden/>
                <w:rStyle w:val="IndexLink"/>
                <w:rtl w:val="true"/>
              </w:rPr>
              <w:t>ج</w:t>
            </w:r>
            <w:r>
              <w:rPr>
                <w:rStyle w:val="IndexLink"/>
                <w:rtl w:val="true"/>
              </w:rPr>
              <w:t xml:space="preserve">) </w:t>
            </w:r>
            <w:r>
              <w:rPr>
                <w:rStyle w:val="IndexLink"/>
                <w:rtl w:val="true"/>
              </w:rPr>
              <w:t>انسان شناسی</w:t>
            </w:r>
            <w:r>
              <w:rPr>
                <w:rStyle w:val="IndexLink"/>
                <w:rtl w:val="true"/>
              </w:rPr>
              <w:tab/>
            </w:r>
            <w:r>
              <w:rPr>
                <w:rStyle w:val="IndexLink"/>
              </w:rPr>
              <w:t>126</w:t>
            </w:r>
          </w:hyperlink>
        </w:p>
        <w:p>
          <w:pPr>
            <w:pStyle w:val="Contents3"/>
            <w:tabs>
              <w:tab w:val="clear" w:pos="8459"/>
              <w:tab w:val="right" w:pos="9026" w:leader="dot"/>
            </w:tabs>
            <w:rPr/>
          </w:pPr>
          <w:hyperlink w:anchor="__RefHeading___Toc628207_1395250215">
            <w:r>
              <w:rPr>
                <w:webHidden/>
                <w:rStyle w:val="IndexLink"/>
                <w:rtl w:val="true"/>
              </w:rPr>
              <w:t>خاستگاه کلام اجتماعی</w:t>
            </w:r>
            <w:r>
              <w:rPr>
                <w:rStyle w:val="IndexLink"/>
                <w:rtl w:val="true"/>
              </w:rPr>
              <w:tab/>
            </w:r>
            <w:r>
              <w:rPr>
                <w:rStyle w:val="IndexLink"/>
              </w:rPr>
              <w:t>127</w:t>
            </w:r>
          </w:hyperlink>
        </w:p>
        <w:p>
          <w:pPr>
            <w:pStyle w:val="Contents3"/>
            <w:tabs>
              <w:tab w:val="clear" w:pos="8459"/>
              <w:tab w:val="right" w:pos="9026" w:leader="dot"/>
            </w:tabs>
            <w:rPr/>
          </w:pPr>
          <w:hyperlink w:anchor="__RefHeading___Toc628209_1395250215">
            <w:r>
              <w:rPr>
                <w:webHidden/>
                <w:rStyle w:val="IndexLink"/>
                <w:rtl w:val="true"/>
              </w:rPr>
              <w:t>الهیات اجتماعی غرب</w:t>
            </w:r>
            <w:r>
              <w:rPr>
                <w:rStyle w:val="IndexLink"/>
                <w:rtl w:val="true"/>
              </w:rPr>
              <w:tab/>
            </w:r>
            <w:r>
              <w:rPr>
                <w:rStyle w:val="IndexLink"/>
              </w:rPr>
              <w:t>128</w:t>
            </w:r>
          </w:hyperlink>
        </w:p>
        <w:p>
          <w:pPr>
            <w:pStyle w:val="Contents3"/>
            <w:tabs>
              <w:tab w:val="clear" w:pos="8459"/>
              <w:tab w:val="right" w:pos="9026" w:leader="dot"/>
            </w:tabs>
            <w:rPr/>
          </w:pPr>
          <w:hyperlink w:anchor="__RefHeading___Toc628211_1395250215">
            <w:r>
              <w:rPr>
                <w:webHidden/>
                <w:rStyle w:val="IndexLink"/>
                <w:rtl w:val="true"/>
              </w:rPr>
              <w:t>نهضت اصلاح دین</w:t>
            </w:r>
            <w:r>
              <w:rPr>
                <w:rStyle w:val="IndexLink"/>
                <w:rtl w:val="true"/>
              </w:rPr>
              <w:tab/>
            </w:r>
            <w:r>
              <w:rPr>
                <w:rStyle w:val="IndexLink"/>
              </w:rPr>
              <w:t>128</w:t>
            </w:r>
          </w:hyperlink>
        </w:p>
        <w:p>
          <w:pPr>
            <w:pStyle w:val="Contents3"/>
            <w:tabs>
              <w:tab w:val="clear" w:pos="8459"/>
              <w:tab w:val="right" w:pos="9026" w:leader="dot"/>
            </w:tabs>
            <w:rPr/>
          </w:pPr>
          <w:hyperlink w:anchor="__RefHeading___Toc628213_1395250215">
            <w:r>
              <w:rPr>
                <w:webHidden/>
                <w:rStyle w:val="IndexLink"/>
                <w:rtl w:val="true"/>
              </w:rPr>
              <w:t>پارسایی گرایی</w:t>
            </w:r>
            <w:r>
              <w:rPr>
                <w:rStyle w:val="IndexLink"/>
                <w:rtl w:val="true"/>
              </w:rPr>
              <w:t>(</w:t>
            </w:r>
            <w:r>
              <w:rPr>
                <w:rStyle w:val="IndexLink"/>
              </w:rPr>
              <w:t>pietism</w:t>
            </w:r>
            <w:r>
              <w:rPr>
                <w:rStyle w:val="IndexLink"/>
                <w:rtl w:val="true"/>
              </w:rPr>
              <w:t>)</w:t>
              <w:tab/>
            </w:r>
            <w:r>
              <w:rPr>
                <w:rStyle w:val="IndexLink"/>
              </w:rPr>
              <w:t>129</w:t>
            </w:r>
          </w:hyperlink>
        </w:p>
        <w:p>
          <w:pPr>
            <w:pStyle w:val="Contents3"/>
            <w:tabs>
              <w:tab w:val="clear" w:pos="8459"/>
              <w:tab w:val="right" w:pos="9026" w:leader="dot"/>
            </w:tabs>
            <w:rPr/>
          </w:pPr>
          <w:hyperlink w:anchor="__RefHeading___Toc628215_1395250215">
            <w:r>
              <w:rPr>
                <w:webHidden/>
                <w:rStyle w:val="IndexLink"/>
                <w:rtl w:val="true"/>
              </w:rPr>
              <w:t>جنبش انجیل اجتماعی</w:t>
            </w:r>
            <w:r>
              <w:rPr>
                <w:rStyle w:val="IndexLink"/>
                <w:rtl w:val="true"/>
              </w:rPr>
              <w:tab/>
            </w:r>
            <w:r>
              <w:rPr>
                <w:rStyle w:val="IndexLink"/>
              </w:rPr>
              <w:t>129</w:t>
            </w:r>
          </w:hyperlink>
        </w:p>
        <w:p>
          <w:pPr>
            <w:pStyle w:val="Contents3"/>
            <w:tabs>
              <w:tab w:val="clear" w:pos="8459"/>
              <w:tab w:val="right" w:pos="9026" w:leader="dot"/>
            </w:tabs>
            <w:rPr/>
          </w:pPr>
          <w:hyperlink w:anchor="__RefHeading___Toc628217_1395250215">
            <w:r>
              <w:rPr>
                <w:webHidden/>
                <w:rStyle w:val="IndexLink"/>
                <w:rtl w:val="true"/>
              </w:rPr>
              <w:t>پیشینه کلام اجتماعی در اسلام</w:t>
            </w:r>
            <w:r>
              <w:rPr>
                <w:rStyle w:val="IndexLink"/>
                <w:rtl w:val="true"/>
              </w:rPr>
              <w:tab/>
            </w:r>
            <w:r>
              <w:rPr>
                <w:rStyle w:val="IndexLink"/>
              </w:rPr>
              <w:t>130</w:t>
            </w:r>
          </w:hyperlink>
        </w:p>
        <w:p>
          <w:pPr>
            <w:pStyle w:val="Contents3"/>
            <w:tabs>
              <w:tab w:val="clear" w:pos="8459"/>
              <w:tab w:val="right" w:pos="9026" w:leader="dot"/>
            </w:tabs>
            <w:rPr/>
          </w:pPr>
          <w:hyperlink w:anchor="__RefHeading___Toc628219_1395250215">
            <w:r>
              <w:rPr>
                <w:webHidden/>
                <w:rStyle w:val="IndexLink"/>
                <w:rtl w:val="true"/>
              </w:rPr>
              <w:t>رویکردهای کلام اجتماعی</w:t>
            </w:r>
            <w:r>
              <w:rPr>
                <w:rStyle w:val="IndexLink"/>
                <w:rtl w:val="true"/>
              </w:rPr>
              <w:tab/>
            </w:r>
            <w:r>
              <w:rPr>
                <w:rStyle w:val="IndexLink"/>
              </w:rPr>
              <w:t>131</w:t>
            </w:r>
          </w:hyperlink>
        </w:p>
        <w:p>
          <w:pPr>
            <w:pStyle w:val="Contents4"/>
            <w:tabs>
              <w:tab w:val="clear" w:pos="8176"/>
              <w:tab w:val="right" w:pos="9026" w:leader="dot"/>
            </w:tabs>
            <w:rPr/>
          </w:pPr>
          <w:hyperlink w:anchor="__RefHeading___Toc628221_139525021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28223_1395250215">
            <w:r>
              <w:rPr>
                <w:webHidden/>
                <w:rStyle w:val="IndexLink"/>
                <w:rtl w:val="true"/>
              </w:rPr>
              <w:t>الف</w:t>
            </w:r>
            <w:r>
              <w:rPr>
                <w:rStyle w:val="IndexLink"/>
                <w:rtl w:val="true"/>
              </w:rPr>
              <w:t xml:space="preserve">) </w:t>
            </w:r>
            <w:r>
              <w:rPr>
                <w:rStyle w:val="IndexLink"/>
                <w:rtl w:val="true"/>
              </w:rPr>
              <w:t>رویکرد اجتماعی</w:t>
            </w:r>
            <w:r>
              <w:rPr>
                <w:rStyle w:val="IndexLink"/>
                <w:rtl w:val="true"/>
              </w:rPr>
              <w:tab/>
            </w:r>
            <w:r>
              <w:rPr>
                <w:rStyle w:val="IndexLink"/>
              </w:rPr>
              <w:t>131</w:t>
            </w:r>
          </w:hyperlink>
        </w:p>
        <w:p>
          <w:pPr>
            <w:pStyle w:val="Contents4"/>
            <w:tabs>
              <w:tab w:val="clear" w:pos="8176"/>
              <w:tab w:val="right" w:pos="9026" w:leader="dot"/>
            </w:tabs>
            <w:rPr/>
          </w:pPr>
          <w:hyperlink w:anchor="__RefHeading___Toc628225_1395250215">
            <w:r>
              <w:rPr>
                <w:webHidden/>
                <w:rStyle w:val="IndexLink"/>
                <w:rtl w:val="true"/>
              </w:rPr>
              <w:t>ب</w:t>
            </w:r>
            <w:r>
              <w:rPr>
                <w:rStyle w:val="IndexLink"/>
                <w:rtl w:val="true"/>
              </w:rPr>
              <w:t xml:space="preserve">) </w:t>
            </w:r>
            <w:r>
              <w:rPr>
                <w:rStyle w:val="IndexLink"/>
                <w:rtl w:val="true"/>
              </w:rPr>
              <w:t>رویکرد مثبت</w:t>
            </w:r>
            <w:r>
              <w:rPr>
                <w:rStyle w:val="IndexLink"/>
                <w:rtl w:val="true"/>
              </w:rPr>
              <w:tab/>
            </w:r>
            <w:r>
              <w:rPr>
                <w:rStyle w:val="IndexLink"/>
              </w:rPr>
              <w:t>132</w:t>
            </w:r>
          </w:hyperlink>
        </w:p>
        <w:p>
          <w:pPr>
            <w:pStyle w:val="Contents5"/>
            <w:tabs>
              <w:tab w:val="clear" w:pos="7892"/>
              <w:tab w:val="right" w:pos="9026" w:leader="dot"/>
            </w:tabs>
            <w:rPr/>
          </w:pPr>
          <w:hyperlink w:anchor="__RefHeading___Toc628227_1395250215">
            <w:r>
              <w:rPr>
                <w:webHidden/>
                <w:rStyle w:val="IndexLink"/>
                <w:rtl w:val="true"/>
              </w:rPr>
              <w:t>اول</w:t>
            </w:r>
            <w:r>
              <w:rPr>
                <w:rStyle w:val="IndexLink"/>
                <w:rtl w:val="true"/>
              </w:rPr>
              <w:tab/>
            </w:r>
            <w:r>
              <w:rPr>
                <w:rStyle w:val="IndexLink"/>
              </w:rPr>
              <w:t>132</w:t>
            </w:r>
          </w:hyperlink>
        </w:p>
        <w:p>
          <w:pPr>
            <w:pStyle w:val="Contents5"/>
            <w:tabs>
              <w:tab w:val="clear" w:pos="7892"/>
              <w:tab w:val="right" w:pos="9026" w:leader="dot"/>
            </w:tabs>
            <w:rPr/>
          </w:pPr>
          <w:hyperlink w:anchor="__RefHeading___Toc628229_1395250215">
            <w:r>
              <w:rPr>
                <w:webHidden/>
                <w:rStyle w:val="IndexLink"/>
                <w:rtl w:val="true"/>
              </w:rPr>
              <w:t>دوم</w:t>
            </w:r>
            <w:r>
              <w:rPr>
                <w:rStyle w:val="IndexLink"/>
                <w:rtl w:val="true"/>
              </w:rPr>
              <w:tab/>
            </w:r>
            <w:r>
              <w:rPr>
                <w:rStyle w:val="IndexLink"/>
              </w:rPr>
              <w:t>133</w:t>
            </w:r>
          </w:hyperlink>
        </w:p>
        <w:p>
          <w:pPr>
            <w:pStyle w:val="Contents3"/>
            <w:tabs>
              <w:tab w:val="clear" w:pos="8459"/>
              <w:tab w:val="right" w:pos="9026" w:leader="dot"/>
            </w:tabs>
            <w:rPr/>
          </w:pPr>
          <w:hyperlink w:anchor="__RefHeading___Toc628231_1395250215">
            <w:r>
              <w:rPr>
                <w:webHidden/>
                <w:rStyle w:val="IndexLink"/>
                <w:rtl w:val="true"/>
              </w:rPr>
              <w:t>نتیجه گیری</w:t>
            </w:r>
            <w:r>
              <w:rPr>
                <w:rStyle w:val="IndexLink"/>
                <w:rtl w:val="true"/>
              </w:rPr>
              <w:tab/>
            </w:r>
            <w:r>
              <w:rPr>
                <w:rStyle w:val="IndexLink"/>
              </w:rPr>
              <w:t>134</w:t>
            </w:r>
          </w:hyperlink>
        </w:p>
        <w:p>
          <w:pPr>
            <w:pStyle w:val="Contents3"/>
            <w:tabs>
              <w:tab w:val="clear" w:pos="8459"/>
              <w:tab w:val="right" w:pos="9026" w:leader="dot"/>
            </w:tabs>
            <w:rPr/>
          </w:pPr>
          <w:hyperlink w:anchor="__RefHeading___Toc628233_1395250215">
            <w:r>
              <w:rPr>
                <w:webHidden/>
                <w:rStyle w:val="IndexLink"/>
                <w:rtl w:val="true"/>
              </w:rPr>
              <w:t>منابع</w:t>
            </w:r>
            <w:r>
              <w:rPr>
                <w:rStyle w:val="IndexLink"/>
                <w:rtl w:val="true"/>
              </w:rPr>
              <w:tab/>
            </w:r>
            <w:r>
              <w:rPr>
                <w:rStyle w:val="IndexLink"/>
              </w:rPr>
              <w:t>135</w:t>
            </w:r>
          </w:hyperlink>
        </w:p>
        <w:p>
          <w:pPr>
            <w:pStyle w:val="Contents2"/>
            <w:tabs>
              <w:tab w:val="clear" w:pos="8743"/>
              <w:tab w:val="right" w:pos="9026" w:leader="dot"/>
            </w:tabs>
            <w:rPr/>
          </w:pPr>
          <w:hyperlink w:anchor="__RefHeading___Toc628235_1395250215">
            <w:r>
              <w:rPr>
                <w:webHidden/>
                <w:rStyle w:val="IndexLink"/>
                <w:rtl w:val="true"/>
              </w:rPr>
              <w:t>چکیده عربی مقالات</w:t>
            </w:r>
            <w:r>
              <w:rPr>
                <w:rStyle w:val="IndexLink"/>
                <w:rtl w:val="true"/>
              </w:rPr>
              <w:tab/>
            </w:r>
            <w:r>
              <w:rPr>
                <w:rStyle w:val="IndexLink"/>
              </w:rPr>
              <w:t>140</w:t>
            </w:r>
          </w:hyperlink>
        </w:p>
        <w:p>
          <w:pPr>
            <w:pStyle w:val="Contents2"/>
            <w:tabs>
              <w:tab w:val="clear" w:pos="8743"/>
              <w:tab w:val="right" w:pos="9026" w:leader="dot"/>
            </w:tabs>
            <w:rPr/>
          </w:pPr>
          <w:hyperlink w:anchor="__RefHeading___Toc628237_1395250215">
            <w:r>
              <w:rPr>
                <w:webHidden/>
                <w:rStyle w:val="IndexLink"/>
                <w:rtl w:val="true"/>
              </w:rPr>
              <w:t>چکیده انگلیسی مقالات</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43_21630"/>
      <w:bookmarkStart w:id="1" w:name="pg2643_21630"/>
      <w:bookmarkEnd w:id="1"/>
    </w:p>
    <w:p>
      <w:pPr>
        <w:pStyle w:val="Heading2"/>
        <w:numPr>
          <w:ilvl w:val="1"/>
          <w:numId w:val="1"/>
        </w:numPr>
        <w:rPr/>
      </w:pPr>
      <w:bookmarkStart w:id="2" w:name="pg2643_21630"/>
      <w:bookmarkStart w:id="3" w:name="__RefHeading___Toc627835_1395250215"/>
      <w:bookmarkStart w:id="4" w:name="_Toc1"/>
      <w:bookmarkEnd w:id="2"/>
      <w:bookmarkEnd w:id="3"/>
      <w:r>
        <w:rPr>
          <w:rtl w:val="true"/>
        </w:rPr>
        <w:t>مشخصات فصلنامه</w:t>
      </w:r>
      <w:bookmarkEnd w:id="4"/>
    </w:p>
    <w:p>
      <w:pPr>
        <w:pStyle w:val="BookText"/>
        <w:rPr/>
      </w:pPr>
      <w:r>
        <w:rPr>
          <w:rFonts w:ascii="IRNazanin" w:hAnsi="IRNazanin" w:eastAsia="IRNazanin"/>
          <w:color w:val="111111"/>
          <w:sz w:val="28"/>
          <w:sz w:val="28"/>
          <w:szCs w:val="28"/>
          <w:rtl w:val="true"/>
          <w:lang w:bidi="fa-IR"/>
        </w:rPr>
        <w:t>فصلنامه علمی – پژوهشی</w:t>
      </w:r>
    </w:p>
    <w:p>
      <w:pPr>
        <w:pStyle w:val="BookText"/>
        <w:rPr/>
      </w:pP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 xml:space="preserve">سال دوم، شماره پنجم، تابستان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کلام اسلامی حوزه علمیه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صادقی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اشکوری</w:t>
      </w:r>
    </w:p>
    <w:p>
      <w:pPr>
        <w:pStyle w:val="BookText"/>
        <w:rPr/>
      </w:pPr>
      <w:r>
        <w:rPr>
          <w:rFonts w:ascii="IRNazanin" w:hAnsi="IRNazanin" w:eastAsia="IRNazanin"/>
          <w:color w:val="111111"/>
          <w:sz w:val="28"/>
          <w:sz w:val="28"/>
          <w:szCs w:val="28"/>
          <w:rtl w:val="true"/>
          <w:lang w:bidi="fa-IR"/>
        </w:rPr>
        <w:t xml:space="preserve">اعضای هیأت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برنجکار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مؤسسه پژوهشی حکمت و فلسفه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ابوالفضل ساجدی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دانشیار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پژوهشگاه علوم و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چکیده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مسجدی</w:t>
      </w:r>
    </w:p>
    <w:p>
      <w:pPr>
        <w:pStyle w:val="BookText"/>
        <w:rPr/>
      </w:pPr>
      <w:r>
        <w:rPr>
          <w:rFonts w:ascii="IRNazanin" w:hAnsi="IRNazanin" w:eastAsia="IRNazanin"/>
          <w:color w:val="111111"/>
          <w:sz w:val="28"/>
          <w:sz w:val="28"/>
          <w:szCs w:val="28"/>
          <w:rtl w:val="true"/>
          <w:lang w:bidi="fa-IR"/>
        </w:rPr>
        <w:t>مترجم چکیده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رضوی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باباگل زاده</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نوروزی</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بلوار جمهوری اسلامی، کوچه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فرعی اول سمت چپ،</w:t>
      </w:r>
    </w:p>
    <w:p>
      <w:pPr>
        <w:pStyle w:val="BookText"/>
        <w:rPr/>
      </w:pPr>
      <w:r>
        <w:rPr>
          <w:rFonts w:ascii="IRNazanin" w:hAnsi="IRNazanin" w:eastAsia="IRNazanin"/>
          <w:color w:val="111111"/>
          <w:sz w:val="28"/>
          <w:sz w:val="28"/>
          <w:szCs w:val="28"/>
          <w:rtl w:val="true"/>
          <w:lang w:bidi="fa-IR"/>
        </w:rPr>
        <w:t>ساختمان انجمن های علمی حوزه، انجمن کلام اسلامی حوزه علمیه</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37165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32928546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پیامک</w:t>
      </w:r>
      <w:r>
        <w:rPr>
          <w:rFonts w:eastAsia="IRNazanin" w:cs="IRNazanin"/>
          <w:color w:val="111111"/>
          <w:sz w:val="28"/>
          <w:szCs w:val="28"/>
          <w:rtl w:val="true"/>
          <w:lang w:bidi="fa-IR"/>
        </w:rPr>
        <w:t xml:space="preserve">: </w:t>
      </w:r>
      <w:r>
        <w:rPr>
          <w:rFonts w:eastAsia="IRNazanin" w:cs="IRNazanin"/>
          <w:color w:val="111111"/>
          <w:sz w:val="28"/>
          <w:szCs w:val="28"/>
          <w:lang w:bidi="fa-IR"/>
        </w:rPr>
        <w:t>30007227007705</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www.tkalam.ir www.ikq.ir</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Info@ikq.ir / Info@tkalam.ir</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7837_1395250215"/>
      <w:bookmarkStart w:id="6" w:name="_Toc2"/>
      <w:bookmarkEnd w:id="5"/>
      <w:r>
        <w:rPr>
          <w:rtl w:val="true"/>
        </w:rPr>
        <w:t>رتبه علمی فصلنامه</w:t>
      </w:r>
      <w:bookmarkEnd w:id="6"/>
    </w:p>
    <w:p>
      <w:pPr>
        <w:pStyle w:val="BookText"/>
        <w:rPr/>
      </w:pPr>
      <w:r>
        <w:rPr>
          <w:rFonts w:ascii="IRNazanin" w:hAnsi="IRNazanin" w:eastAsia="IRNazanin"/>
          <w:color w:val="111111"/>
          <w:sz w:val="28"/>
          <w:sz w:val="28"/>
          <w:szCs w:val="28"/>
          <w:rtl w:val="true"/>
          <w:lang w:bidi="fa-IR"/>
        </w:rPr>
        <w:t xml:space="preserve">به استناد مصوبه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24/6/1387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و باتوجه به ارزیابی کمیسیون نشریات علمی حوزه، شورای اعطای مجوزها و امتیازات علمی، در جلسـه مورخ </w:t>
      </w:r>
      <w:r>
        <w:rPr>
          <w:rFonts w:eastAsia="IRNazanin" w:cs="IRNazanin"/>
          <w:color w:val="111111"/>
          <w:sz w:val="28"/>
          <w:szCs w:val="28"/>
          <w:lang w:bidi="fa-IR"/>
        </w:rPr>
        <w:t>28/3/1392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رتبـه علمی – پژوهشـی بـه</w:t>
      </w:r>
    </w:p>
    <w:p>
      <w:pPr>
        <w:pStyle w:val="BookText"/>
        <w:rPr/>
      </w:pPr>
      <w:r>
        <w:rPr>
          <w:rFonts w:ascii="IRNazanin" w:hAnsi="IRNazanin" w:eastAsia="IRNazanin"/>
          <w:color w:val="111111"/>
          <w:sz w:val="28"/>
          <w:sz w:val="28"/>
          <w:szCs w:val="28"/>
          <w:rtl w:val="true"/>
          <w:lang w:bidi="fa-IR"/>
        </w:rPr>
        <w:t>نشریه تحقیقات کلامی اعطا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ماده واحده مصوبه جلسه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مصوبات شورای عالی حوزه علمیه قم در خصوص اعطای امتیاز علمی به مجلات علمی، تأسیس انجمن های علمی، قطب های علمی و واحدهای پژوهشی و همچنین امتیازات کرسی های نظریه پردازی، نقد و مناظره و آزاداندیشی در حوزه، دارای اعتبار رسمی بوده و موجد امتیازات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قانونی در دانشگاه ها و حوزه های علمیه می باشد</w:t>
      </w:r>
      <w:r>
        <w:rPr>
          <w:rFonts w:eastAsia="IRNazanin" w:cs="IRNazanin"/>
          <w:color w:val="111111"/>
          <w:sz w:val="28"/>
          <w:szCs w:val="28"/>
          <w:rtl w:val="true"/>
          <w:lang w:bidi="fa-IR"/>
        </w:rPr>
        <w:t>.</w:t>
      </w:r>
      <w:bookmarkStart w:id="7" w:name="pg2643_21634"/>
    </w:p>
    <w:p>
      <w:pPr>
        <w:pStyle w:val="Heading2"/>
        <w:numPr>
          <w:ilvl w:val="1"/>
          <w:numId w:val="1"/>
        </w:numPr>
        <w:rPr/>
      </w:pPr>
      <w:bookmarkStart w:id="8" w:name="__RefHeading___Toc627839_1395250215"/>
      <w:bookmarkStart w:id="9" w:name="_Toc3"/>
      <w:bookmarkEnd w:id="7"/>
      <w:bookmarkEnd w:id="8"/>
      <w:r>
        <w:rPr>
          <w:rtl w:val="true"/>
        </w:rPr>
        <w:t>راهنمای نویسندگان</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مقاله باید در راستای اهداف فصلنامه و مرتبط با موضوعات علم کلام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نباید پیش تر در نشریات داخلی چاپ شده باشد و یا هم زمان برای استفاده به سایر مجلات علمی ارائه شده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بیان محتوای مقاله، نکات علمی و ادبی زیر حتی المقدور رعایت شده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علمی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ساختار منطقی و مطلوب، سطح علمی مناسب و فصل بندی صحیح مطالب؛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نظرات اساسی مطرح در مسأله، ذکر دیدگاه مخالفان، تجزیه و تحلیل و نقد صحیح و کامل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گویی به پرسش ها و شبهات مطرح 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در ساختار، محتوا یا روش ارائه؛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روش و محتوا با عنوان مقاله و ارتباط منطقی بین مباحث؛</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رویکرد کلامی و دفاع از آموزه های اعتقادی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استنادات معتبر و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 در نقل قول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ادبی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قواعد دستوری، ادبی و نگارشی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مقدمه، ذکر چکیده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نگارش پی نوشته ها، ذکر فهرست منابع؛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اطناب و ایجاز بی مورد؛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شیوایی در قلم؛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حجم مقاله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ترجمه شده، در صورت دارابودن نکات بدیع و تازه، با ذکر مشخصات منبع اصلی و مشخصات کامل نویسنده آن امکان چاپ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متن اصلی به همراه ترجمه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مآخذ باید به شیوه درج سند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خانوادگی، سال انتشار، شماره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ذکر اسناد در پاورقی خودداری شود، اما بیان توضیحات ضروری به تشخیص نویسنده در پاورقی مانعی ندارد؛</w:t>
      </w:r>
    </w:p>
    <w:p>
      <w:pPr>
        <w:pStyle w:val="BookText"/>
        <w:rPr/>
      </w:pPr>
      <w:r>
        <w:rPr>
          <w:rFonts w:ascii="IRNazanin" w:hAnsi="IRNazanin" w:eastAsia="IRNazanin"/>
          <w:color w:val="111111"/>
          <w:sz w:val="28"/>
          <w:sz w:val="28"/>
          <w:szCs w:val="28"/>
          <w:rtl w:val="true"/>
          <w:lang w:bidi="fa-IR"/>
        </w:rPr>
        <w:t>فهرست منابع در انتهای مقاله و به صورت زیر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مترجم یا مصحح، ناشر؛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مترجم، نام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شماره، شماره صفحات؛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به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نشانی سایت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مقالات صرفاً از طریق سایت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خواهد شد که پس از احراز شرایط مذکور، برای بررسی به هیأت تحریریه فصلنامه ارجاع می شود و در صورت تأیید نهایی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مجله هیچ گونه تعهدی نسبت به بازگرداندن مقالات نخواهد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در ویرایش مقالات یا تلخیص آنها به گونه ای که در محتوای علمی آنها دگرگونی ایجاد نشود، آزاد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باید با فرمت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فونت </w:t>
      </w:r>
      <w:r>
        <w:rPr>
          <w:rFonts w:eastAsia="Times New Roman" w:cs="Times New Roman" w:ascii="Times New Roman" w:hAnsi="Times New Roman"/>
          <w:color w:val="111111"/>
          <w:sz w:val="28"/>
          <w:szCs w:val="28"/>
          <w:lang w:val="en-US" w:bidi="en-US"/>
        </w:rPr>
        <w:t>B 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اندازه قلم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حکم کارگزینی هیأت علمی برای درج رتبه علمی نویسندگان، ضروری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یا نویسندگان مقاله باید نشانی، تلفن همراه و پست الکترونیک خود را برای ارتباط بعدی به مجله اعلام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درصورتی که مقاله بیش از یک نویسنده داشته باشد، همه آن ها می بایست مسئولیت مقاله را کتباً بپذیرند و به مجله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نویسنده ها چند نفر باشند بعد از نام اولین نویسنده و بعد از 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 تاریخ چاپ، فقط سال قمری مانند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در میلادی و شمسی نیازی به درج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سال نیست</w:t>
      </w:r>
      <w:r>
        <w:rPr>
          <w:rFonts w:eastAsia="IRNazanin" w:cs="IRNazanin"/>
          <w:color w:val="111111"/>
          <w:sz w:val="28"/>
          <w:szCs w:val="28"/>
          <w:rtl w:val="true"/>
          <w:lang w:bidi="fa-IR"/>
        </w:rPr>
        <w:t>.</w:t>
      </w:r>
      <w:bookmarkStart w:id="10" w:name="pg2643_21636"/>
    </w:p>
    <w:p>
      <w:pPr>
        <w:pStyle w:val="Heading2"/>
        <w:numPr>
          <w:ilvl w:val="1"/>
          <w:numId w:val="1"/>
        </w:numPr>
        <w:rPr/>
      </w:pPr>
      <w:bookmarkStart w:id="11" w:name="__RefHeading___Toc627841_1395250215"/>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کاربستِ عقل عملی در استنباط آموزه‌های کلامی با تکیه بر متون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برنجکار، مهدی نصرتیان اهور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مقایسه دیدگاه ملاصدرا و علامه طباطبائی درباره اراده الهی و ارزیابی دو دیدگاه بر اساس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محمدعلی دولت، موسی ملایری</w:t>
      </w:r>
    </w:p>
    <w:p>
      <w:pPr>
        <w:pStyle w:val="BookText"/>
        <w:rPr/>
      </w:pPr>
      <w:r>
        <w:rPr>
          <w:rFonts w:ascii="IRNazanin" w:hAnsi="IRNazanin" w:eastAsia="IRNazanin"/>
          <w:color w:val="111111"/>
          <w:sz w:val="28"/>
          <w:sz w:val="28"/>
          <w:szCs w:val="28"/>
          <w:rtl w:val="true"/>
          <w:lang w:bidi="fa-IR"/>
        </w:rPr>
        <w:t xml:space="preserve">نقشِ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آلام ابتدایی در رهیافت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سروریان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امامت و مسئله بداء در اسماعیلبن‌جعفر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مثل ما بدا فی اسماعیل</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مهدی فرمانیان، احسان جندقی</w:t>
      </w:r>
    </w:p>
    <w:p>
      <w:pPr>
        <w:pStyle w:val="BookText"/>
        <w:rPr/>
      </w:pPr>
      <w:r>
        <w:rPr>
          <w:rFonts w:ascii="IRNazanin" w:hAnsi="IRNazanin" w:eastAsia="IRNazanin"/>
          <w:color w:val="111111"/>
          <w:sz w:val="28"/>
          <w:sz w:val="28"/>
          <w:szCs w:val="28"/>
          <w:rtl w:val="true"/>
          <w:lang w:bidi="fa-IR"/>
        </w:rPr>
        <w:t xml:space="preserve">تبیین و نقد ادله قرآنی متکلمان در استطاعت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رحیمی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موارد استدلال تفسیری ـ کلامی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فانی، محمدحسین رجبی </w:t>
      </w:r>
      <w:r>
        <w:rPr>
          <w:rFonts w:eastAsia="IRNazanin" w:cs="IRNazanin"/>
          <w:color w:val="111111"/>
          <w:sz w:val="28"/>
          <w:szCs w:val="28"/>
          <w:lang w:bidi="fa-IR"/>
        </w:rPr>
        <w:t>93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خاستگاه و روی‌کرد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الله شاکری زواردهی، مرضیه عبدلی مسینان </w:t>
      </w:r>
      <w:r>
        <w:rPr>
          <w:rFonts w:eastAsia="IRNazanin" w:cs="IRNazanin"/>
          <w:color w:val="111111"/>
          <w:sz w:val="28"/>
          <w:szCs w:val="28"/>
          <w:lang w:bidi="fa-IR"/>
        </w:rPr>
        <w:t>109</w:t>
      </w:r>
      <w:bookmarkStart w:id="13" w:name="pg2643_21640"/>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627843_1395250215"/>
      <w:bookmarkStart w:id="15" w:name="_Toc5"/>
      <w:bookmarkEnd w:id="14"/>
      <w:r>
        <w:rPr>
          <w:rtl w:val="true"/>
        </w:rPr>
        <w:t>کاربستِ عقل عملی در استنباط آموزه‌های کلامی با تکیه بر متون کلامی</w:t>
      </w:r>
      <w:bookmarkEnd w:id="15"/>
    </w:p>
    <w:p>
      <w:pPr>
        <w:pStyle w:val="Heading3"/>
        <w:numPr>
          <w:ilvl w:val="2"/>
          <w:numId w:val="1"/>
        </w:numPr>
        <w:rPr/>
      </w:pPr>
      <w:bookmarkStart w:id="16" w:name="__RefHeading___Toc627845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رضا برنجکار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مهدی نصرتیان اهور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1392/09/25</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1393/02/05</w:t>
      </w:r>
    </w:p>
    <w:p>
      <w:pPr>
        <w:pStyle w:val="Heading3"/>
        <w:numPr>
          <w:ilvl w:val="2"/>
          <w:numId w:val="1"/>
        </w:numPr>
        <w:rPr/>
      </w:pPr>
      <w:bookmarkStart w:id="18" w:name="__RefHeading___Toc627847_1395250215"/>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علم کلام از جمله علومی است که از هر دو منبعِ عقل و نقل، در استنباط آموزه‌های اعتقادی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در حوزه کلام، کارکردهای گوناگونی همچون کارکردِ نظری، عملی، استنباطی و دفاعی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حاضر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کارکردهای عقل عملی در حوزه کلام، اثبات حسن و قبح افعال است که با توجه به آن، مسائل گوناگونی از آن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نمونه‌هایی اشاره می‌شود که با قاعده حسن و قبح عقلی اثبات شده‌اند؛ هم‌چنین عقلِ عملی با تکیه بر قاعده لطف، دفع ضرر محتمل، وجوب شکر منعم و تعلیق الواجب علی الجائز، مسائل گوناگون کلامی را استخراج می‌کند</w:t>
      </w:r>
      <w:r>
        <w:rPr>
          <w:rFonts w:eastAsia="IRNazanin" w:cs="IRNazanin"/>
          <w:color w:val="111111"/>
          <w:sz w:val="28"/>
          <w:szCs w:val="28"/>
          <w:rtl w:val="true"/>
          <w:lang w:bidi="fa-IR"/>
        </w:rPr>
        <w:t>.</w:t>
      </w:r>
    </w:p>
    <w:p>
      <w:pPr>
        <w:pStyle w:val="Heading3"/>
        <w:numPr>
          <w:ilvl w:val="2"/>
          <w:numId w:val="1"/>
        </w:numPr>
        <w:rPr/>
      </w:pPr>
      <w:bookmarkStart w:id="20" w:name="__RefHeading___Toc627849_1395250215"/>
      <w:bookmarkStart w:id="21" w:name="_Toc8"/>
      <w:bookmarkEnd w:id="20"/>
      <w:r>
        <w:rPr>
          <w:rtl w:val="true"/>
        </w:rPr>
        <w:t>واژگان کلیدی</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عقلِ عملی، قاعده لطف، حسن و قبح عقلی</w:t>
      </w:r>
      <w:r>
        <w:rPr>
          <w:rFonts w:eastAsia="IRNazanin" w:cs="IRNazanin"/>
          <w:color w:val="111111"/>
          <w:sz w:val="28"/>
          <w:szCs w:val="28"/>
          <w:rtl w:val="true"/>
          <w:lang w:bidi="fa-IR"/>
        </w:rPr>
        <w:t>.</w:t>
      </w:r>
      <w:bookmarkStart w:id="22" w:name="pg2643_21642"/>
    </w:p>
    <w:p>
      <w:pPr>
        <w:pStyle w:val="BookText"/>
        <w:rPr/>
      </w:pPr>
      <w:bookmarkEnd w:id="2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 w:name="__RefHeading___Toc627851_1395250215"/>
      <w:bookmarkStart w:id="24" w:name="_Toc9"/>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کشف و استنباط گزاره‌های اعتقادی مانند سایر گزاره‌ها، در گرو توجه به منابع و روش‌های دست‌یابی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درستیِ هر استنباطی، به صحت و درستی منابع معرفت‌بخش و روش آن استنباط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دادن خطا در هر یک از منابع یا روش، موجب بروز اشتباه و پدید آمدن خلل در فرایند استنباط خواهد شد؛ به همین جهت، بحث از امکان معرفت‌بخش بودن منابع خاصّ استنباط کلامی و روش دست‌یابی به آن، امری گریزناپذیر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گزاره‌های به‌دست‌آمده در علم کلام، همگی از یک سنخ نیستند؛ برخی از آن‌ها جز از طریق عقل قابل وصول نیست، برخی دیگر فقط با توجه به منبع وحیانی قابل دست‌یابی‌اند و گونه‌ای دیگر از مسائل کلامی با هر دو منبع عقل و وحی قابل کشف و اثبات هستند؛ به عبارت دیگر، در استنباط مسائل کلامی، منبع و روش منحصر در عقل یا نقل نیست، بلکه به خصوصیت مسئله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مسائل، مثل اصل اثبات خدا صرفاً عقل منبع استنباط است، زیرا حجیت نقل، متأخر از این اصل است و نمی توان با نقل به اثبات توحید پرداخت؛ برخی دیگر از مسائل، مثل جزئیات معاد در حیطه عقل نیست و چاره‌ای جز تمسک به نقل وجود ندارد؛ و برخی از مسائل کلامی، مثل اصل معاد را می توان هم از روش عقلی و هم از روش نقلی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عملی، یکی از کارکردهای عقل در حیطه استنباط مسائل گوناگون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پرسش‌هایی که پیش‌روی این تحقیق وجود دارد، پرسش از جایگاه عقل عملی در استنباط کلامی است؛ عقل عملی به چه میزان از حجیت برخوردار است؟ هم‌چنین سؤال از روش‌های کاربست عقل عملی در استنباط مسائل مختلف کلامی، از جمله دغدغه‌های مهمّ این مقاله است؛ به راستی اگر حجیت عقل عملی را پذیرفتیم، با چه شیوه‌هایی می توانیم از آن استفاده کرده و به آموزه‌های اعتقادی دست پیدا کنیم؟ در کتب کلامی به چه میزان از این عقل عملی بهره برده شده است؟ چه مسائلی از علم کلام با تکیه بر عقل عملی استخراج شده‌اند؟ این مسائل، بیان‌گرِ پرسش‌های بنیادین در زمینه کارکرد عملیِ عقل در علم کلام است و سعی بر آن است تا با توجه به این پرسش‌ها، به چینش مباحث اقدام شود</w:t>
      </w:r>
      <w:r>
        <w:rPr>
          <w:rFonts w:eastAsia="IRNazanin" w:cs="IRNazanin"/>
          <w:color w:val="111111"/>
          <w:sz w:val="28"/>
          <w:szCs w:val="28"/>
          <w:rtl w:val="true"/>
          <w:lang w:bidi="fa-IR"/>
        </w:rPr>
        <w:t>.</w:t>
      </w:r>
    </w:p>
    <w:p>
      <w:pPr>
        <w:pStyle w:val="Heading3"/>
        <w:numPr>
          <w:ilvl w:val="2"/>
          <w:numId w:val="1"/>
        </w:numPr>
        <w:rPr/>
      </w:pPr>
      <w:bookmarkStart w:id="25" w:name="__RefHeading___Toc627853_1395250215"/>
      <w:bookmarkStart w:id="26" w:name="_Toc10"/>
      <w:bookmarkEnd w:id="25"/>
      <w:r>
        <w:rPr>
          <w:rtl w:val="true"/>
        </w:rPr>
        <w:t>مفهوم شناسی</w:t>
      </w:r>
      <w:bookmarkEnd w:id="2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لغت‌پژوهان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گوناگونی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و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bookmarkStart w:id="27" w:name="pg2643_21644"/>
    </w:p>
    <w:p>
      <w:pPr>
        <w:pStyle w:val="BookText"/>
        <w:rPr/>
      </w:pPr>
      <w:bookmarkEnd w:id="27"/>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لباس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حفظ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ضدّ حماقت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قوه مستعد برای پذیرش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برآمده از قوه پذیرنده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همان‌گونه که ابن‌فارس و برخی لغت‌پژوهان دیگر بدان تصریح کرده‌اند، عقل به معنای منع و نهی است؛ قوه عقل نیز قوه‌ای است که از انجام کارهای ناپسند و گفتارِ نابجا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منعی این است که خوب و بد را بشناسد تا بتواند از انجام کار ناپسند جلوگیری کند، وگرنه بدون شناخت این امور، هیچ‌گونه منع به ترک کارِ زشت و امر به انجام کارِ خوب از عقل صادر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عقل به معنای منع است و به دلالت التزامی نیز بر شناخت و فهم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معنای لغوی می توان علتِ نام‌گذاری عقل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کشف کرد، همان‌گونه که برخی نیز بدان تصریح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انسان را از افتادن در مهلکه بازمی‌دارد و منع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عقل، معانی اصطلاحیِ گوناگونی نیز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مقصود ما از عقل در این نوشتار که با برداشت از متون دینی هم سازگار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نوری که با آن، نفسِ حقایق را ادراک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3"/>
        <w:numPr>
          <w:ilvl w:val="2"/>
          <w:numId w:val="1"/>
        </w:numPr>
        <w:rPr/>
      </w:pPr>
      <w:bookmarkStart w:id="28" w:name="__RefHeading___Toc627855_1395250215"/>
      <w:bookmarkStart w:id="29" w:name="_Toc11"/>
      <w:bookmarkEnd w:id="28"/>
      <w:r>
        <w:rPr>
          <w:rtl w:val="true"/>
        </w:rPr>
        <w:t>اقسام عقل</w:t>
      </w:r>
      <w:bookmarkEnd w:id="29"/>
    </w:p>
    <w:p>
      <w:pPr>
        <w:pStyle w:val="BookText"/>
        <w:rPr/>
      </w:pPr>
      <w:r>
        <w:rPr>
          <w:rFonts w:ascii="IRNazanin" w:hAnsi="IRNazanin" w:eastAsia="IRNazanin"/>
          <w:color w:val="111111"/>
          <w:sz w:val="28"/>
          <w:sz w:val="28"/>
          <w:szCs w:val="28"/>
          <w:rtl w:val="true"/>
          <w:lang w:bidi="fa-IR"/>
        </w:rPr>
        <w:t>برای عقل به لحاظ‌های گوناگون، تقسیمات متعددی ذکر شده است؛ مثل تقسیم به لحاظ وجودشناختی، تقسیم به لحاظ معقول آن، تقسیم به لحاظ عرصه حضور و تقسیم به لحاظ کارکرد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جهت رعایت تناسب با محتوای نوشتار، تنها به تقسیم عقل از لحاظ کارکرد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دو گونه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استقلالی و کارکرد 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کارکرد استقلالیِ عقل آن است که عقل، منبع مستقل معرفت بشری تلقی شود و توان اعطای معرفت به بشر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را می توان فعالیت برون‌منبعی عقل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کارکرد آلیِ عقل نیز این است که عقل به عنوان ابزاری در اختیار منبع دیگری همچون وحی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را می توان فعالیت درون‌منبعیِ عقل قلمداد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کارکرد استقلالیِ عقل می توان به سه فعالیت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نظری، کارکرد عملی و کارکرد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کارکرد نظریِ عقل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عقل به کشف حقایق</w:t>
      </w:r>
      <w:bookmarkStart w:id="30" w:name="pg2643_21646"/>
    </w:p>
    <w:p>
      <w:pPr>
        <w:pStyle w:val="BookText"/>
        <w:rPr/>
      </w:pPr>
      <w:bookmarkEnd w:id="30"/>
      <w:r>
        <w:rPr>
          <w:rFonts w:ascii="IRNazanin" w:hAnsi="IRNazanin" w:eastAsia="IRNazanin"/>
          <w:color w:val="111111"/>
          <w:sz w:val="28"/>
          <w:sz w:val="28"/>
          <w:szCs w:val="28"/>
          <w:rtl w:val="true"/>
          <w:lang w:bidi="fa-IR"/>
        </w:rPr>
        <w:t>نظری، واقعیت‌ها، هست‌ها و نیست‌ها،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انسان‌شناسی و جهان‌شناسی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کارکرد عملی عقل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بایدها و نبایدها؛ البته در حوزه علم کلام، مقصود همان درک حسن و قبح ذاتیِ افعال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انسان را به تدبیر و اصلاح امور زندگی و سامان‌بخشی به معاش دنیوی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عقل عملی، قوه ادراکی است یا قوه تحریک‌کننده به سوی عمل، دیدگاه‌های گوناگونی ارائه شده است، ولی به نظر می رسد مطابق برداشت مورد تأییدِ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عملی ابزاری برای درک حسن و قبح افعال است؛ یعنی جنبه ادراکی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میان عقل نظری و عقل عملی، تفاوت ماهوی وجود ندارد و فقط مدرَکات آن‌ها متفاوت است؛ مدرکاتِ عقل نظری، اموری از جنس هستی و نیستی است و مدرکاتِ عقل عملی، اموری از جنس باید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کارکرد غیراستقلالیِ عقل نیز می توان به کارکرد استنباطی و کارکرد دفاعی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کارکرد استنباطیِ عقل این است که عقل در محدوده وحی به فهم منظور متکلم، فهم منطوق و مفهوم، فهم مقدمات و لوازم نص، مقایسه عام با خاص، مطلق و مقید و جمع‌بندی میان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مباحث الفاظ علم اصول فقه را می توان از جمله کارکردهای استنباطیِ عقل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کارکرد دفاعیِ عقل این است که عقل به دفاع از دین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به معنای عامّ کلمه، اقداماتی است که متکلم پس از استنباط آموزه‌های دینی و در مواجهه با مخاطب جهت زمینه‌سازی برای اعتقاد او به دین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تنظیم، اثبات، ردّ شبهات و ردّ مکاتب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31" w:name="__RefHeading___Toc627857_1395250215"/>
      <w:bookmarkStart w:id="32" w:name="_Toc12"/>
      <w:bookmarkEnd w:id="31"/>
      <w:r>
        <w:rPr>
          <w:rtl w:val="true"/>
        </w:rPr>
        <w:t>حجیت عقل عملی</w:t>
      </w:r>
      <w:bookmarkEnd w:id="3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اختلافات اساسی میان متکلمان اسلامی، بحث از حکم عقل عملی است؛ آیا عقل می تواند درباره انجام دادن یا ترک کردن فعلی، حکم و درکی داشته باشد یا این حکم پس از دریافت نظرِ دین صورت می گیرد و عقلِ مستقل از شرع، هیچ حکم و ادراکی نخواهد داشت؟ آیا دریافت عقلی، وابسته به اطلاع و آگاهی از نظر شرع است و یا قطع نظر از شرع نیز می تواند خوبی یا بدی امری را کشف کند و به آن دستور دهد؟ آیا پشتوانه قواعدی همچون قاعده حسن و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عدلیه آن را حسن و قبح عقلی می دانند و اشاعره حسن و قبح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ضرر</w:t>
      </w:r>
    </w:p>
    <w:p>
      <w:pPr>
        <w:pStyle w:val="BookText"/>
        <w:rPr/>
      </w:pPr>
      <w:r>
        <w:rPr>
          <w:rFonts w:ascii="IRNazanin" w:hAnsi="IRNazanin" w:eastAsia="IRNazanin"/>
          <w:color w:val="111111"/>
          <w:sz w:val="28"/>
          <w:sz w:val="28"/>
          <w:szCs w:val="28"/>
          <w:rtl w:val="true"/>
          <w:lang w:bidi="fa-IR"/>
        </w:rPr>
        <w:t>محتمل، وجوب شکر منعم، تکلیف مالایطلاق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 ادراک عقلی است و یا نظر و حکم شرع؟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عقل است که به پشتیبانی از چنین قواعدی برمی خیزد، درحالی که اشاعره و اهل حدیث شرع را پشتوانه این امور معرفی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عدلیه معتقد است، چگونه می توان حسن و قبح را شرعی دانست، در حالی که حجیت خودِ شرع وابسته به عقل و حکم عقل عملی است؟ زیرا مردم در غالب موارد، درستیِ گفتار پیامبران را با معجزه کشف می کنند و در صورتی که فرد مدعیِ نبوت بتواند معجزه ارائه دهد، مردم به گفتار وی ایمان می آورند و او را در مدعایش راست‌گو تلقی می کنند؛ در حالی که دلالت معجزه بر صدق گفتار پیامبران، وابسته به صفت حکمت الهی است؛ یعنی اگر برای خداوند، صفت حکمت الهی ثابت شد، این صفت اقتضا می کند که خداوند معجزه را به دستِ فرد دروغ‌گو ندهد تا مردم فریب وی را بخورند و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چنین معجزه‌ای را به فرد دروغ‌گو بدهد، عقل چنین عملی را قبح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 گویند رابطه معجزه و صدق پیامبران، تلازم منطقی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اشکالی که به مبنای اشاعره وارد می شود، گاه به رخ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معتقدند، لازمه پذیرش مبنای اشاعره در شرعی بودن حسن و قبح، تن دادن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خود به این اشکال متوجه بوده و خواسته‌اند با فرق‌گذاری میان مقام ثبوت و اثبات، اشکال مذکور را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در مقام ثبوت، ارسالِ رسول متوقف بر آن است که خدایی وجود داشته باشد که عالم، قادر و مختار باشد و روی‌گردان از افعال قبیح و انجام‌دهنده افعال خوب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وقتی اراده کند بندگانش را هدایت کند، دست به ارسال رسل می زند؛ پس ارسال پیامبران برای بندگان، متوقف بر مبحث توحید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اثبات و علم لازم نیست چنین چینشی لحاظ شود، بلکه نبی می تواند با آوردن معجزه، به اثاره عقول مردم</w:t>
      </w:r>
    </w:p>
    <w:p>
      <w:pPr>
        <w:pStyle w:val="BookText"/>
        <w:rPr/>
      </w:pPr>
      <w:r>
        <w:rPr>
          <w:rFonts w:ascii="IRNazanin" w:hAnsi="IRNazanin" w:eastAsia="IRNazanin"/>
          <w:color w:val="111111"/>
          <w:sz w:val="28"/>
          <w:sz w:val="28"/>
          <w:szCs w:val="28"/>
          <w:rtl w:val="true"/>
          <w:lang w:bidi="fa-IR"/>
        </w:rPr>
        <w:t>دست بزند و عقول جامعه را در برابر خود خاضع ساخته و مطیع اوامر خود کند؛ سپس به</w:t>
      </w:r>
    </w:p>
    <w:p>
      <w:pPr>
        <w:pStyle w:val="BookText"/>
        <w:rPr/>
      </w:pPr>
      <w:r>
        <w:rPr>
          <w:rFonts w:ascii="IRNazanin" w:hAnsi="IRNazanin" w:eastAsia="IRNazanin"/>
          <w:color w:val="111111"/>
          <w:sz w:val="28"/>
          <w:sz w:val="28"/>
          <w:szCs w:val="28"/>
          <w:rtl w:val="true"/>
          <w:lang w:bidi="fa-IR"/>
        </w:rPr>
        <w:t>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است، و مردم نیز از وی بپذیرند و یا دستور بدهد در باب خداشناسی، نظر و استدلال را به کار بگیرید یا حسن و قبح را برای آنها تبیین کند و امور قبیح و حسن را برای آنها برشمارد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ابن‌الوزیر،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روشی است که اشاعره از آن سود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جسته‌اند</w:t>
      </w:r>
      <w:r>
        <w:rPr>
          <w:rFonts w:eastAsia="IRNazanin" w:cs="IRNazanin"/>
          <w:color w:val="111111"/>
          <w:sz w:val="28"/>
          <w:szCs w:val="28"/>
          <w:rtl w:val="true"/>
          <w:lang w:bidi="fa-IR"/>
        </w:rPr>
        <w:t>.</w:t>
      </w:r>
      <w:bookmarkStart w:id="33" w:name="pg2643_21650"/>
    </w:p>
    <w:p>
      <w:pPr>
        <w:pStyle w:val="BookText"/>
        <w:rPr/>
      </w:pPr>
      <w:bookmarkEnd w:id="33"/>
      <w:r>
        <w:rPr>
          <w:rFonts w:ascii="IRNazanin" w:hAnsi="IRNazanin" w:eastAsia="IRNazanin"/>
          <w:color w:val="111111"/>
          <w:sz w:val="28"/>
          <w:sz w:val="28"/>
          <w:szCs w:val="28"/>
          <w:rtl w:val="true"/>
          <w:lang w:bidi="fa-IR"/>
        </w:rPr>
        <w:t>پرسش اصلی در برابر پاسخ مذکور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سلیم و عقل فطری به چه دلیل در مقابل مدعیِ نبوت، که معجزه هم آورده، خاضع شده است؟ آیا این خضوعِ آن‌ها، ناشی</w:t>
      </w:r>
    </w:p>
    <w:p>
      <w:pPr>
        <w:pStyle w:val="BookText"/>
        <w:rPr/>
      </w:pPr>
      <w:r>
        <w:rPr>
          <w:rFonts w:ascii="IRNazanin" w:hAnsi="IRNazanin" w:eastAsia="IRNazanin"/>
          <w:color w:val="111111"/>
          <w:sz w:val="28"/>
          <w:sz w:val="28"/>
          <w:szCs w:val="28"/>
          <w:rtl w:val="true"/>
          <w:lang w:bidi="fa-IR"/>
        </w:rPr>
        <w:t>از حکم عقل در مسئله حسن و قبح نیست؟ بدون عقلی بودن حسن و قبح، این خضوع حاصل نمی شود</w:t>
      </w:r>
      <w:r>
        <w:rPr>
          <w:rFonts w:eastAsia="IRNazanin" w:cs="IRNazanin"/>
          <w:color w:val="111111"/>
          <w:sz w:val="28"/>
          <w:szCs w:val="28"/>
          <w:rtl w:val="true"/>
          <w:lang w:bidi="fa-IR"/>
        </w:rPr>
        <w:t>.</w:t>
      </w:r>
    </w:p>
    <w:p>
      <w:pPr>
        <w:pStyle w:val="Heading3"/>
        <w:numPr>
          <w:ilvl w:val="2"/>
          <w:numId w:val="1"/>
        </w:numPr>
        <w:rPr/>
      </w:pPr>
      <w:bookmarkStart w:id="34" w:name="__RefHeading___Toc627859_1395250215"/>
      <w:bookmarkStart w:id="35" w:name="_Toc13"/>
      <w:bookmarkEnd w:id="34"/>
      <w:r>
        <w:rPr>
          <w:rtl w:val="true"/>
        </w:rPr>
        <w:t>قوائد عقل عملی در علم کلام</w:t>
      </w:r>
      <w:bookmarkEnd w:id="35"/>
    </w:p>
    <w:p>
      <w:pPr>
        <w:pStyle w:val="Heading4"/>
        <w:numPr>
          <w:ilvl w:val="3"/>
          <w:numId w:val="1"/>
        </w:numPr>
        <w:rPr/>
      </w:pPr>
      <w:bookmarkStart w:id="36" w:name="__RefHeading___Toc627861_1395250215"/>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پس از اشاره به حجیت عقل عملی، پرداختن به پاسخِ پرسش اصلیِ این تحقیق،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عقل عملی در استنباط آموزه‌های کلامی، از چه شیوه‌ها و روش‌هایی پیروی می کند؟ عقل عملی در قالب چه قواعدی به این امر مدد می رساند؟ اگر این شیوه‌ها و قواعد به کار بسته نشود، چه خلأهایی در علم کلام رخ می دهد؟ در تحقیق حاضر، سعی بر ارائه پاسخ با رویکرد جزئی‌نمونی به مخاطب است تا در سایه این نمونه‌های ارائه‌شده، هم‌سوئی و هم‌دلیِ مخاطب با نویسنده ایجاد شود و بتوان در فهم نقش و کارکرد عقل عملی در علم کلام، به نقطه مشترکی دست یافت</w:t>
      </w:r>
      <w:r>
        <w:rPr>
          <w:rFonts w:eastAsia="IRNazanin" w:cs="IRNazanin"/>
          <w:color w:val="111111"/>
          <w:sz w:val="28"/>
          <w:szCs w:val="28"/>
          <w:rtl w:val="true"/>
          <w:lang w:bidi="fa-IR"/>
        </w:rPr>
        <w:t>.</w:t>
      </w:r>
    </w:p>
    <w:p>
      <w:pPr>
        <w:pStyle w:val="Heading4"/>
        <w:numPr>
          <w:ilvl w:val="3"/>
          <w:numId w:val="1"/>
        </w:numPr>
        <w:rPr/>
      </w:pPr>
      <w:bookmarkStart w:id="38" w:name="__RefHeading___Toc627863_1395250215"/>
      <w:bookmarkStart w:id="39" w:name="_Toc15"/>
      <w:bookmarkEnd w:id="38"/>
      <w:r>
        <w:rPr/>
        <w:t>1</w:t>
      </w:r>
      <w:r>
        <w:rPr>
          <w:rtl w:val="true"/>
        </w:rPr>
        <w:t>.</w:t>
      </w:r>
      <w:r>
        <w:rPr>
          <w:rtl w:val="true"/>
        </w:rPr>
        <w:t>قاعده حسن و قبح</w:t>
      </w:r>
      <w:bookmarkEnd w:id="39"/>
    </w:p>
    <w:p>
      <w:pPr>
        <w:pStyle w:val="Heading5"/>
        <w:numPr>
          <w:ilvl w:val="4"/>
          <w:numId w:val="1"/>
        </w:numPr>
        <w:rPr/>
      </w:pPr>
      <w:bookmarkStart w:id="40" w:name="__RefHeading___Toc627865_1395250215"/>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چنان‌که گذشت، یکی از نکات اختلاف‌برانگیز در علم کلام، عقلی یا شرعی بودن حسن و قبح است؛ آیا عقل بشری می تواند خوبی یا بدی افعال را درک کند، یا باید این خوبی و بدی را از امر و نهی الهی کشف نمود؟ امامیه و معتزله معتقدند، عقل این توان را دارد که بدون مددگیری از امر و نهی شارع و قطع نظر از فاعلِ فعل، خوبی یا بدی افعال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مسائل گوناگونی در علم کلام اثبات می شود که در ادامه به برخی از این نمونه‌ها اشاره خواهد شد</w:t>
      </w:r>
      <w:r>
        <w:rPr>
          <w:rFonts w:eastAsia="IRNazanin" w:cs="IRNazanin"/>
          <w:color w:val="111111"/>
          <w:sz w:val="28"/>
          <w:szCs w:val="28"/>
          <w:rtl w:val="true"/>
          <w:lang w:bidi="fa-IR"/>
        </w:rPr>
        <w:t>.</w:t>
      </w:r>
    </w:p>
    <w:p>
      <w:pPr>
        <w:pStyle w:val="Heading5"/>
        <w:numPr>
          <w:ilvl w:val="4"/>
          <w:numId w:val="1"/>
        </w:numPr>
        <w:rPr/>
      </w:pPr>
      <w:bookmarkStart w:id="42" w:name="__RefHeading___Toc627867_1395250215"/>
      <w:bookmarkStart w:id="43" w:name="_Toc17"/>
      <w:bookmarkEnd w:id="42"/>
      <w:r>
        <w:rPr/>
        <w:t>1-1</w:t>
      </w:r>
      <w:r>
        <w:rPr>
          <w:rtl w:val="true"/>
        </w:rPr>
        <w:t xml:space="preserve"> </w:t>
      </w:r>
      <w:r>
        <w:rPr>
          <w:rtl w:val="true"/>
        </w:rPr>
        <w:t>قاعده حسن و قبح</w:t>
      </w:r>
      <w:bookmarkEnd w:id="4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پرسش‌هایی که برای افراد جست‌وجوگر در علم کلام رخ می دهد، سؤال از چراییِ ثواب و عقاب بر افعال خوب و بد است؛ به چه دلیل وقتی انسان کار خوبی انجام می دهد، به آن ثواب داده می شود و اگر فعل بدی را مرتکب شد، به آن عقاب تعلق می گیرد؟ پاسخِ این سؤال نیز با تکیه بر قاعده حسن و قبح عقلی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 و خوبیِ عملی برای عقل روشن شد، به طور بدیهی وجوب مدح بر آن عمل را درک می کند و انجام‌دهنده آن را مستحق مدح می داند و برعکس؛ وقتی بدی و زشتیِ عملی را درک می کند، به طور بدیهی استحقاق مذمت برای فاعل آن را درک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bookmarkStart w:id="44" w:name="pg2643_21653"/>
    </w:p>
    <w:p>
      <w:pPr>
        <w:pStyle w:val="Heading5"/>
        <w:numPr>
          <w:ilvl w:val="4"/>
          <w:numId w:val="1"/>
        </w:numPr>
        <w:rPr/>
      </w:pPr>
      <w:bookmarkStart w:id="45" w:name="__RefHeading___Toc627869_1395250215"/>
      <w:bookmarkStart w:id="46" w:name="_Toc18"/>
      <w:bookmarkEnd w:id="44"/>
      <w:bookmarkEnd w:id="45"/>
      <w:r>
        <w:rPr/>
        <w:t>1-2</w:t>
      </w:r>
      <w:r>
        <w:rPr>
          <w:rtl w:val="true"/>
        </w:rPr>
        <w:t xml:space="preserve"> </w:t>
      </w:r>
      <w:r>
        <w:rPr>
          <w:rtl w:val="true"/>
        </w:rPr>
        <w:t>ثواب و عقاب</w:t>
      </w:r>
      <w:bookmarkEnd w:id="46"/>
    </w:p>
    <w:p>
      <w:pPr>
        <w:pStyle w:val="BookText"/>
        <w:rPr/>
      </w:pPr>
      <w:r>
        <w:rPr>
          <w:rFonts w:ascii="IRNazanin" w:hAnsi="IRNazanin" w:eastAsia="IRNazanin"/>
          <w:color w:val="111111"/>
          <w:sz w:val="28"/>
          <w:sz w:val="28"/>
          <w:szCs w:val="28"/>
          <w:rtl w:val="true"/>
          <w:lang w:bidi="fa-IR"/>
        </w:rPr>
        <w:t>متکلمان اسلامی جملگی معتقدند، بر خداوند تعالی واجب است حقّ مظلوم را از ظالم بگیرد و در مقابلِ ظلمی که ظالم به مظلوم کرده است، برخی از منفعت‌های ظالم را به مظلوم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در عین این وحدت نظر، در ملاک حکم مذکور با یکدیگر اختلاف دیدگاه دارند؛ برخی ملاک آن را شرعی می دانند و عده‌ای نیز آن را شرعی و عقلی قلمداد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اندیشمندانی که ملاک را شرعی و عقلی قلمداد می کنند، به حسن و قبح عقلی متمسک شده و دست به اثبات این حکم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معتقدند، عقل حکم می کند اگر خداوند انتصاف نکند و حقّ مظلوم را از ظالم نگیرد، حق مظلوم را ضایع کرده است، زیرا این خداوند است که به ظالم، قدرت و تمکن داده است و در عین این‌که می توانست با اعمال قدرت خود، راه ظلمِ ظالم را بگیرد، چنین کاری نکرده است؛ پس اگر حقّ مظلوم را از ظالم نگیرد، حقّ مظلوم را ضایع کرده و چنین امری قبیح است و خداوند نیز مرتکب قبیح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ظلم‌هایی که به حیوانات از سوی حیوانات دیگر صورت می گیرد، مشابه همین بحث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معتقد است، مطابق جودِ خداوند بر وی واجب است به درد و رنج‌های حیوانات در دنیا عوض دهد، زیرا خداوند حیوانات را برای بهره‌مندی از سود خلق کرده است و اگر در مقابل درد و رنج، سود و بهره‌ای گیرشان نیاید، انگار آن‌ها برای زیان دیدن خلق شده‌اند و خداوند از چنین کاری منزه و پیراسته است، زیرا چنین کاری تنها از فرد ظالم و سفیه سر می زند، نه از خداوند عالم، کریم و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5"/>
        <w:numPr>
          <w:ilvl w:val="4"/>
          <w:numId w:val="1"/>
        </w:numPr>
        <w:rPr/>
      </w:pPr>
      <w:bookmarkStart w:id="47" w:name="__RefHeading___Toc627871_1395250215"/>
      <w:bookmarkStart w:id="48" w:name="_Toc19"/>
      <w:bookmarkEnd w:id="47"/>
      <w:r>
        <w:rPr/>
        <w:t>1-3</w:t>
      </w:r>
      <w:r>
        <w:rPr>
          <w:rtl w:val="true"/>
        </w:rPr>
        <w:t xml:space="preserve"> </w:t>
      </w:r>
      <w:r>
        <w:rPr>
          <w:rtl w:val="true"/>
        </w:rPr>
        <w:t>وجوب معرفت الله</w:t>
      </w:r>
      <w:bookmarkEnd w:id="48"/>
    </w:p>
    <w:p>
      <w:pPr>
        <w:pStyle w:val="BookText"/>
        <w:rPr/>
      </w:pPr>
      <w:r>
        <w:rPr>
          <w:rFonts w:ascii="IRNazanin" w:hAnsi="IRNazanin" w:eastAsia="IRNazanin"/>
          <w:color w:val="111111"/>
          <w:sz w:val="28"/>
          <w:sz w:val="28"/>
          <w:szCs w:val="28"/>
          <w:rtl w:val="true"/>
          <w:lang w:bidi="fa-IR"/>
        </w:rPr>
        <w:t>در وجوب عقلی یا شرعیِ معرفت‌الله، میان عدلیه و اشاعره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معتقدند، شرع حکم می کند به لزوم شناخت خداوند، ولی عدلیه معتقد است این لزوم از ناحیه ادراک عقلی است و اگر عقل در این جهت نتواند حکم و ادراک مستقلی داشته باشد، شرع نیز نمی تواند به چنین فعلی دستور دهد، زیرا شرع زمانی استوار می گردد که عقل وجود خدا و برخی از صفات وی،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اختیار و حکمت را ثابت کند و به تبع آن، نبوّت فرد مدعیِ نبوت را نیز تثبیت نماید؛ پس از آن می توان به دستورات شرع گردن نهاد و تابع آن شد، ولی تا پیش از اثبات این مراحل، خود شرع نیز استقرار و ثباتی ندارد تا چه رسد بخواهد انسان را به امری تحریک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عدلیه معتقد است، شناختِ خداوند امری نیکو و ستوده است، زیرا در سایه آن، بندگان به شکر منعم نایل می شوند، و هیچ شکی هم میان عقلا در نیکو بودن شکر منعم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bookmarkStart w:id="49" w:name="pg2643_21654"/>
    </w:p>
    <w:p>
      <w:pPr>
        <w:pStyle w:val="BookText"/>
        <w:rPr/>
      </w:pPr>
      <w:bookmarkEnd w:id="49"/>
      <w:r>
        <w:rPr>
          <w:rFonts w:ascii="IRNazanin" w:hAnsi="IRNazanin" w:eastAsia="IRNazanin"/>
          <w:color w:val="111111"/>
          <w:sz w:val="28"/>
          <w:sz w:val="28"/>
          <w:szCs w:val="28"/>
          <w:rtl w:val="true"/>
          <w:lang w:bidi="fa-IR"/>
        </w:rPr>
        <w:t>با ترک شناخت خداوند احتمال دارد بندگان به ضرر و زیان مبتلا شوند، زیرا ممکن است در سایه نشناختن خداوند، به اموری دست بزنند که آخرت و عاقبت خود را 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عاقلی در قبیح و زشت بودن چنین فعلی، تردیدی به خود راه نمی دهد؛ به همین جهت است که معرفت‌الله، ضروری و لازم تلقی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5"/>
        <w:numPr>
          <w:ilvl w:val="4"/>
          <w:numId w:val="1"/>
        </w:numPr>
        <w:rPr/>
      </w:pPr>
      <w:bookmarkStart w:id="50" w:name="__RefHeading___Toc627873_1395250215"/>
      <w:bookmarkStart w:id="51" w:name="_Toc20"/>
      <w:bookmarkEnd w:id="50"/>
      <w:r>
        <w:rPr/>
        <w:t>1-4</w:t>
      </w:r>
      <w:r>
        <w:rPr>
          <w:rtl w:val="true"/>
        </w:rPr>
        <w:t xml:space="preserve"> </w:t>
      </w:r>
      <w:r>
        <w:rPr>
          <w:rtl w:val="true"/>
        </w:rPr>
        <w:t>پیراستگی فعل خدا از بیهودگی و عبث</w:t>
      </w:r>
      <w:bookmarkEnd w:id="51"/>
    </w:p>
    <w:p>
      <w:pPr>
        <w:pStyle w:val="BookText"/>
        <w:rPr/>
      </w:pPr>
      <w:r>
        <w:rPr>
          <w:rFonts w:ascii="IRNazanin" w:hAnsi="IRNazanin" w:eastAsia="IRNazanin"/>
          <w:color w:val="111111"/>
          <w:sz w:val="28"/>
          <w:sz w:val="28"/>
          <w:szCs w:val="28"/>
          <w:rtl w:val="true"/>
          <w:lang w:bidi="fa-IR"/>
        </w:rPr>
        <w:t>اشاعره معتقدند، افعال خداوند نمی تواند غایت‌مند باشد، زیرا غایت داشتن افعال الهی به منزله وجود نقص در ذات الهی است و اگر افعال خداوند در پی تحصیل آن غایات باشد، استکمال در ذات خداوند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آن‌ها، متکلمان عدلیه قرار گرفته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دو نوع غایت فرق نهاد؛ غایتی که به فاعل برمی گردد و غایتی که بر خود فعل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افعال الهی نمی توان چنین تصور کرد که غایت و نفع به خداوند برسد، زیرا نشانه نقص در ذات خداوند است، ولی اگر فعل خداوند از هر گونه غایت و هدفی هم عاری باشد، لغویت و عبث پیش می آید و انجام دادن فعل لغو و عبث از حکیم قبیح است؛ به همین جهت، باید افعال الهی را دارای غایت و هدف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ملاحظه می شود، اثبات غایت‌مندیِ فعل الهی در سایه تمسک به قاعده حسن و قبح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اسلامی با توجه به همین کبرای لزومِ پیراستگی فعل الهی از لغویت است که می گویند عقل درک می کند که بر خداوند، مکلف کردن بندگان لازم و ضروری است، زیرا عقل درک می کند که خداوند باید بندگان را به هدف نهاییِ خلقتشان برساند و چنین امری زمانی به وقوع می پیوندد که آن‌ها را به امورِ رساننده به کمال، مکلف سازد و از امور بازدارنده از کمال نیز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همین کبرای کلی است که متکلمان معتقدند، عقل حکم می کند که برای مکلف کردن بندگان علاوه بر عقل، به انبیا و رسولان الهی نیاز است، زیرا عقل به تنهایی برای دریافت و درک تکالیف کافی نیست و چاره‌ای از ارتباط وحیانی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5"/>
        <w:numPr>
          <w:ilvl w:val="4"/>
          <w:numId w:val="1"/>
        </w:numPr>
        <w:rPr/>
      </w:pPr>
      <w:bookmarkStart w:id="52" w:name="__RefHeading___Toc627875_1395250215"/>
      <w:bookmarkStart w:id="53" w:name="_Toc21"/>
      <w:bookmarkEnd w:id="52"/>
      <w:r>
        <w:rPr/>
        <w:t>1-5</w:t>
      </w:r>
      <w:r>
        <w:rPr>
          <w:rtl w:val="true"/>
        </w:rPr>
        <w:t xml:space="preserve"> </w:t>
      </w:r>
      <w:r>
        <w:rPr>
          <w:rtl w:val="true"/>
        </w:rPr>
        <w:t>تامل در براهین مدعیان نبوت</w:t>
      </w:r>
      <w:bookmarkEnd w:id="5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دوره و زمانه‌ای، برخی ادعای ارتباط به خداوند و گاه نیز ادعای نبوت از جانب خدا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مدعیان، برخی از آن‌ها واقعاً از جانب خداوند برای هدایت بشر فرستاده شده‌اند و برخی نیز ادعای دروغین دارند و هیچ ارتباطی میان آن‌ها و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سخن هیچ‌یک را نپذیرد، قطعاً به گمراهی رفته و از پذیرش حق در</w:t>
      </w:r>
      <w:bookmarkStart w:id="54" w:name="pg2643_21656"/>
    </w:p>
    <w:p>
      <w:pPr>
        <w:pStyle w:val="BookText"/>
        <w:rPr/>
      </w:pPr>
      <w:bookmarkEnd w:id="54"/>
      <w:r>
        <w:rPr>
          <w:rFonts w:ascii="IRNazanin" w:hAnsi="IRNazanin" w:eastAsia="IRNazanin"/>
          <w:color w:val="111111"/>
          <w:sz w:val="28"/>
          <w:sz w:val="28"/>
          <w:szCs w:val="28"/>
          <w:rtl w:val="true"/>
          <w:lang w:bidi="fa-IR"/>
        </w:rPr>
        <w:t>موارد واقعیِ ارتباط با خداوند سر باز زده است و خود، ضرر و خسران بزرگی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بخواهد همه را بپذیرد، در این صورت نیز به گمراهی مبتلا شده و به دستورات برخی مدعیان دروغین نبوت گرفتار شده است؛ به همین جهت، عقل درک می کند که بر انسان لازم است به براهین و ادله مدعیان نبوت توجه کند تا بتواند راست‌گو را از دروغ‌گو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حکم عقلی در کار نبود، هیچ‌گاه وجوب نظر در ادله مدعیان نبوت لزوم و ضرورت نمی یافت، زیرا شرع پس از اثبات نبوتِ شخص نبی، حجیت می یابد و اثرگذار است و تا پیش از اثبات نبوت نمی تواند حکمی را درباره بشر الزامی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5"/>
        <w:numPr>
          <w:ilvl w:val="4"/>
          <w:numId w:val="1"/>
        </w:numPr>
        <w:rPr/>
      </w:pPr>
      <w:bookmarkStart w:id="55" w:name="__RefHeading___Toc627877_1395250215"/>
      <w:bookmarkStart w:id="56" w:name="_Toc22"/>
      <w:bookmarkEnd w:id="55"/>
      <w:r>
        <w:rPr/>
        <w:t>1-6</w:t>
      </w:r>
      <w:r>
        <w:rPr>
          <w:rtl w:val="true"/>
        </w:rPr>
        <w:t xml:space="preserve"> </w:t>
      </w:r>
      <w:r>
        <w:rPr>
          <w:rtl w:val="true"/>
        </w:rPr>
        <w:t>تکلیف مالا یطاق</w:t>
      </w:r>
      <w:bookmarkEnd w:id="56"/>
    </w:p>
    <w:p>
      <w:pPr>
        <w:pStyle w:val="BookText"/>
        <w:rPr/>
      </w:pPr>
      <w:r>
        <w:rPr>
          <w:rFonts w:ascii="IRNazanin" w:hAnsi="IRNazanin" w:eastAsia="IRNazanin"/>
          <w:color w:val="111111"/>
          <w:sz w:val="28"/>
          <w:sz w:val="28"/>
          <w:szCs w:val="28"/>
          <w:rtl w:val="true"/>
          <w:lang w:bidi="fa-IR"/>
        </w:rPr>
        <w:t>یکی از مسائل مهمّ علم کلام که می توان عنوان قاعده را نیز بدان اختصاص داد، تکلیف بما لایطاق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دو آمر و مولا باید به صورت جداگانه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مولا و امر‌کننده انسان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امرکننده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کارکردهای عقل عملی نیست، بلکه به کارکرد عقل نظری برمی گردد، زیرا زمانی که آمر و مولا می داند مکلف قدرت بر تکلیف ندارد، در درون وی اراده جدی به امر و نهی شکل نمی گیرد و به همین جهت است که تکلیف از وی صادر نمی شود؛ به همین جهت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لایطاق در امر و نهی بشری، به استحاله تکلیف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مصادیقِ عقل عملی است، زیرا تکلیف بما لایطاق، ظلم و قبیح است و با صفت حکمت الهی سازگار نیست؛ محال است خداوندِ حکیم، بنده را مکلف به امری سازد که قدرت بر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محال بودن این تکلیف، فرقی نمی کند که تکلیف ذاتاً ممکن باشد، ولی به جهتی از جهات از قدرت مکلف خاص بیرون باشد و یا تکلیف ذاتاً ممکن نباشد؛ به عبارت دیگر، چه تکلیف ما لایطاق به تکلیف محال برگردد و چه برنگردد، خود محال است و قابل پذیرش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تفاوت میان این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جمله کارکرد عقل نظری به حساب آمد و دیگری کارکرد عقل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عقل درک می کند که مولا و امرکننده بشری با احتساب عدم قدرت، مکلف اراده جدی ندارد، پس تکلیف نکرده است؛ به عبارت دیگر در این بخش، سخن از آن است که عقل عدم حکم و تکلیف مولا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ادراکی از جمله کارکردهای عقل نظری است، چون به هست و نیست‌ها ناظر است؛ ولی در قسم دوم، عقل به قبح و ظلم بودن چنین تکلیفی از جانب مولای حکیم حکم می کند که از جمله کارکردهای عقل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انکار نیست که ممکن است علاوه بر این حکمِ عقل</w:t>
      </w:r>
      <w:bookmarkStart w:id="57" w:name="pg2643_21658"/>
    </w:p>
    <w:p>
      <w:pPr>
        <w:pStyle w:val="BookText"/>
        <w:rPr/>
      </w:pPr>
      <w:bookmarkEnd w:id="57"/>
      <w:r>
        <w:rPr>
          <w:rFonts w:ascii="IRNazanin" w:hAnsi="IRNazanin" w:eastAsia="IRNazanin"/>
          <w:color w:val="111111"/>
          <w:sz w:val="28"/>
          <w:sz w:val="28"/>
          <w:szCs w:val="28"/>
          <w:rtl w:val="true"/>
          <w:lang w:bidi="fa-IR"/>
        </w:rPr>
        <w:t>عملی، حکم عقل نظری هم وجود داشته باشد و بگوید حال که چنین تکلیفی قبیح است، پس خداوند چنین تکلیفی ندارد</w:t>
      </w:r>
      <w:r>
        <w:rPr>
          <w:rFonts w:eastAsia="IRNazanin" w:cs="IRNazanin"/>
          <w:color w:val="111111"/>
          <w:sz w:val="28"/>
          <w:szCs w:val="28"/>
          <w:rtl w:val="true"/>
          <w:lang w:bidi="fa-IR"/>
        </w:rPr>
        <w:t>.</w:t>
      </w:r>
    </w:p>
    <w:p>
      <w:pPr>
        <w:pStyle w:val="Heading5"/>
        <w:numPr>
          <w:ilvl w:val="4"/>
          <w:numId w:val="1"/>
        </w:numPr>
        <w:rPr/>
      </w:pPr>
      <w:bookmarkStart w:id="58" w:name="__RefHeading___Toc627879_1395250215"/>
      <w:bookmarkStart w:id="59" w:name="_Toc23"/>
      <w:bookmarkEnd w:id="58"/>
      <w:r>
        <w:rPr/>
        <w:t>1-7</w:t>
      </w:r>
      <w:r>
        <w:rPr>
          <w:rtl w:val="true"/>
        </w:rPr>
        <w:t xml:space="preserve"> </w:t>
      </w:r>
      <w:r>
        <w:rPr>
          <w:rtl w:val="true"/>
        </w:rPr>
        <w:t>عقاب بلا بیان</w:t>
      </w:r>
      <w:bookmarkEnd w:id="59"/>
    </w:p>
    <w:p>
      <w:pPr>
        <w:pStyle w:val="BookText"/>
        <w:rPr/>
      </w:pPr>
      <w:r>
        <w:rPr>
          <w:rFonts w:ascii="IRNazanin" w:hAnsi="IRNazanin" w:eastAsia="IRNazanin"/>
          <w:color w:val="111111"/>
          <w:sz w:val="28"/>
          <w:sz w:val="28"/>
          <w:szCs w:val="28"/>
          <w:rtl w:val="true"/>
          <w:lang w:bidi="fa-IR"/>
        </w:rPr>
        <w:t>از جمله مسائلی که در علم کلام با رویکرد عقل عملی ثابت می شود،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حکم و درک می کند اگر مولا تکلیفی را به بندگان اعلام نکرده باشد و با وجود این، بخواهد آن‌ها را به جرم مخالفت از دستورات خود عقاب کند، در این صورت مرتکب ظلم به آن‌ها شده است، و ظلم نیز با حکمت خداوند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5"/>
        <w:numPr>
          <w:ilvl w:val="4"/>
          <w:numId w:val="1"/>
        </w:numPr>
        <w:rPr/>
      </w:pPr>
      <w:bookmarkStart w:id="60" w:name="__RefHeading___Toc627881_1395250215"/>
      <w:bookmarkStart w:id="61" w:name="_Toc24"/>
      <w:bookmarkEnd w:id="60"/>
      <w:r>
        <w:rPr/>
        <w:t>1-8</w:t>
      </w:r>
      <w:r>
        <w:rPr>
          <w:rtl w:val="true"/>
        </w:rPr>
        <w:t xml:space="preserve"> </w:t>
      </w:r>
      <w:r>
        <w:rPr>
          <w:rtl w:val="true"/>
        </w:rPr>
        <w:t>رابطه معجزه با نبوت</w:t>
      </w:r>
      <w:bookmarkEnd w:id="61"/>
    </w:p>
    <w:p>
      <w:pPr>
        <w:pStyle w:val="BookText"/>
        <w:rPr/>
      </w:pPr>
      <w:r>
        <w:rPr>
          <w:rFonts w:ascii="IRNazanin" w:hAnsi="IRNazanin" w:eastAsia="IRNazanin"/>
          <w:color w:val="111111"/>
          <w:sz w:val="28"/>
          <w:sz w:val="28"/>
          <w:szCs w:val="28"/>
          <w:rtl w:val="true"/>
          <w:lang w:bidi="fa-IR"/>
        </w:rPr>
        <w:t>یکی از مسائل علم کلام، بحث بر کیفیت دلالت معجزه بر صدق نبوت است؛ آیا دلالت معجزه بر صدق و راستیِ گفتار پیامبران، دلیلی برهانی است و یا دلیلی اقناعی است؟ برخی معتقدند، هیچ ارتباط منطقی میان معجزه و دلالت بر راستی گفتار پیامبران نیست، بلکه پیامبران با نشان دادن معجزه، مردم را در مقابل ادعای خود خاضع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بشری است که با دیدن امر خارق‌العاده، در مقابل آورنده آن خضوع می کند و به سخنانش گوش می دهد، بدون این‌که هیچ ارتباط منطقی میان معجزه و صدقِ پیامبران وجود داشته باشد؛ در مقابل، بسیاری از اندیشمندان اسلامی با تکیه بر عقل و با توجه به چند مقدمه معتقدند، میان معجزه و صدق گفتار پیامبران، ارتباط و تلازم منطقی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رابطه میان معجزه و راستیِ گفتار پیامبران به چه نحوی است، از جمله مسائل عقل نظری است، زیرا کشف رابطه میان دو امر، از جمله مسائل عقل نظری است و هیچ باید و نبایدی در کار نیست، ولی این استنباط و کشف با توجه به یک مقدمه عقل عملی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درک می کند که خداوند نباید بر فردِ دروغ‌گو قدرت بر انجام کار خارق‌العاده را بدهد، زیرا خداوند حکیم است و کار خلاف حکمت نیز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اقتضا می کند، بندگانش را به سوی کمال هدایت و راهنمایی کند و اگر خداوند به فرد دروغ‌گو قدرت بر انجام کارهای خارق‌العاده را بدهد، در واقع سبب شده است مردم به گمراهی بیفتند و از هدایت دور شوند که با حکمت الهی نیز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دلالت منطقیِ معجزه بر صدق و راستیِ گفتار پیامبران برهانی است، نه اقناعی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5"/>
        <w:numPr>
          <w:ilvl w:val="4"/>
          <w:numId w:val="1"/>
        </w:numPr>
        <w:rPr/>
      </w:pPr>
      <w:bookmarkStart w:id="62" w:name="__RefHeading___Toc627883_1395250215"/>
      <w:bookmarkStart w:id="63" w:name="_Toc25"/>
      <w:bookmarkEnd w:id="62"/>
      <w:r>
        <w:rPr/>
        <w:t>1-9</w:t>
      </w:r>
      <w:r>
        <w:rPr>
          <w:rtl w:val="true"/>
        </w:rPr>
        <w:t xml:space="preserve"> </w:t>
      </w:r>
      <w:r>
        <w:rPr>
          <w:rtl w:val="true"/>
        </w:rPr>
        <w:t>عصمت پیامبران</w:t>
      </w:r>
      <w:bookmarkEnd w:id="6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پیامبران نیز از جمله مسائلی است که با توجه به قاعده حسن و قبح عقلی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به سخنان مدعیِ نبوت گوش می دهند که در حقّ وی، دروغ و</w:t>
      </w:r>
      <w:bookmarkStart w:id="64" w:name="pg2643_21660"/>
    </w:p>
    <w:p>
      <w:pPr>
        <w:pStyle w:val="BookText"/>
        <w:rPr/>
      </w:pPr>
      <w:bookmarkEnd w:id="64"/>
      <w:r>
        <w:rPr>
          <w:rFonts w:ascii="IRNazanin" w:hAnsi="IRNazanin" w:eastAsia="IRNazanin"/>
          <w:color w:val="111111"/>
          <w:sz w:val="28"/>
          <w:sz w:val="28"/>
          <w:szCs w:val="28"/>
          <w:rtl w:val="true"/>
          <w:lang w:bidi="fa-IR"/>
        </w:rPr>
        <w:t>ارتکاب معصیت را جایز ندانند، ولی اگر از وی دروغ‌گویی و یا ارتکاب گناهان مختلف را مشاهده کنند، به هیچ وجه به سخنان و اوامر و نواهی او گوش نخواهند داد و در نتیجه، به صلاح و رستگاری نیز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کمال رسیدن و رستگار شدن بندگان در گرو آن است که خداوند فردی را به پیامبری برگزیند که هیچ‌گونه احتمال دروغ‌گویی و یا معصیت در حقّ وی ممکن نباشد؛ به همین دلیل، عصمت پیامبران یکی از مسائلی است که امامیه بر آن تأکید فراوان دارد، زیرا با معصوم نبودن فردِ نبی، هدف از بعث و ارسال رسولان نقض خواهد شد؛ امری که از خداوند حکیم هیچ‌گاه صادر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5"/>
        <w:numPr>
          <w:ilvl w:val="4"/>
          <w:numId w:val="1"/>
        </w:numPr>
        <w:rPr/>
      </w:pPr>
      <w:bookmarkStart w:id="65" w:name="__RefHeading___Toc627885_1395250215"/>
      <w:bookmarkStart w:id="66" w:name="_Toc26"/>
      <w:bookmarkEnd w:id="65"/>
      <w:r>
        <w:rPr/>
        <w:t>1-10</w:t>
      </w:r>
      <w:r>
        <w:rPr>
          <w:rtl w:val="true"/>
        </w:rPr>
        <w:t xml:space="preserve"> </w:t>
      </w:r>
      <w:r>
        <w:rPr>
          <w:rtl w:val="true"/>
        </w:rPr>
        <w:t>عذاب اطفال</w:t>
      </w:r>
      <w:bookmarkEnd w:id="66"/>
    </w:p>
    <w:p>
      <w:pPr>
        <w:pStyle w:val="BookText"/>
        <w:rPr/>
      </w:pPr>
      <w:r>
        <w:rPr>
          <w:rFonts w:ascii="IRNazanin" w:hAnsi="IRNazanin" w:eastAsia="IRNazanin"/>
          <w:color w:val="111111"/>
          <w:sz w:val="28"/>
          <w:sz w:val="28"/>
          <w:szCs w:val="28"/>
          <w:rtl w:val="true"/>
          <w:lang w:bidi="fa-IR"/>
        </w:rPr>
        <w:t>حشویه معتقدند خداوند، فرزندان مشرکان و کافران را عذاب می کند و اشاعره نیز چنین امری را جایز می دانند، ولی عدلیه برخلاف آن‌ها معتقدند، خداوند غیرمکلفان را عذاب نمی کند؛ اطفال نیز مکلف نیستند، پس عذاب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برای این اعتقاد خود، از حکم و ادراک عقل عملی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عملی حکم می کند که چنین عذاب‌کردنی قبیح است؛ فعل قبیح نیز از خداوند متعال سر نمی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67" w:name="__RefHeading___Toc627887_1395250215"/>
      <w:bookmarkStart w:id="68" w:name="_Toc27"/>
      <w:bookmarkEnd w:id="67"/>
      <w:r>
        <w:rPr/>
        <w:t>2</w:t>
      </w:r>
      <w:r>
        <w:rPr>
          <w:rtl w:val="true"/>
        </w:rPr>
        <w:t xml:space="preserve">. </w:t>
      </w:r>
      <w:r>
        <w:rPr>
          <w:rtl w:val="true"/>
        </w:rPr>
        <w:t>قائده دفع ضرر محتمل</w:t>
      </w:r>
      <w:bookmarkEnd w:id="68"/>
    </w:p>
    <w:p>
      <w:pPr>
        <w:pStyle w:val="Heading5"/>
        <w:numPr>
          <w:ilvl w:val="4"/>
          <w:numId w:val="1"/>
        </w:numPr>
        <w:rPr/>
      </w:pPr>
      <w:bookmarkStart w:id="69" w:name="__RefHeading___Toc627889_1395250215"/>
      <w:bookmarkStart w:id="70" w:name="_Toc28"/>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یکی از قواعدی که برخی مسائل بنیادین و پایه‌ایِ علم کلام، با توجه به آن کشف و استنباط شده، قاعده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قاعده، عقل عملی حکم می کند که بر انسان لازم است ضرر احتمالی را مرتفع سازد و به گونه‌ای رفتار کند که متضرر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یکی از ارکان اثبات توحید است، به گونه‌ای که اگر کسی به این قاعده و حکم عقل اعتنا نکند و دست به انکار آن بزند، نمی تواند شریعت را اثبات کند و حتی نظام اعتقادی شکل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نمونه از کاربرد این قاعده در علم کلام اشاره می شود</w:t>
      </w:r>
      <w:r>
        <w:rPr>
          <w:rFonts w:eastAsia="IRNazanin" w:cs="IRNazanin"/>
          <w:color w:val="111111"/>
          <w:sz w:val="28"/>
          <w:szCs w:val="28"/>
          <w:rtl w:val="true"/>
          <w:lang w:bidi="fa-IR"/>
        </w:rPr>
        <w:t>.</w:t>
      </w:r>
    </w:p>
    <w:p>
      <w:pPr>
        <w:pStyle w:val="Heading5"/>
        <w:numPr>
          <w:ilvl w:val="4"/>
          <w:numId w:val="1"/>
        </w:numPr>
        <w:rPr/>
      </w:pPr>
      <w:bookmarkStart w:id="71" w:name="__RefHeading___Toc627891_1395250215"/>
      <w:bookmarkStart w:id="72" w:name="_Toc29"/>
      <w:bookmarkEnd w:id="71"/>
      <w:r>
        <w:rPr/>
        <w:t>2-1</w:t>
      </w:r>
      <w:r>
        <w:rPr>
          <w:rtl w:val="true"/>
        </w:rPr>
        <w:t xml:space="preserve"> </w:t>
      </w:r>
      <w:r>
        <w:rPr>
          <w:rtl w:val="true"/>
        </w:rPr>
        <w:t>وجوب معرفت الله</w:t>
      </w:r>
      <w:bookmarkEnd w:id="72"/>
    </w:p>
    <w:p>
      <w:pPr>
        <w:pStyle w:val="BookText"/>
        <w:rPr/>
      </w:pPr>
      <w:r>
        <w:rPr>
          <w:rFonts w:ascii="IRNazanin" w:hAnsi="IRNazanin" w:eastAsia="IRNazanin"/>
          <w:color w:val="111111"/>
          <w:sz w:val="28"/>
          <w:sz w:val="28"/>
          <w:szCs w:val="28"/>
          <w:rtl w:val="true"/>
          <w:lang w:bidi="fa-IR"/>
        </w:rPr>
        <w:t>در جوامع بشری، افراد فراوانی یافت می شوند که ادعای اصلاح جامعه و اخلاقی کردن فضای زندگی بشری را دارند و بشریت را به سوی اعتقاد به خدا و صفات کمالیه وی و برخی تکالیف دینی دعوت می کنند و به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با مرگ تمام نمی شود، بلکه مرگ پُلی است برای زندگی دیگرِ انسان؛ به گونه‌ای که اگر فردی، اعمال خوب و صالح را به جا آورد، پاداش عظیمی به وی داده می شود و اگر اعمال ناشایست را انجام دهد، عذاب خواهد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بشریت، مردانِ بسیاری ظهور کرده و ادعای اصلاح جامعه و ارتباط داشتن با خدا را مطرح کرده‌اند؛ انسان‌هایی که نه تنها متهم به دروغ‌گویی نبودند، بلکه نشانه‌های راستی</w:t>
      </w:r>
      <w:bookmarkStart w:id="73" w:name="pg2643_21662"/>
    </w:p>
    <w:p>
      <w:pPr>
        <w:pStyle w:val="BookText"/>
        <w:rPr/>
      </w:pPr>
      <w:bookmarkEnd w:id="73"/>
      <w:r>
        <w:rPr>
          <w:rFonts w:ascii="IRNazanin" w:hAnsi="IRNazanin" w:eastAsia="IRNazanin"/>
          <w:color w:val="111111"/>
          <w:sz w:val="28"/>
          <w:sz w:val="28"/>
          <w:szCs w:val="28"/>
          <w:rtl w:val="true"/>
          <w:lang w:bidi="fa-IR"/>
        </w:rPr>
        <w:t>و درستی نیز از گفتار و رفتار و سبک زندگی‌شان معلوم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بشری با تجزیه و تحلیل چنین وضعیتی، به لزوم بحث و بررسیِ گفتار این افراد وامی دارد تا مبادا ضرر احتمالی متوجه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عقل با توجه به دفع ضرر محتمل، حکم می کند باید به دنبال شناخت خداوند بود تا اگر برای جهان، خداوند و آفریدگاری وجود داشته باشد، در اثر شناخت آن و به تبع گوش سپردن به فرمان‌های وی، به سعادت رسید و از عذاب الهی رهایی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خرازی،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گفت، ممکن است مسئله‌ای با توجه به دو یا چند قاعده و اصل قابل اثبات باشد؛ مثل بحث وجوبِ معرفت‌الله که قابلیت دارد یا با قاعده دفع ضررِ محتمل اثبات شود و یا با قاعده وجوب شکر منعم</w:t>
      </w:r>
      <w:r>
        <w:rPr>
          <w:rFonts w:eastAsia="IRNazanin" w:cs="IRNazanin"/>
          <w:color w:val="111111"/>
          <w:sz w:val="28"/>
          <w:szCs w:val="28"/>
          <w:rtl w:val="true"/>
          <w:lang w:bidi="fa-IR"/>
        </w:rPr>
        <w:t>.</w:t>
      </w:r>
    </w:p>
    <w:p>
      <w:pPr>
        <w:pStyle w:val="Heading5"/>
        <w:numPr>
          <w:ilvl w:val="4"/>
          <w:numId w:val="1"/>
        </w:numPr>
        <w:rPr/>
      </w:pPr>
      <w:bookmarkStart w:id="74" w:name="__RefHeading___Toc627893_1395250215"/>
      <w:bookmarkStart w:id="75" w:name="_Toc30"/>
      <w:bookmarkEnd w:id="74"/>
      <w:r>
        <w:rPr/>
        <w:t>2-2</w:t>
      </w:r>
      <w:r>
        <w:rPr>
          <w:rtl w:val="true"/>
        </w:rPr>
        <w:t xml:space="preserve"> </w:t>
      </w:r>
      <w:r>
        <w:rPr>
          <w:rtl w:val="true"/>
        </w:rPr>
        <w:t>وجوب تدین</w:t>
      </w:r>
      <w:bookmarkEnd w:id="75"/>
    </w:p>
    <w:p>
      <w:pPr>
        <w:pStyle w:val="BookText"/>
        <w:rPr/>
      </w:pPr>
      <w:r>
        <w:rPr>
          <w:rFonts w:ascii="IRNazanin" w:hAnsi="IRNazanin" w:eastAsia="IRNazanin"/>
          <w:color w:val="111111"/>
          <w:sz w:val="28"/>
          <w:sz w:val="28"/>
          <w:szCs w:val="28"/>
          <w:rtl w:val="true"/>
          <w:lang w:bidi="fa-IR"/>
        </w:rPr>
        <w:t xml:space="preserve">قاعده دفع ضرر محتمل علاوه بر این‌که شناخت خداوند را لازم و ضروری می نماید، تدین و اعتقادورزی بدان را نیز حتمی می شمارد، زیرا بدون تدین و تصدیق به امورِ شناخته‌شده، ایمان حاصل نمی شود؛ در نتیجه، نه تنها احتمال ضرر اخروی و تضییع حقّ مولا، بلکه یقین به ضرر اخروی برای انسان تردیدناپذیر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76" w:name="__RefHeading___Toc627895_1395250215"/>
      <w:bookmarkStart w:id="77" w:name="_Toc31"/>
      <w:bookmarkEnd w:id="76"/>
      <w:r>
        <w:rPr/>
        <w:t>3</w:t>
      </w:r>
      <w:r>
        <w:rPr>
          <w:rtl w:val="true"/>
        </w:rPr>
        <w:t xml:space="preserve">. </w:t>
      </w:r>
      <w:r>
        <w:rPr>
          <w:rtl w:val="true"/>
        </w:rPr>
        <w:t>قائده شکر منعم</w:t>
      </w:r>
      <w:bookmarkEnd w:id="77"/>
    </w:p>
    <w:p>
      <w:pPr>
        <w:pStyle w:val="BookText"/>
        <w:rPr/>
      </w:pPr>
      <w:r>
        <w:rPr>
          <w:rFonts w:ascii="IRNazanin" w:hAnsi="IRNazanin" w:eastAsia="IRNazanin"/>
          <w:color w:val="111111"/>
          <w:sz w:val="28"/>
          <w:sz w:val="28"/>
          <w:szCs w:val="28"/>
          <w:rtl w:val="true"/>
          <w:lang w:bidi="fa-IR"/>
        </w:rPr>
        <w:t>قاعده شکر منعم با قاعده دفع ضرر محتمل، از جمله ارکان اساسیِ نظام اعتقادی هستند و در سایه این دو قاعده است که شناخت امور اعتقادی بر انسان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نیز مانند قاعده دفع ضررِ محتمل، در اثبات وجوب معرفت‌الله و وجوب تدین به آن، نقش تعیین‌کننده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انسان در زندگی روزمره خود، غرق در نعمت‌های فراوانی است و عقل نیز درک می کند که اگر این نعمت‌ها، نعمت‌دهنده‌ای دارد، باید از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شکرگزاری و سپاس از منعِم، تنها در سایه شناخت او مقدور است؛ پس عقل حکم می کند باید به دنبال شناخت منعم بود تا بتوان حق و شکر وی را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خرازی،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78" w:name="pg2643_21664"/>
    </w:p>
    <w:p>
      <w:pPr>
        <w:pStyle w:val="BookText"/>
        <w:rPr/>
      </w:pPr>
      <w:bookmarkEnd w:id="78"/>
      <w:r>
        <w:rPr>
          <w:rFonts w:ascii="IRNazanin" w:hAnsi="IRNazanin" w:eastAsia="IRNazanin"/>
          <w:color w:val="111111"/>
          <w:sz w:val="28"/>
          <w:sz w:val="28"/>
          <w:szCs w:val="28"/>
          <w:rtl w:val="true"/>
          <w:lang w:bidi="fa-IR"/>
        </w:rPr>
        <w:t xml:space="preserve">هم‌چنین عقل حکم می کند باید پس از شناخت این منعم، به وی تدین و اعتقاد نیز داشت و به فرامین وی گوش سپرد، زیرا مخالفت با دستورات خداوند و منعم، با شکرگزاری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خرازی،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79" w:name="__RefHeading___Toc627897_1395250215"/>
      <w:bookmarkStart w:id="80" w:name="_Toc32"/>
      <w:bookmarkEnd w:id="79"/>
      <w:r>
        <w:rPr/>
        <w:t>4</w:t>
      </w:r>
      <w:r>
        <w:rPr>
          <w:rtl w:val="true"/>
        </w:rPr>
        <w:t xml:space="preserve">. </w:t>
      </w:r>
      <w:r>
        <w:rPr>
          <w:rtl w:val="true"/>
        </w:rPr>
        <w:t>قاعده تعلیق الواجب بالجائز</w:t>
      </w:r>
      <w:bookmarkEnd w:id="80"/>
    </w:p>
    <w:p>
      <w:pPr>
        <w:pStyle w:val="BookText"/>
        <w:rPr/>
      </w:pPr>
      <w:r>
        <w:rPr>
          <w:rFonts w:ascii="IRNazanin" w:hAnsi="IRNazanin" w:eastAsia="IRNazanin"/>
          <w:color w:val="111111"/>
          <w:sz w:val="28"/>
          <w:sz w:val="28"/>
          <w:szCs w:val="28"/>
          <w:rtl w:val="true"/>
          <w:lang w:bidi="fa-IR"/>
        </w:rPr>
        <w:t>یکی از قواعدی که برخی مسائل کلامی با توجه به آن کشف و ثابت می شود، قاعده تعلیق الواجب علی الجائز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متکلمان معتقدند، نمی توان واجب را به امر جایز وابسته کرد و از این حکم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الواجب علی الجائز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با توجه به این قاعده در علم کلام ثابت می شود، بحث و بررسی درباره فردِ ظالمی است که اعمال خوب او به قدری نیست که بتواند عوضِ ظلم‌های انجام‌داده را پوشش دهد؛ در این صورت، میان متکلمان این بحث رخ داده است که اگر چنین ظالمی وجود داشته باشد، آیا ممکن است خداوند به چنین ظالمی قدرتِ ظلم بدهد یا بر خداوند واجب است با اعمال قدرتِ خود، از ظلم کردن وی جلوگیری کند؟ از میان متکلمان عدلیه برخی معتقدند، جایز است که خداوند به چنین فردی قدرتِ بر ظلم بدهد و لازم نیست به او به اندازه‌ای عمر دهد که بتواند اعمالی انجام دهد که مساویِ عوضِ ظلمش باشد، بلکه اگر خداوند به او عمر بیشتر نداد و در حالی جان بدهد که اعمالش پاسخ‌گوی ظلم‌هایش نباشد، خداوند در آخرت عوض و جای‌گزین ظلم‌های وی را با تفضل خود اعطا می کند و از آن به مظلوم داده می شود و اخلالی به واجب رخ نداده و ارتکاب حرامی هم پیش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از متکلمان معتقدند چنین امری جایز نیست، بلکه باید خداوند به او عمر دهد تا اعمالش کفاف عوض ظلم‌هایش را بدهد، زیرا به حکم عقل، انتصاف واجب است و خداوند باید حقّ مظلوم را از ظالم بگیرد، در حالی که تفضلِ گفته‌شده، امر جایز و ممکنی است و نمی توان امر واجب را به امر جایز معلق و وابسته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نیز در مقابل این عده معتقد است، همان‌گونه که تفضل امر جایزی است، عمر اضافی دادن نیز امر جایزی است و نمی توان انتصاف را به آن منوط کرد، بلکه خداوند باید در حقّ این ظالم اعمال قدرت نماید و از ظلم کردن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خواجه‌نصیرالدین طوسی نیز با دیدگاه سید مرتضی موافقت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استدلال بر‌می آید، یکی از ادله کسانی که دیدگاهشان بر منع تمکن دادن به ظالم در این حالت است، بر اساس قاعده تعلیق الواجب علی الجائز پایه‌ریزی شده است</w:t>
      </w:r>
      <w:r>
        <w:rPr>
          <w:rFonts w:eastAsia="IRNazanin" w:cs="IRNazanin"/>
          <w:color w:val="111111"/>
          <w:sz w:val="28"/>
          <w:szCs w:val="28"/>
          <w:rtl w:val="true"/>
          <w:lang w:bidi="fa-IR"/>
        </w:rPr>
        <w:t>.</w:t>
      </w:r>
    </w:p>
    <w:p>
      <w:pPr>
        <w:pStyle w:val="Heading4"/>
        <w:numPr>
          <w:ilvl w:val="3"/>
          <w:numId w:val="1"/>
        </w:numPr>
        <w:rPr/>
      </w:pPr>
      <w:bookmarkStart w:id="81" w:name="__RefHeading___Toc627899_1395250215"/>
      <w:bookmarkStart w:id="82" w:name="_Toc33"/>
      <w:bookmarkEnd w:id="81"/>
      <w:r>
        <w:rPr/>
        <w:t>5</w:t>
      </w:r>
      <w:r>
        <w:rPr>
          <w:rtl w:val="true"/>
        </w:rPr>
        <w:t xml:space="preserve">. </w:t>
      </w:r>
      <w:r>
        <w:rPr>
          <w:rtl w:val="true"/>
        </w:rPr>
        <w:t>قائده لطف</w:t>
      </w:r>
      <w:bookmarkEnd w:id="82"/>
    </w:p>
    <w:p>
      <w:pPr>
        <w:pStyle w:val="Heading5"/>
        <w:numPr>
          <w:ilvl w:val="4"/>
          <w:numId w:val="1"/>
        </w:numPr>
        <w:rPr/>
      </w:pPr>
      <w:bookmarkStart w:id="83" w:name="__RefHeading___Toc627901_1395250215"/>
      <w:bookmarkStart w:id="84" w:name="_Toc34"/>
      <w:bookmarkEnd w:id="83"/>
      <w:r>
        <w:rPr>
          <w:rtl w:val="true"/>
        </w:rPr>
        <w:t>اشاره</w:t>
      </w:r>
      <w:bookmarkEnd w:id="8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خداوند است و به هر فعلی اطلاق می شود که مکلف را به سوی اطاعت و دوری از معصیت برمی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گاه در افعال خداوند محقق می شود و خداوند، فاعلِ آن فعل است؛ مثل فرستادن پیامبران برای هدایت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افعال، اطلاق</w:t>
      </w:r>
    </w:p>
    <w:p>
      <w:pPr>
        <w:pStyle w:val="BookText"/>
        <w:rPr/>
      </w:pPr>
      <w:r>
        <w:rPr>
          <w:rFonts w:ascii="IRNazanin" w:hAnsi="IRNazanin" w:eastAsia="IRNazanin"/>
          <w:color w:val="111111"/>
          <w:sz w:val="28"/>
          <w:sz w:val="28"/>
          <w:szCs w:val="28"/>
          <w:rtl w:val="true"/>
          <w:lang w:bidi="fa-IR"/>
        </w:rPr>
        <w:t>صفت لطف بر خداوند بدین معناست که بر خداوند واجب است چنین فعلی را انجام دهد، وگرنه نقض غرض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گاه نیز با فعل غیر خداوند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خود به دو گونه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کسی انجام می دهد که لطف نیز به وی می رسد و از آن بهره می گیرد؛ مثل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شناخت خداوند می تواند به اطاعت وی دست یابد و از معصیت او نیز دوری کند، ولی با نشناختن وی چنین امری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افعال نیز اگر لطف از جمله صفت خداوند شمرده می شود، بدین لحاظ است که بر خداوند لازم است انجام دادن این عمل را بر مکلف لازم و ضروری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با اعطای عقل و حکم آن به وجوب شناخت خداوند، به چنین فعلی مبادرت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را کسی انجام می دهد که لطف به غیر خودش می رسد و دیگران از این فعل او بهره می برند؛ مثل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کسی که فردی را به معروف امر می کند، اطاعت دستور الهی نموده و از آن جهت سود می برد، ولی این فردِ پذیرنده امر و نهی است که سود مأمور به و فعل معروف، به وی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لطف از آن جهت صفت خداوند قرار می گیرد که خداوند مکلفان را به امر به معروف و نهی از منکر کردن دستور داده و چنین فعلی را بر آن‌ها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چنین وجوبی را مقرر نمی کرد، مکلفان نیز بدان مبادرت نمی ورزیدند و در نتیجه، افعال خوب رواج پیدا نمی کرد و افعال بد و زشت نیز ریشه‌کن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و 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مکلف به این لطف توجه کرده و با التزام به آن، به هدف برسد؛ مثل این‌که خداوند، پیامبران را برای هدایت بشر می فرستد و انسان‌ها نیز به این ارسال رسل توجه نموده و از دستورات آن‌ها تبعیت می کنند و در نهایت نیز هدایت‌پذیر شده و به سعادت نایل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مکلف می توانست با توجه‌کردن و التزام‌ورزی به آن، به هدف از فعل برسد، ولی به دلایل گوناگون دست به چنین کاری نزده است؛ مثل این‌که خداوند، پیامبران را برای هدایت بشر می فرستد، ولی برخی مردم از پذیرش دستورات آن‌ها سر باز می زنند؛ در نتیجه، هدایت نمی شوند و به سعادت هم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لطف در حالت اقتضا باقی می ماند، ولی در لطف محصّل، لطف از اقتضا به فعلیت می 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قاعده وجوب لطف، در استنباط بسیاری از مسائل مهمّ و ریشه‌ای علم کلام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موارد اشاره می شود</w:t>
      </w:r>
      <w:r>
        <w:rPr>
          <w:rFonts w:eastAsia="IRNazanin" w:cs="IRNazanin"/>
          <w:color w:val="111111"/>
          <w:sz w:val="28"/>
          <w:szCs w:val="28"/>
          <w:rtl w:val="true"/>
          <w:lang w:bidi="fa-IR"/>
        </w:rPr>
        <w:t>.</w:t>
      </w:r>
      <w:bookmarkStart w:id="85" w:name="pg2643_21668"/>
    </w:p>
    <w:p>
      <w:pPr>
        <w:pStyle w:val="Heading5"/>
        <w:numPr>
          <w:ilvl w:val="4"/>
          <w:numId w:val="1"/>
        </w:numPr>
        <w:rPr/>
      </w:pPr>
      <w:bookmarkStart w:id="86" w:name="__RefHeading___Toc627903_1395250215"/>
      <w:bookmarkStart w:id="87" w:name="_Toc35"/>
      <w:bookmarkEnd w:id="85"/>
      <w:bookmarkEnd w:id="86"/>
      <w:r>
        <w:rPr/>
        <w:t>5-1</w:t>
      </w:r>
      <w:r>
        <w:rPr>
          <w:rtl w:val="true"/>
        </w:rPr>
        <w:t xml:space="preserve">. </w:t>
      </w:r>
      <w:r>
        <w:rPr>
          <w:rtl w:val="true"/>
        </w:rPr>
        <w:t>بعثت پیامبران</w:t>
      </w:r>
      <w:bookmarkEnd w:id="87"/>
    </w:p>
    <w:p>
      <w:pPr>
        <w:pStyle w:val="BookText"/>
        <w:rPr/>
      </w:pPr>
      <w:r>
        <w:rPr>
          <w:rFonts w:ascii="IRNazanin" w:hAnsi="IRNazanin" w:eastAsia="IRNazanin"/>
          <w:color w:val="111111"/>
          <w:sz w:val="28"/>
          <w:sz w:val="28"/>
          <w:szCs w:val="28"/>
          <w:rtl w:val="true"/>
          <w:lang w:bidi="fa-IR"/>
        </w:rPr>
        <w:t>انسان با عقلِ خود به تعدادی از تکالیف عقلی دست پیدا می کند؛ مثلاً می تواند با استدلال عقلی، وجوب معرفت‌الله را بشناسد، زیرا بداهتِ عقلی حکم می کند انسان باید ضرر محتمل را از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دنیا انسان‌هایی یافت می شوند که تمام عمر خود را صرف هدایت و اصلاح جامعه کرده‌اند و پیاپی از وجود خداوند و جهانِ پس از مرگ خبر می دهند و در برابرِ مخالفت با آن نیز گرفتاری در عذاب الهی را پیش‌بینی کرده‌اند، در این صورت عقل حکم می کند انسان باید در پی دفع ضرر محتمل باشد و به دنبال شناخت راه صحیح برود و اگر راه صحیح منجر به پذیرش خدا باشد، باید بدان پای‌بند باشد و اگر به خلاف آن دست یابد، دغدغه و نگرانی از عذاب الهی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احکام عقلی،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احکام عقلی، وجوبِ شکر منعم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کلامی، دین و احکام شرعی را لطفی جهت دست‌یابی به احکام و تکالیف عقلی دانسته و معتقدند، انسان با پای‌بندی به تکالیف شرعی بهتر می تواند به تکالیف عقلی بپردازد؛ به همین دلیل، تکلیف شرعی لطف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نیز تکالیف شرعی بدون پیامبران قابل شناخت نیست؛ پس باید پیامبرانی برای بشر فرستاده شود تا انسان به تکالیف شرعی و در نتیجه، به تکالیف عقلی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کتاب‌ها، استدلال دیگری نیز ارائه می شود؛ انسان با تکیه بر عقل خود نمی تواند به سعادت و هدایت نهایی برسد، زیرا راه‌های هدایت و سعادت را با عقلِ صرف نمی توان شناخت؛ بنابراین، نیاز به شخصی است که این راه‌ها را از طریق وحی دریافت کرده باشد و به بشر نیز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جز انبیا و پیامبران الهی، کس دیگری نخواهد بود؛ تنها پیامبرانند که به همه راه‌های منجر به سعادت و هدایت بشر علم و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به وضوح، لطف بودنِ بعثت و ارسال پیامبران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سبحانی،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5"/>
        <w:numPr>
          <w:ilvl w:val="4"/>
          <w:numId w:val="1"/>
        </w:numPr>
        <w:rPr/>
      </w:pPr>
      <w:bookmarkStart w:id="88" w:name="__RefHeading___Toc627905_1395250215"/>
      <w:bookmarkStart w:id="89" w:name="_Toc36"/>
      <w:bookmarkEnd w:id="88"/>
      <w:r>
        <w:rPr/>
        <w:t>5-2</w:t>
      </w:r>
      <w:r>
        <w:rPr>
          <w:rtl w:val="true"/>
        </w:rPr>
        <w:t xml:space="preserve">. </w:t>
      </w:r>
      <w:r>
        <w:rPr>
          <w:rtl w:val="true"/>
        </w:rPr>
        <w:t>امامت</w:t>
      </w:r>
      <w:bookmarkEnd w:id="8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متکلمان اسلامی، کمتر مخالفی یافت می شود که وجوب امامت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به اندازه‌ای کم هستند که سید مرتضی معتقد است، آن‌ها به جهت کمیِ اعضا حتی نمی توانند به عنوان یک گروه مطرح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متکلمان در اصل وجوبِ امامت با یکدیگر اتفاق نظر دارند، ولی در ملاک و منشأ این وجوب، دیدگاه واحدی ارائه</w:t>
      </w:r>
      <w:bookmarkStart w:id="90" w:name="pg2643_21671"/>
    </w:p>
    <w:p>
      <w:pPr>
        <w:pStyle w:val="BookText"/>
        <w:rPr/>
      </w:pPr>
      <w:bookmarkEnd w:id="90"/>
      <w:r>
        <w:rPr>
          <w:rFonts w:ascii="IRNazanin" w:hAnsi="IRNazanin" w:eastAsia="IRNazanin"/>
          <w:color w:val="111111"/>
          <w:sz w:val="28"/>
          <w:sz w:val="28"/>
          <w:szCs w:val="28"/>
          <w:rtl w:val="true"/>
          <w:lang w:bidi="fa-IR"/>
        </w:rPr>
        <w:t>نکرده‌اند؛ اشاعره و برخی فرقه‌های کلامی، منشأ و ملاک این وجوب را نص و شرع می دانند و امامیه و معتزله نیز آن را به عقل واجب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استدلال‌های امامیه بر وجوب امامت،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معصومی که ریاست عامه بر مردم داشته باشد، مردم را به اطاعتِ اوامر و نواهی الهی تحریک کند و آن‌ها را از مخالفت با دستورات خداوند نهی کند، خود مایه اصلاح جامعه و قرار گرفتن در مسیر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چنین امامی، مردم به پذیرش و اطاعت دستورات الهی راغب‌تر خواهند بود و از مخالفت با امر و نهی الهی نیز برحذر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مصداق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نیز عصمت، امری مخفی و پنهان است و غیر از خداوند کسی از ذاتِ بندگان آگاهی ندارد؛ از این رو، این لطف بر خداوند واجب می شود تا نقض غرض رخ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مظفر،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سبزواری،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تفسیر قرآن کریم و تشریح مقاصد و اهداف آن، کشف اسرار و رموزش، تبیین حکم موضوعاتی که برای مردم پیش می آید، برطرف کردن شبهات و تشکیک‌های وارد بر مردم، محافظت دین از تحریف و تدلیس و پایش اصول و فروع دین، از جمله اموری است که نیازمند به متولی و کسی است که عهده‌دار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سپردن این امور به دست فرد معصوم، مردم به صلاح و رستگاری نزدیک‌تر خواهند شد و از معاصی نیز به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امری لطف است و بر خداوند، نصبِ فردی که توان انجام این امور را داشته باشد،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91" w:name="__RefHeading___Toc627907_1395250215"/>
      <w:bookmarkStart w:id="92" w:name="_Toc37"/>
      <w:bookmarkEnd w:id="91"/>
      <w:r>
        <w:rPr/>
        <w:t>5-3</w:t>
      </w:r>
      <w:r>
        <w:rPr>
          <w:rtl w:val="true"/>
        </w:rPr>
        <w:t xml:space="preserve">. </w:t>
      </w:r>
      <w:r>
        <w:rPr>
          <w:rtl w:val="true"/>
        </w:rPr>
        <w:t>فرصت دادن به فرد توبه کار برای جبران</w:t>
      </w:r>
      <w:bookmarkEnd w:id="9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کلام این بحث مطرح است که اگر خداوند علم داشته باشد کافری بعد از مدتی مؤمن خواهد شد و از کفرش برخواهد گشت و یا فرد فاسقی بعد از مدتی از فسق و گناه خود توبه خواهد کرد، آیا خداوند می تواند این فرد را پیش از فرصت دادن برای برگشت از کفر و یا توبه از فسقش از دنیا ببرد، یا باید به وی عمر دهد تا از کفرش و یا فسقش برگردد؟ شیخ مفید معتقد است، خداوند نباید فاسقی را که توبه خود را نقض نکرده و کافری را که به کفرش رجوع نکرده، بدون مهلت دادن برای جبران خطاهایش از دنیا ببرد، ولی اگر مهلت داده و دوباره به فسق و یا کفر خودش رجوع کرده باشد، لازم نیست خداوند به وی مهلت دوباره بدهد، زیرا اگر حکمت چنین امری را بر خداوند لازم کند، حکمتش به عبث تبدیل خواهد شد و تکلیف نیز هیچ اجری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bookmarkStart w:id="93" w:name="pg2643_21673"/>
    </w:p>
    <w:p>
      <w:pPr>
        <w:pStyle w:val="Heading3"/>
        <w:numPr>
          <w:ilvl w:val="2"/>
          <w:numId w:val="1"/>
        </w:numPr>
        <w:rPr/>
      </w:pPr>
      <w:bookmarkStart w:id="94" w:name="__RefHeading___Toc627909_1395250215"/>
      <w:bookmarkStart w:id="95" w:name="_Toc38"/>
      <w:bookmarkEnd w:id="93"/>
      <w:bookmarkEnd w:id="94"/>
      <w:r>
        <w:rPr>
          <w:rtl w:val="true"/>
        </w:rPr>
        <w:t>نتیجه گیری</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کارکردهای عقل به شمار می رود، قوه درک بایدها و نبایدها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عقل نظری و عملی، تفاوت ماهوی نیست، بلکه صرفاً در مدرَکات آن‌ها تفاوت است؛ عقل نظری به هست‌ها و نیست‌ها ناظر است و آن‌ها را درک می کند و عقل عملی باید‌ها و نبایدها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استنباط مسائل گوناگون کلامی می توان از عقل عملی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گزاره‌های اعتقادی بر اساس عقل عملی، بر پایه برخی قواعد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حسن و قبح یکی از همین قواعد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قاعده حسن و قبح می توان در برخی مسائل،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ثواب و عقاب بر افعال خوب و بد، امکان عفو مرتکب کبیره، پیراستگی فعل خداوند از بیهودگی و عبث، لزوم تأمل در براهین مدعیان نبوت، قبح تکلیف بما لایطاق، تبیین رابطه معجزه با صدق نبی، عصمتِ پیامبران، وجوب انتصاف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قاعده حسن و قبح، می توان از قاعده دفع ضرر محتمل در مسائلی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معرفت‌الله و وجوب تدین به امور اعتقادی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قاعده وجب شکر منعم، که یکی از پایه‌های اساسی در لزوم شناخت خداوند است، از جمله قواعدی است که ذیل کارکرد عقل عملی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تعلیق الواجب علی الجائز از دیگر قواعدی است که ذیل کارکرد عقل عملی است و در برخی مسائلِ اعتقادی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یکی دیگر از این قواعد است که در استنباط مسائل گوناگون،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بعثت پیامبران، لزوم امامت، فرصت دادن به فرد توبه‌کار برای جبران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کارآیی دارد</w:t>
      </w:r>
      <w:r>
        <w:rPr>
          <w:rFonts w:eastAsia="IRNazanin" w:cs="IRNazanin"/>
          <w:color w:val="111111"/>
          <w:sz w:val="28"/>
          <w:szCs w:val="28"/>
          <w:rtl w:val="true"/>
          <w:lang w:bidi="fa-IR"/>
        </w:rPr>
        <w:t>.</w:t>
      </w:r>
    </w:p>
    <w:p>
      <w:pPr>
        <w:pStyle w:val="Heading3"/>
        <w:numPr>
          <w:ilvl w:val="2"/>
          <w:numId w:val="1"/>
        </w:numPr>
        <w:rPr/>
      </w:pPr>
      <w:bookmarkStart w:id="96" w:name="__RefHeading___Toc627911_1395250215"/>
      <w:bookmarkStart w:id="97" w:name="_Toc39"/>
      <w:bookmarkEnd w:id="96"/>
      <w:r>
        <w:rPr>
          <w:rtl w:val="true"/>
        </w:rPr>
        <w:t>منابع</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ابن‌الوزیر، ابوعبدالله محمد‌بن‌ابراهیم،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ایثار الحق علی الخلق، قاهره،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ابن‌فارس، ابی‌الحسین احمد،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مقاییس اللغه، مصر، مطبعۀ البابی الحلبی و اولاده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سید‌جمال‌الدین میردامادی، بیروت، دارالفکر‌ـ دارصادر،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روش‌شناسیِ علم کلام، قم، سازمان چاپ و نشر دارالحدیث،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ابن‌اثیر،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قم، مؤسسه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عبد‌الغفور العطار، بیروت،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حسن‌بن‌یوسف‌بن‌مطهر،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حسن‌زاده‌آملی، قم، مؤسسة النشر الاسلامی،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خرازی، سید‌محسن،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بدایة المعارف الإلهیة فی شرح عقائد الإمامیة، قم، مؤسسة النشر الإسلامی،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حسین‌بن‌محمد،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داودی، دمشق، دارالعلم الدار‌الشامیة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محمد بن 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الإلهیات علی هدی الکتاب و السنة و العقل، قم، المرکز العالمی للدراسات الإسلامیة،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قطب‌الدین،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الخلاصة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 قم، کتاب‌خانه آیۀ‌الله مرعشی‌نجفی،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علی‌بن‌حسین‌بن‌موسی،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الشافی فی الإمامة،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سیدعبدالزهراء حسینی، تهران، مؤسسه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محمد‌بن‌حسن،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الشافی،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بحر‌العلوم، قم، انتشارات المحبین،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زین‌الدین‌بن‌علی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حقائق الإیمان مع رسالتی الاقتصاد و العدالة،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رجائی، قم، کتابخانه آیۀ‌الله مرعشی‌نجفی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أبوهلال،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الفروق اللغویة،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بیت‌الله بیات، قم،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خلیل‌بن احمد،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ابراهیم السامرائی و اسعد الطیب، قم، اسوه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محمد‌بن‌یعقوب‌بن‌اسحاق،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و محمد آخوندی، تهران، دارالکتب الإسلامیة،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محمدحسین،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الصدق،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محمد‌بن‌نعمان،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فی مقدمات الأصول، قم، المؤتمر العالمی للشیخ المفید،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أوائل المقالات فی المذاهب و المختارات، قم، 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الاعتقادیة، قم، المؤتمر العالمی للشیخ المفید</w:t>
      </w:r>
      <w:r>
        <w:rPr>
          <w:rFonts w:eastAsia="IRNazanin" w:cs="IRNazanin"/>
          <w:color w:val="111111"/>
          <w:sz w:val="28"/>
          <w:szCs w:val="28"/>
          <w:rtl w:val="true"/>
          <w:lang w:bidi="fa-IR"/>
        </w:rPr>
        <w:t>.</w:t>
      </w:r>
      <w:bookmarkStart w:id="98" w:name="pg2643_21677"/>
    </w:p>
    <w:p>
      <w:pPr>
        <w:pStyle w:val="Heading2"/>
        <w:numPr>
          <w:ilvl w:val="1"/>
          <w:numId w:val="1"/>
        </w:numPr>
        <w:rPr/>
      </w:pPr>
      <w:bookmarkStart w:id="99" w:name="__RefHeading___Toc627913_1395250215"/>
      <w:bookmarkStart w:id="100" w:name="_Toc40"/>
      <w:bookmarkEnd w:id="98"/>
      <w:bookmarkEnd w:id="99"/>
      <w:r>
        <w:rPr>
          <w:rtl w:val="true"/>
        </w:rPr>
        <w:t>مقایسه دیدگاه ملاصدرا و علامه طباطبائی درباره اراده الهی و ارزیابی دو دیدگاه بر اساس روایات</w:t>
      </w:r>
      <w:bookmarkEnd w:id="100"/>
    </w:p>
    <w:p>
      <w:pPr>
        <w:pStyle w:val="Heading3"/>
        <w:numPr>
          <w:ilvl w:val="2"/>
          <w:numId w:val="1"/>
        </w:numPr>
        <w:rPr/>
      </w:pPr>
      <w:bookmarkStart w:id="101" w:name="__RefHeading___Toc627915_1395250215"/>
      <w:bookmarkStart w:id="102" w:name="_Toc41"/>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 xml:space="preserve">محمدعلی دولت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موسی ملایری</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Malayeri50@yahoo.com</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1392/11/29</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1393/02/23</w:t>
      </w:r>
    </w:p>
    <w:p>
      <w:pPr>
        <w:pStyle w:val="Heading3"/>
        <w:numPr>
          <w:ilvl w:val="2"/>
          <w:numId w:val="1"/>
        </w:numPr>
        <w:rPr/>
      </w:pPr>
      <w:bookmarkStart w:id="103" w:name="__RefHeading___Toc627917_1395250215"/>
      <w:bookmarkStart w:id="104" w:name="_Toc42"/>
      <w:bookmarkEnd w:id="103"/>
      <w:r>
        <w:rPr>
          <w:rtl w:val="true"/>
        </w:rPr>
        <w:t>چکیده</w:t>
      </w:r>
      <w:bookmarkEnd w:id="104"/>
    </w:p>
    <w:p>
      <w:pPr>
        <w:pStyle w:val="BookText"/>
        <w:rPr/>
      </w:pPr>
      <w:r>
        <w:rPr>
          <w:rFonts w:ascii="IRNazanin" w:hAnsi="IRNazanin" w:eastAsia="IRNazanin"/>
          <w:color w:val="111111"/>
          <w:sz w:val="28"/>
          <w:sz w:val="28"/>
          <w:szCs w:val="28"/>
          <w:rtl w:val="true"/>
          <w:lang w:bidi="fa-IR"/>
        </w:rPr>
        <w:t>این مقاله در صدد است، ضمن گزارش و ارزیابیِ دقیق دیدگاه ملاصدرا و علامه طباطبائی درباره اراده الهی، نظریه‌ای نزدیک‌تر به روایات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اراده الهی را از صفات ذات و مساوق با علم به نظام اصلح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به دلیل ضعف فلسفیِ نظریه صدرا و نیز به دلیل تعارض آن با روایاتی که اراده را حادث، صفت فعل و غیر از علم و حبّ الهی می‌دانند، نظریه دیگری ارائه کرده و صفت اراده را از صفات فعل و از لوازم قدرت و اختیار الهی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سوم، که به گمان ما مستفاد از روایات است، مشیت که برخاسته از حکمت الهی است، واسطه علم و قدرت الهی با اراده اوست و اراده الهی موجب تقدیر و قضای الهی و بالتبع، تحقق خارجیِ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جهات سلبی، منطبق با نظریه علامه و در جهات اثباتی، مغایر با آن است</w:t>
      </w:r>
      <w:r>
        <w:rPr>
          <w:rFonts w:eastAsia="IRNazanin" w:cs="IRNazanin"/>
          <w:color w:val="111111"/>
          <w:sz w:val="28"/>
          <w:szCs w:val="28"/>
          <w:rtl w:val="true"/>
          <w:lang w:bidi="fa-IR"/>
        </w:rPr>
        <w:t>.</w:t>
      </w:r>
    </w:p>
    <w:p>
      <w:pPr>
        <w:pStyle w:val="Heading3"/>
        <w:numPr>
          <w:ilvl w:val="2"/>
          <w:numId w:val="1"/>
        </w:numPr>
        <w:rPr/>
      </w:pPr>
      <w:bookmarkStart w:id="105" w:name="__RefHeading___Toc627919_1395250215"/>
      <w:bookmarkStart w:id="106" w:name="_Toc43"/>
      <w:bookmarkEnd w:id="105"/>
      <w:r>
        <w:rPr>
          <w:rtl w:val="true"/>
        </w:rPr>
        <w:t>واژگان کلیدی</w:t>
      </w:r>
      <w:bookmarkEnd w:id="10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الهی، اراده ذاتی، صفت فعل، علم الهی، علم به نظام احسن، قدرت الهی، مشیّت</w:t>
      </w:r>
      <w:r>
        <w:rPr>
          <w:rFonts w:eastAsia="IRNazanin" w:cs="IRNazanin"/>
          <w:color w:val="111111"/>
          <w:sz w:val="28"/>
          <w:szCs w:val="28"/>
          <w:rtl w:val="true"/>
          <w:lang w:bidi="fa-IR"/>
        </w:rPr>
        <w:t>.</w:t>
      </w:r>
      <w:bookmarkStart w:id="107" w:name="pg2643_21679"/>
    </w:p>
    <w:p>
      <w:pPr>
        <w:pStyle w:val="Heading3"/>
        <w:numPr>
          <w:ilvl w:val="2"/>
          <w:numId w:val="1"/>
        </w:numPr>
        <w:rPr/>
      </w:pPr>
      <w:bookmarkStart w:id="108" w:name="__RefHeading___Toc627921_1395250215"/>
      <w:bookmarkStart w:id="109" w:name="_Toc44"/>
      <w:bookmarkEnd w:id="107"/>
      <w:bookmarkEnd w:id="108"/>
      <w:r>
        <w:rPr>
          <w:rtl w:val="true"/>
        </w:rPr>
        <w:t>بیان مسئله</w:t>
      </w:r>
      <w:bookmarkEnd w:id="109"/>
    </w:p>
    <w:p>
      <w:pPr>
        <w:pStyle w:val="BookText"/>
        <w:rPr/>
      </w:pPr>
      <w:r>
        <w:rPr>
          <w:rFonts w:ascii="IRNazanin" w:hAnsi="IRNazanin" w:eastAsia="IRNazanin"/>
          <w:color w:val="111111"/>
          <w:sz w:val="28"/>
          <w:sz w:val="28"/>
          <w:szCs w:val="28"/>
          <w:rtl w:val="true"/>
          <w:lang w:bidi="fa-IR"/>
        </w:rPr>
        <w:t>شناخت مبدأ جهان هستی، در زمره بنیادیترین شناخت‌ها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پرداختن به مباحث مبدأشناسی، همین بس که کسب بینش صحیح درباره جهان هستی و همه پدیدههای طبیعی و فراطبیعی و نیز شناخت انسان، متوقف بر داشتن شناخت صحیح درباره آفریدگار و کیفیت رابطه او با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مبدأشناسی از بُعد غایت‌نگری نیز میتواند در معرفت و اصلاح رابطه انسان و جهان هستی با خدا مؤثر باشد، زیرا در آیات و روایات، شناخت اسما و صفات الهی</w:t>
      </w:r>
      <w:r>
        <w:rPr>
          <w:rStyle w:val="FootnoteAnchor"/>
          <w:rtl w:val="true"/>
        </w:rPr>
        <w:footnoteReference w:id="6"/>
      </w:r>
      <w:r>
        <w:rPr>
          <w:rFonts w:ascii="IRNazanin" w:hAnsi="IRNazanin" w:eastAsia="IRNazanin"/>
          <w:color w:val="111111"/>
          <w:sz w:val="28"/>
          <w:sz w:val="28"/>
          <w:szCs w:val="28"/>
          <w:rtl w:val="true"/>
          <w:lang w:bidi="fa-IR"/>
        </w:rPr>
        <w:t>و تخلق به آن‌ها</w:t>
      </w:r>
      <w:r>
        <w:rPr>
          <w:rStyle w:val="FootnoteAnchor"/>
          <w:rtl w:val="true"/>
        </w:rPr>
        <w:footnoteReference w:id="7"/>
      </w:r>
      <w:r>
        <w:rPr>
          <w:rFonts w:ascii="IRNazanin" w:hAnsi="IRNazanin" w:eastAsia="IRNazanin"/>
          <w:color w:val="111111"/>
          <w:sz w:val="28"/>
          <w:sz w:val="28"/>
          <w:szCs w:val="28"/>
          <w:rtl w:val="true"/>
          <w:lang w:bidi="fa-IR"/>
        </w:rPr>
        <w:t>، غایتِ آفرینشِ انسان و جهان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مباحث مبدأشناسی، مبحث اسما و صفات الهی جزو مهم‌ترین مسائل است و در میان صفات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مهمی دارد و درباره آن اختلاف‌های بسیاری میان محدثان، مفسران، متکلمان، فیلسوفان و حتی در میان صاحب‌نظرانِ هر کدام از این حوزه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منظور از اراده در این نوشته، اراده تکوینیِ حق‌تعالی است که با آن آفرینش صورت می‌گیرد، اما اراده تشریعی که بر مدار مطلوب بودن یا نبودن امور نزد خداست و به حسب اختلاف درجاتِ مطلوبیت و عدم مطلوبیت، واجب و مستحبّ یا حرام و مکروه را تعریف می‌کند، با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مرتبط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محدثان شیعه، بر اساس جوامع روایی شیعه و نیز روایت معتبری از 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ـ که با صراحت قائلان به ازلی بودن اراده را مشرک به شمار آورده است ـ اراده را از صفات فعلیِ خدا می دانند؛ در مقابل، گروه کثیری از متکلمان و فیلسوفان، اراده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ذاتی و در نتیجه، ازلی دانسته‌اند</w:t>
      </w:r>
      <w:r>
        <w:rPr>
          <w:rFonts w:eastAsia="IRNazanin" w:cs="IRNazanin"/>
          <w:color w:val="111111"/>
          <w:sz w:val="28"/>
          <w:szCs w:val="28"/>
          <w:rtl w:val="true"/>
          <w:lang w:bidi="fa-IR"/>
        </w:rPr>
        <w:t>.</w:t>
      </w:r>
      <w:bookmarkStart w:id="110" w:name="pg2643_21681"/>
    </w:p>
    <w:p>
      <w:pPr>
        <w:pStyle w:val="BookText"/>
        <w:rPr/>
      </w:pPr>
      <w:bookmarkEnd w:id="110"/>
      <w:r>
        <w:rPr>
          <w:rFonts w:ascii="IRNazanin" w:hAnsi="IRNazanin" w:eastAsia="IRNazanin"/>
          <w:color w:val="111111"/>
          <w:sz w:val="28"/>
          <w:sz w:val="28"/>
          <w:szCs w:val="28"/>
          <w:rtl w:val="true"/>
          <w:lang w:bidi="fa-IR"/>
        </w:rPr>
        <w:t>در میان فیلسوفان، بین ملاصدرا و علامه طباطبائی، دو چهره شاخصِ فلسفه، درباره اراده الهی اختلاف نظرهای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این‌که بسیاری از صاحب‌نظرانِ حکمت و عرفانِ دوره معاصر اعتقاد دارند نوع نگرش حکمت متعالیه کاملاً منطبق با آموزه‌های قرآن و عترت بوده و حکمت متعالیه، تفسیر انفسیِ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حسن‌زاده‌آملی،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علامه طباطبائی به دلیل ارتباط جدی‌تر با آیات و روایات، در برخی موضوعات، از جمله در بحث اراده، برخلاف مشی فیلسوفان گام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هرچند دیدگاه علامه متأثر از آیات و روایات است، اما هم‌چنان با ظواهر مستفاد از تراث رواییِ امامیه اختلافاتی دارد که در این مقاله سعی شده از منظر روایات، این اختلاف‌ها مورد ارزیابی قرار بگیرد</w:t>
      </w:r>
      <w:r>
        <w:rPr>
          <w:rFonts w:eastAsia="IRNazanin" w:cs="IRNazanin"/>
          <w:color w:val="111111"/>
          <w:sz w:val="28"/>
          <w:szCs w:val="28"/>
          <w:rtl w:val="true"/>
          <w:lang w:bidi="fa-IR"/>
        </w:rPr>
        <w:t>.</w:t>
      </w:r>
    </w:p>
    <w:p>
      <w:pPr>
        <w:pStyle w:val="Heading3"/>
        <w:numPr>
          <w:ilvl w:val="2"/>
          <w:numId w:val="1"/>
        </w:numPr>
        <w:rPr/>
      </w:pPr>
      <w:bookmarkStart w:id="111" w:name="__RefHeading___Toc627923_1395250215"/>
      <w:bookmarkStart w:id="112" w:name="_Toc45"/>
      <w:bookmarkEnd w:id="111"/>
      <w:r>
        <w:rPr>
          <w:rtl w:val="true"/>
        </w:rPr>
        <w:t>دیدگاه صدر المتالهین</w:t>
      </w:r>
      <w:bookmarkEnd w:id="112"/>
    </w:p>
    <w:p>
      <w:pPr>
        <w:pStyle w:val="Heading4"/>
        <w:numPr>
          <w:ilvl w:val="3"/>
          <w:numId w:val="1"/>
        </w:numPr>
        <w:rPr/>
      </w:pPr>
      <w:bookmarkStart w:id="113" w:name="__RefHeading___Toc627925_1395250215"/>
      <w:bookmarkStart w:id="114" w:name="_Toc46"/>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در بررسی دیدگاه صدرا، تأمل در چهار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اراده، جایگاه آن در میان صفات الهی، فرق اراده الهی با اراده انسان و جایگاه مشیت در نظریه صدرایی، ضروری است</w:t>
      </w:r>
      <w:r>
        <w:rPr>
          <w:rFonts w:eastAsia="IRNazanin" w:cs="IRNazanin"/>
          <w:color w:val="111111"/>
          <w:sz w:val="28"/>
          <w:szCs w:val="28"/>
          <w:rtl w:val="true"/>
          <w:lang w:bidi="fa-IR"/>
        </w:rPr>
        <w:t>.</w:t>
      </w:r>
    </w:p>
    <w:p>
      <w:pPr>
        <w:pStyle w:val="Heading4"/>
        <w:numPr>
          <w:ilvl w:val="3"/>
          <w:numId w:val="1"/>
        </w:numPr>
        <w:rPr/>
      </w:pPr>
      <w:bookmarkStart w:id="115" w:name="__RefHeading___Toc627927_1395250215"/>
      <w:bookmarkStart w:id="116" w:name="_Toc47"/>
      <w:bookmarkEnd w:id="115"/>
      <w:r>
        <w:rPr/>
        <w:t>1</w:t>
      </w:r>
      <w:r>
        <w:rPr>
          <w:rtl w:val="true"/>
        </w:rPr>
        <w:t xml:space="preserve">. </w:t>
      </w:r>
      <w:r>
        <w:rPr>
          <w:rtl w:val="true"/>
        </w:rPr>
        <w:t>ماهیت اراده</w:t>
      </w:r>
      <w:bookmarkEnd w:id="116"/>
    </w:p>
    <w:p>
      <w:pPr>
        <w:pStyle w:val="Heading5"/>
        <w:numPr>
          <w:ilvl w:val="4"/>
          <w:numId w:val="1"/>
        </w:numPr>
        <w:rPr/>
      </w:pPr>
      <w:bookmarkStart w:id="117" w:name="__RefHeading___Toc627929_1395250215"/>
      <w:bookmarkStart w:id="118" w:name="_Toc48"/>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نگرش صدرایی به اراده الهی در دو حوزه قابل تفکیک است؛ وی گاهی اراده الهی را عین علم او می‌داند و گاهی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 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آن استفاده می‌کند</w:t>
      </w:r>
      <w:r>
        <w:rPr>
          <w:rFonts w:eastAsia="IRNazanin" w:cs="IRNazanin"/>
          <w:color w:val="111111"/>
          <w:sz w:val="28"/>
          <w:szCs w:val="28"/>
          <w:rtl w:val="true"/>
          <w:lang w:bidi="fa-IR"/>
        </w:rPr>
        <w:t>.</w:t>
      </w:r>
    </w:p>
    <w:p>
      <w:pPr>
        <w:pStyle w:val="Heading5"/>
        <w:numPr>
          <w:ilvl w:val="4"/>
          <w:numId w:val="1"/>
        </w:numPr>
        <w:rPr/>
      </w:pPr>
      <w:bookmarkStart w:id="119" w:name="__RefHeading___Toc627931_1395250215"/>
      <w:bookmarkStart w:id="120" w:name="_Toc49"/>
      <w:bookmarkEnd w:id="119"/>
      <w:r>
        <w:rPr>
          <w:rtl w:val="true"/>
        </w:rPr>
        <w:t>الف</w:t>
      </w:r>
      <w:r>
        <w:rPr>
          <w:rtl w:val="true"/>
        </w:rPr>
        <w:t xml:space="preserve">) </w:t>
      </w:r>
      <w:r>
        <w:rPr>
          <w:rtl w:val="true"/>
        </w:rPr>
        <w:t>علم الهی</w:t>
      </w:r>
      <w:bookmarkEnd w:id="120"/>
    </w:p>
    <w:p>
      <w:pPr>
        <w:pStyle w:val="BookText"/>
        <w:rPr/>
      </w:pPr>
      <w:r>
        <w:rPr>
          <w:rFonts w:ascii="IRNazanin" w:hAnsi="IRNazanin" w:eastAsia="IRNazanin"/>
          <w:color w:val="111111"/>
          <w:sz w:val="28"/>
          <w:sz w:val="28"/>
          <w:szCs w:val="28"/>
          <w:rtl w:val="true"/>
          <w:lang w:bidi="fa-IR"/>
        </w:rPr>
        <w:t xml:space="preserve">محور نظریه صدرالمتألهین درباره ماهیت اراده الهی، علم است؛ به عبارت دیگر، اگر این صفت الهی به درستی تجزیه و تحلیل شود، هسته مرکزیِ مفهوم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نظام اکمل امکانی را تابع نظام واجب حق، و نظام واجب حق را عین علم و اراده حق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مبدأ به فیضان اشیا از او، که عین ذات اوست، همان اراده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رسائل فلسفی ابراز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اراده الهی، همان علم به نظام احسن و اصلح است که تابع علم به ذات اوست و علم به ذات، انگیزه افاده خیر و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صدرا با استناد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کَلَمْحٍ بِالْبَصَرِ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امرِ ما در آفرینش،</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یک اراده نیست که مانند یک چشم بر‌هم‌زدن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او چنین است که هر گاه چیزی را اراده کند، فقط به آن می‌گوید</w:t>
      </w:r>
      <w:r>
        <w:rPr>
          <w:rFonts w:eastAsia="IRNazanin" w:cs="IRNazanin"/>
          <w:color w:val="111111"/>
          <w:sz w:val="28"/>
          <w:szCs w:val="28"/>
          <w:rtl w:val="true"/>
          <w:lang w:bidi="fa-IR"/>
        </w:rPr>
        <w:t>:</w:t>
      </w:r>
      <w:bookmarkStart w:id="121" w:name="pg2643_21683"/>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بی‌درنگ موجود می‌شود،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اراده خدا ازلی است و تعلق اراده خداوند به بعضی پدیده‌ها در اجزای زمانی معین، به دلیل حضور استعداد آن پدیده‌هاست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صدرا تصریح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نظام کامل، عین اراده اوست و همان علم، هم انگیزه فعل و هم غایتِ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بودن و مرید بودن خداوند، امر واحدی است که مستلزم تغایر خارجی و مفهومی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در اظهارات ملاصدرا مشاهده می‌شود که علم الهی را می‌توان به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زیرا علم الهی به ممکنات، از این حیث که منشأ صدور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حیث که برای صدور آن‌ها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در مواجهه با روایات معتبری که ازلی بودن اراده الهی را نفی می‌کنند، صراحتاً مدعی می‌شود روایات کافی در صدد بیان اراده متجدد برای خداوند نیستند، بلکه منظور از این روایات، صرفاً تحقق خارجی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دو معنا دارد؛ معنایی عرفی که در مقابل کراهت است و با تصور ملایمت شیء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دوم درباره خداوند این‌که، ذات او به گونه‌ای است که به سبب علم به نظام خیر، پدیده‌ها از او صادر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دیدگاهش معارض با روایات جلوه نکند و ثانیاً، اثبات کند در میان اصحاب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ظرفیت شنیدن مطالبی در سطح مطالب او را نداشته است؛ لذا در پایان شرح روایات باب اراده کافی مدعی می‌شود، نوع سخنان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به گونه‌ای است که مخاطبان، خدا را محلّ حوادث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صدرا از اراده الهی با تکلف‌های متعدد و دشواری‌های فراوانی مواجه شده است؛ تا جایی که او ناچار شده مفاهیم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ذاتی، ابتهاج ذاتی و عنایت ذاتی را نیز در این مقوله وارد کند</w:t>
      </w:r>
      <w:r>
        <w:rPr>
          <w:rFonts w:eastAsia="IRNazanin" w:cs="IRNazanin"/>
          <w:color w:val="111111"/>
          <w:sz w:val="28"/>
          <w:szCs w:val="28"/>
          <w:rtl w:val="true"/>
          <w:lang w:bidi="fa-IR"/>
        </w:rPr>
        <w:t>.</w:t>
      </w:r>
    </w:p>
    <w:p>
      <w:pPr>
        <w:pStyle w:val="Heading5"/>
        <w:numPr>
          <w:ilvl w:val="4"/>
          <w:numId w:val="1"/>
        </w:numPr>
        <w:rPr/>
      </w:pPr>
      <w:bookmarkStart w:id="122" w:name="__RefHeading___Toc627933_1395250215"/>
      <w:bookmarkStart w:id="123" w:name="_Toc50"/>
      <w:bookmarkEnd w:id="122"/>
      <w:r>
        <w:rPr>
          <w:rtl w:val="true"/>
        </w:rPr>
        <w:t>ب</w:t>
      </w:r>
      <w:r>
        <w:rPr>
          <w:rtl w:val="true"/>
        </w:rPr>
        <w:t xml:space="preserve">) </w:t>
      </w:r>
      <w:r>
        <w:rPr>
          <w:rtl w:val="true"/>
        </w:rPr>
        <w:t>ابتهاج و حب ذاتی</w:t>
      </w:r>
      <w:bookmarkEnd w:id="12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 معتقد است، با توجه به این‌که واجب‌تعالی از هر گونه کثرت و نقص مبرّا بوده و او وجود تامّ، بلکه فوق تمام است، امکان ندارد انگیزه‌ای خارج از ذاتش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خدا، علمِ ذاتی او به نظام خیر و نفس‌الامر است، زیرا او هنگامی که علم ذاتی به پدیده‌ای داشته باشد، به صورت ذاتی ابتهاج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درباره پدیده‌ای ابتهاج داشته باشد، برای تمام چیزهایی که از او صادر می‌شود، چون از او صادر شده، ابتهاج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1354</w:t>
      </w:r>
      <w:r>
        <w:rPr>
          <w:rFonts w:eastAsia="IRNazanin" w:cs="IRNazanin"/>
          <w:color w:val="111111"/>
          <w:sz w:val="28"/>
          <w:szCs w:val="28"/>
          <w:rtl w:val="true"/>
          <w:lang w:bidi="fa-IR"/>
        </w:rPr>
        <w:t>:</w:t>
      </w:r>
      <w:bookmarkStart w:id="124" w:name="pg2643_21685"/>
    </w:p>
    <w:p>
      <w:pPr>
        <w:pStyle w:val="BookText"/>
        <w:rPr/>
      </w:pPr>
      <w:bookmarkEnd w:id="124"/>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قائل به رابطه اتحاد میان اراده و محبت الهی می‌باشد و در نتیجه، محبت را نیز ذاتی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صدرا از جهات متعددی با اشکال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اختیار از خداوند و نیز مجبور بودن مخلوقات، مهم‌ترین اشکالات عینیت علم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علم خدا، اراده او باشد، زیرا خدا به همه‌چیز علم دارد، اما همه‌چیز را اراده نمی‌کند؛ چنان‌که امور قبیح و شرّ، مانند ظلم و گناهان را اراده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اخیر مورد توجه ملاصدرا نیز قرار گرفته است، اما او ادعا می‌کند طراحان این اشکال، مفهوم و مصداق را خلط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پاسخی اجمالی به وجود شرور در جهان هستی، به عنوان مصداق خارجیِ اشکال مذکور ارائه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4"/>
        <w:numPr>
          <w:ilvl w:val="3"/>
          <w:numId w:val="1"/>
        </w:numPr>
        <w:rPr/>
      </w:pPr>
      <w:bookmarkStart w:id="125" w:name="__RefHeading___Toc627935_1395250215"/>
      <w:bookmarkStart w:id="126" w:name="_Toc51"/>
      <w:bookmarkEnd w:id="125"/>
      <w:r>
        <w:rPr/>
        <w:t>2</w:t>
      </w:r>
      <w:r>
        <w:rPr>
          <w:rtl w:val="true"/>
        </w:rPr>
        <w:t xml:space="preserve">. </w:t>
      </w:r>
      <w:r>
        <w:rPr>
          <w:rtl w:val="true"/>
        </w:rPr>
        <w:t>جایگاه اراده در صفات الهی</w:t>
      </w:r>
      <w:bookmarkEnd w:id="126"/>
    </w:p>
    <w:p>
      <w:pPr>
        <w:pStyle w:val="BookText"/>
        <w:rPr/>
      </w:pPr>
      <w:r>
        <w:rPr>
          <w:rFonts w:ascii="IRNazanin" w:hAnsi="IRNazanin" w:eastAsia="IRNazanin"/>
          <w:color w:val="111111"/>
          <w:sz w:val="28"/>
          <w:sz w:val="28"/>
          <w:szCs w:val="28"/>
          <w:rtl w:val="true"/>
          <w:lang w:bidi="fa-IR"/>
        </w:rPr>
        <w:t>دیگر پرسشی که متکلمان و فیلسوفان با آن مواجه بوده‌اند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اراده هر چه باشد، از سنخ قدرت الهی باشد یا از سنخ علم او، آیا از صفات فعل است یا از صفات ذات؟</w:t>
      </w:r>
    </w:p>
    <w:p>
      <w:pPr>
        <w:pStyle w:val="BookText"/>
        <w:rPr/>
      </w:pPr>
      <w:r>
        <w:rPr>
          <w:rFonts w:ascii="IRNazanin" w:hAnsi="IRNazanin" w:eastAsia="IRNazanin"/>
          <w:color w:val="111111"/>
          <w:sz w:val="28"/>
          <w:sz w:val="28"/>
          <w:szCs w:val="28"/>
          <w:rtl w:val="true"/>
          <w:lang w:bidi="fa-IR"/>
        </w:rPr>
        <w:t xml:space="preserve">روش صدرا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ذاتی‌بودن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صورت مستقیم، به ذاتی بودن صفت اراده تصریح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صورت غیرمستقیم و با ازلی دانستن این صفت، تلویحاً آن را ذاتی به شمار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برای اثبات این مطلب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واجب من جمیع الجهات است و اراده خداوند</w:t>
      </w:r>
    </w:p>
    <w:p>
      <w:pPr>
        <w:pStyle w:val="BookText"/>
        <w:rPr/>
      </w:pPr>
      <w:r>
        <w:rPr>
          <w:rFonts w:ascii="IRNazanin" w:hAnsi="IRNazanin" w:eastAsia="IRNazanin"/>
          <w:color w:val="111111"/>
          <w:sz w:val="28"/>
          <w:sz w:val="28"/>
          <w:szCs w:val="28"/>
          <w:rtl w:val="true"/>
          <w:lang w:bidi="fa-IR"/>
        </w:rPr>
        <w:t xml:space="preserve">مانند ذات او واجب الوجود است و این، از دلایل ذاتی بودن صفت اراده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ضمن توجه به روایات امامیه و به‌خصوص روایت شیخ صدوق، مبنی بر این‌که اراده خداوند از صفات فعل اوست، همانند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توجیه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اعتقاد دارد، منظور از اراده 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و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حقیقت، مراد از آن، تحقق خارجیِ اراده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تفسیر اراده را همانند تفسیر علم می‌داند؛ علم، مراتبی دارد و آخرین مرتبه آن، تحقق خارجیِ موجودات و صدور انکشافی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ذات و هویت موجودات، از جنبه‌ای علم خدا و از جنبه دیگر معلوم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معلومیتِ آن‌ها عین ذات موجودات است، نه آن‌که عالمیت خدا عین ذات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معنای عالمیت، عین ذات او و قدیم است و علم به معنای</w:t>
      </w:r>
      <w:bookmarkStart w:id="127" w:name="pg2643_21687"/>
    </w:p>
    <w:p>
      <w:pPr>
        <w:pStyle w:val="BookText"/>
        <w:rPr/>
      </w:pPr>
      <w:bookmarkEnd w:id="127"/>
      <w:r>
        <w:rPr>
          <w:rFonts w:ascii="IRNazanin" w:hAnsi="IRNazanin" w:eastAsia="IRNazanin"/>
          <w:color w:val="111111"/>
          <w:sz w:val="28"/>
          <w:sz w:val="28"/>
          <w:szCs w:val="28"/>
          <w:rtl w:val="true"/>
          <w:lang w:bidi="fa-IR"/>
        </w:rPr>
        <w:t>معلومیت، عین ممکنات و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نیز همین‌گونه تفسیر می‌شود؛ یعنی اراده مراتبی دارد و آخرین مرتبه آن، ذات موجودات فعلیت‌یافته است؛ لذا اگر اراده به معنای مُراد لحاظ شود، عین ذات موجودات و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تعابیر صدرا موجب شده که بعضی بپندارند، وی اراده خدا را دو نوع می‌داند و میان اراده ذاتی و اراده فعلی تفکیک قائل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تفسیر صدرا از روایت شیخ صدوق، توجیهی برای طرفین اراده، یعنی مرید و مراد است، چراکه او اراده را از مقام ذات انتزاع کرده است</w:t>
      </w:r>
      <w:r>
        <w:rPr>
          <w:rFonts w:eastAsia="IRNazanin" w:cs="IRNazanin"/>
          <w:color w:val="111111"/>
          <w:sz w:val="28"/>
          <w:szCs w:val="28"/>
          <w:rtl w:val="true"/>
          <w:lang w:bidi="fa-IR"/>
        </w:rPr>
        <w:t>.</w:t>
      </w:r>
    </w:p>
    <w:p>
      <w:pPr>
        <w:pStyle w:val="Heading4"/>
        <w:numPr>
          <w:ilvl w:val="3"/>
          <w:numId w:val="1"/>
        </w:numPr>
        <w:rPr/>
      </w:pPr>
      <w:bookmarkStart w:id="128" w:name="__RefHeading___Toc627937_1395250215"/>
      <w:bookmarkStart w:id="129" w:name="_Toc52"/>
      <w:bookmarkEnd w:id="128"/>
      <w:r>
        <w:rPr/>
        <w:t>3</w:t>
      </w:r>
      <w:r>
        <w:rPr>
          <w:rtl w:val="true"/>
        </w:rPr>
        <w:t xml:space="preserve">. </w:t>
      </w:r>
      <w:r>
        <w:rPr>
          <w:rtl w:val="true"/>
        </w:rPr>
        <w:t>فرق اراده الهی و اراده انسان</w:t>
      </w:r>
      <w:bookmarkEnd w:id="129"/>
    </w:p>
    <w:p>
      <w:pPr>
        <w:pStyle w:val="BookText"/>
        <w:rPr/>
      </w:pPr>
      <w:r>
        <w:rPr>
          <w:rFonts w:ascii="IRNazanin" w:hAnsi="IRNazanin" w:eastAsia="IRNazanin"/>
          <w:color w:val="111111"/>
          <w:sz w:val="28"/>
          <w:sz w:val="28"/>
          <w:szCs w:val="28"/>
          <w:rtl w:val="true"/>
          <w:lang w:bidi="fa-IR"/>
        </w:rPr>
        <w:t xml:space="preserve">ملاصدرا معتقد است، کاربرد اراده در نوع انسان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صورت تصور ملایمت پدیده‌ای حاصل می‌شود و این تصور می‌تواند انگیزه‌ای برای فعل یا ترک 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جزو صفات نفسانی انسان و حیوان، مانند شهوت و غضب است و چنین معنایی درباره خداوند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تصریح می‌کند، اراده خدا به دلیل علم او به جهت خیریتِ فعل، موجب صدور آن می‌شود و کراهت او، صادر نشدن فعل قبیح به دلیل علم او به قُبح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130" w:name="__RefHeading___Toc627939_1395250215"/>
      <w:bookmarkStart w:id="131" w:name="_Toc53"/>
      <w:bookmarkEnd w:id="130"/>
      <w:r>
        <w:rPr/>
        <w:t>4</w:t>
      </w:r>
      <w:r>
        <w:rPr>
          <w:rtl w:val="true"/>
        </w:rPr>
        <w:t xml:space="preserve">. </w:t>
      </w:r>
      <w:r>
        <w:rPr>
          <w:rtl w:val="true"/>
        </w:rPr>
        <w:t>جایگاه مشیت در نظریه صدرا</w:t>
      </w:r>
      <w:bookmarkEnd w:id="1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بحث از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مفاهیمی است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صدرا، تفاوتی میان مشیّت و اراده الهی با همدیگر و با علم الهی وجود ندارد و خداوند، مشیّت اجمالی ازلی دارد که مساوق با علم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در شرح کافی درباره مشیّت نیز همان تعبیرات مربوط به تقسیم اراده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دو گونه است؛ مشیتی که به تحقق خارجیِ فعل اشاره دارد و مشیتی که عین علم ازلیِ اجمالیِ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اراده و مشیت الهی نیز مانند علم او مراتبی دارد و بیان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فرق علم الهی با مشیت و اراده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علم خدا بر مشیت و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ـ صرفاً ناظر به مفهوم مشیّت و علم است، نه تحقق خارجی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مانند بحث ماهیت اراده،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مشیت نیز به کار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132" w:name="pg2643_21689"/>
    </w:p>
    <w:p>
      <w:pPr>
        <w:pStyle w:val="BookText"/>
        <w:rPr/>
      </w:pPr>
      <w:bookmarkEnd w:id="132"/>
      <w:r>
        <w:rPr>
          <w:rFonts w:ascii="IRNazanin" w:hAnsi="IRNazanin" w:eastAsia="IRNazanin"/>
          <w:color w:val="111111"/>
          <w:sz w:val="28"/>
          <w:sz w:val="28"/>
          <w:szCs w:val="28"/>
          <w:rtl w:val="true"/>
          <w:lang w:bidi="fa-IR"/>
        </w:rPr>
        <w:t xml:space="preserve">صدرا در جای دیگر، مشیّت حق‌تعالی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است؛ از این رو، ناچار شده که عنایت حق‌تعالی را نیز عین ذات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اصولِ دیدگاه صدرا درباره اراده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فراهم شدن زمینه مقایسه و بحث، به دیدگاه علامه طباطبائی پرداخته می‌شود</w:t>
      </w:r>
      <w:r>
        <w:rPr>
          <w:rFonts w:eastAsia="IRNazanin" w:cs="IRNazanin"/>
          <w:color w:val="111111"/>
          <w:sz w:val="28"/>
          <w:szCs w:val="28"/>
          <w:rtl w:val="true"/>
          <w:lang w:bidi="fa-IR"/>
        </w:rPr>
        <w:t>.</w:t>
      </w:r>
    </w:p>
    <w:p>
      <w:pPr>
        <w:pStyle w:val="Heading3"/>
        <w:numPr>
          <w:ilvl w:val="2"/>
          <w:numId w:val="1"/>
        </w:numPr>
        <w:rPr/>
      </w:pPr>
      <w:bookmarkStart w:id="133" w:name="__RefHeading___Toc627941_1395250215"/>
      <w:bookmarkStart w:id="134" w:name="_Toc54"/>
      <w:bookmarkEnd w:id="133"/>
      <w:r>
        <w:rPr>
          <w:rtl w:val="true"/>
        </w:rPr>
        <w:t>دیدگاه علامه طباطبایی</w:t>
      </w:r>
      <w:bookmarkEnd w:id="134"/>
    </w:p>
    <w:p>
      <w:pPr>
        <w:pStyle w:val="Heading4"/>
        <w:numPr>
          <w:ilvl w:val="3"/>
          <w:numId w:val="1"/>
        </w:numPr>
        <w:rPr/>
      </w:pPr>
      <w:bookmarkStart w:id="135" w:name="__RefHeading___Toc627943_1395250215"/>
      <w:bookmarkStart w:id="136" w:name="_Toc55"/>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دیدگاه علامه طباطبائی علاوه بر دقت‌های عمیق فلسفی، با تأکید بر غفلت صدرا از اصول روش‌شناختی فلسفی، در تحلیل وجودشناختی صفات خداوند ارائه شده است</w:t>
      </w:r>
      <w:r>
        <w:rPr>
          <w:rFonts w:eastAsia="IRNazanin" w:cs="IRNazanin"/>
          <w:color w:val="111111"/>
          <w:sz w:val="28"/>
          <w:szCs w:val="28"/>
          <w:rtl w:val="true"/>
          <w:lang w:bidi="fa-IR"/>
        </w:rPr>
        <w:t>.</w:t>
      </w:r>
    </w:p>
    <w:p>
      <w:pPr>
        <w:pStyle w:val="Heading4"/>
        <w:numPr>
          <w:ilvl w:val="3"/>
          <w:numId w:val="1"/>
        </w:numPr>
        <w:rPr/>
      </w:pPr>
      <w:bookmarkStart w:id="137" w:name="__RefHeading___Toc627945_1395250215"/>
      <w:bookmarkStart w:id="138" w:name="_Toc56"/>
      <w:bookmarkEnd w:id="137"/>
      <w:r>
        <w:rPr/>
        <w:t>1</w:t>
      </w:r>
      <w:r>
        <w:rPr>
          <w:rtl w:val="true"/>
        </w:rPr>
        <w:t xml:space="preserve">. </w:t>
      </w:r>
      <w:r>
        <w:rPr>
          <w:rtl w:val="true"/>
        </w:rPr>
        <w:t>نقد روش شناختی علامه به صدرا در بحث اراده الهی</w:t>
      </w:r>
      <w:bookmarkEnd w:id="138"/>
    </w:p>
    <w:p>
      <w:pPr>
        <w:pStyle w:val="BookText"/>
        <w:rPr/>
      </w:pPr>
      <w:r>
        <w:rPr>
          <w:rFonts w:ascii="IRNazanin" w:hAnsi="IRNazanin" w:eastAsia="IRNazanin"/>
          <w:color w:val="111111"/>
          <w:sz w:val="28"/>
          <w:sz w:val="28"/>
          <w:szCs w:val="28"/>
          <w:rtl w:val="true"/>
          <w:lang w:bidi="fa-IR"/>
        </w:rPr>
        <w:t xml:space="preserve">به اعتقاد علامه طباطبائی، روش صحیحِ شناخت صفات الهی، شناسایی هسته اصلی مفاهیم صفات در انسان و خالی کردن مفاهیم از خصوصیات مصداق است؛ به عبارت دیگر، مفاهیم صفات الهی را باید با بررسی همان صفات در بشر شناسایی کرد، ولی از آن‌جا که خداوند از هر گونه نقص و عیب مبرّاست، باید مفاهیمِ به‌دست‌آمده را از نواقص امکانی تجرید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ملاصدرا نیز به این روش اعتقاد دارد و در بسیاری موارد، از جمله در بحث اراده الهی به همین روش عمل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این اشتراک، شیوه به‌کارگیری مقدمات و چگونگی نتیجه‌گیری در آثار ملاصدرا و علامه کاملاً متفاوت بوده است؛ یعنی با شناخت اراده انسان و خالی کردن آن از خصوصیات مصداقی آدمی، هرگز نمی‌توان مفهوم علم، حبّ، رضا و یا صفات دیگری را که ملاصدرا بیان کرده، انتزاع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مواردی که علامه به روش ملاصدرا 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کرده، خروج صدرا از روش فلسفی در چگونگی تعیین جایگاه اراده در صفات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4"/>
        <w:numPr>
          <w:ilvl w:val="3"/>
          <w:numId w:val="1"/>
        </w:numPr>
        <w:rPr/>
      </w:pPr>
      <w:bookmarkStart w:id="139" w:name="__RefHeading___Toc627947_1395250215"/>
      <w:bookmarkStart w:id="140" w:name="_Toc57"/>
      <w:bookmarkEnd w:id="139"/>
      <w:r>
        <w:rPr/>
        <w:t>2</w:t>
      </w:r>
      <w:r>
        <w:rPr>
          <w:rtl w:val="true"/>
        </w:rPr>
        <w:t xml:space="preserve">. </w:t>
      </w:r>
      <w:r>
        <w:rPr>
          <w:rtl w:val="true"/>
        </w:rPr>
        <w:t>ماهیت اراده</w:t>
      </w:r>
      <w:bookmarkEnd w:id="1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ملاصدرا و علامه طباطبائی در این است که علامه با پی بردن به مشکلات عمیق نظریه صدرا، به‌ویژه اشکال سلب اختیار از خداوند و یا مجبور بودن مخلوقات، اراده را زیرمجموعه علم الهی ندانسته و آن را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قدرت الهی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اختیار و اراده، از شرایط قدرت است و اساساً قدرت با مجبور بودن قابل جمع نیست، زیرا قدرت در فاعلیت مطرح است، نه در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فعلی که بر اثر اضطرار یا</w:t>
      </w:r>
      <w:bookmarkStart w:id="141" w:name="pg2643_21690"/>
    </w:p>
    <w:p>
      <w:pPr>
        <w:pStyle w:val="BookText"/>
        <w:rPr/>
      </w:pPr>
      <w:bookmarkEnd w:id="141"/>
      <w:r>
        <w:rPr>
          <w:rFonts w:ascii="IRNazanin" w:hAnsi="IRNazanin" w:eastAsia="IRNazanin"/>
          <w:color w:val="111111"/>
          <w:sz w:val="28"/>
          <w:sz w:val="28"/>
          <w:szCs w:val="28"/>
          <w:rtl w:val="true"/>
          <w:lang w:bidi="fa-IR"/>
        </w:rPr>
        <w:t xml:space="preserve">ایجاب صورت بگیرد، صفت اراده معنایی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علامه در این بیان، با نگرشی سلبی، به اثبات صفت اراده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علامه، ارجاع اراده الهی به علم، فقط نوعی تسمیه است که راهی برای اثبات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واجب‌تعالی فاعل مختار است، زیرا هیچ‌کس را یارای نفوذ تأثیر در او نیست؛ لذا اراده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معتقد است، اراده الهی درباره هر چیزی، عبارت از فراهم کردن اسباب خارجی و تحقق علت تامّه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علامه، با استناد به معنایی که از محبت الهی به ذهن انسان‌ها متبادر می‌شود، ارجاع معنای اراده الهی به محبت را نیز نمی‌پذیرد و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نوعی تعلق وجودی و کشش و جذبه است که بین علت و معلول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روایت شیخ صدوق</w:t>
      </w:r>
      <w:r>
        <w:rPr>
          <w:rStyle w:val="FootnoteAnchor"/>
          <w:rtl w:val="true"/>
        </w:rPr>
        <w:footnoteReference w:id="10"/>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همان علم به اصلح باشد و اراده به علم ارجاع شود، در این صورت، دیگر وجه منطقی ندارد که اراده از دیگر صفات ذاتی خدا، یعنی حیات و قدرت متمایز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علامه از این حقیقت غافل نشده که اراده خداوند تابع علم او به مصالح است، ولی این علم منشأ اراده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4"/>
        <w:numPr>
          <w:ilvl w:val="3"/>
          <w:numId w:val="1"/>
        </w:numPr>
        <w:rPr/>
      </w:pPr>
      <w:bookmarkStart w:id="142" w:name="__RefHeading___Toc627949_1395250215"/>
      <w:bookmarkStart w:id="143" w:name="_Toc58"/>
      <w:bookmarkEnd w:id="142"/>
      <w:r>
        <w:rPr/>
        <w:t>3</w:t>
      </w:r>
      <w:r>
        <w:rPr>
          <w:rtl w:val="true"/>
        </w:rPr>
        <w:t xml:space="preserve">. </w:t>
      </w:r>
      <w:r>
        <w:rPr>
          <w:rtl w:val="true"/>
        </w:rPr>
        <w:t>جایگاه اراده در صفات الهی</w:t>
      </w:r>
      <w:bookmarkEnd w:id="1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مواردی که علامه طباطبائی به روش فیلسوفان، از جمله ملاصدرا 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کرده، جایگاه اراده در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علامه، اراده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 آن‌که مانند صدرا صرفاً تحلیل محتواییِ صفت اراده را مبنای اتخاذ دیدگاهش قرار بدهد، بحث را به مبنای شناخت صفت فعل یا ذات منتقل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 طرح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از مقام ذات انتزاع می‌شود یا از مقام فعل؟ تصریح می‌کند که اراده مانند سایر صفات فعل، از مقام فعل انتزاع می‌شود؛ لذا از صفات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پاورقی بحارالانوار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مانند صفاتی چون خالقیت، رازقیت و امثال این‌هاست که از فعل خدا انتزاع می‌شوند، نه از ذات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اساس، اراده باید وصفی خارج از ذات باشد، زیرا اتصاف خدا به اراده، مانند اتصافش به علم و قدرت نیست تا بتوان آن را</w:t>
      </w:r>
      <w:bookmarkStart w:id="144" w:name="pg2643_21692"/>
    </w:p>
    <w:p>
      <w:pPr>
        <w:pStyle w:val="BookText"/>
        <w:rPr/>
      </w:pPr>
      <w:bookmarkEnd w:id="144"/>
      <w:r>
        <w:rPr>
          <w:rFonts w:ascii="IRNazanin" w:hAnsi="IRNazanin" w:eastAsia="IRNazanin"/>
          <w:color w:val="111111"/>
          <w:sz w:val="28"/>
          <w:sz w:val="28"/>
          <w:szCs w:val="28"/>
          <w:rtl w:val="true"/>
          <w:lang w:bidi="fa-IR"/>
        </w:rPr>
        <w:t>صفتی ذاتی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بیان تالی فاسدِ ازلی دانستن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ذاتی بودن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توجه به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چنین امری، اثبات موجودی ازلی است که آفریده خدا نیست و این با توحید سازگار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برشمردن اراده خدای سبحان از صفات فعل را یکی از دیدگاه‌های شیعه می‌داند؛ بنابراین، این تصورِ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الهی مانند اراده ما، صفتی نیست که عارض بر ذات باشد و در نتیجه، ذات با تغییر اراده‌ها تغییر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پندار باطلی به شمار می‌آورد، زیرا اراده‌های گوناگون، صفت فعل خداست و از علل تامّه اشیا انتزاع می‌شود؛ از این رو، اختلاف آن باعث اختلاف در ذات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پس از نقل تعدادی از روایات که بر این موضوع دلالت دارند، تصریح می‌کند که این اخبار، مستفیض یا متواترند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براهینی که صدرا برای ذاتی بودن این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اعم از مدعا بوده و بر اساس استنباط صدرا از آن‌ها، باید همه صفات را ذاتی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صدرا سعی در ارجاع صفت اراده به صفات ذات دارد، نهایتاً می‌تواند چنین افاده کند که این دو صفت دارای مبدأ کمالی در ذات بسیط الهی هستند و این، به اراده و کلام اختصاص ندارد و شامل همه صفات الهی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4"/>
        <w:numPr>
          <w:ilvl w:val="3"/>
          <w:numId w:val="1"/>
        </w:numPr>
        <w:rPr/>
      </w:pPr>
      <w:bookmarkStart w:id="145" w:name="__RefHeading___Toc627951_1395250215"/>
      <w:bookmarkStart w:id="146" w:name="_Toc59"/>
      <w:bookmarkEnd w:id="145"/>
      <w:r>
        <w:rPr/>
        <w:t>4</w:t>
      </w:r>
      <w:r>
        <w:rPr>
          <w:rtl w:val="true"/>
        </w:rPr>
        <w:t xml:space="preserve">. </w:t>
      </w:r>
      <w:r>
        <w:rPr>
          <w:rtl w:val="true"/>
        </w:rPr>
        <w:t>جایگاه مشیت در نظریه علامه طباطبایی</w:t>
      </w:r>
      <w:bookmarkEnd w:id="146"/>
    </w:p>
    <w:p>
      <w:pPr>
        <w:pStyle w:val="BookText"/>
        <w:rPr/>
      </w:pPr>
      <w:r>
        <w:rPr>
          <w:rFonts w:ascii="IRNazanin" w:hAnsi="IRNazanin" w:eastAsia="IRNazanin"/>
          <w:color w:val="111111"/>
          <w:sz w:val="28"/>
          <w:sz w:val="28"/>
          <w:szCs w:val="28"/>
          <w:rtl w:val="true"/>
          <w:lang w:bidi="fa-IR"/>
        </w:rPr>
        <w:t xml:space="preserve">در نگرش علامه طباطبائی، مشیت و اراده یک‌سان تلقی می‌شود و هر دو از صفات فعلند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پاورقی بحارالانوار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و اراده، هر دو همان تحقق خارجی معلوم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147" w:name="__RefHeading___Toc627953_1395250215"/>
      <w:bookmarkStart w:id="148" w:name="_Toc60"/>
      <w:bookmarkEnd w:id="147"/>
      <w:r>
        <w:rPr>
          <w:rtl w:val="true"/>
        </w:rPr>
        <w:t>برسی اراده الهی در روایات</w:t>
      </w:r>
      <w:bookmarkEnd w:id="148"/>
    </w:p>
    <w:p>
      <w:pPr>
        <w:pStyle w:val="Heading4"/>
        <w:numPr>
          <w:ilvl w:val="3"/>
          <w:numId w:val="1"/>
        </w:numPr>
        <w:rPr/>
      </w:pPr>
      <w:bookmarkStart w:id="149" w:name="__RefHeading___Toc627955_1395250215"/>
      <w:bookmarkStart w:id="150" w:name="_Toc61"/>
      <w:bookmarkEnd w:id="149"/>
      <w:r>
        <w:rPr>
          <w:rtl w:val="true"/>
        </w:rPr>
        <w:t>اشاره</w:t>
      </w:r>
      <w:bookmarkEnd w:id="1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تلاش‌های ملاصدرا و علامه طباطبائی برای تبیین مفهوم اراده الهی، به فرجام مطلوب نرسیده است و نگرش ایشان به این مسئله، هم‌چنان اختلافاتی عمیق با آموزه‌های مستفاد از قرآن و عترت دارد که بخشی از این اختلاف‌ها، آشکارا و بخشی دیگر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نظر می‌آید، ملاصدرا در مواجهه با روایات، دیدگاه خویش را که پیش‌تر بر پایه تلاش‌های فسلفی به دست آورده است، پیش‌فرضی صحیح تلقی کرده و در شرح کافی با همان پیش‌فرض‌ها به تفسیر یا تأویل روایات اقدام کرده است که شاید این روش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دغدغه صدرا برای اثبات عدم تشبیه میان اراده الهی و</w:t>
      </w:r>
      <w:bookmarkStart w:id="151" w:name="pg2643_21695"/>
    </w:p>
    <w:p>
      <w:pPr>
        <w:pStyle w:val="BookText"/>
        <w:rPr/>
      </w:pPr>
      <w:bookmarkEnd w:id="151"/>
      <w:r>
        <w:rPr>
          <w:rFonts w:ascii="IRNazanin" w:hAnsi="IRNazanin" w:eastAsia="IRNazanin"/>
          <w:color w:val="111111"/>
          <w:sz w:val="28"/>
          <w:sz w:val="28"/>
          <w:szCs w:val="28"/>
          <w:rtl w:val="true"/>
          <w:lang w:bidi="fa-IR"/>
        </w:rPr>
        <w:t>اراده بشری را نادیده گرفت، زیرا وی با ارائه این نظریه در صدد است نقایصی را که در اراده بشر وجود دارد، از اراده الهی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علامه طباطبائی برای ارائه تبیین فلسفیِ دقیق از روایات، تلاش بسیاری کرده و رویکرد سلبیِ علامه برای اثبات اختیار و نفی ایجاب در فعل الهی شایان توجه و تقدیر است، اما هم‌چنان بخشی از روایات به شکل مطلوب مورد توجه وی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مهم‌ترین نقیصه تبیین علامه، عدم توجه به جایگاه مشیت و اراده در مراحل فرایند تحقق پدیده‌ها در خارج است</w:t>
      </w:r>
      <w:r>
        <w:rPr>
          <w:rFonts w:eastAsia="IRNazanin" w:cs="IRNazanin"/>
          <w:color w:val="111111"/>
          <w:sz w:val="28"/>
          <w:szCs w:val="28"/>
          <w:rtl w:val="true"/>
          <w:lang w:bidi="fa-IR"/>
        </w:rPr>
        <w:t>.</w:t>
      </w:r>
    </w:p>
    <w:p>
      <w:pPr>
        <w:pStyle w:val="Heading4"/>
        <w:numPr>
          <w:ilvl w:val="3"/>
          <w:numId w:val="1"/>
        </w:numPr>
        <w:rPr/>
      </w:pPr>
      <w:bookmarkStart w:id="152" w:name="__RefHeading___Toc627957_1395250215"/>
      <w:bookmarkStart w:id="153" w:name="_Toc62"/>
      <w:bookmarkEnd w:id="152"/>
      <w:r>
        <w:rPr/>
        <w:t>1</w:t>
      </w:r>
      <w:r>
        <w:rPr>
          <w:rtl w:val="true"/>
        </w:rPr>
        <w:t xml:space="preserve">. </w:t>
      </w:r>
      <w:r>
        <w:rPr>
          <w:rtl w:val="true"/>
        </w:rPr>
        <w:t>نوع پردازش روایات به مبحث اراده</w:t>
      </w:r>
      <w:bookmarkEnd w:id="153"/>
    </w:p>
    <w:p>
      <w:pPr>
        <w:pStyle w:val="Heading5"/>
        <w:numPr>
          <w:ilvl w:val="4"/>
          <w:numId w:val="1"/>
        </w:numPr>
        <w:rPr/>
      </w:pPr>
      <w:bookmarkStart w:id="154" w:name="__RefHeading___Toc627959_1395250215"/>
      <w:bookmarkStart w:id="155" w:name="_Toc63"/>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با عنایت به این‌که بخش قابل توجهی از روایات در بحث اراده، رویکردی سلبی دارند و نیز برای مشیت جایگاه مهمی قائل شده اند، نوع پردازش روایاتِ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بحث فیلسوفان، از جمله ملاصدرا و علامه طباطبائی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موضوع، چهار محور اصلی دارد</w:t>
      </w:r>
      <w:r>
        <w:rPr>
          <w:rFonts w:eastAsia="IRNazanin" w:cs="IRNazanin"/>
          <w:color w:val="111111"/>
          <w:sz w:val="28"/>
          <w:szCs w:val="28"/>
          <w:rtl w:val="true"/>
          <w:lang w:bidi="fa-IR"/>
        </w:rPr>
        <w:t>:</w:t>
      </w:r>
    </w:p>
    <w:p>
      <w:pPr>
        <w:pStyle w:val="Heading5"/>
        <w:numPr>
          <w:ilvl w:val="4"/>
          <w:numId w:val="1"/>
        </w:numPr>
        <w:rPr/>
      </w:pPr>
      <w:bookmarkStart w:id="156" w:name="__RefHeading___Toc627961_1395250215"/>
      <w:bookmarkStart w:id="157" w:name="_Toc64"/>
      <w:bookmarkEnd w:id="156"/>
      <w:r>
        <w:rPr>
          <w:rtl w:val="true"/>
        </w:rPr>
        <w:t>الف</w:t>
      </w:r>
      <w:r>
        <w:rPr>
          <w:rtl w:val="true"/>
        </w:rPr>
        <w:t xml:space="preserve">) </w:t>
      </w:r>
      <w:r>
        <w:rPr>
          <w:rtl w:val="true"/>
        </w:rPr>
        <w:t>نفی نقلیص بشری از اراده الهی</w:t>
      </w:r>
      <w:bookmarkEnd w:id="15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قابل توجهی از مباحث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اراده، نه به شکل ایجابی، بلکه از طریق نفی نقایص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بسیاری از مردم تصوراتی که درباره اراده انسان‌ها داشتند، با همان پیرایه‌ها و نقایص بشری، به خدا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پرسش‌های برخی مراجعه‌کنندگان به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مشاهده می‌شود که شباهت‌هایی میان اراده الهی و اراده مخلوق قائل بوده‌اند؛ از این رو،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آن‌ها، رویکرد سلبی در پیش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اراده مخلوقان و اراده خالق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در آفریدگان عبارت است از خطورات ذهنی و مقدماتی که برای رسیدن به مراد اظهار می‌دارد، اما اراده الهی همان پدید آوردن مراد است، نه چیزی دیگر، زیرا صفاتی مانند درنگ، قصد و تفکر که از صفات آفریدگان است، درباره خداوند صدق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110</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ضمن اشاره به ویژگی‌های اراده بشری، یعنی درنگ، اندیشیدن و قصد، آن‌ها را نقص جلوه داده و از ساحت الهی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برای آن‌که چیزی را اراده کند، اگر</w:t>
      </w:r>
      <w:bookmarkStart w:id="158" w:name="pg2643_21696"/>
    </w:p>
    <w:p>
      <w:pPr>
        <w:pStyle w:val="BookText"/>
        <w:rPr/>
      </w:pPr>
      <w:bookmarkEnd w:id="158"/>
      <w:r>
        <w:rPr>
          <w:rFonts w:ascii="IRNazanin" w:hAnsi="IRNazanin" w:eastAsia="IRNazanin"/>
          <w:color w:val="111111"/>
          <w:sz w:val="28"/>
          <w:sz w:val="28"/>
          <w:szCs w:val="28"/>
          <w:rtl w:val="true"/>
          <w:lang w:bidi="fa-IR"/>
        </w:rPr>
        <w:t>به آن علم داشته باشد، باید درنگی کند تا دانسته‌اش در صقع ذاتش حاضر شود و اگر علم نداشته باشد، باید بیندیشد تا علم پیدا کند؛ پس از آن‌که علم پیدا کند، باید بسنجد توان تحقق دانسته‌اش را دارد یا ندارد و اگر قدرت تحقق آن دانسته را داشته باشد، ممکن است قصد انجام آن را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صفات، نقص به حساب می‌آیند و نمی‌توان آن‌ها را به خداوند نسبت داد</w:t>
      </w:r>
      <w:r>
        <w:rPr>
          <w:rFonts w:eastAsia="IRNazanin" w:cs="IRNazanin"/>
          <w:color w:val="111111"/>
          <w:sz w:val="28"/>
          <w:szCs w:val="28"/>
          <w:rtl w:val="true"/>
          <w:lang w:bidi="fa-IR"/>
        </w:rPr>
        <w:t>.</w:t>
      </w:r>
    </w:p>
    <w:p>
      <w:pPr>
        <w:pStyle w:val="Heading5"/>
        <w:numPr>
          <w:ilvl w:val="4"/>
          <w:numId w:val="1"/>
        </w:numPr>
        <w:rPr/>
      </w:pPr>
      <w:bookmarkStart w:id="159" w:name="__RefHeading___Toc627963_1395250215"/>
      <w:bookmarkStart w:id="160" w:name="_Toc65"/>
      <w:bookmarkEnd w:id="159"/>
      <w:r>
        <w:rPr>
          <w:rtl w:val="true"/>
        </w:rPr>
        <w:t>ب</w:t>
      </w:r>
      <w:r>
        <w:rPr>
          <w:rtl w:val="true"/>
        </w:rPr>
        <w:t xml:space="preserve">) </w:t>
      </w:r>
      <w:r>
        <w:rPr>
          <w:rtl w:val="true"/>
        </w:rPr>
        <w:t>نفی سنخیت اراده خالق و مخلوق</w:t>
      </w:r>
      <w:bookmarkEnd w:id="160"/>
    </w:p>
    <w:p>
      <w:pPr>
        <w:pStyle w:val="BookText"/>
        <w:rPr/>
      </w:pPr>
      <w:r>
        <w:rPr>
          <w:rFonts w:ascii="IRNazanin" w:hAnsi="IRNazanin" w:eastAsia="IRNazanin"/>
          <w:color w:val="111111"/>
          <w:sz w:val="28"/>
          <w:sz w:val="28"/>
          <w:szCs w:val="28"/>
          <w:rtl w:val="true"/>
          <w:lang w:bidi="fa-IR"/>
        </w:rPr>
        <w:t>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پایان همان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کَیْفَ لِذَلِکَ کَمَا أَنَّهُ لا کَیْفَ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او کیفیت ندارد، همان‌گونه که ذات او کیفیت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که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پایان روایت بیان داشتند، به عدم سنخیت میان اراده خلق و اراده خالق اشاره دارد، زیرا از سویی، کیفیت از ویژگی‌های خلق است و از سوی دیگر، بر اساس اصل تباینِ خالق و مخلوق و اصل نفی سنخیت میان خالق و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خداوند کیفیت ندارد</w:t>
      </w:r>
      <w:r>
        <w:rPr>
          <w:rStyle w:val="FootnoteAnchor"/>
          <w:rtl w:val="true"/>
        </w:rPr>
        <w:footnoteReference w:id="13"/>
      </w:r>
      <w:r>
        <w:rPr>
          <w:rFonts w:ascii="IRNazanin" w:hAnsi="IRNazanin" w:eastAsia="IRNazanin"/>
          <w:color w:val="111111"/>
          <w:sz w:val="28"/>
          <w:sz w:val="28"/>
          <w:szCs w:val="28"/>
          <w:rtl w:val="true"/>
          <w:lang w:bidi="fa-IR"/>
        </w:rPr>
        <w:t>؛ لذا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این اصل را در تبیین اراده خداوند یادآور شده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همانند ذات او، کیفیت ندارد</w:t>
      </w:r>
      <w:r>
        <w:rPr>
          <w:rFonts w:eastAsia="IRNazanin" w:cs="IRNazanin"/>
          <w:color w:val="111111"/>
          <w:sz w:val="28"/>
          <w:szCs w:val="28"/>
          <w:rtl w:val="true"/>
          <w:lang w:bidi="fa-IR"/>
        </w:rPr>
        <w:t>.</w:t>
      </w:r>
    </w:p>
    <w:p>
      <w:pPr>
        <w:pStyle w:val="Heading5"/>
        <w:numPr>
          <w:ilvl w:val="4"/>
          <w:numId w:val="1"/>
        </w:numPr>
        <w:rPr/>
      </w:pPr>
      <w:bookmarkStart w:id="161" w:name="__RefHeading___Toc627965_1395250215"/>
      <w:bookmarkStart w:id="162" w:name="_Toc66"/>
      <w:bookmarkEnd w:id="161"/>
      <w:r>
        <w:rPr>
          <w:rtl w:val="true"/>
        </w:rPr>
        <w:t>ج</w:t>
      </w:r>
      <w:r>
        <w:rPr>
          <w:rtl w:val="true"/>
        </w:rPr>
        <w:t xml:space="preserve">) </w:t>
      </w:r>
      <w:r>
        <w:rPr>
          <w:rtl w:val="true"/>
        </w:rPr>
        <w:t>تقدم علم خدا بر مشیت ئ اراده او</w:t>
      </w:r>
      <w:bookmarkEnd w:id="162"/>
    </w:p>
    <w:p>
      <w:pPr>
        <w:pStyle w:val="BookText"/>
        <w:rPr/>
      </w:pPr>
      <w:r>
        <w:rPr>
          <w:rFonts w:ascii="IRNazanin" w:hAnsi="IRNazanin" w:eastAsia="IRNazanin"/>
          <w:color w:val="111111"/>
          <w:sz w:val="28"/>
          <w:sz w:val="28"/>
          <w:szCs w:val="28"/>
          <w:rtl w:val="true"/>
          <w:lang w:bidi="fa-IR"/>
        </w:rPr>
        <w:t>در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الهی با مشیت او یک‌سان دانسته نمی‌شود و علم خدا بر مشیت او سبقت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فرق علم الهی و مشیت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غیر از مشیت است؛ همان‌گونه که انسان‌ها برای انجام کارها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دلیل است بر این‌که خدا آن کارها را نخواسته و اگر بخواهد، مطابق</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مشیت الهی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سابق بر مشیّت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Style w:val="FootnoteAnchor"/>
          <w:rtl w:val="true"/>
        </w:rPr>
        <w:footnoteReference w:id="14"/>
      </w:r>
      <w:bookmarkStart w:id="163" w:name="pg2643_21699"/>
    </w:p>
    <w:p>
      <w:pPr>
        <w:pStyle w:val="BookText"/>
        <w:rPr/>
      </w:pPr>
      <w:bookmarkEnd w:id="163"/>
      <w:r>
        <w:rPr>
          <w:rFonts w:ascii="IRNazanin" w:hAnsi="IRNazanin" w:eastAsia="IRNazanin"/>
          <w:color w:val="111111"/>
          <w:sz w:val="28"/>
          <w:sz w:val="28"/>
          <w:szCs w:val="28"/>
          <w:rtl w:val="true"/>
          <w:lang w:bidi="fa-IR"/>
        </w:rPr>
        <w:t>عاصم‌بن‌حمید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خداوند ازلی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مُرید همواره با مُراد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ازلاً عالم و قادر بود؛ سپس اراده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بر اساس این روایت اولاً، اراده صفتی فعلی است؛ ثانیاً، اراده به هر معنایی که در نظر گرفته شود، مسبوق به علم و قدرت و متأخر از آن‌هاست؛ ثالثاً، اراده منبعث از علم و قدرت است، 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روشنی با نظریه صدرا ناسازگار است، زیرا به تصریح روایت مزبور، علم الهی بر مشیّت او سبقت دارد و اتحاد سابق و مسبوق، محال است</w:t>
      </w:r>
      <w:r>
        <w:rPr>
          <w:rFonts w:eastAsia="IRNazanin" w:cs="IRNazanin"/>
          <w:color w:val="111111"/>
          <w:sz w:val="28"/>
          <w:szCs w:val="28"/>
          <w:rtl w:val="true"/>
          <w:lang w:bidi="fa-IR"/>
        </w:rPr>
        <w:t>.</w:t>
      </w:r>
    </w:p>
    <w:p>
      <w:pPr>
        <w:pStyle w:val="Heading5"/>
        <w:numPr>
          <w:ilvl w:val="4"/>
          <w:numId w:val="1"/>
        </w:numPr>
        <w:rPr/>
      </w:pPr>
      <w:bookmarkStart w:id="164" w:name="__RefHeading___Toc627967_1395250215"/>
      <w:bookmarkStart w:id="165" w:name="_Toc67"/>
      <w:bookmarkEnd w:id="164"/>
      <w:r>
        <w:rPr>
          <w:rtl w:val="true"/>
        </w:rPr>
        <w:t>د</w:t>
      </w:r>
      <w:r>
        <w:rPr>
          <w:rtl w:val="true"/>
        </w:rPr>
        <w:t xml:space="preserve">) </w:t>
      </w:r>
      <w:r>
        <w:rPr>
          <w:rtl w:val="true"/>
        </w:rPr>
        <w:t>نفی رابطه مشیت و اراده الهی با حب و رضای او</w:t>
      </w:r>
      <w:bookmarkEnd w:id="165"/>
    </w:p>
    <w:p>
      <w:pPr>
        <w:pStyle w:val="BookText"/>
        <w:rPr/>
      </w:pPr>
      <w:r>
        <w:rPr>
          <w:rFonts w:ascii="IRNazanin" w:hAnsi="IRNazanin" w:eastAsia="IRNazanin"/>
          <w:color w:val="111111"/>
          <w:sz w:val="28"/>
          <w:sz w:val="28"/>
          <w:szCs w:val="28"/>
          <w:rtl w:val="true"/>
          <w:lang w:bidi="fa-IR"/>
        </w:rPr>
        <w:t>برخلاف صدرا که اراده الهی به وقوع پدیده‌ها را مستلزم حبّ او می‌داند، در روایات به صراحت این معنا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پاسخ ابوبصیر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تلازم مشیت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با مُحبت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نفی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و اراده الهی به پدیده‌ها تعلق می‌گیرد؛ ولی این امر نشانه رضایت و محبت او به آن پدیده‌ها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و اراده خدا به این تعلق گرفته که هر چه در جهان هستی واقع می‌شود، بداند، ولی اعتقاد به تثلیث را دوست ندارد و هرگز به کفر بندگان خود رضایت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166" w:name="__RefHeading___Toc627969_1395250215"/>
      <w:bookmarkStart w:id="167" w:name="_Toc68"/>
      <w:bookmarkEnd w:id="166"/>
      <w:r>
        <w:rPr/>
        <w:t>2</w:t>
      </w:r>
      <w:r>
        <w:rPr>
          <w:rtl w:val="true"/>
        </w:rPr>
        <w:t xml:space="preserve">. </w:t>
      </w:r>
      <w:r>
        <w:rPr>
          <w:rtl w:val="true"/>
        </w:rPr>
        <w:t>تبیین اراده الهی</w:t>
      </w:r>
      <w:bookmarkEnd w:id="167"/>
    </w:p>
    <w:p>
      <w:pPr>
        <w:pStyle w:val="Heading5"/>
        <w:numPr>
          <w:ilvl w:val="4"/>
          <w:numId w:val="1"/>
        </w:numPr>
        <w:rPr/>
      </w:pPr>
      <w:bookmarkStart w:id="168" w:name="__RefHeading___Toc627971_1395250215"/>
      <w:bookmarkStart w:id="169" w:name="_Toc69"/>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علاوه بر رویکردهای مزبور در تبیین اراده الهی، در آموزه‌های قرآن و عترت رویکرد اثباتی نیز وجود دارد که در ادامه به آن می‌پردازیم</w:t>
      </w:r>
      <w:r>
        <w:rPr>
          <w:rFonts w:eastAsia="IRNazanin" w:cs="IRNazanin"/>
          <w:color w:val="111111"/>
          <w:sz w:val="28"/>
          <w:szCs w:val="28"/>
          <w:rtl w:val="true"/>
          <w:lang w:bidi="fa-IR"/>
        </w:rPr>
        <w:t>:</w:t>
      </w:r>
    </w:p>
    <w:p>
      <w:pPr>
        <w:pStyle w:val="Heading5"/>
        <w:numPr>
          <w:ilvl w:val="4"/>
          <w:numId w:val="1"/>
        </w:numPr>
        <w:rPr/>
      </w:pPr>
      <w:bookmarkStart w:id="170" w:name="__RefHeading___Toc627973_1395250215"/>
      <w:bookmarkStart w:id="171" w:name="_Toc70"/>
      <w:bookmarkEnd w:id="170"/>
      <w:r>
        <w:rPr>
          <w:rtl w:val="true"/>
        </w:rPr>
        <w:t>الف</w:t>
      </w:r>
      <w:r>
        <w:rPr>
          <w:rtl w:val="true"/>
        </w:rPr>
        <w:t xml:space="preserve">) </w:t>
      </w:r>
      <w:r>
        <w:rPr>
          <w:rtl w:val="true"/>
        </w:rPr>
        <w:t>اراده به عنوان یکی از اجزای فرایند تحقق پدیده ها</w:t>
      </w:r>
      <w:bookmarkEnd w:id="1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تفاوت‌های جوامع رواییِ امامیه با نوع مباحث فلسفی، اعمّ از حکمت مشاء، اشراق و متعالیه در بحث اراده، مطرح کردن آن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تحقق پدیده‌ها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از دو جهت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این نوعِ پردازش روایات، علم و قدرت، پیش‌فرض تلقی شده است؛ ثانیاً از طریق روشن شدن مراحل تحقق پدیده‌ها،</w:t>
      </w:r>
      <w:bookmarkStart w:id="172" w:name="pg2643_21701"/>
    </w:p>
    <w:p>
      <w:pPr>
        <w:pStyle w:val="BookText"/>
        <w:rPr/>
      </w:pPr>
      <w:bookmarkEnd w:id="172"/>
      <w:r>
        <w:rPr>
          <w:rFonts w:ascii="IRNazanin" w:hAnsi="IRNazanin" w:eastAsia="IRNazanin"/>
          <w:color w:val="111111"/>
          <w:sz w:val="28"/>
          <w:sz w:val="28"/>
          <w:szCs w:val="28"/>
          <w:rtl w:val="true"/>
          <w:lang w:bidi="fa-IR"/>
        </w:rPr>
        <w:t>دقیقاً جایگاه اراده در میان افعال الهی روشن می‌شود، چه این‌که اراده به معنای تحقق خارجیِ پدیده ها نیست، بلکه یکی از مراحل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بابی را به این موضوع اختصاص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پیدایش هر موجودی در عالم هستی، متوقف بر تحقق هفت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این روایات در کنار روایات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 و اراده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مشیت و اراده، دو شرط جداگانه ذکر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150</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روایتی دیگر از امام هادی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به مراحل تحقق فعل خدا اشاره شده که نخست علم، سپس مشیت و اراده، و پس از آن تقدیر و قضا و امضای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بر اساس علم است، اراده بر اساس مشیت و تقدیر بر اساس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مشیت و اراده این است که با مشیت، تعیین صفات و حدود پدیده‌ها و انشای آن‌ها صورت می‌گیرد، اما با اراده، عوامل تمیز پدیده‌ها از یکدیگر در خارج پدید می‌آید و به وسیله تقدیر، قبل و بعد و نیز لوازم آن پدیده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335</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173" w:name="__RefHeading___Toc627975_1395250215"/>
      <w:bookmarkStart w:id="174" w:name="_Toc71"/>
      <w:bookmarkEnd w:id="173"/>
      <w:r>
        <w:rPr>
          <w:rtl w:val="true"/>
        </w:rPr>
        <w:t>ب</w:t>
      </w:r>
      <w:r>
        <w:rPr>
          <w:rtl w:val="true"/>
        </w:rPr>
        <w:t xml:space="preserve">) </w:t>
      </w:r>
      <w:r>
        <w:rPr>
          <w:rtl w:val="true"/>
        </w:rPr>
        <w:t>جایگاه مشیت در بحث اراده</w:t>
      </w:r>
      <w:bookmarkEnd w:id="1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تفاوت‌های نگرش روایات به اراده با دیدگاه صدرا 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مفهوماً و مصداقاً با اراده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که امری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طبق روایت صدوق از صفات فعل است، واسطه صفات علم و قدرت الهی با اراده است؛ یعنی اگر مشیت خدا تعلق بگیرد، فعل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 أَ فَأَنْتَ تُکْرِهُ النَّاسَ حَتَّی یَکُونُوا مُؤْمِنینَ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این آیه، خداوند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خداوند به ایمان اجباری مردم تعلق نگرفته است؛ لذا برخی از مردم ایمان نیاورده‌اند، زیرا با توجه به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سوره </w:t>
      </w:r>
      <w:r>
        <w:rPr>
          <w:rStyle w:val="FootnoteAnchor"/>
          <w:rtl w:val="true"/>
        </w:rPr>
        <w:footnoteReference w:id="22"/>
      </w:r>
      <w:r>
        <w:rPr>
          <w:rFonts w:ascii="IRNazanin" w:hAnsi="IRNazanin" w:eastAsia="IRNazanin"/>
          <w:color w:val="111111"/>
          <w:sz w:val="28"/>
          <w:sz w:val="28"/>
          <w:szCs w:val="28"/>
          <w:rtl w:val="true"/>
          <w:lang w:bidi="fa-IR"/>
        </w:rPr>
        <w:t>، این امر با حکمت آفرینش موجودات، یعنی به کار گرفتن عقل برای ایمان آوردنِ اختیاری، سازگاری ندارد</w:t>
      </w:r>
      <w:r>
        <w:rPr>
          <w:rFonts w:eastAsia="IRNazanin" w:cs="IRNazanin"/>
          <w:color w:val="111111"/>
          <w:sz w:val="28"/>
          <w:szCs w:val="28"/>
          <w:rtl w:val="true"/>
          <w:lang w:bidi="fa-IR"/>
        </w:rPr>
        <w:t>.</w:t>
      </w:r>
      <w:bookmarkStart w:id="175" w:name="pg2643_21703"/>
    </w:p>
    <w:p>
      <w:pPr>
        <w:pStyle w:val="BookText"/>
        <w:rPr/>
      </w:pPr>
      <w:bookmarkEnd w:id="175"/>
      <w:r>
        <w:rPr>
          <w:rFonts w:ascii="IRNazanin" w:hAnsi="IRNazanin" w:eastAsia="IRNazanin"/>
          <w:color w:val="111111"/>
          <w:sz w:val="28"/>
          <w:sz w:val="28"/>
          <w:szCs w:val="28"/>
          <w:rtl w:val="true"/>
          <w:lang w:bidi="fa-IR"/>
        </w:rPr>
        <w:t>در روایات، از قرابت‌های مفهومی و مصداقیِ مشیت و اراده غفلت نشده است؛ برای مثال، مشیت مانند اراده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و تکوینی؛ یعنی هم مشیت و هم اراده خدا تشریعاً به بعضی امور تعلق گرفته است، اما آن امور ممکن است تکویناً مورد مشیت و اراده او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قضیه نیز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روایات، تفاوت‌های مشیت و اراده دقیقاً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نخستین فعل مستقیم الهی است و همه پدیده‌ها به وسیله مشیّت آفریده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امام 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بیان فرق مشیت و اراده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مشیت عبارت است از ذکر اول، و اراده نقطه عزیمت بر تحقق مشیت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158</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نیز در روایتی دیگر، آن حضرت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مشیت، آغاز فعل است و منظور از اراده، ثبوت بر 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روایتِ امام هادی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ـ که پیش‌تر مطرح شد ـ نیز به فرق مشیت و اراده چنین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مشیّت، تعیین صفات و حدود پدیده‌ها و انشای آن‌ها صورت می‌گیرد، اما با اراده، عوامل تمیز پدیده‌ها از یکدیگر در خارج پدید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5"/>
        <w:numPr>
          <w:ilvl w:val="4"/>
          <w:numId w:val="1"/>
        </w:numPr>
        <w:rPr/>
      </w:pPr>
      <w:bookmarkStart w:id="176" w:name="__RefHeading___Toc627977_1395250215"/>
      <w:bookmarkStart w:id="177" w:name="_Toc72"/>
      <w:bookmarkEnd w:id="176"/>
      <w:r>
        <w:rPr>
          <w:rtl w:val="true"/>
        </w:rPr>
        <w:t>ج</w:t>
      </w:r>
      <w:r>
        <w:rPr>
          <w:rtl w:val="true"/>
        </w:rPr>
        <w:t xml:space="preserve">) </w:t>
      </w:r>
      <w:r>
        <w:rPr>
          <w:rtl w:val="true"/>
        </w:rPr>
        <w:t>رابطه مشیت و حکمت</w:t>
      </w:r>
      <w:bookmarkEnd w:id="1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اصول مسلّم عقلی و نقلی، خداوند حکیم است و مشیت رابطه‌ای تنگاتنگ با حکمت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حکمت خدا این است که فعل او عبث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هر چیزی را بر اساس اندازه دقیق، مناسب با تدبیر عالم و مصلحت بندگان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مورد مشیّت الهی قرار می‌گیرد که در راستای غرض آفرینش باشد و اگر تحقق چیزی مقتضای حکمت الهی نباشد، مشیّت به آن تعلق نمی‌گیرد؛ لذا حکمت الهی حلقه پیوند میان علم الهی و مشیّت است و مشیّت، موجب تحقق خارجی مُراد است</w:t>
      </w:r>
      <w:r>
        <w:rPr>
          <w:rFonts w:eastAsia="IRNazanin" w:cs="IRNazanin"/>
          <w:color w:val="111111"/>
          <w:sz w:val="28"/>
          <w:szCs w:val="28"/>
          <w:rtl w:val="true"/>
          <w:lang w:bidi="fa-IR"/>
        </w:rPr>
        <w:t>.</w:t>
      </w:r>
      <w:bookmarkStart w:id="178" w:name="pg2643_21705"/>
    </w:p>
    <w:p>
      <w:pPr>
        <w:pStyle w:val="Heading5"/>
        <w:numPr>
          <w:ilvl w:val="4"/>
          <w:numId w:val="1"/>
        </w:numPr>
        <w:rPr/>
      </w:pPr>
      <w:bookmarkStart w:id="179" w:name="__RefHeading___Toc627979_1395250215"/>
      <w:bookmarkStart w:id="180" w:name="_Toc73"/>
      <w:bookmarkEnd w:id="178"/>
      <w:bookmarkEnd w:id="179"/>
      <w:r>
        <w:rPr>
          <w:rtl w:val="true"/>
        </w:rPr>
        <w:t>د</w:t>
      </w:r>
      <w:r>
        <w:rPr>
          <w:rtl w:val="true"/>
        </w:rPr>
        <w:t xml:space="preserve">) </w:t>
      </w:r>
      <w:r>
        <w:rPr>
          <w:rtl w:val="true"/>
        </w:rPr>
        <w:t>فرق اراده خدا و اراده مخلوقات</w:t>
      </w:r>
      <w:bookmarkEnd w:id="180"/>
    </w:p>
    <w:p>
      <w:pPr>
        <w:pStyle w:val="BookText"/>
        <w:rPr/>
      </w:pPr>
      <w:r>
        <w:rPr>
          <w:rFonts w:ascii="IRNazanin" w:hAnsi="IRNazanin" w:eastAsia="IRNazanin"/>
          <w:color w:val="111111"/>
          <w:sz w:val="28"/>
          <w:sz w:val="28"/>
          <w:szCs w:val="28"/>
          <w:rtl w:val="true"/>
          <w:lang w:bidi="fa-IR"/>
        </w:rPr>
        <w:t>ملاصدرا با مقایسه اراده بشری و اراده الهی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انسان‌ها شوق مؤکدی است که در اثر انگیزه به وجود می‌آید و انگیزه، نتیجه تصور ملایمت آن شیء است؛ خواه آن تصور، علمی یا ظنّی و یا تخیلی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انگیزه موجب تحریک اعضا برای تحصیل آن شیء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تصریح می‌کند ماهیت اراده الهی، قصد ایجاد هستی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تصور صدرا، در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عدم ملایمت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می‌رود و این، درباره خدا مصداق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خدا به کار برده و حتی در برخی موارد، آن را زمینه اراده الهی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محور اصلی در فرق اراده الهی با اراده مخلوقات، کراهت نیست، بلکه براساس روایات سه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سنجیدن یا نسنجیدن جوانب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 یا نکردن برای تحقق خارجی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خارجی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کلینی از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اللّهِ الْفِعْلُ لا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اراده خدا فعل اوست، نه چیزی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181" w:name="__RefHeading___Toc627981_1395250215"/>
      <w:bookmarkStart w:id="182" w:name="_Toc74"/>
      <w:bookmarkEnd w:id="181"/>
      <w:r>
        <w:rPr>
          <w:rtl w:val="true"/>
        </w:rPr>
        <w:t>نتیجه گیری</w:t>
      </w:r>
      <w:bookmarkEnd w:id="18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مذکور،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ملاصدرا که اراده الهی را از صفات فعل و مساوق با علم می‌داند، تعارض جدی با ظواهر آیات و روایات دارد و دلیل قاطعی بر حمل روایات بر دیدگاه صدرا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هرچند از دیدگاه علامه طباطبائی، اراده، صفت فعل، نشانه قدرت الهی و نافیِ ایجاب یا اجبار در فعل الهی است، اما این دیدگاه نیز بیشتر ناظر به نفی نقایص اراده بشر است و به دلیل عدم توجه به جایگاه مشیّت در اراده الهی، مطابق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اراده از صفات فعل خدا و متأخر از علم و قدرت الهی است و مشیّت، واسطه علم و حکمت الهی با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پدید آمدن هر موجودی، ابتدا لازم است حکمت الهی، آن را اقتضا کند تا مورد مشیّت تکوینی خدا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تحقق پدیده‌ای مورد مشیّت تکوینی الهی باشد، مورد اراده تکوینی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اراده الهی در فرایند تحقق پدیده‌ها در خارج، پس از مشیت و پیش از تقدیر و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الهی به تحقق پدیده‌ای تعلق گیرد، هندسه و جایگاه آن در خارج تعیین می‌شود؛ ضمن آن‌که هرچند</w:t>
      </w:r>
      <w:bookmarkStart w:id="183" w:name="pg2643_21707"/>
    </w:p>
    <w:p>
      <w:pPr>
        <w:pStyle w:val="BookText"/>
        <w:rPr/>
      </w:pPr>
      <w:bookmarkEnd w:id="183"/>
      <w:r>
        <w:rPr>
          <w:rFonts w:ascii="IRNazanin" w:hAnsi="IRNazanin" w:eastAsia="IRNazanin"/>
          <w:color w:val="111111"/>
          <w:sz w:val="28"/>
          <w:sz w:val="28"/>
          <w:szCs w:val="28"/>
          <w:rtl w:val="true"/>
          <w:lang w:bidi="fa-IR"/>
        </w:rPr>
        <w:t>اراده مستلزم تحقق خارجی مُراد است، اما به دلیل امکان وقوع بداء، فقط هنگامی می‌توان گفت چیزی مورد اراده تکوینی خدا قرار گرفته که در خارج تحقق یافته باشد؛ به عبارت دیگر، مصداق خارجیِ اراده تکوینیِ الهی اساساً همان حدوث پدیده‌هاست</w:t>
      </w:r>
      <w:r>
        <w:rPr>
          <w:rFonts w:eastAsia="IRNazanin" w:cs="IRNazanin"/>
          <w:color w:val="111111"/>
          <w:sz w:val="28"/>
          <w:szCs w:val="28"/>
          <w:rtl w:val="true"/>
          <w:lang w:bidi="fa-IR"/>
        </w:rPr>
        <w:t>.</w:t>
      </w:r>
    </w:p>
    <w:p>
      <w:pPr>
        <w:pStyle w:val="Heading3"/>
        <w:numPr>
          <w:ilvl w:val="2"/>
          <w:numId w:val="1"/>
        </w:numPr>
        <w:rPr/>
      </w:pPr>
      <w:bookmarkStart w:id="184" w:name="__RefHeading___Toc627983_1395250215"/>
      <w:bookmarkStart w:id="185" w:name="_Toc75"/>
      <w:bookmarkEnd w:id="184"/>
      <w:r>
        <w:rPr>
          <w:rtl w:val="true"/>
        </w:rPr>
        <w:t>منابع</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احمد‌بن‌محمد،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 دارالکتب الإسلامیه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حسن‌زاده‌آملی، حسن،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عرفان و برهان از هم جدائی ندارند، تهران، مؤسسه مطالعات و تحقیقات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سعیدی‌مهر، محمد و مصدقی‌حقیقی، علی‌رضا،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علامه طباطبائی بر رویکرد فروکاهشی حکمت متعالیه در مفهوم‌شناسی اراده ذاتی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 ـ پژوهشی آینه معرفت، صفحات</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سال ششم، ش</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صدرالمتألهین، محمد‌بن‌ابراهیم شیرازی،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الآیات، تقدیم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تهران، انجمن حکمت و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الحکمۀ المتعالیه فی الأسفار العقلیه الاربعه، بیروت، دار احیاء التراث،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فلسفی،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سیدجلال‌الدین آشتیانی، قم، دفتر تبلیغات اسلامی،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أصول الکافی،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عابدی شاهرودی، تهران، مؤسسه مطالعات و تحقیقات فرهنگی،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المبدأ و المعاد،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سیدجلال‌الدین آشتیانی، تهران، انجمن حکمت و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رسائل فلسفی صدرالمتألهین،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ناجی‌اصفهانی، تهران، حکمت،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محمد‌بن‌علی‌بن‌حسین‌بن‌بابویه قمی،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جامعه مدرسین حوزه 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الرسائل التوحیدیه، بیروت، مؤسسة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بیروت، مؤسسه اعلمی،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نهایۀ الحکمه،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المکتبۀ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الجامعه لدرر أخبار الأئمه‌الأطهار، بیروت، مؤسسه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میرداماد، محمدباقر،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القبسات،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محقق، سیدعلی موسوی‌بهبهانی، ایزوتسو و ابراهیم دیباجی، تهران، دانشگاه تهران، چاپ دوم</w:t>
      </w:r>
      <w:r>
        <w:rPr>
          <w:rFonts w:eastAsia="IRNazanin" w:cs="IRNazanin"/>
          <w:color w:val="111111"/>
          <w:sz w:val="28"/>
          <w:szCs w:val="28"/>
          <w:rtl w:val="true"/>
          <w:lang w:bidi="fa-IR"/>
        </w:rPr>
        <w:t>.</w:t>
      </w:r>
      <w:bookmarkStart w:id="186" w:name="pg2643_21709"/>
    </w:p>
    <w:p>
      <w:pPr>
        <w:pStyle w:val="Heading2"/>
        <w:numPr>
          <w:ilvl w:val="1"/>
          <w:numId w:val="1"/>
        </w:numPr>
        <w:rPr/>
      </w:pPr>
      <w:bookmarkStart w:id="187" w:name="__RefHeading___Toc627985_1395250215"/>
      <w:bookmarkStart w:id="188" w:name="_Toc76"/>
      <w:bookmarkEnd w:id="186"/>
      <w:bookmarkEnd w:id="187"/>
      <w:r>
        <w:rPr>
          <w:rtl w:val="true"/>
        </w:rPr>
        <w:t xml:space="preserve">نقشِ مصلحت </w:t>
      </w:r>
      <w:r>
        <w:rPr>
          <w:rtl w:val="true"/>
        </w:rPr>
        <w:t>(</w:t>
      </w:r>
      <w:r>
        <w:rPr>
          <w:rtl w:val="true"/>
        </w:rPr>
        <w:t>لطف و اعتبار</w:t>
      </w:r>
      <w:r>
        <w:rPr>
          <w:rtl w:val="true"/>
        </w:rPr>
        <w:t xml:space="preserve">) </w:t>
      </w:r>
      <w:r>
        <w:rPr>
          <w:rtl w:val="true"/>
        </w:rPr>
        <w:t>در توجیه آلام ابتدایی در رهیافت کلامی</w:t>
      </w:r>
      <w:bookmarkEnd w:id="188"/>
    </w:p>
    <w:p>
      <w:pPr>
        <w:pStyle w:val="Heading3"/>
        <w:numPr>
          <w:ilvl w:val="2"/>
          <w:numId w:val="1"/>
        </w:numPr>
        <w:rPr/>
      </w:pPr>
      <w:bookmarkStart w:id="189" w:name="__RefHeading___Toc627987_1395250215"/>
      <w:bookmarkStart w:id="190" w:name="_Toc77"/>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حمیدرضا سروریان</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1392/10/23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1392/12/17</w:t>
      </w:r>
    </w:p>
    <w:p>
      <w:pPr>
        <w:pStyle w:val="Heading3"/>
        <w:numPr>
          <w:ilvl w:val="2"/>
          <w:numId w:val="1"/>
        </w:numPr>
        <w:rPr/>
      </w:pPr>
      <w:bookmarkStart w:id="191" w:name="__RefHeading___Toc627989_1395250215"/>
      <w:bookmarkStart w:id="192" w:name="_Toc78"/>
      <w:bookmarkEnd w:id="191"/>
      <w:r>
        <w:rPr>
          <w:rtl w:val="true"/>
        </w:rPr>
        <w:t>چکیده</w:t>
      </w:r>
      <w:bookmarkEnd w:id="192"/>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 نزدیک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آلام ابتدایی، نقش محوری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واکاویِ مفهوم مصلحت در رهیافت کلامی، مفهوم کلی آن در نظر گرفته شده و در آیات و روایات، بیشتر به مصادیق مصلحت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آزمایش الهی، کمال انسان، افزایش اجر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درباره نقش مصلحت در نیکوییِ آلام ابتدایی، چهار قول بیان کردند؛ بنابر نظر اول، فعل الهی عین مصلحت است و نه می توان با معیار بشری فعل الهی را سنجید و نه امری را بر خدا الزام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دوم، مصلحت در نیکوییِ آلام ابتدایی،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جبران بیرونیِ خداوند برای نیکویی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سوم، مصلحت شرط کافی برای نیکویی آلامِ ابتدایی است و به جبران بیرونی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چهارم با وجود ضرورتِ مصلحت برای نیکویی آن، جبران بیرونی نیز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چالش اقوال مزبور، نظریه پنجم است که براساس آن، همراهی دائمی مصلحت با تمام آلام ابتدایی، لازم است اگر چه در برخی از آلام ابتدایی، کافی نیست</w:t>
      </w:r>
      <w:r>
        <w:rPr>
          <w:rFonts w:eastAsia="IRNazanin" w:cs="IRNazanin"/>
          <w:color w:val="111111"/>
          <w:sz w:val="28"/>
          <w:szCs w:val="28"/>
          <w:rtl w:val="true"/>
          <w:lang w:bidi="fa-IR"/>
        </w:rPr>
        <w:t>.</w:t>
      </w:r>
    </w:p>
    <w:p>
      <w:pPr>
        <w:pStyle w:val="Heading3"/>
        <w:numPr>
          <w:ilvl w:val="2"/>
          <w:numId w:val="1"/>
        </w:numPr>
        <w:rPr/>
      </w:pPr>
      <w:bookmarkStart w:id="193" w:name="__RefHeading___Toc627991_1395250215"/>
      <w:bookmarkStart w:id="194" w:name="_Toc79"/>
      <w:bookmarkEnd w:id="193"/>
      <w:r>
        <w:rPr>
          <w:rtl w:val="true"/>
        </w:rPr>
        <w:t>واژگان کلیدی</w:t>
      </w:r>
      <w:bookmarkEnd w:id="19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آلام ابتدایی، مصلحت، لطف، عبرت گرفتن، جبران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bookmarkStart w:id="195" w:name="pg2643_21711"/>
    </w:p>
    <w:p>
      <w:pPr>
        <w:pStyle w:val="Heading3"/>
        <w:numPr>
          <w:ilvl w:val="2"/>
          <w:numId w:val="1"/>
        </w:numPr>
        <w:rPr/>
      </w:pPr>
      <w:bookmarkStart w:id="196" w:name="__RefHeading___Toc627993_1395250215"/>
      <w:bookmarkStart w:id="197" w:name="_Toc80"/>
      <w:bookmarkEnd w:id="195"/>
      <w:bookmarkEnd w:id="196"/>
      <w:r>
        <w:rPr>
          <w:rtl w:val="true"/>
        </w:rPr>
        <w:t>بیان مسئله</w:t>
      </w:r>
      <w:bookmarkEnd w:id="197"/>
    </w:p>
    <w:p>
      <w:pPr>
        <w:pStyle w:val="BookText"/>
        <w:rPr/>
      </w:pPr>
      <w:r>
        <w:rPr>
          <w:rFonts w:ascii="IRNazanin" w:hAnsi="IRNazanin" w:eastAsia="IRNazanin"/>
          <w:color w:val="111111"/>
          <w:sz w:val="28"/>
          <w:sz w:val="28"/>
          <w:szCs w:val="28"/>
          <w:rtl w:val="true"/>
          <w:lang w:bidi="fa-IR"/>
        </w:rPr>
        <w:t xml:space="preserve">سختی‌ها‌یی را که متألم در آن نقشی ندارد و ناخواسته بر او تحمیل شده است، در اصطلاح کلامی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سختی‌هایی را که متألم خود در آن نقش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 غیرابتدایی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عموم متکلمان اسلامی،آلامِ منسوب به خدا ـ اعم از ابتدایی و غیرابتدایی ـ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نیکوییِ آلام غیر‌ابتدایی در راستای واکنش مصلحت‌آمیز و قانون‌مند نظام توحیدی در ارتباط با رفتار شخص متألم است که باید در جای خود بررسی گردد و کمتر مورد چالش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نوشتار به آن پرداخته می‌شود، علت نیکوییِ آلام ابتدایی است که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رنج‌های بی‌دلیل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می‌گردد و دامنه فراگیریِ آن بسیار گسترده و پرسش‌های پیرامون آن فراوان است، به گونه‌ایکه گاه این آلام، دست‌آویز ملحدان برای انکار صفات جمال خداوند و یا حتی انکار او شده است، و این امر بر اهمیت و کاربرد این بحث کلامی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متکلمان اسلامی در پاسخ به علت و فلسفه آلام ابتدایی، از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و عبرت‌گرفتن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پژوهش در این نوشتار، نقش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نیکوییِ آلام ابتدایی است و از نقش عوض تنها به میزان تأثیرش درنیکوییِ الم ابتدایی در ارتباط با مصلحت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حاضر ابتدا در مقدمه بحث، در پیِ پاسخ به این پرسش هستیم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مراد از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عبرت‌گرفتن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رهیافت کلامی چه امری است؟ و ثانیاً، میزان هماهنگی گفتار متکلمان اسلامی درباره معنای مصلحت با آیات و روایات چگونه است؟ آن‌گاه به بررسی نقش مصلحت در نیکویی آلام ابتدایی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ضمن بررسی اقوال متکلمان اسلامی درباره نقش مصلحت در آلام ابتدایی، نظری نو ارائه خواهد شد</w:t>
      </w:r>
      <w:r>
        <w:rPr>
          <w:rFonts w:eastAsia="IRNazanin" w:cs="IRNazanin"/>
          <w:color w:val="111111"/>
          <w:sz w:val="28"/>
          <w:szCs w:val="28"/>
          <w:rtl w:val="true"/>
          <w:lang w:bidi="fa-IR"/>
        </w:rPr>
        <w:t>.</w:t>
      </w:r>
    </w:p>
    <w:p>
      <w:pPr>
        <w:pStyle w:val="Heading3"/>
        <w:numPr>
          <w:ilvl w:val="2"/>
          <w:numId w:val="1"/>
        </w:numPr>
        <w:rPr/>
      </w:pPr>
      <w:bookmarkStart w:id="198" w:name="__RefHeading___Toc627995_1395250215"/>
      <w:bookmarkStart w:id="199" w:name="_Toc81"/>
      <w:bookmarkEnd w:id="198"/>
      <w:r>
        <w:rPr>
          <w:rtl w:val="true"/>
        </w:rPr>
        <w:t xml:space="preserve">مبانی تصدیقیه بحث </w:t>
      </w:r>
      <w:r>
        <w:rPr>
          <w:rtl w:val="true"/>
        </w:rPr>
        <w:t>(</w:t>
      </w:r>
      <w:r>
        <w:rPr>
          <w:rtl w:val="true"/>
        </w:rPr>
        <w:t>پیش فرض های پذیرفته شده</w:t>
      </w:r>
      <w:r>
        <w:rPr>
          <w:rtl w:val="true"/>
        </w:rPr>
        <w:t>)</w:t>
      </w:r>
      <w:bookmarkEnd w:id="199"/>
    </w:p>
    <w:p>
      <w:pPr>
        <w:pStyle w:val="Heading4"/>
        <w:numPr>
          <w:ilvl w:val="3"/>
          <w:numId w:val="1"/>
        </w:numPr>
        <w:rPr/>
      </w:pPr>
      <w:bookmarkStart w:id="200" w:name="__RefHeading___Toc627997_1395250215"/>
      <w:bookmarkStart w:id="201" w:name="_Toc82"/>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نظریه نیکو بودن آلام ابتدایی بر اساس مبادی تصدیقیه خاص و نیز پذیرش گزاره‌های خاص شکل گرفته است که قبول آن گزاره در پذیرش نظریه، نقش اساسی دارد و قبول نکردن آن به هر دلیل، موجب فروپاشی نظریه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به مهم‌ترین مبادی تصدیقیه مورد پذیرش در این راستا اشاره می‌شود</w:t>
      </w:r>
      <w:r>
        <w:rPr>
          <w:rFonts w:eastAsia="IRNazanin" w:cs="IRNazanin"/>
          <w:color w:val="111111"/>
          <w:sz w:val="28"/>
          <w:szCs w:val="28"/>
          <w:rtl w:val="true"/>
          <w:lang w:bidi="fa-IR"/>
        </w:rPr>
        <w:t>.</w:t>
      </w:r>
    </w:p>
    <w:p>
      <w:pPr>
        <w:pStyle w:val="Heading4"/>
        <w:numPr>
          <w:ilvl w:val="3"/>
          <w:numId w:val="1"/>
        </w:numPr>
        <w:rPr/>
      </w:pPr>
      <w:bookmarkStart w:id="202" w:name="__RefHeading___Toc627999_1395250215"/>
      <w:bookmarkStart w:id="203" w:name="_Toc83"/>
      <w:bookmarkEnd w:id="202"/>
      <w:r>
        <w:rPr/>
        <w:t>1</w:t>
      </w:r>
      <w:r>
        <w:rPr>
          <w:rtl w:val="true"/>
        </w:rPr>
        <w:t xml:space="preserve">. </w:t>
      </w:r>
      <w:r>
        <w:rPr>
          <w:rtl w:val="true"/>
        </w:rPr>
        <w:t>بدیهی بودن وجود آلام</w:t>
      </w:r>
      <w:bookmarkEnd w:id="20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معتزله، امامیه و اشاعره به وجود رنج و الم در این جهان، اعم از ابتدایی و غیرابتدایی، اذعان دارند و بر این مطلب ادعای بداهت کرده‌اند؛ برای نمونه قاضی عبدالجبار،</w:t>
      </w:r>
      <w:bookmarkStart w:id="204" w:name="pg2643_21713"/>
    </w:p>
    <w:p>
      <w:pPr>
        <w:pStyle w:val="BookText"/>
        <w:rPr/>
      </w:pPr>
      <w:bookmarkEnd w:id="204"/>
      <w:r>
        <w:rPr>
          <w:rFonts w:ascii="IRNazanin" w:hAnsi="IRNazanin" w:eastAsia="IRNazanin"/>
          <w:color w:val="111111"/>
          <w:sz w:val="28"/>
          <w:sz w:val="28"/>
          <w:szCs w:val="28"/>
          <w:rtl w:val="true"/>
          <w:lang w:bidi="fa-IR"/>
        </w:rPr>
        <w:t>وجود درد را امری بدیهی و وجدانی دانسته و دلیل آن را ادراک درد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آنچه در اثبات اَلَم لازم است، امکان اثبات مدرَک بودن الماست که در آن صورت برای اثبات وجود الم به دلیل نیاز نیست، زیرا بالاترین استدلال بر وجود چیزی، برگرداندن آن به امرِ درک‌شده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ادراک شیء را برترین دلیل بر وجود آن شیء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عبدالجبار یافتن درد در نفس را، از یافتن گرمی و سردی اجسام برتر دانسته و همین یافتن را دلیل بر اثبات معنای مدرَک که همان درد باشد،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نیز وجود اَلَم و اثبات آن را بی‌نیاز از بحث می داند و انکار آن را زورگویی می‌داند، زیرا وجود درد و رنجی که موجود زنده با آن رنجور می‌شود وآن را درک می‌کند، آشکار است، با آن که طبعِ موجود زنده از رنج بیزار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205" w:name="__RefHeading___Toc628001_1395250215"/>
      <w:bookmarkStart w:id="206" w:name="_Toc84"/>
      <w:bookmarkEnd w:id="205"/>
      <w:r>
        <w:rPr/>
        <w:t>2</w:t>
      </w:r>
      <w:r>
        <w:rPr>
          <w:rtl w:val="true"/>
        </w:rPr>
        <w:t xml:space="preserve">. </w:t>
      </w:r>
      <w:r>
        <w:rPr>
          <w:rtl w:val="true"/>
        </w:rPr>
        <w:t>بدیهی بودن وجود آلام ابتدایی</w:t>
      </w:r>
      <w:bookmarkEnd w:id="206"/>
    </w:p>
    <w:p>
      <w:pPr>
        <w:pStyle w:val="BookText"/>
        <w:rPr/>
      </w:pPr>
      <w:r>
        <w:rPr>
          <w:rFonts w:ascii="IRNazanin" w:hAnsi="IRNazanin" w:eastAsia="IRNazanin"/>
          <w:color w:val="111111"/>
          <w:sz w:val="28"/>
          <w:sz w:val="28"/>
          <w:szCs w:val="28"/>
          <w:rtl w:val="true"/>
          <w:lang w:bidi="fa-IR"/>
        </w:rPr>
        <w:t xml:space="preserve">متکلمان عدلیه، وجود آلام ابتدایی رامانند اصل وجود آلام، بدیهی گرفته‌اند؛ بر همین اساس، صاحب کتاب یاقوت، قول بکریه را ـ که تمام آلام را استحقاقی می‌دانند و منکر اَلَم ابتدایی هستند و وجود آن را در کودکان و حیوانات، انکار کرده‌اند ـ یاوه‌گویی می‌داند و دلیل آن را علمبه دردهایمان در دوران کودکی و دردهای حیوانات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اصحاب تناسخ را که بر طبق آن تمام آلام، نتیجه عمل شخص رنجور است و الم تنها در صورتی نیکوست که شخص، سزاوار آن باشد و بر این اساس الم ابتدایی وجود ندارد،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ابطال قول اصحاب تناسخ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آن‌ها باطل است، زیرا اگر تمام رنج‌ها نتیجه اعمال گذشته است، باید انسان آن‌ها را به یاد آورد، و چون رنج در میان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بنابر فرض اصحاب تناسخ، چون رنج، عذاب است، واجب است همراه با خواری باشد و فرار از آن و آه و ناله در برابر آن، واجب باشد، در صورتی که خلاف آن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ابواسحاق،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عموم متکلمان عدلیه درباره دلیل نیکویی آلام ابتدایی سخن به میان آورده‌اند، خود گویاترین دلیل بر پذیرش وجود آلام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بدیهی بودن وجود الم و الم ابتدایی، این پرسش مطرح می‌گردد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الم ابتدایی با وجود عدالت و رحمت خداوند، چیست؟</w:t>
      </w:r>
    </w:p>
    <w:p>
      <w:pPr>
        <w:pStyle w:val="Heading4"/>
        <w:numPr>
          <w:ilvl w:val="3"/>
          <w:numId w:val="1"/>
        </w:numPr>
        <w:rPr/>
      </w:pPr>
      <w:bookmarkStart w:id="207" w:name="__RefHeading___Toc628003_1395250215"/>
      <w:bookmarkStart w:id="208" w:name="_Toc85"/>
      <w:bookmarkEnd w:id="207"/>
      <w:r>
        <w:rPr/>
        <w:t>3</w:t>
      </w:r>
      <w:r>
        <w:rPr>
          <w:rtl w:val="true"/>
        </w:rPr>
        <w:t xml:space="preserve">. </w:t>
      </w:r>
      <w:r>
        <w:rPr>
          <w:rtl w:val="true"/>
        </w:rPr>
        <w:t>نیکو بودن آلام ابتدایی</w:t>
      </w:r>
      <w:bookmarkEnd w:id="20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ثنویون که معتقدند دردها و غم‌ها ذاتاً بد هستند و هر گاه وجود یابند، زشتی و قباحت را به همراه دارند، و برخلاف نظر اصحاب تناسخ و بکریه که زشتی آلام به متعلَّق آن</w:t>
      </w:r>
      <w:bookmarkStart w:id="209" w:name="pg2643_21715"/>
    </w:p>
    <w:p>
      <w:pPr>
        <w:pStyle w:val="BookText"/>
        <w:rPr/>
      </w:pPr>
      <w:bookmarkEnd w:id="209"/>
      <w:r>
        <w:rPr>
          <w:rFonts w:ascii="IRNazanin" w:hAnsi="IRNazanin" w:eastAsia="IRNazanin"/>
          <w:color w:val="111111"/>
          <w:sz w:val="28"/>
          <w:sz w:val="28"/>
          <w:szCs w:val="28"/>
          <w:rtl w:val="true"/>
          <w:lang w:bidi="fa-IR"/>
        </w:rPr>
        <w:t>وابسته است، به گو‌نه‌ای که اگر متعلَق اَلَم به سبب گناه کوتاهی در انجام واجبات، سزاوار الم شود، الم نیکوست و در غیر این صورت الم نیکو نخواهد بود، از نظر عموم متکلمان اسلامی، تمام آلامِ ابتدایی و غیرابتداییِ منسوب به خداوند، نیکوست و در این باره میان اشاعره و عدلیه اختلافی نیست؛ آنچه موجب اختلاف است، درباره علت نیکوییِ آلام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علت نیکویی آلام ابتدایی، متکلمان عدلیه ازدو واژه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که در نوشتار حاضر، به نقش مصلحت و واژگان مشابه آن می‌پردازیم</w:t>
      </w:r>
      <w:r>
        <w:rPr>
          <w:rFonts w:eastAsia="IRNazanin" w:cs="IRNazanin"/>
          <w:color w:val="111111"/>
          <w:sz w:val="28"/>
          <w:szCs w:val="28"/>
          <w:rtl w:val="true"/>
          <w:lang w:bidi="fa-IR"/>
        </w:rPr>
        <w:t>.</w:t>
      </w:r>
    </w:p>
    <w:p>
      <w:pPr>
        <w:pStyle w:val="Heading3"/>
        <w:numPr>
          <w:ilvl w:val="2"/>
          <w:numId w:val="1"/>
        </w:numPr>
        <w:rPr/>
      </w:pPr>
      <w:bookmarkStart w:id="210" w:name="__RefHeading___Toc628005_1395250215"/>
      <w:bookmarkStart w:id="211" w:name="_Toc86"/>
      <w:bookmarkEnd w:id="210"/>
      <w:r>
        <w:rPr>
          <w:rtl w:val="true"/>
        </w:rPr>
        <w:t xml:space="preserve">معنای مصلحت </w:t>
      </w:r>
      <w:r>
        <w:rPr>
          <w:rtl w:val="true"/>
        </w:rPr>
        <w:t>(</w:t>
      </w:r>
      <w:r>
        <w:rPr>
          <w:rtl w:val="true"/>
        </w:rPr>
        <w:t>لطف و اعتبار</w:t>
      </w:r>
      <w:r>
        <w:rPr>
          <w:rtl w:val="true"/>
        </w:rPr>
        <w:t xml:space="preserve">) </w:t>
      </w:r>
      <w:r>
        <w:rPr>
          <w:rtl w:val="true"/>
        </w:rPr>
        <w:t>در رهیافت کلامی و آیات و روایات</w:t>
      </w:r>
      <w:bookmarkEnd w:id="211"/>
    </w:p>
    <w:p>
      <w:pPr>
        <w:pStyle w:val="Heading4"/>
        <w:numPr>
          <w:ilvl w:val="3"/>
          <w:numId w:val="1"/>
        </w:numPr>
        <w:rPr/>
      </w:pPr>
      <w:bookmarkStart w:id="212" w:name="__RefHeading___Toc628007_1395250215"/>
      <w:bookmarkStart w:id="213" w:name="_Toc8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پیش از بررسی علت نیکوییِ آلام ابتدایی و بررسی و نقد اقوال درباره آن، ضروری می‌نماید دقیقاً مراد متکلمان از مفهوم مصلحت و مفاهیم نزدیک آن در ارتباط با آلام ابتدایی روشن شود و میزان تأثیرپذیری آنان از آیات و روایات و وجه شباهتِ معنای آنان از مفهوم مصلحت در لسان آیات وروایات، تبیین گردد</w:t>
      </w:r>
      <w:r>
        <w:rPr>
          <w:rFonts w:eastAsia="IRNazanin" w:cs="IRNazanin"/>
          <w:color w:val="111111"/>
          <w:sz w:val="28"/>
          <w:szCs w:val="28"/>
          <w:rtl w:val="true"/>
          <w:lang w:bidi="fa-IR"/>
        </w:rPr>
        <w:t>.</w:t>
      </w:r>
    </w:p>
    <w:p>
      <w:pPr>
        <w:pStyle w:val="Heading4"/>
        <w:numPr>
          <w:ilvl w:val="3"/>
          <w:numId w:val="1"/>
        </w:numPr>
        <w:rPr/>
      </w:pPr>
      <w:bookmarkStart w:id="214" w:name="__RefHeading___Toc628009_1395250215"/>
      <w:bookmarkStart w:id="215" w:name="_Toc88"/>
      <w:bookmarkEnd w:id="214"/>
      <w:r>
        <w:rPr/>
        <w:t>1</w:t>
      </w:r>
      <w:r>
        <w:rPr>
          <w:rtl w:val="true"/>
        </w:rPr>
        <w:t xml:space="preserve">. </w:t>
      </w:r>
      <w:r>
        <w:rPr>
          <w:rtl w:val="true"/>
        </w:rPr>
        <w:t xml:space="preserve">معنای مصلحت </w:t>
      </w:r>
      <w:r>
        <w:rPr>
          <w:rtl w:val="true"/>
        </w:rPr>
        <w:t xml:space="preserve">( </w:t>
      </w:r>
      <w:r>
        <w:rPr>
          <w:rtl w:val="true"/>
        </w:rPr>
        <w:t>لطف و اعتبار</w:t>
      </w:r>
      <w:r>
        <w:rPr>
          <w:rtl w:val="true"/>
        </w:rPr>
        <w:t xml:space="preserve">) </w:t>
      </w:r>
      <w:r>
        <w:rPr>
          <w:rtl w:val="true"/>
        </w:rPr>
        <w:t>در رهیافت کلامی</w:t>
      </w:r>
      <w:bookmarkEnd w:id="215"/>
    </w:p>
    <w:p>
      <w:pPr>
        <w:pStyle w:val="BookText"/>
        <w:rPr/>
      </w:pPr>
      <w:r>
        <w:rPr>
          <w:rFonts w:ascii="IRNazanin" w:hAnsi="IRNazanin" w:eastAsia="IRNazanin"/>
          <w:color w:val="111111"/>
          <w:sz w:val="28"/>
          <w:sz w:val="28"/>
          <w:szCs w:val="28"/>
          <w:rtl w:val="true"/>
          <w:lang w:bidi="fa-IR"/>
        </w:rPr>
        <w:t xml:space="preserve">بیشترِ متکلمان عدلیه، برای نیکویی آلام ابتدایی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یعنی الم ابتدایی، موجب عبرت گرفتن مکلف می‌شود و مکلف با عبرت گرفتن و انجام دادن دستورات خدواند به او نزدیک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گزارش اقوال متکلمانی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شیخ مفید، سید مرتضی، شیخ طوسی، خواجه‌نصیر‌الدین طوسی و علامه حلی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آلام ابتدایی، در موارد متعددی از مفهوم عبرت گرفتن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اسد‌آبادی، بی‌تا</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اسد‌آبادی،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بیان ضرورتِ همراهی الم ابتدایی با عبرت‌پذیری، هم برای مکلفان وهم برای غیرمکلفان، دامنه آن را در مکلفان از غیرمکلفان گسترده‌تر می‌داند، زیرا الم می‌تواند مایه پندپذیری، هم برای خودشان و هم دیگران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توضیح قاضی عبدالجبار درباره اعتبار، دانسته می‌شود مراد او از اعتبار، همان عبرت گرفتن است؛ بدین معنا که شخص متألم و مکلف در سایه المِواردشده، به انجام دادن دستورات خداوند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معناست که او اختصاصِ عبرت گرفتن به افراد غیرمکلف و عدم تعلق آن به مکلف را بعید می‌داند، در صورتی که عبرت گرفتن برای شخص مکلف در ازای المِ واردشده به او،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در منبعی</w:t>
      </w:r>
    </w:p>
    <w:p>
      <w:pPr>
        <w:pStyle w:val="BookText"/>
        <w:rPr/>
      </w:pPr>
      <w:r>
        <w:rPr>
          <w:rFonts w:ascii="IRNazanin" w:hAnsi="IRNazanin" w:eastAsia="IRNazanin"/>
          <w:color w:val="111111"/>
          <w:sz w:val="28"/>
          <w:sz w:val="28"/>
          <w:szCs w:val="28"/>
          <w:rtl w:val="true"/>
          <w:lang w:bidi="fa-IR"/>
        </w:rPr>
        <w:t xml:space="preserve">دیگر،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موجب می‌شود مکلف با عبرت گرفتن، به انجام دستورات خداوند و ترک نواهی او تشویق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عبارتی دیگر،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منبعی دیگر، معنای لطف را به عبرت گرفتن برمی‌گرداند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 از این عبرت گرفتن،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 بر اساس آن می‌توان نیکوییِ تمام افعال الهی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و حیات را از مصادیق قاعده اصلح دانسته و امتحان الهی را نیز از مواردی می‌داند که موجب می‌شود آلام شدیده از سوی خداوند بر بسیاری از آفریده‌هایش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وجود آلامِ پیش از مرگ بر برخی بندگان را، بر اساس مصلحت متألم و غیرمتألم تبیین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می‌گردد مراد او از مصلحت، معنای لطف در اصطلاح متکلمان اسلامی است که براساس آن، بنده به خداوند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از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آفرینش تمام موجودات سخن به میان آورده و آفرینش بدون آن‌ها را بیهوده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کلی او و دیگر سخنانش می‌توان نتیجه گرفت، الم ابتدایی نیز باید با عبرت گرفتن و صلاح همراه باشد، زیرا الم ابتدایی از فروع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گاه از عنوان عبرت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صواب، حق و عدالت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از قاعده لطف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چنان‌که سیدمرتضی بر آن تصریح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علم‌الهدی،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ضمن استفاده ازعنوان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حلی،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با معنای عام منفعت مساوی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لطف محض را بر همان منفعت درونیِ الم، بدون ضرورت در نظرگرفتن منفعتی بیرونی برای جبران آن، تطبیق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طوسی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کرده است و آن را عبارت از لطف در دین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طوسی، بی‌تا،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216" w:name="pg2643_21719"/>
    </w:p>
    <w:p>
      <w:pPr>
        <w:pStyle w:val="BookText"/>
        <w:rPr/>
      </w:pPr>
      <w:bookmarkEnd w:id="216"/>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خواجه نیز بر ضرورت مصلحت در نیکویی آلام ابتدایی تصریح دارد و آن را نوعی لطف می داند؛ زیرا اگر مصلحتی در الم ابتدایی نباشد کار خداوند عبث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جبران بیرونی را نیز برای ستم نبودن فعل الهی ضروری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ابوصلاح حلبی نیز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علت نیکو بودن آلامِ واردشده بر کودکان را، لطف بودن آن برای عقلا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217" w:name="__RefHeading___Toc628011_1395250215"/>
      <w:bookmarkStart w:id="218" w:name="_Toc89"/>
      <w:bookmarkEnd w:id="217"/>
      <w:r>
        <w:rPr/>
        <w:t>2</w:t>
      </w:r>
      <w:r>
        <w:rPr>
          <w:rtl w:val="true"/>
        </w:rPr>
        <w:t xml:space="preserve">. </w:t>
      </w:r>
      <w:r>
        <w:rPr>
          <w:rtl w:val="true"/>
        </w:rPr>
        <w:t>معنای مصلحت در آیات و روایات</w:t>
      </w:r>
      <w:bookmarkEnd w:id="218"/>
    </w:p>
    <w:p>
      <w:pPr>
        <w:pStyle w:val="BookText"/>
        <w:rPr/>
      </w:pP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بیشتر متکلمان اسلامی، با همان عنوان کلیِ خودشان آمده و به مصادیقِ آن، کمتر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متکلمان اسلامی تنها گفته اند که آلام باید با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باشند ودرتبیین معنای عناوین یاد شده و مصادیق آن کمتر سخن گفته اند در حالی که در آیات و روایات با صراحت به مصادیق عناوین یاد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رسیدن انسان، پاداش دادن به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عناوینِ مشابه، عام‌تر است؛ به گونه‌ای که عبرت گرفتن و لطف، تحت عنوان کلیِ مصلحت قرار می‌گیرند و آن دو، مصادیقی از مصلحت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مشخص شدن معنای مصلحت در لسان آ‌یات و روایات، ضروری می‌نماید تا در پرتو آن، میزان تأثیر‌پذیری متکلمان اسلامی از آیات و روایات و قدرِ مشترک معنای اصطلاحی مصلحت در آیات وروایات با اصطلاح کلامی، روشن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درآیات و روایات، معنای عام مصلحت بر مصادیق خاص آن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مصالح گفته‌شده درباره علتِ به وجود آمدن آلام ابتدایی</w:t>
      </w:r>
      <w:r>
        <w:rPr>
          <w:rStyle w:val="FootnoteAnchor"/>
          <w:rtl w:val="true"/>
        </w:rPr>
        <w:footnoteReference w:id="29"/>
      </w:r>
      <w:r>
        <w:rPr>
          <w:rFonts w:ascii="IRNazanin" w:hAnsi="IRNazanin" w:eastAsia="IRNazanin"/>
          <w:color w:val="111111"/>
          <w:sz w:val="28"/>
          <w:sz w:val="28"/>
          <w:szCs w:val="28"/>
          <w:rtl w:val="true"/>
          <w:lang w:bidi="fa-IR"/>
        </w:rPr>
        <w:t>در متون دینی،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قلم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نازعات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کلینی،</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1378:91</w:t>
      </w:r>
      <w:r>
        <w:rPr>
          <w:rFonts w:ascii="IRNazanin" w:hAnsi="IRNazanin" w:eastAsia="IRNazanin"/>
          <w:color w:val="111111"/>
          <w:sz w:val="28"/>
          <w:sz w:val="28"/>
          <w:szCs w:val="28"/>
          <w:rtl w:val="true"/>
          <w:lang w:bidi="fa-IR"/>
        </w:rPr>
        <w:t xml:space="preserve">؛ طوسی، بی‌تا،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امام علی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در‌هم‌کوبیدن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صدوق،</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19" w:name="pg2643_21721"/>
    </w:p>
    <w:p>
      <w:pPr>
        <w:pStyle w:val="BookText"/>
        <w:rPr/>
      </w:pPr>
      <w:bookmarkEnd w:id="219"/>
      <w:r>
        <w:rPr>
          <w:rFonts w:ascii="IRNazanin" w:hAnsi="IRNazanin" w:eastAsia="IRNazanin"/>
          <w:color w:val="111111"/>
          <w:sz w:val="28"/>
          <w:sz w:val="28"/>
          <w:szCs w:val="28"/>
          <w:rtl w:val="true"/>
          <w:lang w:bidi="fa-IR"/>
        </w:rPr>
        <w:t xml:space="preserve">آگاهی از درد و رنج دیگران و انتخاب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مصالح دنیوی سختی‌ها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سهل‌گیری بر بنده رنجور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مجلسی،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اعطای ثواب تفضلی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مصلحت داشتن المبرای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تکامل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بخشش هنگام نیاز؛ گاه خداوند به شخص عطا نمی‌کند تا در زمان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عنایت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آگاهی از سختی‌های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افزایش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کلینی، </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در آیات و روایات، معنای عام مصلحت با بیان مصادیق آن تبیین شده است، درحالی که متکلمان اسلامی بیشتر به عنوان کلیِ مصلحت در راستای علت نیکویی آلام ابتدایی اشاره کرده‌اند؛ هر چند افرادی مانند شیخ مفید، به مصادیقی از آن نیز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متکلمان اسلامی، با آیات و روایات هماهنگ است، زیرا عنوان کلیِ مصلحت می‌تواند بر مصادیق گفته‌شده در آ‌یات و روایات تطبیق شود</w:t>
      </w:r>
      <w:r>
        <w:rPr>
          <w:rFonts w:eastAsia="IRNazanin" w:cs="IRNazanin"/>
          <w:color w:val="111111"/>
          <w:sz w:val="28"/>
          <w:szCs w:val="28"/>
          <w:rtl w:val="true"/>
          <w:lang w:bidi="fa-IR"/>
        </w:rPr>
        <w:t>.</w:t>
      </w:r>
    </w:p>
    <w:p>
      <w:pPr>
        <w:pStyle w:val="Heading3"/>
        <w:numPr>
          <w:ilvl w:val="2"/>
          <w:numId w:val="1"/>
        </w:numPr>
        <w:rPr/>
      </w:pPr>
      <w:bookmarkStart w:id="220" w:name="__RefHeading___Toc628013_1395250215"/>
      <w:bookmarkStart w:id="221" w:name="_Toc90"/>
      <w:bookmarkEnd w:id="220"/>
      <w:r>
        <w:rPr>
          <w:rtl w:val="true"/>
        </w:rPr>
        <w:t>مصلحت و نیکویی آلام ابتدایی</w:t>
      </w:r>
      <w:bookmarkEnd w:id="221"/>
    </w:p>
    <w:p>
      <w:pPr>
        <w:pStyle w:val="Heading4"/>
        <w:numPr>
          <w:ilvl w:val="3"/>
          <w:numId w:val="1"/>
        </w:numPr>
        <w:rPr/>
      </w:pPr>
      <w:bookmarkStart w:id="222" w:name="__RefHeading___Toc628015_1395250215"/>
      <w:bookmarkStart w:id="223" w:name="_Toc9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پس از مشخص شدن معنای مصلحت، لطف و اعتبار در رهیافت کلامی، به بررسی نقش آن در نیکویی آلام ابتدایی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نقش، بنابر استقرای انجام‌شده چهار قول وجود دارد</w:t>
      </w:r>
      <w:r>
        <w:rPr>
          <w:rFonts w:eastAsia="IRNazanin" w:cs="IRNazanin"/>
          <w:color w:val="111111"/>
          <w:sz w:val="28"/>
          <w:szCs w:val="28"/>
          <w:rtl w:val="true"/>
          <w:lang w:bidi="fa-IR"/>
        </w:rPr>
        <w:t>:</w:t>
      </w:r>
    </w:p>
    <w:p>
      <w:pPr>
        <w:pStyle w:val="Heading4"/>
        <w:numPr>
          <w:ilvl w:val="3"/>
          <w:numId w:val="1"/>
        </w:numPr>
        <w:rPr/>
      </w:pPr>
      <w:bookmarkStart w:id="224" w:name="__RefHeading___Toc628017_1395250215"/>
      <w:bookmarkStart w:id="225" w:name="_Toc92"/>
      <w:bookmarkEnd w:id="224"/>
      <w:r>
        <w:rPr/>
        <w:t>1</w:t>
      </w:r>
      <w:r>
        <w:rPr>
          <w:rtl w:val="true"/>
        </w:rPr>
        <w:t xml:space="preserve">. </w:t>
      </w:r>
      <w:r>
        <w:rPr>
          <w:rtl w:val="true"/>
        </w:rPr>
        <w:t>فعل الهی بودن آلام ابتدایی، دلیل بر نیکویی</w:t>
      </w:r>
      <w:bookmarkEnd w:id="225"/>
    </w:p>
    <w:p>
      <w:pPr>
        <w:pStyle w:val="Heading5"/>
        <w:numPr>
          <w:ilvl w:val="4"/>
          <w:numId w:val="1"/>
        </w:numPr>
        <w:rPr/>
      </w:pPr>
      <w:bookmarkStart w:id="226" w:name="__RefHeading___Toc628019_1395250215"/>
      <w:bookmarkStart w:id="227" w:name="_Toc9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در دیدگاه اشاعره، آلام هرگاه از سوی خداوند باشد، نیکوست و تفاوتی نمی‌کند اَلَم به جهت جزا ویا ابتدایی باشد و نیازی نیست برای نیکو شدن آن، الم مسبوق به استحقاق، یا برای جلب منفعت و یا برای دفع زیانِ بزرگ‌تر باشد، زیرا خداوند مالک است و هرگونه بخواهد می‌تواند در ملک خود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بی‌تا</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آنان، هرگونه الزامی در راستای آلام ابتدایی برای خداوند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ایجی،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5"/>
        <w:numPr>
          <w:ilvl w:val="4"/>
          <w:numId w:val="1"/>
        </w:numPr>
        <w:rPr/>
      </w:pPr>
      <w:bookmarkStart w:id="228" w:name="__RefHeading___Toc628021_1395250215"/>
      <w:bookmarkStart w:id="229" w:name="_Toc94"/>
      <w:bookmarkEnd w:id="228"/>
      <w:r>
        <w:rPr>
          <w:rtl w:val="true"/>
        </w:rPr>
        <w:t>نقد و برسی</w:t>
      </w:r>
      <w:r>
        <w:rPr>
          <w:rtl w:val="true"/>
        </w:rPr>
        <w:t xml:space="preserve">: </w:t>
      </w:r>
      <w:r>
        <w:rPr>
          <w:rtl w:val="true"/>
        </w:rPr>
        <w:t>منافات داشتن این قول با حکمت و عدالت خداوند</w:t>
      </w:r>
      <w:bookmarkEnd w:id="22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عدلیه، سخنان و دلایل اشاعره را مورد نقد جدی قرار دادند؛ برای نمونه علامه حلی، لازمه سخن اشاعره را آن می‌داندکه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 باشد خداوند بنده خود را بدون گناه، به انواع رنج‌ها آزار دهد، در حالی که خداوند ازکارش، نه هدفی داشته است و نه پاداش و عوضی را در برابر الم واردشده، به بنده رسانده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 باشد خداوند، کودکان، پیامبران و اولیای خویش را</w:t>
      </w:r>
      <w:bookmarkStart w:id="230" w:name="pg2643_21723"/>
    </w:p>
    <w:p>
      <w:pPr>
        <w:pStyle w:val="BookText"/>
        <w:rPr/>
      </w:pPr>
      <w:bookmarkEnd w:id="230"/>
      <w:r>
        <w:rPr>
          <w:rFonts w:ascii="IRNazanin" w:hAnsi="IRNazanin" w:eastAsia="IRNazanin"/>
          <w:color w:val="111111"/>
          <w:sz w:val="28"/>
          <w:sz w:val="28"/>
          <w:szCs w:val="28"/>
          <w:rtl w:val="true"/>
          <w:lang w:bidi="fa-IR"/>
        </w:rPr>
        <w:t>بی‌غرض و عوض،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می‌دانیم که اگر انسانی چنین کند، خردمندانش ستمگر و سفیه شمارند، پس چگونه آدمی چنین کاستی‌هایی را به خدایش نسبت دهد و از او نهراسد؟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در ردّ سخن اشاعره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اشاعره، از اصل عدم واجب بودن امری بر خداوند می‌گویند، به علت آن است که آن‌ها معنای وجوب را درست درک نکرده‌اند و تصرف در ملک نیز از سوی هر مالکی که باشد اگر بر وجه حسن باشد، حسن خواهد بود و اگر بر وجه قبیح باشد، قبیح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مرعشی،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4"/>
        <w:numPr>
          <w:ilvl w:val="3"/>
          <w:numId w:val="1"/>
        </w:numPr>
        <w:rPr/>
      </w:pPr>
      <w:bookmarkStart w:id="231" w:name="__RefHeading___Toc628023_1395250215"/>
      <w:bookmarkStart w:id="232" w:name="_Toc95"/>
      <w:bookmarkEnd w:id="231"/>
      <w:r>
        <w:rPr/>
        <w:t>2</w:t>
      </w:r>
      <w:r>
        <w:rPr>
          <w:rtl w:val="true"/>
        </w:rPr>
        <w:t xml:space="preserve">. </w:t>
      </w:r>
      <w:r>
        <w:rPr>
          <w:rtl w:val="true"/>
        </w:rPr>
        <w:t>لطف محض بودن آلام ابتدایی و بی نیازی از مصلحت بیرونی برای نیکویی آن</w:t>
      </w:r>
      <w:bookmarkEnd w:id="232"/>
    </w:p>
    <w:p>
      <w:pPr>
        <w:pStyle w:val="Heading5"/>
        <w:numPr>
          <w:ilvl w:val="4"/>
          <w:numId w:val="1"/>
        </w:numPr>
        <w:rPr/>
      </w:pPr>
      <w:bookmarkStart w:id="233" w:name="__RefHeading___Toc628025_1395250215"/>
      <w:bookmarkStart w:id="234" w:name="_Toc96"/>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بنابراین قول، وجود مصلحت برای نیکوییِ آلام ابتدایی هم شرط لازم است و هم شرط کافی، و به علت ضرورت مصلحت در آلام ابتدایی تحقق این شرط دائمی است؛ به بیان دیگر، منفعت باید به جهت مصلحت و اعتبار در خود المتحقق یابد و نه به جهت نفعی بیرونی که همان عوض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قاضی عبد‌الجبار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قدمای معتزله،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متکلمان شیعه، محقق حلی نیز بر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اشاره کردن به اختلاف درباره علت نیکو بودن آلام ابتدایی و بیان سه قول در این باره و استدلال‌ها و نقد آن‌ها، در نهایت به دلیلِ قولی می‌پردازد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الم ابتدایی کافی می‌داند و نیاز به منفعت زاید در مقابل آن نیست، و خود این قول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درباره دلیل این قول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تنها لطف را در ایجاد الم کافی می‌دانند،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در مقابل الم، به انسان منفعت برسد یا این‌که خود الم لطف و منفعت باشد فرقی نیست، زیرا تحمل سختی‌های سفر، به جهت افزایش سود در کالا‌ها جایز است، گرچه در مقابل خود سفر منفعتی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امر، در جایی که لطف به خود مولَم، یعنی کسی که مستقیماً درد را تحمل می‌کند، آشکار‌تر است؛ بنابراین کسی که می‌داند فرزندش در راه تحصیل علم باید رنج هجرت وغربت را تحمل کند و جدایی از سرگرمی‌های شهر خود و هجرت موجب یاد‌گیری او می‌شود، الزام او بر این رنج هجرت، نیکوست ودر مقابلِ آن رنج، عوضی واجب و لازم نیست و علت حُسن آن الم فقط لطف در تعلّم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پس از استدلال مزبور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وجه قوی است و بر آن اعتماد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حنفیه تمام آلام را همراه با حکمت‌هایی،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خطاها، بالارفتن درجات و پاکیِ‌نفس از اخلاق ناهماهنگ با بندگی، از جانب خداوند متعال می‌دانند و جبران بیرونی را بر</w:t>
      </w:r>
      <w:bookmarkStart w:id="235" w:name="pg2643_21724"/>
    </w:p>
    <w:p>
      <w:pPr>
        <w:pStyle w:val="BookText"/>
        <w:rPr/>
      </w:pPr>
      <w:bookmarkEnd w:id="235"/>
      <w:r>
        <w:rPr>
          <w:rFonts w:ascii="IRNazanin" w:hAnsi="IRNazanin" w:eastAsia="IRNazanin"/>
          <w:color w:val="111111"/>
          <w:sz w:val="28"/>
          <w:sz w:val="28"/>
          <w:szCs w:val="28"/>
          <w:rtl w:val="true"/>
          <w:lang w:bidi="fa-IR"/>
        </w:rPr>
        <w:t>خداوند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تمام آلام را مشتمل بر حکمت می‌دانند، اگرچه عقول از درک آن ناتوان باشند؛ به همین علت، اعتراض بر فعل الهی‌را جایز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5"/>
        <w:numPr>
          <w:ilvl w:val="4"/>
          <w:numId w:val="1"/>
        </w:numPr>
        <w:rPr/>
      </w:pPr>
      <w:bookmarkStart w:id="236" w:name="__RefHeading___Toc628027_1395250215"/>
      <w:bookmarkStart w:id="237" w:name="_Toc97"/>
      <w:bookmarkEnd w:id="236"/>
      <w:r>
        <w:rPr>
          <w:rtl w:val="true"/>
        </w:rPr>
        <w:t>نقد و برسی</w:t>
      </w:r>
      <w:r>
        <w:rPr>
          <w:rtl w:val="true"/>
        </w:rPr>
        <w:t xml:space="preserve">: </w:t>
      </w:r>
      <w:r>
        <w:rPr>
          <w:rtl w:val="true"/>
        </w:rPr>
        <w:t>اخص بودن دلیل نسبت به مدعا</w:t>
      </w:r>
      <w:bookmarkEnd w:id="237"/>
    </w:p>
    <w:p>
      <w:pPr>
        <w:pStyle w:val="BookText"/>
        <w:rPr/>
      </w:pPr>
      <w:r>
        <w:rPr>
          <w:rFonts w:ascii="IRNazanin" w:hAnsi="IRNazanin" w:eastAsia="IRNazanin"/>
          <w:color w:val="111111"/>
          <w:sz w:val="28"/>
          <w:sz w:val="28"/>
          <w:szCs w:val="28"/>
          <w:rtl w:val="true"/>
          <w:lang w:bidi="fa-IR"/>
        </w:rPr>
        <w:t>به نظر نگارنده، دلیل محقق حلی اخص از مدعای اوست، زیرا این دلیل در جایی صادق است که متعلَق الم و لطف یکی است، اما متکلمان موارد متعددی را ذکر می‌کنند که متعلَق الم و لطف یکی نیست؛ مانند رنج‌های وارد شده بر کودکان و دیوانگان که با وجود منفعت داشتن برای دیگران، به علت نبودن قدرت تفکر در سطوح عالی انسانی، مصالحی مانند عبرت گرفتن از آن‌ها بی‌معناست و به همین علت، جبران بیرونی برای آن‌ها ضروری می‌نماید؛ مگر آن‌که مانند حنفیه گفته شود در تمام موارد لطف و مصلحت وجود دارد، اگرچه ما به علت محدودیت علم نتوانیم به آن آگاه شویم؛ اما در صورت عدم پذیرش سخن مزبور، به علت بی‌نقص بودن فعل الهی، مصلحت تنها برای نیکوییِ آلام ابتدایی کافی نیست</w:t>
      </w:r>
      <w:r>
        <w:rPr>
          <w:rFonts w:eastAsia="IRNazanin" w:cs="IRNazanin"/>
          <w:color w:val="111111"/>
          <w:sz w:val="28"/>
          <w:szCs w:val="28"/>
          <w:rtl w:val="true"/>
          <w:lang w:bidi="fa-IR"/>
        </w:rPr>
        <w:t>.</w:t>
      </w:r>
    </w:p>
    <w:p>
      <w:pPr>
        <w:pStyle w:val="Heading4"/>
        <w:numPr>
          <w:ilvl w:val="3"/>
          <w:numId w:val="1"/>
        </w:numPr>
        <w:rPr/>
      </w:pPr>
      <w:bookmarkStart w:id="238" w:name="__RefHeading___Toc628029_1395250215"/>
      <w:bookmarkStart w:id="239" w:name="_Toc98"/>
      <w:bookmarkEnd w:id="238"/>
      <w:r>
        <w:rPr/>
        <w:t>3</w:t>
      </w:r>
      <w:r>
        <w:rPr>
          <w:rtl w:val="true"/>
        </w:rPr>
        <w:t>.</w:t>
      </w:r>
      <w:r>
        <w:rPr>
          <w:rtl w:val="true"/>
        </w:rPr>
        <w:t>ضرورت نداشتن مصلحت در نیکویی آلام ابتدایی</w:t>
      </w:r>
      <w:bookmarkEnd w:id="239"/>
    </w:p>
    <w:p>
      <w:pPr>
        <w:pStyle w:val="Heading5"/>
        <w:numPr>
          <w:ilvl w:val="4"/>
          <w:numId w:val="1"/>
        </w:numPr>
        <w:rPr/>
      </w:pPr>
      <w:bookmarkStart w:id="240" w:name="__RefHeading___Toc628031_1395250215"/>
      <w:bookmarkStart w:id="241" w:name="_Toc99"/>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این قول تنها به ابوعلی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ابوعلی، وارد کردن الم از سوی خداوند را جایز دانسته است، بدون این که الم وسیله‌ای برای عبرت گرفتن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علم‌الهدی،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 علامه حلی، از نظر ابوعلی، علت قبیح بودن آلام ابتدایی تنها ستم بودن آن است؛ بنابراین لطف در آن ضرورتی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جبران بیرونی خداوند، ستم بودن را از بین می‌برد و در آن صورت، الم ابتدایی قبیح نخواهد بود</w:t>
      </w:r>
      <w:r>
        <w:rPr>
          <w:rFonts w:eastAsia="IRNazanin" w:cs="IRNazanin"/>
          <w:color w:val="111111"/>
          <w:sz w:val="28"/>
          <w:szCs w:val="28"/>
          <w:rtl w:val="true"/>
          <w:lang w:bidi="fa-IR"/>
        </w:rPr>
        <w:t>.</w:t>
      </w:r>
    </w:p>
    <w:p>
      <w:pPr>
        <w:pStyle w:val="Heading5"/>
        <w:numPr>
          <w:ilvl w:val="4"/>
          <w:numId w:val="1"/>
        </w:numPr>
        <w:rPr/>
      </w:pPr>
      <w:bookmarkStart w:id="242" w:name="__RefHeading___Toc628033_1395250215"/>
      <w:bookmarkStart w:id="243" w:name="_Toc100"/>
      <w:bookmarkEnd w:id="242"/>
      <w:r>
        <w:rPr>
          <w:rtl w:val="true"/>
        </w:rPr>
        <w:t>نقد و برسی</w:t>
      </w:r>
      <w:r>
        <w:rPr>
          <w:rtl w:val="true"/>
        </w:rPr>
        <w:t xml:space="preserve">: </w:t>
      </w:r>
      <w:r>
        <w:rPr>
          <w:rtl w:val="true"/>
        </w:rPr>
        <w:t>عبث بودن فعل الهی در صورت خالی بودن از مصلحت</w:t>
      </w:r>
      <w:bookmarkEnd w:id="243"/>
    </w:p>
    <w:p>
      <w:pPr>
        <w:pStyle w:val="BookText"/>
        <w:rPr/>
      </w:pPr>
      <w:r>
        <w:rPr>
          <w:rFonts w:ascii="IRNazanin" w:hAnsi="IRNazanin" w:eastAsia="IRNazanin"/>
          <w:color w:val="111111"/>
          <w:sz w:val="28"/>
          <w:sz w:val="28"/>
          <w:szCs w:val="28"/>
          <w:rtl w:val="true"/>
          <w:lang w:bidi="fa-IR"/>
        </w:rPr>
        <w:t>تنها جبرانِ خداوند، تبیین‌کننده نیکویی الم ابتدایی نیست،زیرا اگر الم ابتدایی همراه با مصلحت نباشد وغرض از آن فقط عوض باشد، این امر عبث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بدونِ مصلحت، مانند آن است که شخص تنها به جهت عوض و بدون هدفی دیگر، آزار و یا اجیر شود، و اینکاری عبث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خداوند کار عبث انجام نمی‌دهد</w:t>
      </w:r>
      <w:r>
        <w:rPr>
          <w:rFonts w:eastAsia="IRNazanin" w:cs="IRNazanin"/>
          <w:color w:val="111111"/>
          <w:sz w:val="28"/>
          <w:szCs w:val="28"/>
          <w:rtl w:val="true"/>
          <w:lang w:bidi="fa-IR"/>
        </w:rPr>
        <w:t>.</w:t>
      </w:r>
    </w:p>
    <w:p>
      <w:pPr>
        <w:pStyle w:val="Heading4"/>
        <w:numPr>
          <w:ilvl w:val="3"/>
          <w:numId w:val="1"/>
        </w:numPr>
        <w:rPr/>
      </w:pPr>
      <w:bookmarkStart w:id="244" w:name="__RefHeading___Toc628035_1395250215"/>
      <w:bookmarkStart w:id="245" w:name="_Toc101"/>
      <w:bookmarkEnd w:id="244"/>
      <w:r>
        <w:rPr/>
        <w:t>4</w:t>
      </w:r>
      <w:r>
        <w:rPr>
          <w:rtl w:val="true"/>
        </w:rPr>
        <w:t xml:space="preserve">. </w:t>
      </w:r>
      <w:r>
        <w:rPr>
          <w:rtl w:val="true"/>
        </w:rPr>
        <w:t>نیکویی آلام ابتدایی، به شرط مصلحت درونی الم و جبران بیرونی</w:t>
      </w:r>
      <w:bookmarkEnd w:id="245"/>
    </w:p>
    <w:p>
      <w:pPr>
        <w:pStyle w:val="Heading5"/>
        <w:numPr>
          <w:ilvl w:val="4"/>
          <w:numId w:val="1"/>
        </w:numPr>
        <w:rPr/>
      </w:pPr>
      <w:bookmarkStart w:id="246" w:name="__RefHeading___Toc628037_1395250215"/>
      <w:bookmarkStart w:id="247" w:name="_Toc102"/>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این قول، مهم‌ترین قول در میان متکلمان عدلیه است و بیشترشان بر این 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به گزارش گفتارِ برخی از آن‌ها می‌پردازیم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معتقد است، آلامی که از سوی خداوند به آفریده‌هایش می‌رسد، از دو صورت خارج نیست؛ یا آفریده مکلف است و یا غیرمکلف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آفریده غیرمکلف است، باید المِوارد</w:t>
      </w:r>
    </w:p>
    <w:p>
      <w:pPr>
        <w:pStyle w:val="BookText"/>
        <w:rPr/>
      </w:pPr>
      <w:r>
        <w:rPr>
          <w:rFonts w:ascii="IRNazanin" w:hAnsi="IRNazanin" w:eastAsia="IRNazanin"/>
          <w:color w:val="111111"/>
          <w:sz w:val="28"/>
          <w:sz w:val="28"/>
          <w:szCs w:val="28"/>
          <w:rtl w:val="true"/>
          <w:lang w:bidi="fa-IR"/>
        </w:rPr>
        <w:t>شده بر آن با دو امر همراه باشد؛ اول، عوضی که الم را از ستم بودن جدا می‌کند و دوم، موجب پند گرفتن مکلفان گردد تا الم بیهوده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الم در حق مکلفان است، دو امر یادشده باید در آنان نیز ملاحظه شود؛ با این تفاوت که گستردگی اعتبار در این فرض بیشتر است، زیرا در این فرض الم می‌تواند تنها برای خود او، یا تنها برای دیگری و یا هم برای خود متألمو هم دیگری پندپذیر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قاضی عبد‌الجبار بعید می‌داند پندپذیری، تنها مخصوص دیگران بوده و برای خود مکلف، مایه پندگرفتن نباشد، در صورتی که مکلف خود بیشتر به آن اعتبار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 است که از نظر او، اساس رنج‌هایی که از سوی خداوند به آفریده‌هایش می‌رسد، عبرت گرفتن است و عوض در مرتبه بعد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عبرت گرفتن،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می‌کند و آن را در الم ابتدایی، اصل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عبد‌الجبار، دلیلِ ضرورت اعتبار را به فلسفه آلام برمی‌گرداند که بر چه اساسی فروفرستادن آلام بر خداوند واجب است، ودلیل وجوب آلام را در بازگشت به تکلیف می‌داند؛ یعنی همان‌گونه که تکلیف از سوی خداوند واجب است، هر امری هم که در ارتباط با فراهم کردن شرایط تکلیف و انجام دادن آن، مانند قدرت و تمکین دادن باشد، نیز بر خداوند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الم است که می‌تواند این اعتبار را ایجاد کند و مکلف با اعتبارگرفتن، به انجام دستورات خداوند و ترک نواهیِ او تشویق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عبرت گرفتن و مصلحت را در الم ابتدایی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در صورت مساوی بودن ایجاد الم و لذت در حیوان بر خداوند حکیم و منزه از نواقص، روا نیست که به جای لذت، الم را در حیوان ایجاد کند، زیرا در این صورت در ایجاد الم، هیچ انگیزه و غرضی مگر عوض دادن به متألم وجود ندارد، در صورتی که خداوند می‌تواند از روی تفضل، بدون ایجاد کردن الم عوض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شیخ مفید، مقتضای جود و مهربانیِ خداوند آن است که در صورت مساوی بودن مصلحت لذت با الم برای حیوان، مصلحت همراه با لذت باشد، زیرا لذت بر الم شرافت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او عام است و درباره انسان نیز صادق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تمام آلام واردشده از سوی خداوند بر بندگانش را، به جهت مصلحت آنان می‌داند و مرگ و حیات را از مصادیق قاعده اصلح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امتحان الهی را از مواردی می‌داند که موجب می‌شود، آلام سخت از سوی خداوند بر بسیاری از آفریده‌هایش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فلسفه آلام پیش از مرگِ برخی بندگان را،به جهت صلاح آنان و غیرآنان می‌داند که به دنبال آن سختی‌ها، نفع عظیم و عوض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هر چه خداوند متعال با آفریده‌هایش انجام می‌دهد، از برای آنان اصلح و اصوب در تدبیر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به اندازه‌ای برای اصل عبرت و مصلحت اهمیت قائل است که آن را در اصل آفرینش تمام موجودات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موجودی که برای هیچ‌کدام از مکلفان، مایه عبرت و برای سایر آفریده‌ها مایه صلاح نیست، از سوی خداوند عبث است و آن بر خداوند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 این اصل اعتقادی اهل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او، هر جا مصلحت المِ ابتدایی برای دیگری باشد و هیچ مصلحتی برای شخص رنجیده نداشته باشد، جبران بیرونی بر خداوند واجب است، زیرا خداوند عادل است و صفت عدل اقتضا دارد به جهت مصلحتِ کسی دیگر رنجیده نشود، مگر آن‌که این درد و رنج جبران شود؛ اگرچه ایجاد این درد و رنج برای مؤمنان فی‌نفسه، به خاطر مصلحتی که دارد،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استفاده می‌شود که شیخ مفید در مواردی، علاوه برضرورت داشتن مصلحت درونیِ الم ابتدایی، جبران بیرونی را نیز شرط می‌داند، اما در سایر موارد، سخنان او درباره این جبران بیرونی متفاوت است، زیرا گاه به صفاتی مانند کریم و جواد بودن خداوند و گاه به عادل بودن او استدلال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او با وجود تأکیدش بر تفضلی بودن جبران بیرونی در مسئله آلام ابتدایی، به ضرورت عدالت خداوند در جبران بیرونی، از سوی دیگر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اگر این جبران بیرونی بر اساس جواد و کریم بودن خداوند باشد، تفضلی است و در این صورت،گفتار او تحت عنوان قول دوم، یعنی کافی بودن مصلحت برای نیکوییِ آلام ابتدایی قرار می‌گیرد و اگر این جبران، بر اساس عادل بودن خداوند باشد، جبران بیرونی علاوه بر مصلحت، شرط نیکوییِ آلام ابتدایی خواهد بود که همان قول چهارم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بر آن است که تمام آلام ابتدایی باید با دو امر همراه باشند؛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گاه به لطف تعبیر می‌شود و گاه به مصلحت، که با این عبرت گرفتن،الم از عبث بودن خارج می‌شود؛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الم از ستم بودن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او در این باره، کاملاً شبیه استدلال قاضی عبدالجبار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سید مرتضی، اطلاق شر بر تمام سختی‌های واردشده از سوی خداوند متعال، مجازی است، زیرا آن سختی‌ها حکمت، صواب، حق و عدل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یادشده، بهترین معنای او از لطف و مصلحت در آلام ابتدایی است</w:t>
      </w:r>
      <w:r>
        <w:rPr>
          <w:rFonts w:eastAsia="IRNazanin" w:cs="IRNazanin"/>
          <w:color w:val="111111"/>
          <w:sz w:val="28"/>
          <w:szCs w:val="28"/>
          <w:rtl w:val="true"/>
          <w:lang w:bidi="fa-IR"/>
        </w:rPr>
        <w:t>.</w:t>
      </w:r>
      <w:bookmarkStart w:id="248" w:name="pg2643_21731"/>
    </w:p>
    <w:p>
      <w:pPr>
        <w:pStyle w:val="BookText"/>
        <w:rPr/>
      </w:pPr>
      <w:bookmarkEnd w:id="248"/>
      <w:r>
        <w:rPr>
          <w:rFonts w:ascii="IRNazanin" w:hAnsi="IRNazanin" w:eastAsia="IRNazanin"/>
          <w:color w:val="111111"/>
          <w:sz w:val="28"/>
          <w:sz w:val="28"/>
          <w:szCs w:val="28"/>
          <w:rtl w:val="true"/>
          <w:lang w:bidi="fa-IR"/>
        </w:rPr>
        <w:t xml:space="preserve">او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مصلحت در الم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عبرت گرفتن درالم ابتدایی ضرورت دارد، باید در آنچه خداوند متعال به آن فرمان می‌دهد یا جایز می‌شمارد، نیز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 این مصلحت و لطف، همیشه شخص مباشری که فعل را انجام می‌دهد نیست، بلکه گاه این لطف برای دیگرانی که غیر از مباشر فعل و</w:t>
      </w:r>
    </w:p>
    <w:p>
      <w:pPr>
        <w:pStyle w:val="BookText"/>
        <w:rPr/>
      </w:pPr>
      <w:r>
        <w:rPr>
          <w:rFonts w:ascii="IRNazanin" w:hAnsi="IRNazanin" w:eastAsia="IRNazanin"/>
          <w:color w:val="111111"/>
          <w:sz w:val="28"/>
          <w:sz w:val="28"/>
          <w:szCs w:val="28"/>
          <w:rtl w:val="true"/>
          <w:lang w:bidi="fa-IR"/>
        </w:rPr>
        <w:t>متعلَق فعل است، می‌باشد و این‌گونه لطف نیز برای خارج کردن الم ابتدایی، از عبث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مصلحت و لطف ذبح مباح را از همین نوع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طوسی،هم غرض وهم عوض را در آلام ابتدایی شرط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عوض را به تنهایی برای نیکویی الم کافی نمی‌داند، زیرا ابتدای به عوض جایز است؛ بنابراین جایز نیست که تنها برای عوض خداوند الم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منبعی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ابتلا با توصیفاتی که بیان شد، باید در برابرآن لطف در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تنها برای دادن عوض‌ـ چنان‌که گروهی برآنند، درست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برای نیکویی الم، لطفِ تنها را کافی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لطف، جبران بیرونی را در الم ابتدایی لازم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نیکوییِ آلام ابتدایی، شرط درونیِ لطف بودن الم و مصلحت داشتن آن و شرط بیرونیِ عوض دادن در برابر الم ابتدایی را شرط می‌داند، زیرا اگر مصلحتی در بین نباشد، کار خداوند بیهوده خواهد بود، و اگر در برابر آن عوضی در کار نباشد، این امر ظلم است و ظلم بر خداوند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5"/>
        <w:numPr>
          <w:ilvl w:val="4"/>
          <w:numId w:val="1"/>
        </w:numPr>
        <w:rPr/>
      </w:pPr>
      <w:bookmarkStart w:id="249" w:name="__RefHeading___Toc628039_1395250215"/>
      <w:bookmarkStart w:id="250" w:name="_Toc103"/>
      <w:bookmarkEnd w:id="249"/>
      <w:r>
        <w:rPr>
          <w:rtl w:val="true"/>
        </w:rPr>
        <w:t>نقد و برسی</w:t>
      </w:r>
      <w:r>
        <w:rPr>
          <w:rtl w:val="true"/>
        </w:rPr>
        <w:t xml:space="preserve">: </w:t>
      </w:r>
      <w:r>
        <w:rPr>
          <w:rtl w:val="true"/>
        </w:rPr>
        <w:t>عدم ضرورت جبران بیرونی در تمام آلام ابتدایی</w:t>
      </w:r>
      <w:bookmarkEnd w:id="2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سخنان متکلمان عدلیه درضرورت همراهی دائمی الم ابتدایی با مصلحت، صحیح است، ولی همراهی دائمی او با جبران بیرونی علاوه بر مصلحت، صحیح نیست، زیرا الم ابتدایی یا بر مکلفان وارد شده است و یا غیرمکلفان؛ درصورتی که الم ابتدایی بر مکلفان وارد شود، به جهت این‌که هر مکلفی عاقل و بالغ است، الم برای خود او مصلحت دارد و شخص مکلف باید با واکنش مناسب، به مصلحتی که در پی الم است، برسد و اگر به هر دلیل واکنش مناسب نشان ندهد وخود را از مصلحت الم محروم کند، این امر به مصلحت داشتن الم و به تبع آن، به نیکوییِ آن خدشه وارد نمی‌کند</w:t>
      </w:r>
      <w:r>
        <w:rPr>
          <w:rFonts w:eastAsia="IRNazanin" w:cs="IRNazanin"/>
          <w:color w:val="111111"/>
          <w:sz w:val="28"/>
          <w:szCs w:val="28"/>
          <w:rtl w:val="true"/>
          <w:lang w:bidi="fa-IR"/>
        </w:rPr>
        <w:t>.</w:t>
      </w:r>
      <w:bookmarkStart w:id="251" w:name="pg2643_21733"/>
    </w:p>
    <w:p>
      <w:pPr>
        <w:pStyle w:val="BookText"/>
        <w:rPr/>
      </w:pPr>
      <w:bookmarkEnd w:id="251"/>
      <w:r>
        <w:rPr>
          <w:rFonts w:ascii="IRNazanin" w:hAnsi="IRNazanin" w:eastAsia="IRNazanin"/>
          <w:color w:val="111111"/>
          <w:sz w:val="28"/>
          <w:sz w:val="28"/>
          <w:szCs w:val="28"/>
          <w:rtl w:val="true"/>
          <w:lang w:bidi="fa-IR"/>
        </w:rPr>
        <w:t>به نظر می‌رسد، آلام ابتدایی علاوه بر امکان همراه بودن با مصالح درونی، مانند به کمال رسیدن انسان و سایر مصالحی که در آیات و روایات به آن اشاره شد، مصلحت ثابتی دارند که عبارت است از این‌که مکلفِ متألم را در معرض ثواب قرار می‌دهند، زیرا مکلفان در برابر المِواردشده، مکلَّف به صبرند، گرچه این تکلیف، تکلیف استحبا‌بی باشد که در این صورت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المِ وارد‌شده بر شخص مکلف، او را در معرض ثواب قرار می‌دهد و مکلف با صبر خود می‌تواند سزاوار ثواب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صبر، فعلی اختیاری است که مکلف باید با تلاش بسیار، آن را محقق سازد، و ثواب مترتب بر صبر، غیر از مصالح دیگر است که حتی بر فرض وجود نداشتن مصلحتی دیگر، خود این مصلحت برای نیکو شدن الم ابتدایی کافی است؛ اما در صورت صبر نکردن مکلف بر الم ابتدایی، او نه استحقاق ثواب داردو نه جبران دیگری که همان عوض باشد و اگر عوضی به او داده شود تفضلی خواهد بود،زیرا او با انتخاب بد، خود را از ثواب الهی که مرتبه‌ای بس بالاتر از عوض است، محروم کرده است، چنان‌که او می‌تواند با انتخاب نامناسب، خود را از سایر ثواب‌های الهی محروم کند؛ برای مثال، نماز نخو‌اند یا زکات ندهد و یا روزه نگیرد؛ و در صورتی که المِواردشده بر غیرمکلفان باشد، اگر آن الم در حق خود آن‌ها لطف باشد،در این صورت باز جبران بیرونی ضرورتی ندارد و لطفِ به تنهایی همعبث نبودن فعل الهی وهم ستم نبودن آن را توجیه می‌کند، ولی اگر المِواردشده بر آن‌ها لطف نباشد و یا لطف آن نوعی باشد، در این صورت قول یادشده درست است، زیرا این افراد بنا برفرض، دارای خرد و تعقل نیستند تا در سایه آن با انتخاب صحیح، خود را در معرض ثواب الهی قرار دهند</w:t>
      </w:r>
      <w:r>
        <w:rPr>
          <w:rFonts w:eastAsia="IRNazanin" w:cs="IRNazanin"/>
          <w:color w:val="111111"/>
          <w:sz w:val="28"/>
          <w:szCs w:val="28"/>
          <w:rtl w:val="true"/>
          <w:lang w:bidi="fa-IR"/>
        </w:rPr>
        <w:t>.</w:t>
      </w:r>
    </w:p>
    <w:p>
      <w:pPr>
        <w:pStyle w:val="Heading3"/>
        <w:numPr>
          <w:ilvl w:val="2"/>
          <w:numId w:val="1"/>
        </w:numPr>
        <w:rPr/>
      </w:pPr>
      <w:bookmarkStart w:id="252" w:name="__RefHeading___Toc628041_1395250215"/>
      <w:bookmarkStart w:id="253" w:name="_Toc104"/>
      <w:bookmarkEnd w:id="252"/>
      <w:r>
        <w:rPr>
          <w:rtl w:val="true"/>
        </w:rPr>
        <w:t xml:space="preserve">نظریه جدید </w:t>
      </w:r>
      <w:r>
        <w:rPr>
          <w:rtl w:val="true"/>
        </w:rPr>
        <w:t xml:space="preserve">: </w:t>
      </w:r>
      <w:r>
        <w:rPr>
          <w:rtl w:val="true"/>
        </w:rPr>
        <w:t>شرط لازم بودن مصلحت در نیکویی تمام آلام ابتدایی و شرط کافی بودن آن در برخی</w:t>
      </w:r>
      <w:bookmarkEnd w:id="25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از بررسی ونقدِ اقوال مذکور، قول پنجم استنباط می‌گردد که بر اساس 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آلام ابتدایی و عناوین مصلحت، لطف و اعتبار در ارتباط با نیکوییِ آلام ابتدایی، رابطه‌ای ضروری است، بدین معنا که همیشه آلام ابتدایی همراه با مصلحت است و دلیل این ضروت، عبث نبودن فعل الهی است؛ اگرچه این مصلحت برای دیگری و یا مصلحت آن نوعی باشد؛ مانند آلام واردشده بر کودکان و دیوانگان که مکلفان می‌توانند به واسطه آن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در الم ابتدایی، برای خود متألم باشد آن مصلحت شرط کافی، برای نیکوییِ الم ابتدایی است و این مصلحت درباره مکلفان همیشه صادق است، زیرا هر مکلفی می‌تواند با صبر بر آلام، خود را در معرض ثوابقرار دهد، ولی اگر مصلحت آن نوعی باشد و یا مصلحت آن درحقّ دیگری باشد، به علت عدالت خداوند، نیکویی اَلَم ابتدایی</w:t>
      </w:r>
      <w:bookmarkStart w:id="254" w:name="pg2643_21735"/>
    </w:p>
    <w:p>
      <w:pPr>
        <w:pStyle w:val="BookText"/>
        <w:rPr/>
      </w:pPr>
      <w:bookmarkEnd w:id="254"/>
      <w:r>
        <w:rPr>
          <w:rFonts w:ascii="IRNazanin" w:hAnsi="IRNazanin" w:eastAsia="IRNazanin"/>
          <w:color w:val="111111"/>
          <w:sz w:val="28"/>
          <w:sz w:val="28"/>
          <w:szCs w:val="28"/>
          <w:rtl w:val="true"/>
          <w:lang w:bidi="fa-IR"/>
        </w:rPr>
        <w:t>مشروط به جبران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اگرچه مصلحت، شرط لازم برای نیکویی آن است، ولی شرط کافی نیست و این امر مخصوص غیرمکلفان است آن هم با این فرض که الم برای غیر مکلفان مصلحت نداشته باشد</w:t>
      </w:r>
      <w:r>
        <w:rPr>
          <w:rFonts w:eastAsia="IRNazanin" w:cs="IRNazanin"/>
          <w:color w:val="111111"/>
          <w:sz w:val="28"/>
          <w:szCs w:val="28"/>
          <w:rtl w:val="true"/>
          <w:lang w:bidi="fa-IR"/>
        </w:rPr>
        <w:t>.</w:t>
      </w:r>
    </w:p>
    <w:p>
      <w:pPr>
        <w:pStyle w:val="Heading3"/>
        <w:numPr>
          <w:ilvl w:val="2"/>
          <w:numId w:val="1"/>
        </w:numPr>
        <w:rPr/>
      </w:pPr>
      <w:bookmarkStart w:id="255" w:name="__RefHeading___Toc628043_1395250215"/>
      <w:bookmarkStart w:id="256" w:name="_Toc105"/>
      <w:bookmarkEnd w:id="255"/>
      <w:r>
        <w:rPr>
          <w:rtl w:val="true"/>
        </w:rPr>
        <w:t>نتیجه گیری</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متکلمان اسلامی‌در ارتباط با نیکوییِ آلام ابتدایی، عناوینی کلی هستند که وجه مشترک تمامی‌معانیِ یادشده، کلی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دو عنوان لطف و اعتبار می‌توانند در تحت عنوان کلی‌تر مصلحت قرار گیرند و آنچه درآیات و روایات آمده، بیشتر مصادیق مصلحت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قول‌های دوم و چهارم از اقوال مطرح‌شده درباره نقش مصلحت، لطف و اعتبار در نیکوییِ آلام ابتدایی، قول تازه و میانه‌ای به وجود می‌آید که بر اساس آن اگر مصلحت در الم ابتدایی، برای خود متألم باشد آن مصلحت شرط کافی، برای نیکوییِ الم ابتدایی استو این مصلحت درباره مکلفان همیشه صادق است، زیرا هر مکلفی می‌تواند با صبر بر آلام، خود را در معرض ثواب قرار دهد، ولی اگر مصلحت آن نوعی باشد و یا مصلحت آن در حقّ دیگری باشد، از آن‌جا که خداوند عادل است، نیکویی اَلَم ابتدایی مشروط به جبران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اگرچه مصلحت، شرط لازم برای نیکویی آن است، ولی شرط کافی نیست و این امر مخصوص غیرمکلفان است</w:t>
      </w:r>
      <w:r>
        <w:rPr>
          <w:rFonts w:eastAsia="IRNazanin" w:cs="IRNazanin"/>
          <w:color w:val="111111"/>
          <w:sz w:val="28"/>
          <w:szCs w:val="28"/>
          <w:rtl w:val="true"/>
          <w:lang w:bidi="fa-IR"/>
        </w:rPr>
        <w:t>.</w:t>
      </w:r>
    </w:p>
    <w:p>
      <w:pPr>
        <w:pStyle w:val="Heading3"/>
        <w:numPr>
          <w:ilvl w:val="2"/>
          <w:numId w:val="1"/>
        </w:numPr>
        <w:rPr/>
      </w:pPr>
      <w:bookmarkStart w:id="257" w:name="__RefHeading___Toc628045_1395250215"/>
      <w:bookmarkStart w:id="258" w:name="_Toc106"/>
      <w:bookmarkEnd w:id="257"/>
      <w:r>
        <w:rPr>
          <w:rtl w:val="true"/>
        </w:rPr>
        <w:t>منابع</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گردآورنده سیدرضی، محمدبن الحسن،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تصحیح، صبحی صالح، قم، دارالهجره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ابواسحاق، ابراهیم‌بن‌نو‌بخت،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الیاقوت فی علم الکلام،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ضیائی، قم، کتابخانه آیة‌الله مرعشی‌نجفی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اسدآبادی، القاضی ابی‌الحسن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المجموع فی المحیط با التکلیف،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جین یوسف هو بن الیسوعی، بیروت، المطبعة الکاثولیکه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المغنی فی ابواب التوحید والعدل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ابراهیم مدکور،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ابوالعلاعفیفی،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دکتور طه حسین، قاهره، الدار المصریه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الاصول الخمسه،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احمد‌بن‌حسین ابی‌هاشم، قاهره، مکتبۀ وهبه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ایجی، میر سید شریف،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المواقف،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نعسانی،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مقدمه،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عبد‌الرحمن عمیره، قم،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محمدبن‌حسن،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الشیعة،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ابو‌الصلاح،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المعارف، قم، الهادی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حسن‌بن‌الحسن‌بن‌یوسف‌بن‌المطهر،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نهج‌الحق و کشف‌الصدق، بیروت، دار‌الکتاب اللبنانی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إرشاد القلوب إلی الصواب، قم، شریف 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نهایة الاقدم فی علم الکلام، حرره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جیوم، قاهره، مکتبة المتبنی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علی‌بن‌محمدبن‌بابویه،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أخبار الرضا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تهران،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محمد‌بن‌الحسن،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التبیان فی تفسیر القرآن،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نصیر‌الدین،</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تجرید الاعتقاد،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حسینی‌جلالی،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سیدمرتضی، ابوالقاسم علی‌بن‌الحسین‌بن‌محمدالموسوی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الذخیرة فی علم الکلام،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سید‌احمد حسینی،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السیداحمد الحسینی،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السید‌مهدی الرجائی، قم، دارالقرآن الکریمه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 العلم والعمل،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الصفار، النجف الاشرف، مطبعة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قدسی، ابن‌ابی‌شریف،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المسامرة شرح المسایرة فی العقائد المنجیة فی الآخره، بیروت، دار‌الکتب العلمیه،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مؤسسة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نجم‌الدین ابوالقاسم جعفربن‌الحسن‌بن‌سعید،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المسلکفی اصول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مؤسسةالطبع التابعه لآستانۀ الرضویۀ المقدسه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قاضی نور‌الله،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و ازهاق الباطل، مقدمه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آیۀالله مرعشی‌نجفی، قم، مکتبة آیة‌الله المرعشی‌النجفی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محمدبن‌نعمان،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قم، المؤتمر العالمی للشیخ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میرزاحسین،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59" w:name="pg2643_21741"/>
    </w:p>
    <w:p>
      <w:pPr>
        <w:pStyle w:val="Heading2"/>
        <w:numPr>
          <w:ilvl w:val="1"/>
          <w:numId w:val="1"/>
        </w:numPr>
        <w:rPr/>
      </w:pPr>
      <w:bookmarkStart w:id="260" w:name="__RefHeading___Toc628047_1395250215"/>
      <w:bookmarkStart w:id="261" w:name="_Toc107"/>
      <w:bookmarkEnd w:id="259"/>
      <w:bookmarkEnd w:id="260"/>
      <w:r>
        <w:rPr>
          <w:rtl w:val="true"/>
        </w:rPr>
        <w:t xml:space="preserve">امامت و مسئله بداء در اسماعیل بن‌جعفر </w:t>
      </w:r>
      <w:r>
        <w:rPr>
          <w:rtl w:val="true"/>
        </w:rPr>
        <w:t>(</w:t>
      </w:r>
      <w:r>
        <w:rPr>
          <w:rtl w:val="true"/>
        </w:rPr>
        <w:t>بررسی روایت</w:t>
      </w:r>
      <w:r>
        <w:rPr>
          <w:rtl w:val="true"/>
        </w:rPr>
        <w:t>: «</w:t>
      </w:r>
      <w:r>
        <w:rPr>
          <w:rtl w:val="true"/>
        </w:rPr>
        <w:t>ما بدا لله مثل ما بدا فی اسماعیل</w:t>
      </w:r>
      <w:r>
        <w:rPr>
          <w:rtl w:val="true"/>
        </w:rPr>
        <w:t>»)</w:t>
      </w:r>
      <w:bookmarkEnd w:id="261"/>
    </w:p>
    <w:p>
      <w:pPr>
        <w:pStyle w:val="Heading3"/>
        <w:numPr>
          <w:ilvl w:val="2"/>
          <w:numId w:val="1"/>
        </w:numPr>
        <w:rPr/>
      </w:pPr>
      <w:bookmarkStart w:id="262" w:name="__RefHeading___Toc628049_1395250215"/>
      <w:bookmarkStart w:id="263" w:name="_Toc108"/>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مهدی فرمانیان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احسان جندقی</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1392/09/28</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1392/11/30</w:t>
      </w:r>
    </w:p>
    <w:p>
      <w:pPr>
        <w:pStyle w:val="Heading3"/>
        <w:numPr>
          <w:ilvl w:val="2"/>
          <w:numId w:val="1"/>
        </w:numPr>
        <w:rPr/>
      </w:pPr>
      <w:bookmarkStart w:id="264" w:name="__RefHeading___Toc628051_1395250215"/>
      <w:bookmarkStart w:id="265" w:name="_Toc109"/>
      <w:bookmarkEnd w:id="264"/>
      <w:r>
        <w:rPr>
          <w:rtl w:val="true"/>
        </w:rPr>
        <w:t>چکیده</w:t>
      </w:r>
      <w:bookmarkEnd w:id="265"/>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مثل ما بدا فی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عقاید اختصاصی شیعه،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وثیق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سندی حدیث نشان می‌دهد، این حدیث بیشتر در منابع امامیه وجود دارد و اکثر اسناد آن، مرسل و مقطوع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سند معتبر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نرسی آمده است که برخی اهل رجال، خود زید را توثیق نکرده‌اند، اما امامیه به جهت نقل اصل زید از سوی ابن‌ابی‌عمیر، این اصل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حدیث نیز لفظی که به امامت اسماعیل اشاره داشته باشد، وجود ندارد، اما به خاطر تفسیر عمدی زیدیان و سرایت این برداشت به دیگر فرقه‌های اسلامی، مسئله‌ای مورد مناقشه در طول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محتوایی حدیث نیز این نکته را به دست می‌دهد که این روایت، هیچ ارتباطی به امامت اسماعیل ندارد و حتی خود اسماعیلیان به خاطر تضادی که این حدیث با مبانی آنان دارد، توجه چندانی به این حدیث نکرده‌اند</w:t>
      </w:r>
      <w:r>
        <w:rPr>
          <w:rFonts w:eastAsia="IRNazanin" w:cs="IRNazanin"/>
          <w:color w:val="111111"/>
          <w:sz w:val="28"/>
          <w:szCs w:val="28"/>
          <w:rtl w:val="true"/>
          <w:lang w:bidi="fa-IR"/>
        </w:rPr>
        <w:t>.</w:t>
      </w:r>
    </w:p>
    <w:p>
      <w:pPr>
        <w:pStyle w:val="Heading3"/>
        <w:numPr>
          <w:ilvl w:val="2"/>
          <w:numId w:val="1"/>
        </w:numPr>
        <w:rPr/>
      </w:pPr>
      <w:bookmarkStart w:id="266" w:name="__RefHeading___Toc628053_1395250215"/>
      <w:bookmarkStart w:id="267" w:name="_Toc110"/>
      <w:bookmarkEnd w:id="266"/>
      <w:r>
        <w:rPr>
          <w:rtl w:val="true"/>
        </w:rPr>
        <w:t>واژگان کلیدی</w:t>
      </w:r>
      <w:bookmarkEnd w:id="2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بداء، امامت اسماعیل‌بن‌جعفر، اسماعیلیه، امامیه، زیدیه</w:t>
      </w:r>
      <w:r>
        <w:rPr>
          <w:rFonts w:eastAsia="IRNazanin" w:cs="IRNazanin"/>
          <w:color w:val="111111"/>
          <w:sz w:val="28"/>
          <w:szCs w:val="28"/>
          <w:rtl w:val="true"/>
          <w:lang w:bidi="fa-IR"/>
        </w:rPr>
        <w:t>.</w:t>
      </w:r>
      <w:bookmarkStart w:id="268" w:name="pg2643_21743"/>
    </w:p>
    <w:p>
      <w:pPr>
        <w:pStyle w:val="Heading3"/>
        <w:numPr>
          <w:ilvl w:val="2"/>
          <w:numId w:val="1"/>
        </w:numPr>
        <w:rPr/>
      </w:pPr>
      <w:bookmarkStart w:id="269" w:name="__RefHeading___Toc628055_1395250215"/>
      <w:bookmarkStart w:id="270" w:name="_Toc111"/>
      <w:bookmarkEnd w:id="268"/>
      <w:bookmarkEnd w:id="269"/>
      <w:r>
        <w:rPr>
          <w:rtl w:val="true"/>
        </w:rPr>
        <w:t>مقدمه</w:t>
      </w:r>
      <w:bookmarkEnd w:id="270"/>
    </w:p>
    <w:p>
      <w:pPr>
        <w:pStyle w:val="BookText"/>
        <w:rPr/>
      </w:pPr>
      <w:r>
        <w:rPr>
          <w:rFonts w:ascii="IRNazanin" w:hAnsi="IRNazanin" w:eastAsia="IRNazanin"/>
          <w:color w:val="111111"/>
          <w:sz w:val="28"/>
          <w:sz w:val="28"/>
          <w:szCs w:val="28"/>
          <w:rtl w:val="true"/>
          <w:lang w:bidi="fa-IR"/>
        </w:rPr>
        <w:t xml:space="preserve">به باور شیعه اثناعشری،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مراحل آغازین دعوت خویش ضمن تأکید بر آن، در طول دوران نبوت خویش به مشخص کردن ترتیب و تعداد ائمه دوازده‌گانه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معتبری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مهمّ شیعه آمده و حتی در منابع غیرشیعه نیز به آن اشاره شده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بنابراین، مسئله بداء در امامت به معنای تغییر نظر خداوند تعالی از اسقاط فردی از امامت و تعیین امامی جدید، نه تنها با اصول اعتقادی امامیه، بلکه با اصول فکری اسماعیلیه نیز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وجود روایتی دالّ بر حصول بداء درباره امامت اسماعیل، فرزند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موجب شده تا برخی مخالفان امامیه با استناد به این حدیث، اعتقاد امامیه در مسئله امامت را زیر سؤال برده و بر جانشینی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اولین بار این شبهه را سلیمان‌بن‌جریر زیدی‌مذهب برای ایجاد نقص در تفکر امامیه مطرح کرد و بعد سایر مخالفان آن را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غلط و گاه تعمدی مخالفان از مسئله بداء و ارتباط دادن بدون دلیل این روایت به مسئله امامت، باعث ایجاد مناقشه‌هایی از سوی عالمان امامیه در طول تاریخ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بررسی همه‌جانبه روایت جهت فهم درست آن و تفسیر صحیح بداء، نشان می‌دهد این روایت برای اثبات امامت اسماعیل‌بن‌جعفر، حتی نزد اسماعیلیان اعتبار ندارد</w:t>
      </w:r>
      <w:r>
        <w:rPr>
          <w:rFonts w:eastAsia="IRNazanin" w:cs="IRNazanin"/>
          <w:color w:val="111111"/>
          <w:sz w:val="28"/>
          <w:szCs w:val="28"/>
          <w:rtl w:val="true"/>
          <w:lang w:bidi="fa-IR"/>
        </w:rPr>
        <w:t>.</w:t>
      </w:r>
    </w:p>
    <w:p>
      <w:pPr>
        <w:pStyle w:val="Heading3"/>
        <w:numPr>
          <w:ilvl w:val="2"/>
          <w:numId w:val="1"/>
        </w:numPr>
        <w:rPr/>
      </w:pPr>
      <w:bookmarkStart w:id="271" w:name="__RefHeading___Toc628057_1395250215"/>
      <w:bookmarkStart w:id="272" w:name="_Toc112"/>
      <w:bookmarkEnd w:id="271"/>
      <w:r>
        <w:rPr>
          <w:rtl w:val="true"/>
        </w:rPr>
        <w:t>حدیث بداء در منابع حدیثی امامیه</w:t>
      </w:r>
      <w:bookmarkEnd w:id="27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زید نرسی</w:t>
      </w:r>
      <w:r>
        <w:rPr>
          <w:rStyle w:val="FootnoteAnchor"/>
          <w:rtl w:val="true"/>
        </w:rPr>
        <w:footnoteReference w:id="33"/>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بداء أعظم من بداء بدا له فی إسماعیل ابنی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نرسی،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bookmarkStart w:id="273" w:name="pg2643_21745"/>
    </w:p>
    <w:p>
      <w:pPr>
        <w:pStyle w:val="BookText"/>
        <w:rPr/>
      </w:pPr>
      <w:bookmarkEnd w:id="273"/>
      <w:r>
        <w:rPr>
          <w:rFonts w:ascii="IRNazanin" w:hAnsi="IRNazanin" w:eastAsia="IRNazanin"/>
          <w:color w:val="111111"/>
          <w:sz w:val="28"/>
          <w:sz w:val="28"/>
          <w:szCs w:val="28"/>
          <w:rtl w:val="true"/>
          <w:lang w:bidi="fa-IR"/>
        </w:rPr>
        <w:t xml:space="preserve">هم‌چنین این حدیث از غیر زید نرسی، ولی بدون ذکر سلسله سند توسط شیخ صدوق </w:t>
      </w:r>
      <w:r>
        <w:rPr>
          <w:rFonts w:eastAsia="IRNazanin" w:cs="IRNazanin"/>
          <w:color w:val="111111"/>
          <w:sz w:val="28"/>
          <w:szCs w:val="28"/>
          <w:rtl w:val="true"/>
          <w:lang w:bidi="fa-IR"/>
        </w:rPr>
        <w:t>(</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بداء کما بدا له فی إسماعیل ابنی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صدوق ضمن اشاره به غریب بودن روایتی دیگر، به اسناد خود آن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بدا لله بداء کما بدا له فی إسماعیل أبی أذا أمر أباه إبراهیم بذبحه ثمَّ فداه بذبح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اگرچه هردو نوع حدیث را خالی از اشکال نمی‌داند، به اشکال مورد نظر خود اشاره‌ای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ذکر این حدیث و عدم ایراد اشکال، سعی در ارائه معنای درست از بداء مطابق نظر امامیه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المجدی فی انساب الطالبین، نسب‌شناس معروف، ذیل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حدیث بداء، محمدبن‌بکیر، زرارةبن اعین و ابن‌ابی‌عمیر را از راویان این حدیث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آثار حدیثی موجود شیعه، حدیث بداء از طریق محمد‌بن‌بکیر و زرارة‌بن‌اعین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ابوهاشم جعفری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وفات فرزند امام هادی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محمد‌بن‌علی مکنّی به ابی‌جعفر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بودم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لله فی ابی‌جعفر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بدا له فی اسماعیل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اشعری،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نوبختی،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بداء مطرح در اسماعیل درباره محمد هم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بداء در امامت، دو بار اتفاق افتاده است؟</w:t>
      </w:r>
    </w:p>
    <w:p>
      <w:pPr>
        <w:pStyle w:val="Heading3"/>
        <w:numPr>
          <w:ilvl w:val="2"/>
          <w:numId w:val="1"/>
        </w:numPr>
        <w:rPr/>
      </w:pPr>
      <w:bookmarkStart w:id="274" w:name="__RefHeading___Toc628059_1395250215"/>
      <w:bookmarkStart w:id="275" w:name="_Toc113"/>
      <w:bookmarkEnd w:id="274"/>
      <w:r>
        <w:rPr>
          <w:rtl w:val="true"/>
        </w:rPr>
        <w:t>حدیث بداء در منابع دیگر مذاهب و تفاسیر آنان از حدیث</w:t>
      </w:r>
      <w:bookmarkEnd w:id="27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اولین برداشت از حدیث بدا از سوی زیدیان مطرح و در جامعه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بن‌جریر زیدی‌مذهب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اسماعیل بن‌جعفر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یاران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رافضیان دو گفتار در میان شیعیان خود نهاده‌اند، تا به دست‌آویز آن‌ها، هیچ‌گاه سخن ایشان دروغ نباشد؛ آن دو، یکی بداء و دیگری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بداء؛ چون امامان ایشان، خویشتن را در میان شیعه به مانند پیغمبران در بین امت خود می‌دانند و به گذشته و آینده جهان دانا می‌پندارند، از گذشته سخن گویند و از آینده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چیزهای را که پیش‌بینی می‌کنند روی دهد، شیعیانِ خود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شما را آگاه نکرده بودیم که چنین چیزی روی خواهد داد؟ خداوند ما را پیش از این از آن آگاه ساخته بود، چنان‌که پیغمبران را آگاه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خدا همان ارتباطی است که میان او و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چیزی را که پیش‌بینی کنند روی ندهد، شیعیانِ خود را گویند که در این باره</w:t>
      </w:r>
    </w:p>
    <w:p>
      <w:pPr>
        <w:pStyle w:val="BookText"/>
        <w:rPr/>
      </w:pPr>
      <w:r>
        <w:rPr>
          <w:rFonts w:ascii="IRNazanin" w:hAnsi="IRNazanin" w:eastAsia="IRNazanin"/>
          <w:color w:val="111111"/>
          <w:sz w:val="28"/>
          <w:sz w:val="28"/>
          <w:szCs w:val="28"/>
          <w:rtl w:val="true"/>
          <w:lang w:bidi="fa-IR"/>
        </w:rPr>
        <w:t xml:space="preserve">بداء روی داده است؛ یعنی خواست خدا دگرگون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خود به این نکته اشاره کرده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جعفر‌بن‌محمد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پس از فوت پسرش اسماعیل،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گفته بود پس از من، اسماعیل امام است، حال آن‌که او در روزگار پدرش مُرده است؛ و اگر خداوند وی را از امامت اسماعیل آگاه ساخته بود، او پیش از پدر درنمی‌گذشت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جعفربن‌محمد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دروغ‌گو خواندند، در امامت وی بدگمان شدند و سخن او را که می‌گفت درباره اسماعیل بداء حاصل شده و خواست خدا دگرگون شده است انکار می‌کردند، و چون چنین چیزی را ندانستند، از وی روی‌گردان شدند و به گفتار سلیمان‌بن‌جریر بگراییدند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نوبختی،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نیز در کمال‌الدین در پاسخ‌گویی به شبهات زیدیه علیه امامیه، ضمن طرح این شبهه می‌نویسد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کذب دعوای امامیه این است که عقیده دارند جعفر‌بن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نص بر امامت اسماعیل صادر کرد و چون اسماعیل در زمان حیات پدر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فی شیء کما بدا له فی اسمعیل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تعیین دوازده امام درست بود، دست‌کم جعفربن‌محمد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آن را می‌دانست و خواص شیعه‌اش مرتکب این خطا نمی‌شدند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شواهد به خوبی نشان می‌دهد، زیدیان در تقابل با امامیه و برای ایجاد نقصی در تفکر امامیه، به این شبهه روی آورده و دیگران این تفسیر از حدیث را که از خود حدیث به دست نمی‌آید، تلقی به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زیدیه نیز ضمن پیوند این حدیث با مسئله امامت، از آن به عنوان شبهه‌ای در ردّ عقاید امامیه استفاده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قابل توجه این است که این حدیث در بیشتر منابع اسماعیلیه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 الولد حامدی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العقاید و معدن الفوائد علی‌بن‌محمد الولید </w:t>
      </w:r>
      <w:r>
        <w:rPr>
          <w:rFonts w:eastAsia="IRNazanin" w:cs="IRNazanin"/>
          <w:color w:val="111111"/>
          <w:sz w:val="28"/>
          <w:szCs w:val="28"/>
          <w:rtl w:val="true"/>
          <w:lang w:bidi="fa-IR"/>
        </w:rPr>
        <w:t>(</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داعی ادریس 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این حدیث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دسته از منابع اسماعیلی که این روایت وجود دارد، هرچند با استفاده از مفهوم ـ و نه منطوق ـ این روایت به وجود نصی بر امامت اسماعیل استفاده می‌کنند، ولی وقوع بداء در امامت را زیر سؤال برده و بداء در امامت اسماعیل را محال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کرمانی،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خراسانی،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منصور الیمن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استناد به حدیثی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البداء و المشیة لله فی کل شیء إلا فی الإمامة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یمنی،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تفسیر عامدانه زیدیان از حدیث بداء در امامت اسماعیل، به سبب تضاد با مبانی اسماعیلیه، مورد توجه اسماعیلیان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برخی منابع اسماعیلیه با ذکر این حدیث، سعی در توجیه وجود نصی بر امامت اسماعیل دارند؛ بنابراین، هرچند اسماعیلیه با انکار بداء در اسماعیل، سعی در اثبات جانشینی اسماعیل دارند، شاید همان‌گونه که شیخ مفید نیز به آن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مستلزم این برداشت از بداء مورد اشاره در حدیث است که چنین بدائی، همان بداء در امامت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بتوان برخی از شخصیت‌های اسماعیلیه را از کسانی دانست که بداء مورد بحث در حدیث مذکور را به بداء در امامت اسماعیل‌بن‌جعفر تفسیر کرده و سپس اصل حدیث را مورد مناقشه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اسماعیلیه، قول به بداء در اسماعیل مستلزم پذیرش یکی از حالات غیرممکن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امکان وجود نص بر سایر اولاد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غیر از اسماعیل با وجود فرزند برای اسماعیل؛</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امکان وجود نص برای فرزندان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 تصور عدم وجود فرزند برای اسماعیل؛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امکان تصور عدم وجود نص برای هیچ‌یک از فرزندان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هر سه تصور،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اسماعیلیان در تمام حالت‌های مزبور، قول به بداء، تالی فاسدهایی دارد که با مبانی آنان ناسازگار است، زیرا اسماعیلیه ضمن تأکید بر موروثی بودن امامت </w:t>
      </w:r>
      <w:r>
        <w:rPr>
          <w:rStyle w:val="FootnoteAnchor"/>
          <w:rtl w:val="true"/>
        </w:rPr>
        <w:footnoteReference w:id="35"/>
      </w:r>
      <w:r>
        <w:rPr>
          <w:rFonts w:ascii="IRNazanin" w:hAnsi="IRNazanin" w:eastAsia="IRNazanin"/>
          <w:color w:val="111111"/>
          <w:sz w:val="28"/>
          <w:sz w:val="28"/>
          <w:szCs w:val="28"/>
          <w:rtl w:val="true"/>
          <w:lang w:bidi="fa-IR"/>
        </w:rPr>
        <w:t>و تأکید بر این مطلب که امامت به جز در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بین دو برادر نخواهد بود،</w:t>
      </w:r>
      <w:r>
        <w:rPr>
          <w:rStyle w:val="FootnoteAnchor"/>
          <w:rtl w:val="true"/>
        </w:rPr>
        <w:footnoteReference w:id="36"/>
      </w:r>
      <w:r>
        <w:rPr>
          <w:rFonts w:ascii="IRNazanin" w:hAnsi="IRNazanin" w:eastAsia="IRNazanin"/>
          <w:color w:val="111111"/>
          <w:sz w:val="28"/>
          <w:sz w:val="28"/>
          <w:szCs w:val="28"/>
          <w:rtl w:val="true"/>
          <w:lang w:bidi="fa-IR"/>
        </w:rPr>
        <w:t xml:space="preserve">بازگشت قهقهری در این امر را رد کرده و بداء در این زمینه را مغایر موروثی بودن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خراسانی،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شهرستانی،</w:t>
      </w:r>
      <w:r>
        <w:rPr>
          <w:rStyle w:val="FootnoteAnchor"/>
          <w:rtl w:val="true"/>
        </w:rPr>
        <w:footnoteReference w:id="37"/>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حمیدالدین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متفکر اسماعیلی‌مذهب، برهان خویش را این‌گونه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از امام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 امامت اسماعیل نص وارد شده است، قول به بداء در امامت اسماعیل، آن هم بعد از فوت او پیش از پدر، مستلزم این است که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امری دخالت کرده باشد که خداوند آن را جایز ندانسته است، زیرا با وجود قطعی بودن فرزند برای اسماعیل و ادامه داشتن نسل ایشان، اعطای میراث اسماعیل به برادرانشان درحالی که هیچ توجیهی برای اعطای آن نیست، قابل پذیرش نمی‌باشد و با عصمت امام قابل جمع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اهل‌سنت نیز ضمن ذکر حدیث بداء در اسماعیل، تغییر امامت از اسماعیل به موسی‌بن‌جعفر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به باور شیعه منتسب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هرچند در برخی از این منابع، وقوع بداء در اسماعیل را از اساس انکار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نشوان‌حمیری،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دیلمی،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حدیثی از جعفر‌بن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می‌کنند، با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لیداوله علیّ فی إمامة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این حدیث در منابع شیعی، استنادی یافت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bookmarkStart w:id="276" w:name="pg2643_21753"/>
    </w:p>
    <w:p>
      <w:pPr>
        <w:pStyle w:val="Heading3"/>
        <w:numPr>
          <w:ilvl w:val="2"/>
          <w:numId w:val="1"/>
        </w:numPr>
        <w:rPr/>
      </w:pPr>
      <w:bookmarkStart w:id="277" w:name="__RefHeading___Toc628061_1395250215"/>
      <w:bookmarkStart w:id="278" w:name="_Toc114"/>
      <w:bookmarkEnd w:id="276"/>
      <w:bookmarkEnd w:id="277"/>
      <w:r>
        <w:rPr>
          <w:rtl w:val="true"/>
        </w:rPr>
        <w:t>برسی سندی حدیث بداء</w:t>
      </w:r>
      <w:bookmarkEnd w:id="278"/>
    </w:p>
    <w:p>
      <w:pPr>
        <w:pStyle w:val="BookText"/>
        <w:rPr/>
      </w:pPr>
      <w:r>
        <w:rPr>
          <w:rFonts w:ascii="IRNazanin" w:hAnsi="IRNazanin" w:eastAsia="IRNazanin"/>
          <w:color w:val="111111"/>
          <w:sz w:val="28"/>
          <w:sz w:val="28"/>
          <w:szCs w:val="28"/>
          <w:rtl w:val="true"/>
          <w:lang w:bidi="fa-IR"/>
        </w:rPr>
        <w:t>حدیث بداء در بسیاری از منابع موجود، بدون ذکر سلسله راویان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المجدی، زراره و محمد‌بن‌بکیر در کنار ابن‌ابی‌عمیر نقل‌کنندگان حدیث معرفی شده‌اند، اما در آثار شیعه اثری از نقل زراره و محمد‌بن‌بکیر از حدیث بداء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سند موجود که می‌تواند به لحاظ سند رجالی قابل بحث باشد، همان نقل اصل زید نرسی به وسیله ابن‌ابی‌عمیر است؛ البته اصل زید در برخی منابع رجالی تضعیف شده و شیخ طوسی ضمن اشاره به عدم روایت شیخ صدوق از اصل زید به تبعیت از استادش محمدبن‌حسن بن‌ولید، علت تضعیف را محمد‌بن‌موسی همدانی در سلسله راویان این اصل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تستری،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نرسی از راویان حدیث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نجاشی سند احادیث او را به ابن‌ابی عمیر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رجالی زید نرسی مجهول است، ولی روایت ابن ابی‌عمیر از او دلیل توثیق زید نرسی دانسته شده است، زیرا در کتب رجال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ابن‌ابی‌عمیر لایروی و لایرسل الا عمن یوثق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درباره زید نرسی ضمن قرار دادن او در کنار زید زرّاد، یکی دیگر از مؤلفان اصول اربعمأه،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لم‌یوثقهما أرباب الرجال لکن أخذ اکابر المحدثین من کتابهما و اعتمادهم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ضمن اشاره به نقل احادیث او توسط بزرگانی چون کلینی و شیخ طوسی و روایت ابن‌ابی عمیر از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موارد در اعتماد به ایشان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تصریح دیگر رجالیون شیعه، تضعیف شیخ صدوق و ابن‌ولید مورد پذیرش قرار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مامقانی،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خویی،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نصیرالدین طوسی ضمن اشاره به این روایت معتقد است، این تنها روایت موجود در زمینه قول به بداء در امامت اسماعیل است و خبر واحد در اعتقادات،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با توجه به کثرت روایات موجود در بحث بداء، این قول مورد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بداء در اسماعیل را به معنای بداء در امامت گرفته، ولی با نقل نقد شیخ صدوق درباره محتوای حدیث، به انکار این حدیث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eastAsia="IRNazanin" w:cs="IRNazanin"/>
          <w:color w:val="111111"/>
          <w:sz w:val="28"/>
          <w:szCs w:val="28"/>
          <w:rtl w:val="true"/>
          <w:lang w:bidi="fa-IR"/>
        </w:rPr>
        <w:t>).</w:t>
      </w:r>
      <w:bookmarkStart w:id="279" w:name="pg2643_21754"/>
    </w:p>
    <w:p>
      <w:pPr>
        <w:pStyle w:val="Heading3"/>
        <w:numPr>
          <w:ilvl w:val="2"/>
          <w:numId w:val="1"/>
        </w:numPr>
        <w:rPr/>
      </w:pPr>
      <w:bookmarkStart w:id="280" w:name="__RefHeading___Toc628063_1395250215"/>
      <w:bookmarkStart w:id="281" w:name="_Toc115"/>
      <w:bookmarkEnd w:id="279"/>
      <w:bookmarkEnd w:id="280"/>
      <w:r>
        <w:rPr>
          <w:rtl w:val="true"/>
        </w:rPr>
        <w:t>دلایل و عوامل پیدایش شبهه امامت اسماعیل</w:t>
      </w:r>
      <w:bookmarkEnd w:id="281"/>
    </w:p>
    <w:p>
      <w:pPr>
        <w:pStyle w:val="BookText"/>
        <w:rPr/>
      </w:pPr>
      <w:r>
        <w:rPr>
          <w:rFonts w:ascii="IRNazanin" w:hAnsi="IRNazanin" w:eastAsia="IRNazanin"/>
          <w:color w:val="111111"/>
          <w:sz w:val="28"/>
          <w:sz w:val="28"/>
          <w:szCs w:val="28"/>
          <w:rtl w:val="true"/>
          <w:lang w:bidi="fa-IR"/>
        </w:rPr>
        <w:t>فرزند بزرگ‌تر بودن، سیاسی‌کاری خطابیه و علاقه و محبت بسیار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اسماعیل، از مهم‌ترین عوامل پیدایش شبهه امامت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منابع آورده‌اند که اسماعیل، مورد علاقه و محبت شدید پدر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ابو‌نصر بخاری،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العلوی،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ادریس،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بود که اسماعیل پسر ارشد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 و دست‌کم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بزرگ‌تر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برخی امور از سوی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اسماعیل، از جمله در جریان اعتراض به قتل معلی‌بن‌خنیس</w:t>
      </w:r>
      <w:r>
        <w:rPr>
          <w:rStyle w:val="FootnoteAnchor"/>
          <w:rtl w:val="true"/>
        </w:rPr>
        <w:footnoteReference w:id="38"/>
      </w:r>
      <w:r>
        <w:rPr>
          <w:rFonts w:ascii="IRNazanin" w:hAnsi="IRNazanin" w:eastAsia="IRNazanin"/>
          <w:color w:val="111111"/>
          <w:sz w:val="28"/>
          <w:sz w:val="28"/>
          <w:szCs w:val="28"/>
          <w:rtl w:val="true"/>
          <w:lang w:bidi="fa-IR"/>
        </w:rPr>
        <w:t>که اسماعیل به نمایندگی از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اعتراض برخاست، از اموری بود که برخی را به اشتباه انداخت و خیال کردند اسماعیل، پس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ادریس،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عوامل باعث شد تا گروه‌های غالی، به ویژه خطابیه، طرح مسئله امامت اسماعیل را در دستور کار خود قرار داده و به تبلیغ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مفضل شخصی را مأمور می‌کند تا در حضور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امامت اسماعیل پس از وی را مطرح سازد که به شدت مورد انکار امام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شواهد تاریخی نشان می‌دهد، اسماعیل خود مدعی امامت نبوده و از آن‌جا که هیچ نص معتبری درباره اسماعیل نقل نشده، به‌ویژه آن‌که وی در زمان حیات پدر از دنیا رفته، بدیهی است که قول به امامت او پذیرفته نیست؛ حتی موارد بسیاری وجود دارد که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صریحاً امامت اسماعیل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منقول از فیض‌بن مختار، از مشهورترین احادیث در این باره است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bookmarkStart w:id="282" w:name="pg2643_21757"/>
    </w:p>
    <w:p>
      <w:pPr>
        <w:pStyle w:val="BookText"/>
        <w:rPr/>
      </w:pPr>
      <w:bookmarkEnd w:id="282"/>
      <w:r>
        <w:rPr>
          <w:rFonts w:ascii="IRNazanin" w:hAnsi="IRNazanin" w:eastAsia="IRNazanin"/>
          <w:color w:val="111111"/>
          <w:sz w:val="28"/>
          <w:sz w:val="28"/>
          <w:szCs w:val="28"/>
          <w:rtl w:val="true"/>
          <w:lang w:bidi="fa-IR"/>
        </w:rPr>
        <w:t>یکی از مهم‌ترین عواملی که باعث شد امامت اسماعیل شیوع پیدا کند، پسر بزرگ‌تر بودن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پاسخ مدعیان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هنگامی صحیح است که فرزند بزرگ در زمان رحلت پدر زنده باشد و حال آن‌که همه می‌دانند که اسماعیل پیش از پدر از دنیا رفته است؛ بنابراین، حتی با وجود نص، نص دیگر معنایی ندارد و اگر این نص واقع هم شود دروغ خواهد بود، زیرا نص به این معناست که آن کسی که نص بر او زده می‌شود، جانشین امام است و اگر بعد از او باقی نماند، جانشین نخواهد بود و نص مذکور کذب خواهد بود و کذب بر امام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اصلاً امکان نص برای اسماعیل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بر عدم وجود نص بر اسماعیل در برخی منابع اسماعیلیه نیز بر همین اساس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ادریس قرشی به نقل از قاضی نعمان، علت عدم نص بر وجود اسماعیل را شرایط سخت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اسماعیلیه نیز اطلاع بر وجود نص را محدود به خواص اصحاب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مثل یمنی در توجیه وجود نص بر امامت موسی‌بن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کاظم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امام مستودع دانسته‌اند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یمنی،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3"/>
        <w:numPr>
          <w:ilvl w:val="2"/>
          <w:numId w:val="1"/>
        </w:numPr>
        <w:rPr/>
      </w:pPr>
      <w:bookmarkStart w:id="283" w:name="__RefHeading___Toc628065_1395250215"/>
      <w:bookmarkStart w:id="284" w:name="_Toc116"/>
      <w:bookmarkEnd w:id="283"/>
      <w:r>
        <w:rPr>
          <w:rtl w:val="true"/>
        </w:rPr>
        <w:t xml:space="preserve">تفسیر امامیه از حدیث </w:t>
      </w:r>
      <w:r>
        <w:rPr>
          <w:rtl w:val="true"/>
        </w:rPr>
        <w:t xml:space="preserve">« </w:t>
      </w:r>
      <w:r>
        <w:rPr>
          <w:rtl w:val="true"/>
        </w:rPr>
        <w:t>بدا لله</w:t>
      </w:r>
      <w:r>
        <w:rPr>
          <w:rtl w:val="true"/>
        </w:rPr>
        <w:t>»</w:t>
      </w:r>
      <w:bookmarkEnd w:id="284"/>
    </w:p>
    <w:p>
      <w:pPr>
        <w:pStyle w:val="BookText"/>
        <w:rPr/>
      </w:pPr>
      <w:r>
        <w:rPr>
          <w:rFonts w:ascii="IRNazanin" w:hAnsi="IRNazanin" w:eastAsia="IRNazanin"/>
          <w:color w:val="111111"/>
          <w:sz w:val="28"/>
          <w:sz w:val="28"/>
          <w:szCs w:val="28"/>
          <w:rtl w:val="true"/>
          <w:lang w:bidi="fa-IR"/>
        </w:rPr>
        <w:t xml:space="preserve">علمای امامیه، بداء در امامت را نمی‌پذیرند و حتی در این مورد ادعای اجماع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نیز در این باب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بداء واقع شود در چیزی، پس بـه درستی این بـداء برای الله ـ جل جلاله ـ نخواهد بـود در نقل پیغمبر 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بودن و نقل امامی از امام بودن و نه نقل مؤمنی که گرفته باشد خداوند متعال عهد از ا</w:t>
      </w:r>
    </w:p>
    <w:p>
      <w:pPr>
        <w:pStyle w:val="BookText"/>
        <w:rPr/>
      </w:pPr>
      <w:r>
        <w:rPr>
          <w:rFonts w:ascii="IRNazanin" w:hAnsi="IRNazanin" w:eastAsia="IRNazanin"/>
          <w:color w:val="111111"/>
          <w:sz w:val="28"/>
          <w:sz w:val="28"/>
          <w:szCs w:val="28"/>
          <w:rtl w:val="true"/>
          <w:lang w:bidi="fa-IR"/>
        </w:rPr>
        <w:t>و به ایمان از مؤمن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ولی با وجود حدیث بداء درباره اسماعیل، باید به دنبال پاسخی برای رفع شبهه برخی مخالفان، مانند زیدیه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بزرگانی چون شیخ صدوق و شیخ مفید همواره بر فهم درست بداء تأکید داشته و فهم معنای حدیث بداء در اسماعیل را مستلزم فهم درست معنای بداء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کمال‌الدین و تمام‌النعمه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فی شیء کما بدا له فی اسمعیل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ظاهر نشد از سوی خداوند آنچه درباره اسماعیل ظاهر شد و آن این بود که در زمان حیات من، ایشان از دنیا رفت تا همگان بدانند که ایشان امام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ما هرکس گمان کند خداوند امروز چیزی بر او ظاهر شود که دیروز نمی‌دانسته، کافر است و بیزاری از او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به حدیثی از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استناد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ان الله یبدو له فی شیء الیوم لم‌یعلمه امس فابرؤوا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بدائی که به امامیه نسبت داده می‌شود، عقیده به آن را همان ظهور امر خدا باید دانست؛ همان‌گونه که عرب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لِی، یعنی ظَهَر لِی؛ یعنی ظاهر شد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در خداوند به معنای پشیمانی نیست، زیرا خداوند بسیار برتر از آن است که برایش علم جدیدی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ضمن انکار این دیدگاه که بداء مورد اشاره در این حدیث را در امامت اسماعیل قرار می‌دهد، در توضیح بداء در این روایت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حدیث همان‌گونه که از ابی‌عبدالله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روایت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بار قتل را برای فرزندم اسماعیل مقدر کرد، اما من از خدا سلامتی وی را درخواست کردم؛ پس بداء حاصل شد برای اسماعیل و دو بار اسماعیل از مرگ نجات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بداء را همان نسخ در تکوین شمرده که می‌تواند با انجام فعل خاصی از سوی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دعای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مشیت خداوند تغییر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معتقد</w:t>
      </w:r>
    </w:p>
    <w:p>
      <w:pPr>
        <w:pStyle w:val="BookText"/>
        <w:rPr/>
      </w:pPr>
      <w:r>
        <w:rPr>
          <w:rFonts w:ascii="IRNazanin" w:hAnsi="IRNazanin" w:eastAsia="IRNazanin"/>
          <w:color w:val="111111"/>
          <w:sz w:val="28"/>
          <w:sz w:val="28"/>
          <w:szCs w:val="28"/>
          <w:rtl w:val="true"/>
          <w:lang w:bidi="fa-IR"/>
        </w:rPr>
        <w:t xml:space="preserve">است، قول امامیه در بداء به این معناست که از خداوند، امری که بر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انبیا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نبود، آشکار کند و مراد آن نیست که برای خدا تغییر رأی روی داده یا امری که بر او پنهان بوده، معلوم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وصف این امر به بداء آن است که از دیدگاه خلق، ظهور آن فعل گمان برده نمی‌شد یا ظن‌ّ غالب به وقوع آن نمی‌رفت؛ بنابراین، روایت امام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شیء کما بدا له فی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فإنّما أراد به ما ظهر من الله تعالی فیه من دفاع القتل عنه و قد کان مخوفاً علیه من ذلک مظنوناً به فلطف له فی دفعه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بداء وجه تکوینی و خلقی دارد، و از دیدگاه مخلوق، ظهور امری و اراده‌ای نو تلقی می‌گردد، وگرنه فی نفس‌الامر تجددی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مفید، اجل‌ها، گناه و عقاب یا ثواب و پاداش که در آیات گوناگون مورد اشاره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مشروط است</w:t>
      </w:r>
      <w:r>
        <w:rPr>
          <w:rStyle w:val="FootnoteAnchor"/>
          <w:rtl w:val="true"/>
        </w:rPr>
        <w:footnoteReference w:id="42"/>
      </w:r>
      <w:r>
        <w:rPr>
          <w:rFonts w:ascii="IRNazanin" w:hAnsi="IRNazanin" w:eastAsia="IRNazanin"/>
          <w:color w:val="111111"/>
          <w:sz w:val="28"/>
          <w:sz w:val="28"/>
          <w:szCs w:val="28"/>
          <w:rtl w:val="true"/>
          <w:lang w:bidi="fa-IR"/>
        </w:rPr>
        <w:t xml:space="preserve">و در تبدیل و تجدید این‌گونه اجل‌هاست که ما از آن به بداء تعبیر می‌کنیم و بر فعل خداوند بر وجه مجاز اطلاق می‌گردد؛ هم‌چنان‌که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حق تعالی بر وجه مجاز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درباره بداء می‌گویم، همان است که دیگر مسلمانان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بنابراین، حتی کسانی که با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مخالفند، با مفهوم و معنای آن موافقند و از این جهت، اختلاف میان امامیه و عامه در این امر، اختلاف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میرداماد معتقد است، جایگاه بداء در امور تکوینی، مانند جایگاه نسخ در امور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و تغییری که در امور و احکام تشریعی رخ می‌دهد و نسخ نامیده می‌شود، در امور</w:t>
      </w:r>
      <w:bookmarkStart w:id="285" w:name="pg2643_21763"/>
    </w:p>
    <w:p>
      <w:pPr>
        <w:pStyle w:val="BookText"/>
        <w:rPr/>
      </w:pPr>
      <w:bookmarkEnd w:id="285"/>
      <w:r>
        <w:rPr>
          <w:rFonts w:ascii="IRNazanin" w:hAnsi="IRNazanin" w:eastAsia="IRNazanin"/>
          <w:color w:val="111111"/>
          <w:sz w:val="28"/>
          <w:sz w:val="28"/>
          <w:szCs w:val="28"/>
          <w:rtl w:val="true"/>
          <w:lang w:bidi="fa-IR"/>
        </w:rPr>
        <w:t>تکوینی و افاضات تکوینیه و معلومات کونیه و زمانیه، بداء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 پایان یافتن حکم تشریعی و انقطاع استمرار آن است، نه رفع و ارتفاع آن؛ بداء نیز انقطاع استمرار امر تکوینی و انتهای اتصال افاضه در مجعول کونی و معلول زمانی است که به تحدید زمان و تخصیص وقت افاضه بر حسب اقتضای شرایط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گویی نسخ بداء تشریعی، و بداء نسخ تکوینی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اعتقاد امامیه که در چندین روایت از منابع شیعی نیز بر آن تأکید شده، خداوند دو علم دارد و در یکی از این دو علم که هیچ‌کس بر آن واقف نیست، همه محو و اثبات‌ها و تقدیم و تأخیرها 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همه تغییراتی که در مقدرات عالم تکوین روی می‌دهد، نه بر علم پیشین خدا می‌افزاید و نه آن را تغییر می‌دهد و شاید هیچ‌کس از علم مکنون خبر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به استناد برخی احادیث، برای علم خدا دو مرحله قائل شده است؛ مرحله‌ای که همان لوح محفوظ است که دگرگونی نمی‌پذیرد و مرحله‌ای که مرحله محو و اثبات است و بنا بر شروطی، دگرگونی می‌پذیرد و تحقق این دگرگونی مشروط به تحقق آن شروط است، که اگر تحقق نیابد، رویدادها نیز حادث نمی‌شوند؛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از آن به بداء تعبیر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هم در اسفار اربعه و هم در شرح اصول کافی با عباراتی نزدیک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نسخ و بداء برای هیچ‌کس امکان ندارد، مگر این‌که خدا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لایمکن العلم به لأحد من النفوس العلویة و السلفیة الاّ من جهة الله المختصه به، لأنه مما استأثره؛ لأنه لیس فی الأسباب الطبیعیة ما یوجبه و لا فی الصور الادراکیه و النقوش اللوحیه ما یتدربه من قبل؛ و لاجل ذلک ورد فی احادیث اصحابنا الامامیین عن ابی‌عبدالله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علمین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همو،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بداء</w:t>
      </w:r>
      <w:r>
        <w:rPr>
          <w:rFonts w:eastAsia="IRNazanin" w:cs="IRNazanin"/>
          <w:color w:val="111111"/>
          <w:sz w:val="28"/>
          <w:szCs w:val="28"/>
          <w:rtl w:val="true"/>
          <w:lang w:bidi="fa-IR"/>
        </w:rPr>
        <w:t>).</w:t>
      </w:r>
    </w:p>
    <w:p>
      <w:pPr>
        <w:pStyle w:val="Heading3"/>
        <w:numPr>
          <w:ilvl w:val="2"/>
          <w:numId w:val="1"/>
        </w:numPr>
        <w:rPr/>
      </w:pPr>
      <w:bookmarkStart w:id="286" w:name="__RefHeading___Toc628067_1395250215"/>
      <w:bookmarkStart w:id="287" w:name="_Toc117"/>
      <w:bookmarkEnd w:id="286"/>
      <w:r>
        <w:rPr>
          <w:rtl w:val="true"/>
        </w:rPr>
        <w:t>نتیجه گیری</w:t>
      </w:r>
      <w:bookmarkEnd w:id="2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اجماع علمای امامیه در عدم ارتباط بداء در اسماعیل به مسئله امامت ایشان و اشاره به این مطلب که از اساس، وجود نصی بر امامت اسماعیل مورد تردید است و در مقابل،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ترتیب ائمه وجود دارد، می‌توان گفت مسئله امامت به دلیل اهمیت آن و هم‌چنین ارتباط آن با مسئله ایمان، از مسائل غیر قابل تغییر و ثبت‌شده در</w:t>
      </w:r>
      <w:bookmarkStart w:id="288" w:name="pg2643_21765"/>
    </w:p>
    <w:p>
      <w:pPr>
        <w:pStyle w:val="BookText"/>
        <w:rPr/>
      </w:pPr>
      <w:bookmarkEnd w:id="288"/>
      <w:r>
        <w:rPr>
          <w:rFonts w:ascii="IRNazanin" w:hAnsi="IRNazanin" w:eastAsia="IRNazanin"/>
          <w:color w:val="111111"/>
          <w:sz w:val="28"/>
          <w:sz w:val="28"/>
          <w:szCs w:val="28"/>
          <w:rtl w:val="true"/>
          <w:lang w:bidi="fa-IR"/>
        </w:rPr>
        <w:t>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گفت، حدیث بداء در اسماعیل فقط به تغییر مشیت الهی، آن هم در علم خدا که مربوط به مرحله محو و اثبات است، با تحقق شرایطی که می‌تواند همان درخواست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و یا رفع گمان عوام شیعه در امامت اسماعیل، ارتباط دارد، و نه تغییر در مشیت خداوند در مرحله لوح محفوظ و مسئله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تغییر در امامت از حدیثی که هیچ لفظی دالّ بر امامت در آن وجود ندارد و فقط تفسیری هدف‌مند از این روایت، آن هم در همان زمان صدور روایت، باعث این اشتباه تاریخی شده است؛ از سوی دیگر، عدم وجود نص بر امامت اسماعیل، نشان از آن دارد که مسئله امامت اسماعیل در این روایت، سالبه به انتفای موضوع است؛ از این رو، روایت را باید به گونه‌ای تفسیر کرد که با زندگانی اسماعیل و مرگ او پیش از درگذشت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یا اصلاحِ گمان و ظنّ اشتباه برخی پیروان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سازگار باشد</w:t>
      </w:r>
      <w:r>
        <w:rPr>
          <w:rFonts w:eastAsia="IRNazanin" w:cs="IRNazanin"/>
          <w:color w:val="111111"/>
          <w:sz w:val="28"/>
          <w:szCs w:val="28"/>
          <w:rtl w:val="true"/>
          <w:lang w:bidi="fa-IR"/>
        </w:rPr>
        <w:t>.</w:t>
      </w:r>
    </w:p>
    <w:p>
      <w:pPr>
        <w:pStyle w:val="Heading3"/>
        <w:numPr>
          <w:ilvl w:val="2"/>
          <w:numId w:val="1"/>
        </w:numPr>
        <w:rPr/>
      </w:pPr>
      <w:bookmarkStart w:id="289" w:name="__RefHeading___Toc628069_1395250215"/>
      <w:bookmarkStart w:id="290" w:name="_Toc118"/>
      <w:bookmarkEnd w:id="289"/>
      <w:r>
        <w:rPr>
          <w:rtl w:val="true"/>
        </w:rPr>
        <w:t>منابع</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محمد‌بن‌علی،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ابی‌طالب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ابن‌بایویه، محمدبن‌علی،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الدین و تمام النعمه،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کمره‌ای، تهران،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الاعتقادات، قم، مؤسسۀ الامام الهادی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بیروت، دار و مکتبۀ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ابونصر بخاری، سهل‌بن‌عبدالله،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السلسلۀ العلویه،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ادریس عمادالدین، ادریس‌بن‌حسن،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الاخبار و فنون الآثار، بیروت، دارالاندلس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 المعانی، بیروت، المؤسسۀ الجامعیه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قمی، سعدبن‌عبدالله،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المقالات و الفرق،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مشکور، تهران،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طباطبائی، سیدمحمدمهدی،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السید بحرالعلوم معروف بالفوائد الرجالیه، تهران، مکتبة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تامر، عارف،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الامامة فی الاسلام، بیروت، دارالاضواء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تستری، محمدتقی،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قم، مؤسسۀ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جوینی، عطاملک‌بن‌محمد،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جهانگشای جوینی،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محمد‌بن‌عبدالوهاب قزوینی، تهران، هرمس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فدائی، محمد‌بن‌زین‌العابدین،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هدایۀ المؤمنین الطالبین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اساطیر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سیدابوالقاسم،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و تفصیل طبقات الرواة، قم، مدینۀ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دفتری، فرهاد،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 عقاید اسماعیلیه،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بدره‌ای، تهران، فرزان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محمد‌بن‌حسن، </w:t>
      </w:r>
      <w:r>
        <w:rPr>
          <w:rFonts w:eastAsia="IRNazanin" w:cs="IRNazanin"/>
          <w:color w:val="111111"/>
          <w:sz w:val="28"/>
          <w:szCs w:val="28"/>
          <w:rtl w:val="true"/>
          <w:lang w:bidi="fa-IR"/>
        </w:rPr>
        <w:t>(</w:t>
      </w:r>
      <w:r>
        <w:rPr>
          <w:rFonts w:eastAsia="IRNazanin" w:cs="IRNazanin"/>
          <w:color w:val="111111"/>
          <w:sz w:val="28"/>
          <w:szCs w:val="28"/>
          <w:lang w:bidi="fa-IR"/>
        </w:rPr>
        <w:t>1938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مذهب الباطنیه و بطلانه، منقول من کتاب قواعد عقائد آل‌محمد، استانبول، مطبعۀ الدوله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سیدمرتضی، علی،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جوابات المسائل الرازیة، در مجموعه رسائل الشریف المرتضی،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و مهدی رجایی، قم، دارالقرآن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شرفی، محمد‌بن‌صلاح،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الاساس الکبیر شفاء صدور الناس، صنعا، دارالحکمۀ الیمانیه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محمد‌بن‌عبدالکریم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نهایۀ الاقدام فی علم الکلام، قاهره، مکتبۀ المتبنی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صدرالدین‌شیرازی، محمد‌بن‌ابراهیم،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الکافی، تهران، بنیاد حکمت اسلامی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الحکمۀ المتعالیه فی الاسفار العقلیه الاربعه،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باعلام الهدی،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محمد‌بن‌حسن،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نجف، المکتبۀ الحیدریه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الغیبۀ، قم، مؤسسۀ المعارف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قم، نشر الفقاهه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حسن‌بن‌یوسف،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خلاصۀ الاقوال فی معرفۀ الرجال، قم، مؤسسه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العلوی، علی‌بن‌محمد،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المجدی فی اساب الطالبین، قم، مکتبة آیة‌العظمی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محمدبن‌عمر،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محصل افکار المتقدمین و المتأخرین،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عبدالرئوف سعد، بیروت، نامعلوم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مهدی،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شهرستانی؛ سنی اشعری یا شیعی باطنی؟، در مجموعه مقالات اسماعیلیه، قم، دانشگاه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کرمانی، احمد‌بن‌عبدالله،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المصابیح فی اثبات الامامه، بیروت، دارالمنتظر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محمد‌بن‌عمر،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اختیار معرفۀ الرجال، المعروف برجال الکشی، مشهد، دانشگاه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الاصول من الکافی،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 مکتبة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عبدالله،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تنقیح المقال فی علم الرجال،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الجامعه لدرر اخبار الائمۀ الاطهار، بیروت، دارالتعارف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الاعتقاد بصواب الانتقاد او شرح عقائد الصدوق،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المقالات فی المذاهب و المختارات، تهران،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المختاره من العیون و المحاسن، قم، مکتبۀ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معرفة حجج الله علی العباد، قم،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محمدباقر،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نبراس الضیاء و تسواء السواء فی شرح باب البداء و اثبات جدوی الدعاء،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ناجی‌اصفهانی، قم، هجرت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احمد‌بن‌علی،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اسماء مصنفی الشیعه المشتهر برجال النجاشی، قم، مؤسسۀ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نرسی، زید،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زید نرسی، در مجموعه الاصول الستۀ عشر، تحقیق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محمودی، قم، دارالحدیث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نشوان حمیری، نشوان‌بن‌سعید،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رسالۀ الحور العین و تنبیه السامعین، صنعا، الجیل الجدید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نصیرالدین طوسی، محمدبن‌محمد،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قواعد العقاید، همراه تلخیص المحصل، تهران، تلخیص المحصل بانضمام رسائل و فوائد کلامی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محمد،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از دیدگاه اسماعیلیان، در مجموعه مقالات اسماعیلیه، قم، دانشگاه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حسن‌بن‌موسی،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الشیعه، جبلة، بدایات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یمنی، جعفربن‌منصور،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سرائر و اسرار النطقاء، بیروت، دارالاندلس</w:t>
      </w:r>
      <w:r>
        <w:rPr>
          <w:rFonts w:eastAsia="IRNazanin" w:cs="IRNazanin"/>
          <w:color w:val="111111"/>
          <w:sz w:val="28"/>
          <w:szCs w:val="28"/>
          <w:rtl w:val="true"/>
          <w:lang w:bidi="fa-IR"/>
        </w:rPr>
        <w:t>.</w:t>
      </w:r>
      <w:bookmarkStart w:id="291" w:name="pg2643_21773"/>
    </w:p>
    <w:p>
      <w:pPr>
        <w:pStyle w:val="Heading2"/>
        <w:numPr>
          <w:ilvl w:val="1"/>
          <w:numId w:val="1"/>
        </w:numPr>
        <w:rPr/>
      </w:pPr>
      <w:bookmarkStart w:id="292" w:name="__RefHeading___Toc628071_1395250215"/>
      <w:bookmarkStart w:id="293" w:name="_Toc119"/>
      <w:bookmarkEnd w:id="291"/>
      <w:bookmarkEnd w:id="292"/>
      <w:r>
        <w:rPr>
          <w:rtl w:val="true"/>
        </w:rPr>
        <w:t>تبیین و نقد ادله قرآنی متکلمان در استطاعت کلامی</w:t>
      </w:r>
      <w:bookmarkEnd w:id="293"/>
    </w:p>
    <w:p>
      <w:pPr>
        <w:pStyle w:val="Heading3"/>
        <w:numPr>
          <w:ilvl w:val="2"/>
          <w:numId w:val="1"/>
        </w:numPr>
        <w:rPr/>
      </w:pPr>
      <w:bookmarkStart w:id="294" w:name="__RefHeading___Toc628073_1395250215"/>
      <w:bookmarkStart w:id="295" w:name="_Toc120"/>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جعفر رحیمی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1393/02/08</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1393/03/26</w:t>
      </w:r>
    </w:p>
    <w:p>
      <w:pPr>
        <w:pStyle w:val="Heading3"/>
        <w:numPr>
          <w:ilvl w:val="2"/>
          <w:numId w:val="1"/>
        </w:numPr>
        <w:rPr/>
      </w:pPr>
      <w:bookmarkStart w:id="296" w:name="__RefHeading___Toc628075_1395250215"/>
      <w:bookmarkStart w:id="297" w:name="_Toc121"/>
      <w:bookmarkEnd w:id="296"/>
      <w:r>
        <w:rPr>
          <w:rtl w:val="true"/>
        </w:rPr>
        <w:t>چکیده</w:t>
      </w:r>
      <w:bookmarkEnd w:id="297"/>
    </w:p>
    <w:p>
      <w:pPr>
        <w:pStyle w:val="BookText"/>
        <w:rPr/>
      </w:pPr>
      <w:r>
        <w:rPr>
          <w:rFonts w:ascii="IRNazanin" w:hAnsi="IRNazanin" w:eastAsia="IRNazanin"/>
          <w:color w:val="111111"/>
          <w:sz w:val="28"/>
          <w:sz w:val="28"/>
          <w:szCs w:val="28"/>
          <w:rtl w:val="true"/>
          <w:lang w:bidi="fa-IR"/>
        </w:rPr>
        <w:t>هر کدام از طرف‌داران استطاعت مع‌الفعل و استطاعت پیش از فعل، برای اثبات نظریه خویش به قرآن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روش توصیفی ـ تحلیلی و با استناد به آثار متکلمان، به بررسی و نقد ادله قرآنی متکلمان مذاهب مختلف کلامی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معتزلی با استناد به آیه‌هایی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أَلْقِ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در قدرت داشتن پیش از فعل است، به استطاعت پیش از فعل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و اشاعره با پذیرش تکلیفِ مالایطاق و با استناد به آیه‌هایی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اسْتَطَعْنا لَخَرَجْنا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استطاعت مع‌الفعل را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نیز با آنان هم‌داستان است، مگر در پذیرش تکلیف مالایطاق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متکلمان امامیه، هردو قول استطاعت پیش از فعل و مع‌الفعل طرف‌دارانی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قرآن تصریحی به هیچ‌کدام از دو نظریه مذکور ندارد و استناد متکلمان به قرآن، همراه با تأویل و تحمیل نظریه بر آیات بوده است</w:t>
      </w:r>
      <w:r>
        <w:rPr>
          <w:rFonts w:eastAsia="IRNazanin" w:cs="IRNazanin"/>
          <w:color w:val="111111"/>
          <w:sz w:val="28"/>
          <w:szCs w:val="28"/>
          <w:rtl w:val="true"/>
          <w:lang w:bidi="fa-IR"/>
        </w:rPr>
        <w:t>.</w:t>
      </w:r>
    </w:p>
    <w:p>
      <w:pPr>
        <w:pStyle w:val="Heading3"/>
        <w:numPr>
          <w:ilvl w:val="2"/>
          <w:numId w:val="1"/>
        </w:numPr>
        <w:rPr/>
      </w:pPr>
      <w:bookmarkStart w:id="298" w:name="__RefHeading___Toc628077_1395250215"/>
      <w:bookmarkStart w:id="299" w:name="_Toc122"/>
      <w:bookmarkEnd w:id="298"/>
      <w:r>
        <w:rPr>
          <w:rtl w:val="true"/>
        </w:rPr>
        <w:t>واژگان کلیدی</w:t>
      </w:r>
      <w:bookmarkEnd w:id="29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استطاعت کلامی، ادله قرآنی استطاعت، معتزله، اشاعره، شیعه، ماتریدیه، اهل حدیث</w:t>
      </w:r>
      <w:r>
        <w:rPr>
          <w:rFonts w:eastAsia="IRNazanin" w:cs="IRNazanin"/>
          <w:color w:val="111111"/>
          <w:sz w:val="28"/>
          <w:szCs w:val="28"/>
          <w:rtl w:val="true"/>
          <w:lang w:bidi="fa-IR"/>
        </w:rPr>
        <w:t>.</w:t>
      </w:r>
      <w:bookmarkStart w:id="300" w:name="pg2643_21775"/>
    </w:p>
    <w:p>
      <w:pPr>
        <w:pStyle w:val="Heading3"/>
        <w:numPr>
          <w:ilvl w:val="2"/>
          <w:numId w:val="1"/>
        </w:numPr>
        <w:rPr/>
      </w:pPr>
      <w:bookmarkStart w:id="301" w:name="__RefHeading___Toc628079_1395250215"/>
      <w:bookmarkStart w:id="302" w:name="_Toc123"/>
      <w:bookmarkEnd w:id="300"/>
      <w:bookmarkEnd w:id="301"/>
      <w:r>
        <w:rPr>
          <w:rtl w:val="true"/>
        </w:rPr>
        <w:t>مقدمه</w:t>
      </w:r>
      <w:bookmarkEnd w:id="302"/>
    </w:p>
    <w:p>
      <w:pPr>
        <w:pStyle w:val="BookText"/>
        <w:rPr/>
      </w:pPr>
      <w:r>
        <w:rPr>
          <w:rFonts w:ascii="IRNazanin" w:hAnsi="IRNazanin" w:eastAsia="IRNazanin"/>
          <w:color w:val="111111"/>
          <w:sz w:val="28"/>
          <w:sz w:val="28"/>
          <w:szCs w:val="28"/>
          <w:rtl w:val="true"/>
          <w:lang w:bidi="fa-IR"/>
        </w:rPr>
        <w:t>یکی از خصوصیات انسان،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آزادانه اراده می‌کند و رفتارش تحت کنترل اوست؛ از سوی دیگر، در الهیات از عموم مشیت و اراده حق‌تعالی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گزاره مزبور که اولی با مشاهده مستقیم رفتارهای افراد انسان قابل رصد است و دومی را در متون قرآنی و حدیثی می‌توان یافت، سبب ایجاد نزاعی کلامی بین متکلمان دوره نخستین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قدرت ایجاد افعال، پیش از تحقق فعل به انسان اعطا شده یا در هنگام تحقق فعل است که خداوند قدرتِ بر فعل را ایجاد می‌کند، دو گرایش در مسئله استطاعت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گروهی از عالمان امامیه، نظریه استطاعت پیش از فعل را مستدل کرده و قائل شدند انسان پیش از انجام افعالش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نظریه، گروهی دیگر از متکلمان از فرقه‌های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ماتریدیه، اهل حدیث و بخشی از متکلمان امامیه، استطاعت مع‌الفعل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صاحبان دو نظریه مزبور ـ که در حقیقت دو نظریه متضادند ـ برای حجیت‌بخشی به سخنان خویش، به آیاتی از قرآن کریم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از سویی، نشان‌گر جایگاه ویژه قرآن برای اخذ معارف دینی است و از سوی دیگر، خطر تأویل آیات و تفسیر به رأی را به دنبال داشته است، زیرا به لحاظ عقلی ممکن نیست قرآن کریم بر دو نظریه متضاد صحه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استطاعت از گذشته دور، از مسائل چالش‌برانگیز و اختلافی میان متکلمان بوده است، اما در دوران معاصر کمتر به آن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نویسنده این سطور بررسی کرده، پژوهشی در ادله قرآنیِ متکلمان در مسئله استطاعت صورت نگرفته و این پژوهش، اولین مقاله‌ای است که با تفصیل به این مسئله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قرن‌های نخستین پس از اسلام، کتاب‌هایی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اما متأسفانه بسیاری از آن‌ها در اثر گذشت زمان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ابتدا ادله قرآنی متکلمان مذاهب مختلف اسلامی گردآوری و استناد آنان به آیات قرآنی بررسی شده، سپس افکار آنان در بوته نقد و تحلیل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پژوهش، روشن شدن چگونگی تمسک به قرآن در میان متکلمان و هم‌چنین مقایسه بین دو نظریه متضاد در مسئله استطاعت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خداوند انسان را به گونه‌ای آفرید که صاحب قدرت باشد و با آن قدرت اعطایی بتواند تمام افعال اختیاری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معتزله این قول را گردن نهاده و قائل</w:t>
      </w:r>
    </w:p>
    <w:p>
      <w:pPr>
        <w:pStyle w:val="BookText"/>
        <w:rPr/>
      </w:pPr>
      <w:r>
        <w:rPr>
          <w:rFonts w:ascii="IRNazanin" w:hAnsi="IRNazanin" w:eastAsia="IRNazanin"/>
          <w:color w:val="111111"/>
          <w:sz w:val="28"/>
          <w:sz w:val="28"/>
          <w:szCs w:val="28"/>
          <w:rtl w:val="true"/>
          <w:lang w:bidi="fa-IR"/>
        </w:rPr>
        <w:t xml:space="preserve">به استطاعت پیش از فعل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قاضی‌عبدالجبار،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که این قول را با توحید افعالی خداوند در تضاد می‌دیدند، از همه‌گیر بودن قدرت الهی سخن گفته و قائل شدند همه افعال انسان به دست خدا و با حول و قوه اوست؛ بنابراین، همه افعال انسان را به خدا نسبت داده و قائل شدند استطاعت انسان، تنها در زمان تحقق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اشاعره، قول اخیر را قائل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متکلمان شیعی، هر دو قول طرف‌دارانی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 هشام‌بن‌حکم و ثقه‌الاسلام کلینی استطاعت مع‌الفعل را پذیرفته‌اند؛ در مقابل، متکلمان بلندپایه‌ای مانند زراره و شیخ صدوق استطاعت پیش از فعل را 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استطاعت پیش از فعل در ادامه حیات کلام شیعه به نظریه غالب تبدیل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گزارش‌ها نشان‌گر این نکته است که مسئله استطاعت از همان نیمه اول قرن اول، در جامعه اسلامی مطرح بوده و برخی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را درباره استطاعت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دارد که شخصی از امام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استطاعت سؤال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نامه‌ای به امام حسن مجتبی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نوشته و در آن پرسیده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قولُک یابنَ رَسولِ‌اللّه صلّی اللّه علیه عِندَ حَیرتِنا فی القَدَرِ و اختلافِنا فی الإستطاعةِ؟ لِتُعَلِّمنا بِما تأکَّدَ علیه رَأیُکَ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کراجکی،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هجویری،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دیگری، ابوعبیده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استطاعت پرسیده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پرسش زراره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 استطاعت را شیخ صدوق گزارش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سؤال حسن بصری از امام 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هم‌چنین در گزارش پرسش ابوعبیده از امام باقر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به اختلاف مردم در این مسئله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گزارش‌های مذکور، مسئله استطاعت از همان نیمه نخست قرن اول در جامعه اسلامی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نیز در کتاب الفرق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دوره صحابه، بین معبد 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غیلان دمشقی و جعد بن درهم در مسئله قدر و استطاعت اختلاف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در زمان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مسئله کلامی استطاعت، مورد بحث و بررسی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 نوشته‌اند؛ بنابراین دست‌کم در نیمه اول قرن دوم، مسئله استطاعت کلامی به طور جدی در بین شیعه و جامعه مسلمین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زرارۀ‌بن‌اعین، از اصحاب امام باقر و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کتابی با عنوان الاستطاعه و الجبر تألیف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زراره اولین کسی بود که</w:t>
      </w:r>
      <w:bookmarkStart w:id="303" w:name="pg2643_21779"/>
    </w:p>
    <w:p>
      <w:pPr>
        <w:pStyle w:val="BookText"/>
        <w:rPr/>
      </w:pPr>
      <w:bookmarkEnd w:id="303"/>
      <w:r>
        <w:rPr>
          <w:rFonts w:ascii="IRNazanin" w:hAnsi="IRNazanin" w:eastAsia="IRNazanin"/>
          <w:color w:val="111111"/>
          <w:sz w:val="28"/>
          <w:sz w:val="28"/>
          <w:szCs w:val="28"/>
          <w:rtl w:val="true"/>
          <w:lang w:bidi="fa-IR"/>
        </w:rPr>
        <w:t xml:space="preserve">استطاعت پیش از فعل را در کوفه مطرح کرده است و به پیش‌گامی برای معتزله تبدیل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فان‌اس، بی‌تا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روی، مسئله کلامیِ استطاعت در جامعه اسلامی مطرح شد و طرف‌داران و مخالفانی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و تصحیح اعتقاد جامعه اسلامی، وارد میدان شده و این مسئله را به شاگردان و علاقه‌مندان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تفکر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استطاعت، نظریه مستقلی است که علاوه بر ردّ نظریه رقیب، تبیینی جدید و معقول را از این مسئله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مقاله برای نقد نظریه رقیب، اندیشه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عبارت دیگر، آنچه از احادیث فهمیده می‌شود، ملاک نقد سایر اندیشه‌ها قرار می‌گیرد</w:t>
      </w:r>
      <w:r>
        <w:rPr>
          <w:rFonts w:eastAsia="IRNazanin" w:cs="IRNazanin"/>
          <w:color w:val="111111"/>
          <w:sz w:val="28"/>
          <w:szCs w:val="28"/>
          <w:rtl w:val="true"/>
          <w:lang w:bidi="fa-IR"/>
        </w:rPr>
        <w:t>.</w:t>
      </w:r>
    </w:p>
    <w:p>
      <w:pPr>
        <w:pStyle w:val="Heading3"/>
        <w:numPr>
          <w:ilvl w:val="2"/>
          <w:numId w:val="1"/>
        </w:numPr>
        <w:rPr/>
      </w:pPr>
      <w:bookmarkStart w:id="304" w:name="__RefHeading___Toc628081_1395250215"/>
      <w:bookmarkStart w:id="305" w:name="_Toc124"/>
      <w:bookmarkEnd w:id="304"/>
      <w:r>
        <w:rPr>
          <w:rtl w:val="true"/>
        </w:rPr>
        <w:t>مبانی و ادله قرآنی مذاهب در مسئله استطاعت</w:t>
      </w:r>
      <w:bookmarkEnd w:id="305"/>
    </w:p>
    <w:p>
      <w:pPr>
        <w:pStyle w:val="Heading4"/>
        <w:numPr>
          <w:ilvl w:val="3"/>
          <w:numId w:val="1"/>
        </w:numPr>
        <w:rPr/>
      </w:pPr>
      <w:bookmarkStart w:id="306" w:name="__RefHeading___Toc628083_1395250215"/>
      <w:bookmarkStart w:id="307" w:name="_Toc125"/>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معتزله، اشاعره، ماتریدیه، امامیه و اهل حدیث از فرقه‌های مهمّ اسلامی هستند و تقریباً شاکله اصلی جامعه اسلامی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بررسی ادله قرآنیِ برخی از عالمان هر یک از فرقه‌های مذکور در مسئله استطاعت می‌پردازیم</w:t>
      </w:r>
      <w:r>
        <w:rPr>
          <w:rFonts w:eastAsia="IRNazanin" w:cs="IRNazanin"/>
          <w:color w:val="111111"/>
          <w:sz w:val="28"/>
          <w:szCs w:val="28"/>
          <w:rtl w:val="true"/>
          <w:lang w:bidi="fa-IR"/>
        </w:rPr>
        <w:t>.</w:t>
      </w:r>
    </w:p>
    <w:p>
      <w:pPr>
        <w:pStyle w:val="Heading4"/>
        <w:numPr>
          <w:ilvl w:val="3"/>
          <w:numId w:val="1"/>
        </w:numPr>
        <w:rPr/>
      </w:pPr>
      <w:bookmarkStart w:id="308" w:name="__RefHeading___Toc628085_1395250215"/>
      <w:bookmarkStart w:id="309" w:name="_Toc126"/>
      <w:bookmarkEnd w:id="308"/>
      <w:r>
        <w:rPr/>
        <w:t>1</w:t>
      </w:r>
      <w:r>
        <w:rPr>
          <w:rtl w:val="true"/>
        </w:rPr>
        <w:t xml:space="preserve">. </w:t>
      </w:r>
      <w:r>
        <w:rPr>
          <w:rtl w:val="true"/>
        </w:rPr>
        <w:t>استطاعت نزد معتزله</w:t>
      </w:r>
      <w:bookmarkEnd w:id="309"/>
    </w:p>
    <w:p>
      <w:pPr>
        <w:pStyle w:val="Heading5"/>
        <w:numPr>
          <w:ilvl w:val="4"/>
          <w:numId w:val="1"/>
        </w:numPr>
        <w:rPr/>
      </w:pPr>
      <w:bookmarkStart w:id="310" w:name="__RefHeading___Toc628087_1395250215"/>
      <w:bookmarkStart w:id="311" w:name="_Toc127"/>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 xml:space="preserve">نزد معتزله، الفاظی مانند قوّت، طاقت و استطاعت هم‌معنا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آنان در حقیقتِ استطاعت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علی اسواری معتقد بودند، انسان به‌نفسه حیّ و مستطیع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ابوهذیل، معمر، هشام الفوطی و بیشتر معتزله قائلند که انسان حیّ و مستطیع است، اما به واسطه حیات و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حیات و استطاعت را جزء ذات انسان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انسان حیّ است به حیات و مستطیع است به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ابوهذیل، معمر و مِردار استطاعت عرَض است که همان صحت و سلامت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بِشر‌بن‌معتمر، ثمامه‌بن‌اشرس و غیلان، استطاعت را صحت، سلامت و نبودن آفات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معتزلی استطاعت را پیش از فعل و قدرت انجام فعل را مقدم بر فعل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استطاعت مع‌الفعل با اعتقاد به عدل الهی سازگار نیست، زیرا در صورتی که استطاعت پیش از فعل نباشد، لازم می‌آید که انسان، تکلیف به مالایطاق شود و چنین تکلیفی قبیح است و از خداوند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bookmarkStart w:id="312" w:name="pg2643_21781"/>
    </w:p>
    <w:p>
      <w:pPr>
        <w:pStyle w:val="BookText"/>
        <w:rPr/>
      </w:pPr>
      <w:bookmarkEnd w:id="312"/>
      <w:r>
        <w:rPr>
          <w:rFonts w:ascii="IRNazanin" w:hAnsi="IRNazanin" w:eastAsia="IRNazanin"/>
          <w:color w:val="111111"/>
          <w:sz w:val="28"/>
          <w:sz w:val="28"/>
          <w:szCs w:val="28"/>
          <w:rtl w:val="true"/>
          <w:lang w:bidi="fa-IR"/>
        </w:rPr>
        <w:t>در اندیشه معتزله، برای انسانِ قادر دو حالت متصور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که ایجاد مقدورش صحیح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مانعی از ایجاد مقدورش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ممنوع کسی است که به نوعی در برابر انجام فعلش مانع ایجاد شده است؛ مانند کسی که پاهایش بسته شده و آزادی راه رفتن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مسئله استطاعت راه‌گشاست، ابزار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ابزار استطاعت را به چند نوع تقسیم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ابزاری که لازم است پیش از تحقق فعل موجود باشد؛ مانند کمان برای تیراندازی؛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که پیش از فعل و حین انجام فعل باید موجود باشد؛ مانند زبان که هم پیش از سخن گفتن و هم حین سخن گفتن لازم است تا محل کلام واقع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ابزاری که فقط مقارنتش لازم است؛ مانند سفت بودن زمین برای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معتزله مصححِ تکلیف، استطاعت است و خداوند کسی را می‌تواند تکلیف کند که مستطیع باشد؛ بنابراین، تنها فرض صحتِ تکلیف، استطاعت پیش از فعل است</w:t>
      </w:r>
      <w:r>
        <w:rPr>
          <w:rFonts w:eastAsia="IRNazanin" w:cs="IRNazanin"/>
          <w:color w:val="111111"/>
          <w:sz w:val="28"/>
          <w:szCs w:val="28"/>
          <w:rtl w:val="true"/>
          <w:lang w:bidi="fa-IR"/>
        </w:rPr>
        <w:t>.</w:t>
      </w:r>
    </w:p>
    <w:p>
      <w:pPr>
        <w:pStyle w:val="Heading5"/>
        <w:numPr>
          <w:ilvl w:val="4"/>
          <w:numId w:val="1"/>
        </w:numPr>
        <w:rPr/>
      </w:pPr>
      <w:bookmarkStart w:id="313" w:name="__RefHeading___Toc628089_1395250215"/>
      <w:bookmarkStart w:id="314" w:name="_Toc128"/>
      <w:bookmarkEnd w:id="313"/>
      <w:r>
        <w:rPr>
          <w:rtl w:val="true"/>
        </w:rPr>
        <w:t>استدلال عالمان معتزلی به آیات قرآن</w:t>
      </w:r>
      <w:bookmarkEnd w:id="314"/>
    </w:p>
    <w:p>
      <w:pPr>
        <w:pStyle w:val="BookText"/>
        <w:rPr/>
      </w:pPr>
      <w:r>
        <w:rPr>
          <w:rFonts w:ascii="IRNazanin" w:hAnsi="IRNazanin" w:eastAsia="IRNazanin"/>
          <w:color w:val="111111"/>
          <w:sz w:val="28"/>
          <w:sz w:val="28"/>
          <w:szCs w:val="28"/>
          <w:rtl w:val="true"/>
          <w:lang w:bidi="fa-IR"/>
        </w:rPr>
        <w:t>از مبانی بسیار مهمّ معتزله که از استطاعت پیش از فعل نشئت گرفته، تفویض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اعمال و رفتار انسان به او تفویض شده و انسان، خالق اعمالش است؛ تأثیر خداوند این است که انسان را آفریده و قدرت و توانایی به او اعطا کرده است، اما پس از خلق انسان تأثیر مستقیم در افعال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فرقه‌های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امامیه، ماتریدیه و ظاهریه، به نوعی با این اعتقاد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استدلال‌های عالمان معتزلی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أَلْقِ عَصاک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برانداختن عصا یا هنگامی که عصا در دست 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بوده، ایجاد می‌شود یا زمانی که عصا خارج از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محال است، زیرا انداختن عصایی که از دست انسان خارج شده، ممکن نیست؛ بنابراین، تنها در زمانی که عصا در دستش بوده، توانایی انداختن را داشته و این ثابت می‌کند که قدرت انسان پیش از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لا تُؤْمِنُونَ بِاللَّهِ وَ الرَّسُولُ یَدْعُوکُمْ لِتُؤْمِنُوا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را چه شده که به خدا ایمان نمی‌آورید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دعوت می‌کند تا به پروردگارتان ایمان آورید؟ قاضی عبدالجبار معتزلی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می‌کند که آنان به ایمان آوردن قدرت داشته‌اند، زیرا تنها در حقّ کسانی جایز است این سخن گفته شود که متمکن از فعل باشند؛ بنابراین، استطاعت پیش از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یُکْشَفُ عَنْ ساقٍ وَ یُدْعَوْنَ إِلَی السُّجُودِ فَلا یَسْتَطیعُون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مجرمان و مشرکان را به سجده دعوت می کند، اما آنان قدرت بر سجده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عدم استطاعت انسان استفاده نمی‌شود و در حقیقت، امرِ حقیقی به سجده کردن تعلق نگرفته است، بلکه برای توبیخ آنان است که چرا در حیات دنیوی که قدرت بر سجده داشتند، سجده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قاضی‌عبدالجبار،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جبایی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عدم استطاعت را به آخرت مختص کرده است؛ یعنی نفی استطاعت مربوط به آخرت است و آیه مذکور، استطاعت را در این دنیا از انسان سلب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لا‌یُؤْمِنُون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آنان باور نمی‌دارند؟ قاضی عبدالجبار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خبر داده که آنان ایمان نمی‌آورند، حاکی از عدم قدرت آنان بر ایمان نیست، بلکه اخبار از این است که آنان با وجود اختیار و قدرتی که بر ایمان دارند، ایمان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سَیَحْلِفُونَ بِاللَّهِ لَوِ اسْتَطَعْنا لَخَرَجْنا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جبایی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تکذیب کرده و از تکذیب خداوند متوجه می شویم آنان استطاعت خروج را داشته‌اند؛ بنابراین، استطاعت انسان پیش از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ابوهذیل نیز در پاسخ شخصی که از او درباره استطاعت پرسیده بود به همین آیه استناد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آنان را تکذیب کرد، آیا به دلیل استطاعت آنان نبوده است؟ وجه دیگری غیر از این‌که آنان استطاعتِ خروج داشتند و به دروغ گفتند که ما استطاعت نداریم، در آیه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توان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جبابی در تفسیر این آیه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عبارت است از حاسه مخصوصه یا از معنایی که خدا در پرده گوش خلق می کند، که هردوی این موارد از توانایی انسان بیرون هستند، زیرا انسان، نه قادر به فعل آن دو است و نه قدرت ترک آن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اثبات استطاعت در حقّ وی محال خواهد بود و اگر اثبات محال باشد، در این صورت استطاعت را از او نفی می‌کنیم؛ بنابراین، ظاهر آیه قول به استطاعت پیش از فعل را نفی</w:t>
      </w:r>
      <w:bookmarkStart w:id="315" w:name="pg2643_21785"/>
    </w:p>
    <w:p>
      <w:pPr>
        <w:pStyle w:val="BookText"/>
        <w:rPr/>
      </w:pPr>
      <w:bookmarkEnd w:id="315"/>
      <w:r>
        <w:rPr>
          <w:rFonts w:ascii="IRNazanin" w:hAnsi="IRNazanin" w:eastAsia="IRNazanin"/>
          <w:color w:val="111111"/>
          <w:sz w:val="28"/>
          <w:sz w:val="28"/>
          <w:szCs w:val="28"/>
          <w:rtl w:val="true"/>
          <w:lang w:bidi="fa-IR"/>
        </w:rPr>
        <w:t>نمی کند و منظور این است که آنان از شنیدن آن سخن نفرت داشتند؛ مانند کسی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لا‌استطیع ان اسمعه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یَمُجُّه سمعی</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هرگز نمی‌توانی هم‌پای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جبایی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استطاعت بر صبر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صبر کردن بر افعال من، بر تو سنگین خواهد آمد؛ مانند این جمله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فلانا لایستطیع ان یری فلانا اذا کان یثقل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نیز نزدیک به همین معنا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استطاعت صبر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کارهای من برای تو سنگین است؛ هم‌چنان‌که انسان زمانی که از شخصی نفرت داشته و نگاه کردن به وی برایش سنگین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استطیع النظر الی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نیز معنایی جز این را افاده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یُطیقُونَهُ فِدْیَةٌ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طاقت‌فرساست، کفاره‌ای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معتزلیان بدین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بنابراین، قدرت بر صوم در زمانی ثابت شده که هنوز صومی تحقق نیافته است، زیرا این آیه در صدد بیان وجوب فدیه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روزه گرفتن طاقت فرساست، باید به بینوایان طعام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فدیه بر کسی لازم است که روزه نگرفته است؛ بنابراین آیه دلالت می کند که قدرت بر صوم پیش از حصول صوم حاصل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قاضی‌عبدالجبار،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5"/>
        <w:numPr>
          <w:ilvl w:val="4"/>
          <w:numId w:val="1"/>
        </w:numPr>
        <w:rPr/>
      </w:pPr>
      <w:bookmarkStart w:id="316" w:name="__RefHeading___Toc628091_1395250215"/>
      <w:bookmarkStart w:id="317" w:name="_Toc129"/>
      <w:bookmarkEnd w:id="316"/>
      <w:r>
        <w:rPr>
          <w:rtl w:val="true"/>
        </w:rPr>
        <w:t>نقد اندیشه معتزله</w:t>
      </w:r>
      <w:bookmarkEnd w:id="3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اعتزال، قدرت انجام افعال به انسان تفویض شده است و او هر آن‌گونه که بخواهد، به صورت استقلالی در افعالش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تفویض از سوی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نفی شده است و از آن به شرک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توضیح استطاعت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انسان را خلق کرد و ابزار استطاعت را در وی قرار داد، اما قدرت بر فعل را بر او تفویض نکرد، زیرا خداوند عزیزتر از آن است که کسی بتواند در ملک او برخلاف خواسته او کاری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روایت دیگری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پیش از انجام فعل، هیچ استطاعتی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فعلی از انسان محقق نمی‌شود، مگر آن‌که اراده، مشیت، قضا و قدر الهی در آن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bookmarkStart w:id="318" w:name="pg2643_21787"/>
    </w:p>
    <w:p>
      <w:pPr>
        <w:pStyle w:val="BookText"/>
        <w:rPr/>
      </w:pPr>
      <w:bookmarkEnd w:id="318"/>
      <w:r>
        <w:rPr>
          <w:rFonts w:ascii="IRNazanin" w:hAnsi="IRNazanin" w:eastAsia="IRNazanin"/>
          <w:color w:val="111111"/>
          <w:sz w:val="28"/>
          <w:sz w:val="28"/>
          <w:szCs w:val="28"/>
          <w:rtl w:val="true"/>
          <w:lang w:bidi="fa-IR"/>
        </w:rPr>
        <w:t>علاوه بر اشکال مذکور، هر یک از آیاتی که معتزله برای اثبات استطاعت پیش از فعل استناد کرده‌اند،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انداختن عصا تنها در زمانی جایز است که عصا در دست انسان باشد، اما از آن استفاده نمی‌شود که انسان در فعلش مستقل است و توانایی استقلالی به وی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ایمان و قدرت داشتن بر فدیه نیز از اموری‌اند که خارج از قدرت الهی نیستند و انسان در فعل آن‌ها هم مستقل نیست، بلکه طبق آموزه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لایکون شیء فی الارض و لا فی السماء الا بهذه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آنچه در عالم تحقق می‌یابد تحت سیطره این امور هفت‌گانه است که تمامی افعال انسان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فرض هرگونه استقلال و قدرت استقلالی برای انسان، چه در هنگام فعل و چه پیش از فعل، صحیح نیست</w:t>
      </w:r>
      <w:r>
        <w:rPr>
          <w:rFonts w:eastAsia="IRNazanin" w:cs="IRNazanin"/>
          <w:color w:val="111111"/>
          <w:sz w:val="28"/>
          <w:szCs w:val="28"/>
          <w:rtl w:val="true"/>
          <w:lang w:bidi="fa-IR"/>
        </w:rPr>
        <w:t>.</w:t>
      </w:r>
    </w:p>
    <w:p>
      <w:pPr>
        <w:pStyle w:val="Heading4"/>
        <w:numPr>
          <w:ilvl w:val="3"/>
          <w:numId w:val="1"/>
        </w:numPr>
        <w:rPr/>
      </w:pPr>
      <w:bookmarkStart w:id="319" w:name="__RefHeading___Toc628093_1395250215"/>
      <w:bookmarkStart w:id="320" w:name="_Toc130"/>
      <w:bookmarkEnd w:id="319"/>
      <w:r>
        <w:rPr/>
        <w:t>2</w:t>
      </w:r>
      <w:r>
        <w:rPr>
          <w:rtl w:val="true"/>
        </w:rPr>
        <w:t xml:space="preserve">. </w:t>
      </w:r>
      <w:r>
        <w:rPr>
          <w:rtl w:val="true"/>
        </w:rPr>
        <w:t>اندیشه گروهی از اهل حدیث در مسئله استطاعت</w:t>
      </w:r>
      <w:bookmarkEnd w:id="320"/>
    </w:p>
    <w:p>
      <w:pPr>
        <w:pStyle w:val="Heading5"/>
        <w:numPr>
          <w:ilvl w:val="4"/>
          <w:numId w:val="1"/>
        </w:numPr>
        <w:rPr/>
      </w:pPr>
      <w:bookmarkStart w:id="321" w:name="__RefHeading___Toc628095_1395250215"/>
      <w:bookmarkStart w:id="322" w:name="_Toc13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احمد‌بن‌حنبل قائل به استطاعت مع‌الفعل و نیز به خلق افعال بندگان توسط خدا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عبدالله‌بن‌سلمان،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القدریة هم الذین یزعمون أن إلیهم الاستطاعة و المشیئة و القدرة و أنهم یملکون لأنفسهم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زعم أن العباد شاءوا لأنفسهم الشر و المعصیة فعملوا علی مشیئتهم فقد زعم أن مشیئة العباد أغلب من مشیئة اللّه فأی افتراء أکثر علی اللّه عزو‌جل من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عبدالله‌بن‌سلمان،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اندلسی به لحاظ فقهی از پیروان فرقه داودیه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لحاظ کلامی می‌توان او را از اهل حدیث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بردن به حقیقتِ استطاعت، در گرو فهم درست معنای لغوی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مصدر است و مصدر همواره یا فعلِ فاعل است یا صفتی از صفات فاعل است؛ مانند قرمزی که صفت شیءِ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 فعل هر دو عرض فاعلند؛ بنابراین استطاعت چیزی غیر از مستطیع است، زیرا عرض نمی تواند جزءِ ذات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قول کسانی که استطاعت را ابزار فعل می‌دانند، باطل است، زیرا برای تحقق فعل علاوه بر ابزار، صحت جوارح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ابزار و صحت جوارح، اراده نیز لازم است؛ پس اراده محرکِ استطاعت است، اما اراده، استطاعت نیست، زیرا گاهی اراده هست، ولی عاجز از فعل هستیم؛ پس باید چیزی غیر از این‌ها نیز وجود داشته باشد که استطاعت با آن کامل</w:t>
      </w:r>
      <w:bookmarkStart w:id="323" w:name="pg2643_21789"/>
    </w:p>
    <w:p>
      <w:pPr>
        <w:pStyle w:val="BookText"/>
        <w:rPr/>
      </w:pPr>
      <w:bookmarkEnd w:id="323"/>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استطاعت، همان شیءِ آخر است؛ آن شیءِ آخر، قوّتی است که از جانب خداوند 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روایت‌هایی که استطاعت را به زاد و راحله تفسیر کرده اند، در آن‌ها نیز منظور قدرت بر زاد و راحله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قوتی که خداوند به انسان می دهد و با آن کار خیری انجام می‌دهد،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و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قوتی که با آن فعل شرّ را انجام می دهد،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قوتی که با آن افعال مباح را انجام می دهد،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استطاعت، همان قوتی است که خداوند با آن فعل، انسان را خلق می‌کند؛ در نتیجه، استطاعت تام فقط همراه فعل است و آنچه پیش از فعل وجود دارد، ابزار استطاعت است و وجود ابزار، مصحح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Heading5"/>
        <w:numPr>
          <w:ilvl w:val="4"/>
          <w:numId w:val="1"/>
        </w:numPr>
        <w:rPr/>
      </w:pPr>
      <w:bookmarkStart w:id="324" w:name="__RefHeading___Toc628097_1395250215"/>
      <w:bookmarkStart w:id="325" w:name="_Toc132"/>
      <w:bookmarkEnd w:id="324"/>
      <w:r>
        <w:rPr>
          <w:rtl w:val="true"/>
        </w:rPr>
        <w:t>تفسیر ابن حزم از آیه های استطاعت</w:t>
      </w:r>
      <w:bookmarkEnd w:id="325"/>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أَعِدُّوا لَهُمْ مَا اسْتَطَعْتُمْ مِنْ قُوَّةٍ وَ مِنْ رِباطِ الْخَیْلِ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قوه و رباط خیل هردو عرض هستند؛ به این معنا که آنچه خداوند از بندگانش خواسته است، قدرت بر رباط الخیل است و چنانچه گفته شد، قدرت و قوّت عرض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اسْتَطَعْنا لَخَرَجْنا مَعَکُمْ یُهْلِکُونَ أَنْفُسَهُمْ وَ اللَّهُ یَعْلَمُ إِنَّهُمْ لَکاذِبُونَ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استطاعت در این آیه، صحت جوارح و رفع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آنان صحت جوارح داشته اند، برای همین خداوند سخن آنان مبنی بر عدم استطاعت را تکذیب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استطاعت، صحت جوارح و ارتفاع موانع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ابن‌حزم،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لَمْ‌یَسْتَطِعْ فَإِطْعامُ سِتِّینَ مِسْکِیناً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روزه بر شخص واجب شود، استطاعت روزه را داشته است؛ به این معنا که صحت جوارح و ارتفاع موانع در حقش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 إِلَی السُّجُودِ فَلا یَسْتَطِیعُونَ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استطاعت، سلامت جوارح و ارتفاع موانع است و خداوند تصریح دارد که عدم سلامت، بطلان استطاعت را به دنبال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همه آیه‌های مذکور، استطاعت به معنای صحت جوارح انسان و نبود مانع برای تحقق فعل است، اما تحقق فعل و استطاعت تام همان است که خداوند این افعال را خلق خواهد کرد، و در آیه‌هایی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تَأْوِیلُ ما لَمْ‌تَسْطِعْ عَلَیْهِ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مستطیع للصبر، بلکه قول خضر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تأیید کرد و امید داشت که خداوند در او استطاعت بر صبر را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ابن‌حزم،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از دیگر عالمان اهل حدیث، هر دو نوع استطاعت پیش از فعل و استطاعت مع‌الفعل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آنانی که تنها یک نوع استطاعت را مطرح می‌کنند به اشتباه رفته‌اند، زیرا آیه‌های قرآنی و روایت‌های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نوع استطاعت را اثبات کرده‌اند و برخی از معارف دینی وابسته به قبول هر دو نوع استطاعت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محققان فقه، حدیث و کلام، هردو نوع استطاعت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مع‌الفعل همان است که موجب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فعل را ترک کرده، در حقیقت استطاعت مع‌الفعل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لایَسْتَطِیعُونَ سَمْعاً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نفی استطاعت مع‌الفعل از آنان است و هدایتی که در قرآن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أَنْ یَهْدِیَهُ یَشْرَحْ صَدْرَهُ لِلإِسْلامِ وَ مَنْ یُرِدْ أَنْ یُضِلَّهُ یَجْعَلْ صَدْرَهُ ضَیِّقاً حَرَجاً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یَهْدِ اللَّهُ فَهُوَ الْمُهْتَدِ وَ مَنْ یُضْلِلْ فَلَنْ تَجِدَ لَهُ وَلِیّاً مُرْشِداً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هدایت و استطاعت مع‌الفعل است که قدریه آن را نفی می‌کنند و می‌گویند خدا فاعل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می‌کنند انسان خودش هدایت‌گر نفسش است، درحالی که حدیث ابوذر، حجت علیه آنان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کُلُّکُمْ ضَالٌّ إلاّ مَنْ هَدَیْتُهُ فَاسْتَهْدُونِی أَهْدِکُمْ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قدریه گمان می‌کنند نقش خداوند در هدایت انسان، تنها منحصر به ارسال رسل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ابن‌تیمیه هدایت الهی را چهار قسم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به مصالح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معنای خواندن مردم به منافع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دلیل، فرستادن پیامبران و نازل کردن وحی؛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آن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لا‌تَهْدِی مَنْ أَحْبَبْتَ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هدایتی که توسط خدا انجام می‌شود و آن، قرار دادن هدایت در قلب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و برخی هم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سوم مبتنی بر استطاعت مع‌الفعل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منظور از توفیق و هدایت خلق، قدرت بر اطاعت باشد، همان استطاعت مع‌الفعل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محققان بر آن اتفاق نظر دارند این است که استطاعتی که مصحح تکلیف است باید پیش از فعل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وَعَمِلُوا الصَّالِحَاتِ لا‌نُکَلِّفُ نَفْساً إلاّ وُسْعَهَا</w:t>
      </w:r>
      <w:r>
        <w:rPr>
          <w:rFonts w:eastAsia="IRNazanin" w:cs="IRNazanin"/>
          <w:color w:val="111111"/>
          <w:sz w:val="28"/>
          <w:szCs w:val="28"/>
          <w:rtl w:val="true"/>
          <w:lang w:bidi="fa-IR"/>
        </w:rPr>
        <w:t>»</w:t>
      </w:r>
      <w:bookmarkStart w:id="326" w:name="pg2643_21793"/>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قَائِماً فَإِنْ لَمْ تَسْتَطِعْ فَقَاعِداً فَإِنْ لَمْ‌تَسْتَطِعْ فَعَلَی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دیگری نیز وجود دارد که لازم است مع‌الفعل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 وَ مَا کَانُوا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عَرَضْنَا جَهَنَّمَ یَوْمَئِذٍ لِلْکَافِرِینَ عَرْضاً الَّذِینَ کَانَتْ أَعْیُنُهُمْ فِی غِطَاءٍ عَنْ ذِکْرِی وَ کَانُوا لایَسْتَطِیعُونَ سَمْعاً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آیه‌ها، استطاعت مقارن با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5"/>
        <w:numPr>
          <w:ilvl w:val="4"/>
          <w:numId w:val="1"/>
        </w:numPr>
        <w:rPr/>
      </w:pPr>
      <w:bookmarkStart w:id="327" w:name="__RefHeading___Toc628099_1395250215"/>
      <w:bookmarkStart w:id="328" w:name="_Toc133"/>
      <w:bookmarkEnd w:id="327"/>
      <w:r>
        <w:rPr>
          <w:rtl w:val="true"/>
        </w:rPr>
        <w:t>نقد اندیشه ابن تیمیه</w:t>
      </w:r>
      <w:bookmarkEnd w:id="328"/>
    </w:p>
    <w:p>
      <w:pPr>
        <w:pStyle w:val="BookText"/>
        <w:rPr/>
      </w:pPr>
      <w:r>
        <w:rPr>
          <w:rFonts w:ascii="IRNazanin" w:hAnsi="IRNazanin" w:eastAsia="IRNazanin"/>
          <w:color w:val="111111"/>
          <w:sz w:val="28"/>
          <w:sz w:val="28"/>
          <w:szCs w:val="28"/>
          <w:rtl w:val="true"/>
          <w:lang w:bidi="fa-IR"/>
        </w:rPr>
        <w:t>ابن‌تیمیه با این‌که بخشی از راه را درست رفته، با این حال کلام وی خالی از اشتباه نیست و معلوم نیست وی در استطاعت کلامی چه اندیشه‌ای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کسی قائل شود هردو استطاعت وجود دارد، مشکلی را حل نمی‌کند، بلکه این کلام متناقض نیز خواهد بود، زیرا از گزینش یکی از دو قول گریزی نیست و کسی نمی‌تواند بین دو قول متضاد قائل به تفصیل شود، زیرا منظور از استطاعتِ کلامی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در تک تک افعالش استطاعت مع‌الفعل دارد یا پیش از فعل؛ به عبارت دیگر، آیا قدرت بر انجام افعال، پیش از فعل است یا هنگام فعل و این اندیشه شامل تمام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زمانی که از شمول یک نظریه بر تمامی افعال سخن می‌گوییم، جایی برای تفصیل باقی نخواهد ماند</w:t>
      </w:r>
      <w:r>
        <w:rPr>
          <w:rFonts w:eastAsia="IRNazanin" w:cs="IRNazanin"/>
          <w:color w:val="111111"/>
          <w:sz w:val="28"/>
          <w:szCs w:val="28"/>
          <w:rtl w:val="true"/>
          <w:lang w:bidi="fa-IR"/>
        </w:rPr>
        <w:t>.</w:t>
      </w:r>
    </w:p>
    <w:p>
      <w:pPr>
        <w:pStyle w:val="Heading4"/>
        <w:numPr>
          <w:ilvl w:val="3"/>
          <w:numId w:val="1"/>
        </w:numPr>
        <w:rPr/>
      </w:pPr>
      <w:bookmarkStart w:id="329" w:name="__RefHeading___Toc628101_1395250215"/>
      <w:bookmarkStart w:id="330" w:name="_Toc134"/>
      <w:bookmarkEnd w:id="329"/>
      <w:r>
        <w:rPr/>
        <w:t>3</w:t>
      </w:r>
      <w:r>
        <w:rPr>
          <w:rtl w:val="true"/>
        </w:rPr>
        <w:t xml:space="preserve">. </w:t>
      </w:r>
      <w:r>
        <w:rPr>
          <w:rtl w:val="true"/>
        </w:rPr>
        <w:t>اندیشه اشاعره در مسئله استطاعت</w:t>
      </w:r>
      <w:bookmarkEnd w:id="330"/>
    </w:p>
    <w:p>
      <w:pPr>
        <w:pStyle w:val="Heading5"/>
        <w:numPr>
          <w:ilvl w:val="4"/>
          <w:numId w:val="1"/>
        </w:numPr>
        <w:rPr/>
      </w:pPr>
      <w:bookmarkStart w:id="331" w:name="__RefHeading___Toc628103_1395250215"/>
      <w:bookmarkStart w:id="332" w:name="_Toc135"/>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برای روشن شدن مسئله استطاعت از دیدگاه اشاعره، دو مبنای اعتقادی آنان را متذکر می‌شویم</w:t>
      </w:r>
      <w:r>
        <w:rPr>
          <w:rFonts w:eastAsia="IRNazanin" w:cs="IRNazanin"/>
          <w:color w:val="111111"/>
          <w:sz w:val="28"/>
          <w:szCs w:val="28"/>
          <w:rtl w:val="true"/>
          <w:lang w:bidi="fa-IR"/>
        </w:rPr>
        <w:t>:</w:t>
      </w:r>
    </w:p>
    <w:p>
      <w:pPr>
        <w:pStyle w:val="Heading5"/>
        <w:numPr>
          <w:ilvl w:val="4"/>
          <w:numId w:val="1"/>
        </w:numPr>
        <w:rPr/>
      </w:pPr>
      <w:bookmarkStart w:id="333" w:name="__RefHeading___Toc628105_1395250215"/>
      <w:bookmarkStart w:id="334" w:name="_Toc136"/>
      <w:bookmarkEnd w:id="333"/>
      <w:r>
        <w:rPr>
          <w:rtl w:val="true"/>
        </w:rPr>
        <w:t>الف</w:t>
      </w:r>
      <w:r>
        <w:rPr>
          <w:rtl w:val="true"/>
        </w:rPr>
        <w:t xml:space="preserve">) </w:t>
      </w:r>
      <w:r>
        <w:rPr>
          <w:rtl w:val="true"/>
        </w:rPr>
        <w:t>خلق افعال بندگان توسط بندگان</w:t>
      </w:r>
      <w:bookmarkEnd w:id="3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خالق افعال انسان است، زیرا اگر عبد خالق افعالش باشد، لازمه‌اش وجود خالقی غیر از الله است و محال است، خالقی غیر از خدا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ایجاد‌کننده افعالش باشد، لازمه‌اش این است که عالِم به افعال باشد، و چون لازم ممتنع است، پس ملزوم نیز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ملازمه بدین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با قدرت و اختیارش ایجاد‌کننده افعالش باشد، باید قصدکننده همان فعل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قصد و علم به فعل،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وجدان خویش درک می‌کنیم که به بسیاری از افعالمان، مانند راه رفتن، برخاستن و نشستن علم نداریم، به طوری که اگر قرار بود به تمام جزئیات حرکتمان علم داشته باشیم، اصلاً قادر نبودیم کارهای سریع مانند دویدن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علم به افعال منتفی است، ملزوم آن نیز منتفی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bookmarkStart w:id="335" w:name="pg2643_21795"/>
    </w:p>
    <w:p>
      <w:pPr>
        <w:pStyle w:val="Heading5"/>
        <w:numPr>
          <w:ilvl w:val="4"/>
          <w:numId w:val="1"/>
        </w:numPr>
        <w:rPr/>
      </w:pPr>
      <w:bookmarkStart w:id="336" w:name="__RefHeading___Toc628107_1395250215"/>
      <w:bookmarkStart w:id="337" w:name="_Toc137"/>
      <w:bookmarkEnd w:id="335"/>
      <w:bookmarkEnd w:id="336"/>
      <w:r>
        <w:rPr>
          <w:rtl w:val="true"/>
        </w:rPr>
        <w:t>ب</w:t>
      </w:r>
      <w:r>
        <w:rPr>
          <w:rtl w:val="true"/>
        </w:rPr>
        <w:t xml:space="preserve">) </w:t>
      </w:r>
      <w:r>
        <w:rPr>
          <w:rtl w:val="true"/>
        </w:rPr>
        <w:t>جواز تکلیف به مالایطاق</w:t>
      </w:r>
      <w:bookmarkEnd w:id="337"/>
    </w:p>
    <w:p>
      <w:pPr>
        <w:pStyle w:val="BookText"/>
        <w:rPr/>
      </w:pPr>
      <w:r>
        <w:rPr>
          <w:rFonts w:ascii="IRNazanin" w:hAnsi="IRNazanin" w:eastAsia="IRNazanin"/>
          <w:color w:val="111111"/>
          <w:sz w:val="28"/>
          <w:sz w:val="28"/>
          <w:szCs w:val="28"/>
          <w:rtl w:val="true"/>
          <w:lang w:bidi="fa-IR"/>
        </w:rPr>
        <w:t>اشاعره این‌گونه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پیش از وقوع افعالش مکلف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تکلیفی پیش از وجود فعل، تکلیف به مالایطاق است؛ بنابراین، تکلیف به مالایطاق جایز است، زیرا پیش از وجود فعل، انسان قدرت بر فعل ندارد و تکلیف انسان به چیزی که بر آن قدرت نداشته باشد، تکلیف به مالایطاق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استطاعت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حادثه بر مقدورش متقدم نمی‌شود و پیش از این‌که فعل حادث شود، قدرت به آن تعلق نمی‌گیرد و تعلق قدرت به فعل تنها در زمان حدوث آن فعل است؛ بنابراین، استطاعت انسان همواره مع‌الفعل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استدلال مذکور اشکالاتی وارد کرده‌اند؛ از جمله این‌که آیه حج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یُطِیقُونَهُ فِدْیَةٌ طَعامُ مِسْکِینٍ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می‌کنند که پیش از تحقق حج و روزه، انسان قدرت بر فعل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سیف‌الدین آمِدی در پاسخ این اشکال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ظاهر آیه‌ها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اشکال، آیه‌ها را باید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حج اگرچه ظاهرِ در قدرت بر حج، پیش از وقوع آن است، طبق روایت آن را به زاد و راحله حمل می‌کنیم؛ بنابراین، حج بر کسی که قدرت ندارد، مانند شخص معلول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دوم نیز احتمال دارد که منظور از طاقت، صحت باشد یا این‌که بگوییم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آیاتی که متکلمان اشعری بر استطاعت مع‌الفعل استدلال کرده‌اند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موسی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صبر نکرد؛ بنابراین، او مستطیع به صبر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متوجه می‌شویم که آنچه استطاعت نیست فعل هم نیست و اگر استطاعتی باشد، بدون تردید فعل محقق خواهد شد؛ بنابراین، همواره استطاعت مع‌الفعل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یُطِیقُونَهُ فِدْیَهٌ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جایز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این رجوع هم اشکال ندارد؛ با این‌که اطعام در کلام ذکر نشده و این‌گونه تأویل، بلامانع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حج نیز منظور از استطاعت، زاد و راحله است و خداوند، استطاعت بدن را اراده نکرده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سَیَحْلِفُونَ بِاللَّهِ لَوِ اسْتَطَعْنا لَخَرَجْنا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استطاعت، فراهم بودن مال و مرکب برای سفر است و آنان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ثروت و مرکبی برای خروج</w:t>
      </w:r>
      <w:bookmarkStart w:id="338" w:name="pg2643_21797"/>
    </w:p>
    <w:p>
      <w:pPr>
        <w:pStyle w:val="BookText"/>
        <w:rPr/>
      </w:pPr>
      <w:bookmarkEnd w:id="338"/>
      <w:r>
        <w:rPr>
          <w:rFonts w:ascii="IRNazanin" w:hAnsi="IRNazanin" w:eastAsia="IRNazanin"/>
          <w:color w:val="111111"/>
          <w:sz w:val="28"/>
          <w:sz w:val="28"/>
          <w:szCs w:val="28"/>
          <w:rtl w:val="true"/>
          <w:lang w:bidi="fa-IR"/>
        </w:rPr>
        <w:t xml:space="preserve">نداشتیم، و بحث آنان بر سر استطاعت پیش از فعل یا استطاعت مع‌الفعل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مَا اسْتَطَعْتُمْ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منظور خداوند این باشد که تقوا داشته باشید به اندازه‌ای که استطاعت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ما کنتم مستطیعین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تقوا به شرط استطاعت واجب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لَمْ‌یَسْتَطِعْ فَإِطْعامُ سِتِّینَ مِسْکِیناً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کسی به سبب عجز، استطاعت روزه نداشته باشد، پس شصت نفر را اطعام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لایَسْتَطِیعُونَ سَمْعاً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عبارت دیگر، آنان استطاعت قبول دعوت را نداشته‌اند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کردن ظاهر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کانُوا یَسْتَطیعُونَ السَّمْعَ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عدم توانایی انسان بر خلق حس شنوایی یا عدم توانایی او بر خلق معنا، باطل است، زیرا این آیه در مقام وعید است؛ پس باید مختص به کفار باشد و این معنایی که جبایی از آیه اراده کرد، حتی انبیا و ملائکه هم در آن مشترکند، چه برسد به این‌که مختص کفار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آیه به این‌که کلام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سنگین می آمد نیز خلاف ظاهر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 استطاعت مع‌الفعل است، زیرا اگر قرار بود استطاعت پیش از فعل باشد،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مقیم صلاة قرار دادی و دیگر جایی برای دعا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استطاعت مع‌الفعل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استطاعت و قدرت پیش از فعل باشد، دیگر معنایی برای سؤال و دعا باقی نمی‌ماند و اگر قدرت حادثه پیش از فعل باشد، لازمه‌اش این است که فعل در زمان تحقشش نیازی به قدرت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Heading5"/>
        <w:numPr>
          <w:ilvl w:val="4"/>
          <w:numId w:val="1"/>
        </w:numPr>
        <w:rPr/>
      </w:pPr>
      <w:bookmarkStart w:id="339" w:name="__RefHeading___Toc628109_1395250215"/>
      <w:bookmarkStart w:id="340" w:name="_Toc138"/>
      <w:bookmarkEnd w:id="339"/>
      <w:r>
        <w:rPr>
          <w:rtl w:val="true"/>
        </w:rPr>
        <w:t>نقد اندیشه اشاعره</w:t>
      </w:r>
      <w:bookmarkEnd w:id="34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اشاعره در تکلیف مالایطاق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بنده‌اش را مکلف به چیزی کند که خارج از طاقت انسان باشد، با عدالت و حکمت خدا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این‌که استطاعت مع‌الفعل باشد نیازی به گردن نهادن به تکلیف مالایطاق نداریم و بین آن‌ها تلازمی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خداوند انسان را به چیزی که خارج از توانایی انسان است، تکلیف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اشعری در</w:t>
      </w:r>
      <w:bookmarkStart w:id="341" w:name="pg2643_21799"/>
    </w:p>
    <w:p>
      <w:pPr>
        <w:pStyle w:val="BookText"/>
        <w:rPr/>
      </w:pPr>
      <w:bookmarkEnd w:id="341"/>
      <w:r>
        <w:rPr>
          <w:rFonts w:ascii="IRNazanin" w:hAnsi="IRNazanin" w:eastAsia="IRNazanin"/>
          <w:color w:val="111111"/>
          <w:sz w:val="28"/>
          <w:sz w:val="28"/>
          <w:szCs w:val="28"/>
          <w:rtl w:val="true"/>
          <w:lang w:bidi="fa-IR"/>
        </w:rPr>
        <w:t>استناد به آیه‌های قرآنی، راه افراط و تفریط را رفته‌اند؛ چنانچه در بالا ذکر شد، در برخی موارد برای تطبیق نظریه استطاعت مع‌الفعل، آیه را تأویل برده و در برخی موارد رقیبشان را به عدول از ظاهر متهم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اشکال‌های مذکور، ایراد دیگری نیز بر آن وارد است؛ این‌که بین استطاعت کلامی با استطاعت فقهی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استطاعت فقهی، شرایط انجام تکلیف پیش از انجام فعل باید مهیا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که از شرایط حج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استطاعت کلامی با استطاعت فقهی متفاوت است؛ آنچه به عنوان استطاعت فقهی مطرح است، می‌تواند ابزار استطاعت کلامی به شمار آید، نه حقیقت استطاعت</w:t>
      </w:r>
      <w:r>
        <w:rPr>
          <w:rFonts w:eastAsia="IRNazanin" w:cs="IRNazanin"/>
          <w:color w:val="111111"/>
          <w:sz w:val="28"/>
          <w:szCs w:val="28"/>
          <w:rtl w:val="true"/>
          <w:lang w:bidi="fa-IR"/>
        </w:rPr>
        <w:t>.</w:t>
      </w:r>
    </w:p>
    <w:p>
      <w:pPr>
        <w:pStyle w:val="Heading4"/>
        <w:numPr>
          <w:ilvl w:val="3"/>
          <w:numId w:val="1"/>
        </w:numPr>
        <w:rPr/>
      </w:pPr>
      <w:bookmarkStart w:id="342" w:name="__RefHeading___Toc628111_1395250215"/>
      <w:bookmarkStart w:id="343" w:name="_Toc139"/>
      <w:bookmarkEnd w:id="342"/>
      <w:r>
        <w:rPr/>
        <w:t>4</w:t>
      </w:r>
      <w:r>
        <w:rPr>
          <w:rtl w:val="true"/>
        </w:rPr>
        <w:t xml:space="preserve">. </w:t>
      </w:r>
      <w:r>
        <w:rPr>
          <w:rtl w:val="true"/>
        </w:rPr>
        <w:t>اندیشه ما تریدیان</w:t>
      </w:r>
      <w:bookmarkEnd w:id="343"/>
    </w:p>
    <w:p>
      <w:pPr>
        <w:pStyle w:val="BookText"/>
        <w:rPr/>
      </w:pPr>
      <w:r>
        <w:rPr>
          <w:rFonts w:ascii="IRNazanin" w:hAnsi="IRNazanin" w:eastAsia="IRNazanin"/>
          <w:color w:val="111111"/>
          <w:sz w:val="28"/>
          <w:sz w:val="28"/>
          <w:szCs w:val="28"/>
          <w:rtl w:val="true"/>
          <w:lang w:bidi="fa-IR"/>
        </w:rPr>
        <w:t>از مبانی اصلی ماتریدی در مسئله استطاعت می‌توان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افعال عباد توسط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حنفی‌ماتریدی،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نبودن تکلیف مالایطاق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در مسئله تکلیف مالایطاق با اشعری تفاوت دیدگاه دارد، اما این اختلاف تأثیری در اعتقاد وی به استطاعت مع‌الفعل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تصحیح تکلیف، استطاعت ابزاری را کفایت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اسباب و آلات؛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با آن فعل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اسباب و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اوّلی شرط تکلیف است، اما استطاعت دومی شرط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بیان، خودش را از قبح تکلیف مالایطاق رها می‌کند، زیرا اگر ابزار و اسباب را مصحح تکلیف بدانیم، در این صورت چون خداوند با خلق انسان ابزار فعل را در اختیار او گذاشته است، پس تکلیف او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ماتریدی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یَسْتَطِیعُونَ السَّمْعَ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استطاعت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خداوند بر این تعلق گرفته که زمانی که انسان ابزار را استفاده می‌کند، خداوند فعل را ایجاد خواهد کرد، اما زمانی که ابزار را استفاده نکند یا در غیر آنچه خداوند امر کرده استعمال کند، پس در حقیقت قدرتی که خدا داده را ضایع کرده است و سبب شده فعل در عدم باقی بماند و خداوند احداث قدرت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حنفی‌ماتریدی،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دلایل استطاعت وجود،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لَمْ‌یَسْتَطِعْ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چه کسی می‌داند که در طول یک دوره زمانی قدرت فعل را نخواهد داشت؟ پس منظور خداوند، استطاعت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اسْتَطَعْنا لَخَرَجْنا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ابزار است؛ یعنی آنان، نداشتن مال و مریضی را بهانه‌ای برای تمرد خودشان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ماتریدی،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bookmarkStart w:id="344" w:name="pg2643_21801"/>
    </w:p>
    <w:p>
      <w:pPr>
        <w:pStyle w:val="BookText"/>
        <w:rPr/>
      </w:pPr>
      <w:bookmarkEnd w:id="344"/>
      <w:r>
        <w:rPr>
          <w:rFonts w:ascii="IRNazanin" w:hAnsi="IRNazanin" w:eastAsia="IRNazanin"/>
          <w:color w:val="111111"/>
          <w:sz w:val="28"/>
          <w:sz w:val="28"/>
          <w:szCs w:val="28"/>
          <w:rtl w:val="true"/>
          <w:lang w:bidi="fa-IR"/>
        </w:rPr>
        <w:t>اندیشه ماتریدی در استطاعت، به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عدم جواز تکلیفِ مالایطاق به درستی سخن گفته و هم‌چنین در این‌که استطاعت ابزاری، مصحح تکلیف است سخنش با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اندیشه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استطاعت مع‌الفعل سازگار است و در برخی از روایت‌ها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چهار روایت را در باب استطاعت الکافی ذکر کرده که استطاعت مع‌الفعل را افاده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روایت‌ها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زمان فعل، همراه فعل و زمانی که آن فعل را انجام می‌دهند، مستطیعند و اگر آن فعل را انجام ندادند، دیگر مستطیع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345" w:name="__RefHeading___Toc628113_1395250215"/>
      <w:bookmarkStart w:id="346" w:name="_Toc140"/>
      <w:bookmarkEnd w:id="345"/>
      <w:r>
        <w:rPr/>
        <w:t>5</w:t>
      </w:r>
      <w:r>
        <w:rPr>
          <w:rtl w:val="true"/>
        </w:rPr>
        <w:t xml:space="preserve">. </w:t>
      </w:r>
      <w:r>
        <w:rPr>
          <w:rtl w:val="true"/>
        </w:rPr>
        <w:t>اندیشه امامیه در استطاعت</w:t>
      </w:r>
      <w:bookmarkEnd w:id="346"/>
    </w:p>
    <w:p>
      <w:pPr>
        <w:pStyle w:val="Heading5"/>
        <w:numPr>
          <w:ilvl w:val="4"/>
          <w:numId w:val="1"/>
        </w:numPr>
        <w:rPr/>
      </w:pPr>
      <w:bookmarkStart w:id="347" w:name="__RefHeading___Toc628115_1395250215"/>
      <w:bookmarkStart w:id="348" w:name="_Toc141"/>
      <w:bookmarkEnd w:id="347"/>
      <w:r>
        <w:rPr>
          <w:rtl w:val="true"/>
        </w:rPr>
        <w:t>اشاره</w:t>
      </w:r>
      <w:bookmarkEnd w:id="348"/>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اندیشه استطاعت از مباحث اصلی عقیدتی شیعه نیست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مستقل در صدد تبیین این اندیشه نبوده‌اند، اما پس از این‌که مسئله در جامعه شیعی به وجود آمد،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تبیین کرده و به اصلاح و تکمیل آن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عالمان شیعه در این مسئله نظر یک‌سان ندارند، بلکه هردو قول استطاعت مع‌الفعل و استطاعت پیش از فعل در بین آنان طرف‌دار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برداشت‌های مختلف از کلام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به رأی سخنان ایشان و هم‌چنین نظریه‌پردازی عالمان شیعی در مسائل کلامی سبب شده است هردو دیدگاه، طرف‌دارانی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عالمان به روایت‌ها در این مسئله با روش گزینشی بوده است؛ به این معنا که اشخاصی مانند شیخ صدوق و سید مرتضی روایت‌های استطاعت پیش از فعل را گزینش کرده‌اند و اشخاصی مانند کلینی و فیض کاشانی به روایت‌هایی که استطاعت مع‌الفعل را افاده می‌کنند، عنایت بیشتری نشان داده‌اند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اندیشه امامیه در مسئله استطاعت لازم است توجه داشته باشیم که عالمان امامیه در اخذ نظریات کلامی، پیرو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اما این به معنای تطابق آرای آنان با آرا و اندیشه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لازم است به منظور سنجش نظریات آنان همواره به متون قرآنی و حدیثی مراجعه داشته باشیم و چه بسا آنچه از آیه‌ها و روایت‌ها دانسته می‌شود، با نظر برخی</w:t>
      </w:r>
      <w:bookmarkStart w:id="349" w:name="pg2643_21803"/>
    </w:p>
    <w:p>
      <w:pPr>
        <w:pStyle w:val="BookText"/>
        <w:rPr/>
      </w:pPr>
      <w:bookmarkEnd w:id="349"/>
      <w:r>
        <w:rPr>
          <w:rFonts w:ascii="IRNazanin" w:hAnsi="IRNazanin" w:eastAsia="IRNazanin"/>
          <w:color w:val="111111"/>
          <w:sz w:val="28"/>
          <w:sz w:val="28"/>
          <w:szCs w:val="28"/>
          <w:rtl w:val="true"/>
          <w:lang w:bidi="fa-IR"/>
        </w:rPr>
        <w:t>عالمان شیعه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لازم است روایت‌های استطاعت را بررسی و سپس آرای برخی عالمان بزرگ شیعه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مجموعه‌های روایی شیعه، شیخ کلینی 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برقی در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مستقلی را به بحث استطاعت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روایت‌های نقل‌شده، مبانی ذیل را می‌توان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ابزار استطاعت را در اختیار انسان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انسان دارای ابزار استطاعت است، اما قدرت بر فعل به انسان تفویض نشده است؛ یعنی انسان در افعالش استقلال تام ندارد و خداوند عزیزتر از آن است که کسی بتواند در ملک او استقلال تام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روایت‌ها از نقش خداوند در افعال انسان،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وارد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افعال انسان با اراده، مشیت، قضا و قدر الهی تحقق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استطاعت را به گونه‌ای مطرح کرده‌اند که به جبر یا تفویض منجر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5"/>
        <w:numPr>
          <w:ilvl w:val="4"/>
          <w:numId w:val="1"/>
        </w:numPr>
        <w:rPr/>
      </w:pPr>
      <w:bookmarkStart w:id="350" w:name="__RefHeading___Toc628117_1395250215"/>
      <w:bookmarkStart w:id="351" w:name="_Toc142"/>
      <w:bookmarkEnd w:id="350"/>
      <w:r>
        <w:rPr>
          <w:rtl w:val="true"/>
        </w:rPr>
        <w:t>ادله قرانی برخی از عالمان شیعه</w:t>
      </w:r>
      <w:bookmarkEnd w:id="351"/>
    </w:p>
    <w:p>
      <w:pPr>
        <w:pStyle w:val="Heading6"/>
        <w:numPr>
          <w:ilvl w:val="5"/>
          <w:numId w:val="1"/>
        </w:numPr>
        <w:rPr/>
      </w:pPr>
      <w:bookmarkStart w:id="352" w:name="__RefHeading___Toc628119_1395250215"/>
      <w:bookmarkStart w:id="353" w:name="_Toc143"/>
      <w:bookmarkEnd w:id="352"/>
      <w:r>
        <w:rPr>
          <w:rtl w:val="true"/>
        </w:rPr>
        <w:t>سید مرتضی</w:t>
      </w:r>
      <w:bookmarkEnd w:id="35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ظاهر آیه‌های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 الأَمْثالَ فَضَلُّوا فَلا‌یَسْتَطیعُونَ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لَنْ‌تَسْتَطیعَ مَعِیَ 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استطاعت مع‌الفعل هستند،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متعلق عدم استطاعت مشخص نشده است و چه بسا منظور این باشد که آنان قادر به محقق کردن ضرب‌المثل‌ها نیستند، و نیز ظاهر این است که این آیه از گذشته حکایت می‌کند؛ یعنی آنان اکنون قدرت تأثیر در زمان ماضی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ظاهر آیه را می‌توان به گونه‌ای در نظر گرفت که مستلزم استطاعت مع‌الفعل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دوم این است که خضر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آینده توان صبر را نداری و این عبارت دلالتی ندارد که او در زمان حال استطاعت بر صبر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bookmarkStart w:id="354" w:name="pg2643_21805"/>
    </w:p>
    <w:p>
      <w:pPr>
        <w:pStyle w:val="Heading6"/>
        <w:numPr>
          <w:ilvl w:val="5"/>
          <w:numId w:val="1"/>
        </w:numPr>
        <w:rPr/>
      </w:pPr>
      <w:bookmarkStart w:id="355" w:name="__RefHeading___Toc628121_1395250215"/>
      <w:bookmarkStart w:id="356" w:name="_Toc144"/>
      <w:bookmarkEnd w:id="354"/>
      <w:bookmarkEnd w:id="355"/>
      <w:r>
        <w:rPr>
          <w:rtl w:val="true"/>
        </w:rPr>
        <w:t>شیخ مفید</w:t>
      </w:r>
      <w:bookmarkEnd w:id="356"/>
    </w:p>
    <w:p>
      <w:pPr>
        <w:pStyle w:val="BookText"/>
        <w:rPr/>
      </w:pP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استطاعت، همان صحت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لَمْ‌یَسْتَطِعْ مِنْکُمْ طَوْلاً أَنْ یَنْکِحَ الْمُحْصَناتِ الْمُؤْمِنات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 شود انسان پیش از نکاح، مستطیعِ نکاح است و هم چنین پیش از این‌که به مکه رود، مستطیع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این بیان می‌خواهد استطاعت پیش از فعل را اثبات کند، زیرا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استطاعت نکاح زنان آزاد را ندارد، با کنیزکان نکاح کند، و این به معنای اثبات استطاعت نکاح پیش از نکاح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سَیَحْلِفُونَ بِاللَّهِ لَوِ اسْتَطَعْنا لَخَرَجْنا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معلوم می‌شود که آنان درباره خروج از شهر و همراهی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داشته‌اند و با این حال خارج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6"/>
        <w:numPr>
          <w:ilvl w:val="5"/>
          <w:numId w:val="1"/>
        </w:numPr>
        <w:rPr/>
      </w:pPr>
      <w:bookmarkStart w:id="357" w:name="__RefHeading___Toc628123_1395250215"/>
      <w:bookmarkStart w:id="358" w:name="_Toc145"/>
      <w:bookmarkEnd w:id="357"/>
      <w:r>
        <w:rPr>
          <w:rtl w:val="true"/>
        </w:rPr>
        <w:t>نقد سید مرتضی و شیخ مفید</w:t>
      </w:r>
      <w:bookmarkEnd w:id="358"/>
    </w:p>
    <w:p>
      <w:pPr>
        <w:pStyle w:val="BookText"/>
        <w:rPr/>
      </w:pPr>
      <w:r>
        <w:rPr>
          <w:rFonts w:ascii="IRNazanin" w:hAnsi="IRNazanin" w:eastAsia="IRNazanin"/>
          <w:color w:val="111111"/>
          <w:sz w:val="28"/>
          <w:sz w:val="28"/>
          <w:szCs w:val="28"/>
          <w:rtl w:val="true"/>
          <w:lang w:bidi="fa-IR"/>
        </w:rPr>
        <w:t>چنانچه ملاحظه شد، سید مرتضی برای اثبات استطاعت پیش از فعل، آیه را تأویل برده است، و این کار تحمیل نظریه بر قرآن به شمار می‌آید؛ علاوه بر این، اشکال استقلال در افعال که در نقد اندیشه معتزله گفته شد، به وی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بین استطاعت کلامی و استطاعت فقهی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استطاعت نکاح و استطاعت خروج از شهر منظور، ابزار استطاعت است نه خود آن</w:t>
      </w:r>
      <w:r>
        <w:rPr>
          <w:rFonts w:eastAsia="IRNazanin" w:cs="IRNazanin"/>
          <w:color w:val="111111"/>
          <w:sz w:val="28"/>
          <w:szCs w:val="28"/>
          <w:rtl w:val="true"/>
          <w:lang w:bidi="fa-IR"/>
        </w:rPr>
        <w:t>.</w:t>
      </w:r>
    </w:p>
    <w:p>
      <w:pPr>
        <w:pStyle w:val="Heading6"/>
        <w:numPr>
          <w:ilvl w:val="5"/>
          <w:numId w:val="1"/>
        </w:numPr>
        <w:rPr/>
      </w:pPr>
      <w:bookmarkStart w:id="359" w:name="__RefHeading___Toc628125_1395250215"/>
      <w:bookmarkStart w:id="360" w:name="_Toc146"/>
      <w:bookmarkEnd w:id="359"/>
      <w:r>
        <w:rPr>
          <w:rtl w:val="true"/>
        </w:rPr>
        <w:t>فیض کاشانی</w:t>
      </w:r>
      <w:bookmarkEnd w:id="360"/>
    </w:p>
    <w:p>
      <w:pPr>
        <w:pStyle w:val="BookText"/>
        <w:rPr/>
      </w:pPr>
      <w:r>
        <w:rPr>
          <w:rFonts w:ascii="IRNazanin" w:hAnsi="IRNazanin" w:eastAsia="IRNazanin"/>
          <w:color w:val="111111"/>
          <w:sz w:val="28"/>
          <w:sz w:val="28"/>
          <w:szCs w:val="28"/>
          <w:rtl w:val="true"/>
          <w:lang w:bidi="fa-IR"/>
        </w:rPr>
        <w:t>فیض علاوه بر استطاعت مالی و بدنی، برای تحقق استطاعت، اذن الهی را نیز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آیه حج به این حدیث تمسک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زاد و راحله برای استطاعت حج کافی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 گاهی اتفاق می‌افتد شخص ثروت فراوانی حتی بیش از زاد و راحله را دارد، اما حج نمی‌رود تا این‌که اذن الهی به حج او تعلق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فیض‌کاشانی،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w:t>
      </w:r>
    </w:p>
    <w:p>
      <w:pPr>
        <w:pStyle w:val="Heading3"/>
        <w:numPr>
          <w:ilvl w:val="2"/>
          <w:numId w:val="1"/>
        </w:numPr>
        <w:rPr/>
      </w:pPr>
      <w:bookmarkStart w:id="361" w:name="__RefHeading___Toc628127_1395250215"/>
      <w:bookmarkStart w:id="362" w:name="_Toc147"/>
      <w:bookmarkEnd w:id="361"/>
      <w:r>
        <w:rPr>
          <w:rtl w:val="true"/>
        </w:rPr>
        <w:t>نتیجه گیری</w:t>
      </w:r>
      <w:bookmarkEnd w:id="362"/>
    </w:p>
    <w:p>
      <w:pPr>
        <w:pStyle w:val="BookText"/>
        <w:rPr/>
      </w:pPr>
      <w:r>
        <w:rPr>
          <w:rFonts w:ascii="IRNazanin" w:hAnsi="IRNazanin" w:eastAsia="IRNazanin"/>
          <w:color w:val="111111"/>
          <w:sz w:val="28"/>
          <w:sz w:val="28"/>
          <w:szCs w:val="28"/>
          <w:rtl w:val="true"/>
          <w:lang w:bidi="fa-IR"/>
        </w:rPr>
        <w:t>در تفسیر آیات استطاعت، دو رویکرد کلامی در بین متکلمان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متکلمان که طبق مبانی کلامی‌شان به استطاعت مع‌الفعل قائلند، از آیات قرآنی برای اثبات نظریه‌شان بهره برده و گاهی نظریه‌های کلامی‌شان را بر آیات قرآن تحمیل کرده‌اند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متکلمانی که استطاعت پیش از فعل را قائل بوده‌اند، نیز از آیات قرآنی برای اثبات سخنشان بهره برده‌اند</w:t>
      </w:r>
      <w:r>
        <w:rPr>
          <w:rFonts w:eastAsia="IRNazanin" w:cs="IRNazanin"/>
          <w:color w:val="111111"/>
          <w:sz w:val="28"/>
          <w:szCs w:val="28"/>
          <w:rtl w:val="true"/>
          <w:lang w:bidi="fa-IR"/>
        </w:rPr>
        <w:t>.</w:t>
      </w:r>
      <w:bookmarkStart w:id="363" w:name="pg2643_21807"/>
    </w:p>
    <w:p>
      <w:pPr>
        <w:pStyle w:val="BookText"/>
        <w:rPr/>
      </w:pPr>
      <w:bookmarkEnd w:id="363"/>
      <w:r>
        <w:rPr>
          <w:rFonts w:ascii="IRNazanin" w:hAnsi="IRNazanin" w:eastAsia="IRNazanin"/>
          <w:color w:val="111111"/>
          <w:sz w:val="28"/>
          <w:sz w:val="28"/>
          <w:szCs w:val="28"/>
          <w:rtl w:val="true"/>
          <w:lang w:bidi="fa-IR"/>
        </w:rPr>
        <w:t>در این پژوهش روشن شد عالمان فرقه‌های مختلف، در اندیشه استطاعت نظر یک‌سانی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اصلی بین عالمان مسلمان در مسئله استطاعت وجود دارد و طرف‌داران استطاعت مع‌الفعل و استطاعت پیش از فعل برای اثبات اندیشه خودشان، به آیات قرآنی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فرقه‌های اسلامی، معتزله و گروهی از متکلمان شیعی استطاعت پیش از فعل را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گروه اشاعره، ماتریدیه، اهل حدیث و گروهی از متکلمان نخستین شیعه، مانند هشام‌بن‌حکم و ثقه الاسلام کلینی اندیشه استطاعت مع‌الفعل را گردن نهانده‌اند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اشعری به جهت این‌که استطاعت مع‌الفعل را با قبح تکلیف به مالایطاق مغایر می‌دیدند، به ناچار قائل شدند که تکلیف به مالایطاق جایز است، اما اندیشمندان شیعی بر طبق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مالایطاق را جایز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پیش از فعل نیز با اندیشه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زیرا با عزت خدایی تضاد دارد که کسی بتواند در ملک الهی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اندیشه این گروه از عالمان شیعی، ابزار تکلیف که به انسان اعطا شده، مصحح تکلیف است؛ پس تکلیف مالایطاق پیش نخواهد آمد؛ با این حال، انسان مستقل در انجام افعالش نیست، بلکه در همه افعالِ انسان اراده، مشیت، قضا و قدر الهی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فراوان، آیات قرآنی ناظر به استطاعت کلامی نیستند، بلکه در آیات مذکور معنای لغوی استطاعت مطرح شده است و آیات صراحتی در هیچ یک از دو نظریه اصلی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دقیق آیات استطاعت بهتر است استطاعت را به دو معنای فقهی و کلامی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مانند آیه حج، منظور این است که برای هر کسی که شرایط حج مهیا باشد، او مکلف است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آیه‌ای که گروهی از مسلمانان را برای عدم خروجشان توبیخ می‌کند، منظور این است که شرایط تکلیف برایشان مهیا بود، اما آنان تکلیف را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 آیات منظور قرآن، استطاعت فقهی و مصحح تکلیف است که در نظریه استطاعت مع‌الفعلِ شیعی این تکلیف با اعطای ابزار استطاعت از جانب خداوند، مجاز است و داشتن ابزار استطاعت، مصحح تکلیف است</w:t>
      </w:r>
      <w:r>
        <w:rPr>
          <w:rFonts w:eastAsia="IRNazanin" w:cs="IRNazanin"/>
          <w:color w:val="111111"/>
          <w:sz w:val="28"/>
          <w:szCs w:val="28"/>
          <w:rtl w:val="true"/>
          <w:lang w:bidi="fa-IR"/>
        </w:rPr>
        <w:t>.</w:t>
      </w:r>
    </w:p>
    <w:p>
      <w:pPr>
        <w:pStyle w:val="Heading3"/>
        <w:numPr>
          <w:ilvl w:val="2"/>
          <w:numId w:val="1"/>
        </w:numPr>
        <w:rPr/>
      </w:pPr>
      <w:bookmarkStart w:id="364" w:name="__RefHeading___Toc628129_1395250215"/>
      <w:bookmarkStart w:id="365" w:name="_Toc148"/>
      <w:bookmarkEnd w:id="364"/>
      <w:r>
        <w:rPr>
          <w:rtl w:val="true"/>
        </w:rPr>
        <w:t>منابع</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سیف‌الدین،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أبکار الأفکار فی أصول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مهدی، قاهره،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غایة المرام فی علم الکلام، بیروت، 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جزری، مبارک‌بن‌محمد،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النهایة فی غریب الحدیث و الأثر،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طناحی، قم،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ابن‌تیمیه، احمد بن عبدالحلیم بن تیمیه حرانی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الفتاوی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و مصطفی عبد‌القادر عطا، 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ابن‌حزم اندلسی، علی بن‌احمد بن‌سعید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الفصل فی الملل و الأهواء و النحل، بیروت، 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ابوحنیفه، ملا‌علی قاری،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کتاب الفقه الأکبر، بیروت، دار‌الکتب العلمیه،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نکری، قاضی عبدالنبی،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جامع‌العلوم فی اصطلاحات الفنون الملقب بدستور العلماء، بیروت، بی جا،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اللمع فی الرد علی أهل الزیغ و البدع، تصحیح، تعلیق و 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حموده غرابه، قاهره، المکتبة الأزهریة للتراث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مقالات الإسلامیین و اختلاف المصلین، ویسبادن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فرانس شتاینر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محمد بن الطیّب بن محمد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الإنصاف فیما یجب اعتقاده، لایجوز اعتقاده، لایجوز الجهل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شیخ‌زاهد کوثری، بیروت، 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احمد‌بن‌محمد‌بن‌خالد،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قم، دارالکتب الاسلامیه،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العقائد النسفیة،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حجازی سقا، قاهره، المکتبة الکلیات الأزهریه،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عبد‌القاهر،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الفرق بین الفرق و بیان الفرقة الناجیة منهم، بیروت،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حنفی‌ماتریدی، ابوالثناء،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التمهید لقواعد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ترکی، بیروت، دارالغرب الاسلامی،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جرجانی، علی‌بن‌محمد،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التعریفات، تهران، ناصر‌خسرو،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خادمی، عین‌الله و جعفر رحیمی،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استطاعت از منظر متکلمان امامیه تا قرن چهارم، فصل‌نامه پژوهش‌های اعتقادی کلامی، سال سوم، شماره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ابوعبدالله محمد‌بن‌عمر،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دار‌احیاء التراث العربی،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حسین‌بن‌محمد،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القرآن،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عجم رفیق،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مصطلحات ابن‌خلدون و الشریف علی محمد الجرجانی، بیروت، مکتبه لبنان ناشرون،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دغیم سمیح،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موسوعۀ مصطلحات علم الکلام الإسلامی، بیروت، مکتبۀ لبنان ناشرون،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مرتضی، علی بن حسین بن موسی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تحقیق،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بدرالدین‌نعسانی حلبی، قم، کتاب‌خانه آیۀ‌الله مرعشی‌نجفی،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الناصریات،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البحوث و الدراسات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الشریف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رجائی، قم، دارالقرآن کریم،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عبدالله بن سلمان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المسائل و الرسائل المرویة عن الإمام احمد‌بن‌حنبل فی العقیدة، ریاض، دارطیبة،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محمد 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قم، جامعه مدرسین،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حسینی، تهران، کتابفروشی مرتضوی،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فان‌اس، جوزف،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و جامعه در قرن دوم و سوم،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فیض‌کاشانی، ملامحسن،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الأصفی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درایتی و محمدرضا نعمتی، قم، دفتر تبلیغات اسلامی،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کراجکی، محمد‌بن‌علی،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کنز‌الفوائد، تحقیق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نعمة،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عبدالجبار بن احمد،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المختصر فی أصول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عماره، بیروت، دارالهلال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الأصول الخمسه،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تنزیه القرآن عن المطاعن،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دارالنهضة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دار‌الکتاب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ماتریدی، ابومنصور،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ابراهیم، بیروت، دار‌الکتب العلمیه،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محمد‌باقر‌بن‌محمد‌تقی،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محققان، بیروت، دار‌إحیاء التراث العربی،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مشکینی‌اردبیلی، علی،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تهران، بنگاه ترجمه و نشر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الإمامیه،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 قم، کنگره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المجید،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ایازی، قم، مرکز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احمد‌بن‌علی،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قم،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هجویری، علی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المحجوب،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آسیابی عشقی زنجانی، بی‌جا</w:t>
      </w:r>
      <w:r>
        <w:rPr>
          <w:rFonts w:eastAsia="IRNazanin" w:cs="IRNazanin"/>
          <w:color w:val="111111"/>
          <w:sz w:val="28"/>
          <w:szCs w:val="28"/>
          <w:rtl w:val="true"/>
          <w:lang w:bidi="fa-IR"/>
        </w:rPr>
        <w:t>.</w:t>
      </w:r>
      <w:bookmarkStart w:id="366" w:name="pg2643_21813"/>
    </w:p>
    <w:p>
      <w:pPr>
        <w:pStyle w:val="Heading2"/>
        <w:numPr>
          <w:ilvl w:val="1"/>
          <w:numId w:val="1"/>
        </w:numPr>
        <w:rPr/>
      </w:pPr>
      <w:bookmarkStart w:id="367" w:name="__RefHeading___Toc628131_1395250215"/>
      <w:bookmarkStart w:id="368" w:name="_Toc149"/>
      <w:bookmarkEnd w:id="366"/>
      <w:bookmarkEnd w:id="367"/>
      <w:r>
        <w:rPr>
          <w:rtl w:val="true"/>
        </w:rPr>
        <w:t xml:space="preserve">موارد استدلال تفسیری ـ کلامی به آیه </w:t>
      </w:r>
      <w:r>
        <w:rPr>
          <w:rtl w:val="true"/>
        </w:rPr>
        <w:t>«</w:t>
      </w:r>
      <w:r>
        <w:rPr>
          <w:rtl w:val="true"/>
        </w:rPr>
        <w:t>لا اکراه فی الدین</w:t>
      </w:r>
      <w:r>
        <w:rPr>
          <w:rtl w:val="true"/>
        </w:rPr>
        <w:t>»</w:t>
      </w:r>
      <w:bookmarkEnd w:id="368"/>
    </w:p>
    <w:p>
      <w:pPr>
        <w:pStyle w:val="Heading3"/>
        <w:numPr>
          <w:ilvl w:val="2"/>
          <w:numId w:val="1"/>
        </w:numPr>
        <w:rPr/>
      </w:pPr>
      <w:bookmarkStart w:id="369" w:name="__RefHeading___Toc628133_1395250215"/>
      <w:bookmarkStart w:id="370" w:name="_Toc150"/>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مهدی فانی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محمدحسین رجبی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1392/12/13</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1393/02/04</w:t>
      </w:r>
    </w:p>
    <w:p>
      <w:pPr>
        <w:pStyle w:val="Heading3"/>
        <w:numPr>
          <w:ilvl w:val="2"/>
          <w:numId w:val="1"/>
        </w:numPr>
        <w:rPr/>
      </w:pPr>
      <w:bookmarkStart w:id="371" w:name="__RefHeading___Toc628135_1395250215"/>
      <w:bookmarkStart w:id="372" w:name="_Toc151"/>
      <w:bookmarkEnd w:id="371"/>
      <w:r>
        <w:rPr>
          <w:rtl w:val="true"/>
        </w:rPr>
        <w:t>چکیده</w:t>
      </w:r>
      <w:bookmarkEnd w:id="372"/>
    </w:p>
    <w:p>
      <w:pPr>
        <w:pStyle w:val="BookText"/>
        <w:rPr/>
      </w:pPr>
      <w:r>
        <w:rPr>
          <w:rFonts w:ascii="IRNazanin" w:hAnsi="IRNazanin" w:eastAsia="IRNazanin"/>
          <w:color w:val="111111"/>
          <w:sz w:val="28"/>
          <w:sz w:val="28"/>
          <w:szCs w:val="28"/>
          <w:rtl w:val="true"/>
          <w:lang w:bidi="fa-IR"/>
        </w:rPr>
        <w:t xml:space="preserve">مقاله حاضر مهمترین مواردی را که دانشمندان علم کلام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اند، مورد بررسی قرار داده است ؛ بر این اساس آیه شریفه در دو جهت مورد استدلال 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افعال الهی؛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لطف، تشریع قوانین و تکالیف به شرط اختیار و نیز امتحان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آنچه به انسان‌ها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عصمت و بحث از وظیفه که در ارتباط با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و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تقلید در عقاید و آزادی فکر و عقیده در رابطه با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کثرت‌گرایی دینی و نفی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مباحثی است که در راستای اندیشه و دیدگاهِ گروه‌های مختلف فکری و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تأمل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موارد فوق بدست می آید که محوری ترین موضوعی در این راستا،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جبر و اثبات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آن، استدلال‌های دیگر شکل می‌گیرد</w:t>
      </w:r>
      <w:r>
        <w:rPr>
          <w:rFonts w:eastAsia="IRNazanin" w:cs="IRNazanin"/>
          <w:color w:val="111111"/>
          <w:sz w:val="28"/>
          <w:szCs w:val="28"/>
          <w:rtl w:val="true"/>
          <w:lang w:bidi="fa-IR"/>
        </w:rPr>
        <w:t>.</w:t>
      </w:r>
    </w:p>
    <w:p>
      <w:pPr>
        <w:pStyle w:val="Heading3"/>
        <w:numPr>
          <w:ilvl w:val="2"/>
          <w:numId w:val="1"/>
        </w:numPr>
        <w:rPr/>
      </w:pPr>
      <w:bookmarkStart w:id="373" w:name="__RefHeading___Toc628137_1395250215"/>
      <w:bookmarkStart w:id="374" w:name="_Toc152"/>
      <w:bookmarkEnd w:id="373"/>
      <w:r>
        <w:rPr>
          <w:rtl w:val="true"/>
        </w:rPr>
        <w:t>واژگان کلیدی</w:t>
      </w:r>
      <w:bookmarkEnd w:id="3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اختیار، نفی اجبار، تکالیف، آزادی عقیده</w:t>
      </w:r>
      <w:r>
        <w:rPr>
          <w:rFonts w:eastAsia="IRNazanin" w:cs="IRNazanin"/>
          <w:color w:val="111111"/>
          <w:sz w:val="28"/>
          <w:szCs w:val="28"/>
          <w:rtl w:val="true"/>
          <w:lang w:bidi="fa-IR"/>
        </w:rPr>
        <w:t>.</w:t>
      </w:r>
      <w:bookmarkStart w:id="375" w:name="pg2643_21815"/>
    </w:p>
    <w:p>
      <w:pPr>
        <w:pStyle w:val="Heading3"/>
        <w:numPr>
          <w:ilvl w:val="2"/>
          <w:numId w:val="1"/>
        </w:numPr>
        <w:rPr/>
      </w:pPr>
      <w:bookmarkStart w:id="376" w:name="__RefHeading___Toc628139_1395250215"/>
      <w:bookmarkStart w:id="377" w:name="_Toc153"/>
      <w:bookmarkEnd w:id="375"/>
      <w:bookmarkEnd w:id="376"/>
      <w:r>
        <w:rPr>
          <w:rtl w:val="true"/>
        </w:rPr>
        <w:t>مقدمه</w:t>
      </w:r>
      <w:bookmarkEnd w:id="37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لاإِکْراهَ فِی الدِّینِ 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و خوانده می‌شود، از پرکاربرد‌ترین آیات قرآن کریم است که گروه‌های متعدد، از عموم مسلمانان تا فقها، مفسران و دانشمندان علم کلام، آن را در مواقع مختلف قرائت، و بدان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شریفه، همچون قاعده‌ای است که صاحب‌نظران علوم گوناگون از آن برای اثبات مدعای خود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ظاهر آیه شریفه استفاده می‌گردد، هر گونه اجباری در دین توسط آن نفی می‌گردد و در نگاه نخست، بر آزادی و اختیار انسان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کلام با توجه به آن، هر گونه جبری را در مرحله تکوین در اعمال و رفتار انسان نفی کرده و انسان را موجودی مختار و شایسته تکلیف می‌دانند؛ کارشناسان علوم تربیتی و رفتاری، بر اساس آیه، تحمیل و اجبار در تعلیم و تربیت را شیوه غالب و پذیرفته‌ای نمی‌دانند و بر پذیرش آزادانه و آگاهانه رفتار‌های اخلاقی اصرار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رهنمایی،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 با توجه به آیه شریفه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انعقاد عقود شرعی فقط از روی اختیار، صحیح است و عقودی را که افراد بدون اختیار منعقد کرده‌اند،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با توجه به این آیه و دیگر آیات قرآن، وظیفه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ابلاغ پیام الهی دانسته و اجبار را در مرحله ایمان قلبی نمی‌پذیرند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ملاحظه می‌شود، این آیه در عرصه‌های متعددی از علوم مورد استفاده و استناد است که پرداختن به آن موارد، نیازمند زمان کافی و زمینه‌های مناسب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می‌کوشد به برخی از این موارد در ضمن استدلال‌های صاحب‌نظران علم کلام اشاره نماید تا پژوهش‌گران را در شناخت این موارد و به‌کار‌گیری آن در عرصه‌های دیگر یاری کند</w:t>
      </w:r>
      <w:r>
        <w:rPr>
          <w:rFonts w:eastAsia="IRNazanin" w:cs="IRNazanin"/>
          <w:color w:val="111111"/>
          <w:sz w:val="28"/>
          <w:szCs w:val="28"/>
          <w:rtl w:val="true"/>
          <w:lang w:bidi="fa-IR"/>
        </w:rPr>
        <w:t>.</w:t>
      </w:r>
    </w:p>
    <w:p>
      <w:pPr>
        <w:pStyle w:val="Heading3"/>
        <w:numPr>
          <w:ilvl w:val="2"/>
          <w:numId w:val="1"/>
        </w:numPr>
        <w:rPr/>
      </w:pPr>
      <w:bookmarkStart w:id="378" w:name="__RefHeading___Toc628141_1395250215"/>
      <w:bookmarkStart w:id="379" w:name="_Toc154"/>
      <w:bookmarkEnd w:id="378"/>
      <w:r>
        <w:rPr>
          <w:rtl w:val="true"/>
        </w:rPr>
        <w:t>پیشینه بحث</w:t>
      </w:r>
      <w:bookmarkEnd w:id="3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 استدلال به آیه شریفه، قطعاً پس از نزول آیه و مفهومی که از آن استفاده می‌گردید،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توصیه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آثار و برکات آیة‌الکرسی و آیه مذکور که معمولاً همراه با آن تلاوت می‌گردید، اهمیت و توجه آن نزد مسلمانان افزایش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شأن نزول آیه، فهمیده می‌شود که اولین مفسر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مسلمانان را از اجبار دیگران به پذیرش دین منع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بحث آزادی تکوینی انسان در انتخاب عقیده، جزء</w:t>
      </w:r>
      <w:bookmarkStart w:id="380" w:name="pg2643_21817"/>
    </w:p>
    <w:p>
      <w:pPr>
        <w:pStyle w:val="BookText"/>
        <w:rPr/>
      </w:pPr>
      <w:bookmarkEnd w:id="380"/>
      <w:r>
        <w:rPr>
          <w:rFonts w:ascii="IRNazanin" w:hAnsi="IRNazanin" w:eastAsia="IRNazanin"/>
          <w:color w:val="111111"/>
          <w:sz w:val="28"/>
          <w:sz w:val="28"/>
          <w:szCs w:val="28"/>
          <w:rtl w:val="true"/>
          <w:lang w:bidi="fa-IR"/>
        </w:rPr>
        <w:t>اولین مباحث کلامی است که با نزول آیه در میان مسلمانان رایج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توضیح و تبیین آیه شریفه از سوی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بحث و استدلال به آیه مذکور را نزد مسلمانان فراهم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محوری‌ترین موضوع کلامی درباره آیه،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در ا‌نجام تکالیف و نفی اجبار در عقیده و عمل، پس از پدید آمدن فرقه‌های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معتزله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 با توجه به عقاید خود، به بحث و بررسی درباره آن می‌پرداخت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بحث درباره آیه مذکور در تفاسیری که به صورت مجموعی، قرآن را تفسیر کرده‌اند مطرح شده و کمتر نوشتاری به طور جدا‌گانه تنها به تفسیر آیه مزبور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مطرح شدن مباحث جدیدی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تکثرگرایی دینی، آزادی فکر و عقیده، حقوق بشر و چالش‌هایی که در این راستا به وجود آمد، صاحب‌نظران به طور جداگانه به تفسیر این آیه پرداخته و ارتباط مفهومی آن را با مباحث جدید تبیین کردند؛ گاهی نیز در مقام پاسخ به شبهاتی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آیین اسلام با شمشیر و حکم خاصی که درباره ارتداد وجود دارد، به تبیین مفهوم آیه روی آورده و در این زمینه مقالاتی را به نگارش درآورده‌اند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مقاله حاضر، مقاله‌ای توصیفی با تکیه بر کلام امامیه است که به نشان دادن مواردی می‌پردازد که صاحب‌نظران علم کلام در آن موارد به آیه شریفه استدلال کرده و به تبع آن، نگاهی مجموعی و کلی به موضوع را ایجاد می‌کند</w:t>
      </w:r>
      <w:r>
        <w:rPr>
          <w:rFonts w:eastAsia="IRNazanin" w:cs="IRNazanin"/>
          <w:color w:val="111111"/>
          <w:sz w:val="28"/>
          <w:szCs w:val="28"/>
          <w:rtl w:val="true"/>
          <w:lang w:bidi="fa-IR"/>
        </w:rPr>
        <w:t>.</w:t>
      </w:r>
    </w:p>
    <w:p>
      <w:pPr>
        <w:pStyle w:val="Heading3"/>
        <w:numPr>
          <w:ilvl w:val="2"/>
          <w:numId w:val="1"/>
        </w:numPr>
        <w:rPr/>
      </w:pPr>
      <w:bookmarkStart w:id="381" w:name="__RefHeading___Toc628143_1395250215"/>
      <w:bookmarkStart w:id="382" w:name="_Toc155"/>
      <w:bookmarkEnd w:id="381"/>
      <w:r>
        <w:rPr>
          <w:rtl w:val="true"/>
        </w:rPr>
        <w:t>شان نزول</w:t>
      </w:r>
      <w:bookmarkEnd w:id="38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نزول‌هایی که غالباً در تفاسیر شیعه و اهل‌سنت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به طور کلی درباره گروهی از افراد است که می‌خواستند به آیین مسیحیت یا یهودیت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مقابل، مسلمانانی که می‌خواستند آنان را به قبول دین اسلام مجبور کنند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اجبار بر این کار بازداشته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شأن نزول‌ها،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آنان اختیار دهید به سوی هر دینی که می‌خواهند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خیّروا اصحابکم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ملاحظه می‌شود، شأن نزول‌ها در منابع فریقین عمدتاً به مباحث اعتقادی مربوط می‌شود و نظری به اجبار در مرحله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bookmarkStart w:id="383" w:name="pg2643_21819"/>
    </w:p>
    <w:p>
      <w:pPr>
        <w:pStyle w:val="Heading3"/>
        <w:numPr>
          <w:ilvl w:val="2"/>
          <w:numId w:val="1"/>
        </w:numPr>
        <w:rPr/>
      </w:pPr>
      <w:bookmarkStart w:id="384" w:name="__RefHeading___Toc628145_1395250215"/>
      <w:bookmarkStart w:id="385" w:name="_Toc156"/>
      <w:bookmarkEnd w:id="383"/>
      <w:bookmarkEnd w:id="384"/>
      <w:r>
        <w:rPr>
          <w:rtl w:val="true"/>
        </w:rPr>
        <w:t>ارتباط آیه</w:t>
      </w:r>
      <w:bookmarkEnd w:id="385"/>
    </w:p>
    <w:p>
      <w:pPr>
        <w:pStyle w:val="BookText"/>
        <w:rPr/>
      </w:pPr>
      <w:r>
        <w:rPr>
          <w:rFonts w:ascii="IRNazanin" w:hAnsi="IRNazanin" w:eastAsia="IRNazanin"/>
          <w:color w:val="111111"/>
          <w:sz w:val="28"/>
          <w:sz w:val="28"/>
          <w:szCs w:val="28"/>
          <w:rtl w:val="true"/>
          <w:lang w:bidi="fa-IR"/>
        </w:rPr>
        <w:t xml:space="preserve">گرچه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به تنهایی بدون نظر به فراز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استناد قرار گرفته است، ولی به یقین با آن بخش، ارتباط مفهومی کاملی پیدا می‌کند،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چنین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دین اجبار و اکراهی وجود ندارد؟ که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راه هدایت و مستقیم از راه‌های انحرافی مشخص گردیده و با وجود این، نیازی به اجبار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کس به طاغوت کفر ورزد و از روی اختیار به خداوند ایمان آورد، قطعاً به دستگیره محکمی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علت برای پیش از خود قرار می‌گیرد و علت عدم اجبار را توضیح می‌دهد؛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با توجه به این قسمت، به عدم نسخ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بخش، برخی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بر مردم و عدم اجبار آنان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استفاده کرده و در مواردی به آن استدلال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حسینی‌میلانی،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386" w:name="__RefHeading___Toc628147_1395250215"/>
      <w:bookmarkStart w:id="387" w:name="_Toc157"/>
      <w:bookmarkEnd w:id="386"/>
      <w:r>
        <w:rPr>
          <w:rtl w:val="true"/>
        </w:rPr>
        <w:t>معنا شناسی دین</w:t>
      </w:r>
      <w:bookmarkEnd w:id="387"/>
    </w:p>
    <w:p>
      <w:pPr>
        <w:pStyle w:val="BookText"/>
        <w:rPr/>
      </w:pPr>
      <w:r>
        <w:rPr>
          <w:rFonts w:ascii="IRNazanin" w:hAnsi="IRNazanin" w:eastAsia="IRNazanin"/>
          <w:color w:val="111111"/>
          <w:sz w:val="28"/>
          <w:sz w:val="28"/>
          <w:szCs w:val="28"/>
          <w:rtl w:val="true"/>
          <w:lang w:bidi="fa-IR"/>
        </w:rPr>
        <w:t xml:space="preserve">صاحب‌نظران، دین را از نظر لغوی به معنای طاعت و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عادت، سیره، حساب، قهر، قضا، حکم، حال، سیاست و رأی در نظر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تهانوی، </w:t>
      </w:r>
      <w:r>
        <w:rPr>
          <w:rFonts w:eastAsia="IRNazanin" w:cs="IRNazanin"/>
          <w:color w:val="111111"/>
          <w:sz w:val="28"/>
          <w:szCs w:val="28"/>
          <w:lang w:bidi="fa-IR"/>
        </w:rPr>
        <w:t>1158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اصطلاحی، تعاریفی از آن ارائه داده‌اند؛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فروعی که خداوند برای خردمندان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قوانین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مکارم شیرازی،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عقاید و احکامی که با فطرت انسان هماهنگ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بی‌تا</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معارف مرتبط با مبدأ و معاد و منظومه‌ای از قوانین و ضوابط عبادی، اجتماعی و معاملاتی که از طریق وحی به دست آمده و انسان آن را به واسطه نبوت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راهی که خداوند برای همه امت‌ها به معنای وسیعش در نظر گرفته است، ولی شریعت به آن راهی اطلاق می‌شود که خداوند برای امت یا پیامبر خاصی در</w:t>
      </w:r>
    </w:p>
    <w:p>
      <w:pPr>
        <w:pStyle w:val="BookText"/>
        <w:rPr/>
      </w:pPr>
      <w:r>
        <w:rPr>
          <w:rFonts w:ascii="IRNazanin" w:hAnsi="IRNazanin" w:eastAsia="IRNazanin"/>
          <w:color w:val="111111"/>
          <w:sz w:val="28"/>
          <w:sz w:val="28"/>
          <w:szCs w:val="28"/>
          <w:rtl w:val="true"/>
          <w:lang w:bidi="fa-IR"/>
        </w:rPr>
        <w:t>نظر گرفته؛ مانند این‌که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نوح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شریعت ابراهیم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شریعت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شریعت، اخص از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انسان برای رسیدن به سعادت می‌پیماید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تعاریف مزبور ملاحظه می‌شود که بیشتر آن‌ها معنایی را در نظر می‌گیرند که شامل عقاید، احکام و اعمال دینی می‌شود و این موضوع در عمل، منطبق با گستره‌ای است که صاحب‌نظران برای دین در نظر گرفته‌اند که در ادامه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دین</w:t>
      </w:r>
    </w:p>
    <w:p>
      <w:pPr>
        <w:pStyle w:val="BookText"/>
        <w:rPr/>
      </w:pPr>
      <w:r>
        <w:rPr>
          <w:rFonts w:ascii="IRNazanin" w:hAnsi="IRNazanin" w:eastAsia="IRNazanin"/>
          <w:color w:val="111111"/>
          <w:sz w:val="28"/>
          <w:sz w:val="28"/>
          <w:szCs w:val="28"/>
          <w:rtl w:val="true"/>
          <w:lang w:bidi="fa-IR"/>
        </w:rPr>
        <w:t xml:space="preserve">صاحب‌نظران، مقصود از دین را در آیه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نکرده و در عرصه‌های دینی دیگر، به آن استدلال کرده‌اند؛ از جمله امام خمینی رحمه الله فضایل اخلاقی را در معنایِ دین دخیل دانسته و برای رشد اخلاقی با توجه به آیه شریفه، عنصر اختیار را ضروری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صاحب‌نظران در همین راستا اعمالی را که از روی اجبار صورت پذیرفته است، مورد محاسبه در عالم آخرت نمی‌دانند و برای محاسبه اخروی اعمال، بر اختیاری بودن آن با توجه به آیه شریفه تأکید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کسب علم الهی را که جلوه‌ای از معارفِ ضروریِ دین و مقدمه رسیدن به سعادت است، مبتنی بر اختیار دانسته و تأکید کرده که با اجبار حاصل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اخوان‌الصفا،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صاحب‌نظران، آیه شریفه را به منزله قاعده‌ای عقلی، مثل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بسیاری از علوم اسلامی مبتنی بر آن است، و محتوای این قاعده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قانونی که بر اساس جبر و اکراه است، ظلم تلقی می‌شود و برای خداوند متعال نیز قبیح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می‌شود، در بیان این قاعده با توجه به گستره دین، آن را در قوانین تشریعی نیز جاری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گروهی از فقیهان، آیه مزبور را درباره وظایف و تکالیف عملی نیز به کار برده‌اند؛ از جمله در این موارد، به آن استدلال کرده‌اند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هر واجبی که انجام دادن آن بر مکلف متعذّر بود، از او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کاظمی‌شبر،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bookmarkStart w:id="388" w:name="pg2643_21823"/>
    </w:p>
    <w:p>
      <w:pPr>
        <w:pStyle w:val="BookText"/>
        <w:rPr/>
      </w:pPr>
      <w:bookmarkEnd w:id="388"/>
      <w:r>
        <w:rPr>
          <w:rFonts w:ascii="IRNazanin" w:hAnsi="IRNazanin" w:eastAsia="IRNazanin"/>
          <w:color w:val="111111"/>
          <w:sz w:val="28"/>
          <w:sz w:val="28"/>
          <w:szCs w:val="28"/>
          <w:rtl w:val="true"/>
          <w:lang w:bidi="fa-IR"/>
        </w:rPr>
        <w:t>ـ در مرحله بیعت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خلخالی،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علامه حلی رحمه الله آیه شریفه را به صراحت در مورد احکام جاری می‌داند و بر اساس آن، تکلیف مالایطاق در دین را جایز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Heading3"/>
        <w:numPr>
          <w:ilvl w:val="2"/>
          <w:numId w:val="1"/>
        </w:numPr>
        <w:rPr/>
      </w:pPr>
      <w:bookmarkStart w:id="389" w:name="__RefHeading___Toc628149_1395250215"/>
      <w:bookmarkStart w:id="390" w:name="_Toc158"/>
      <w:bookmarkEnd w:id="389"/>
      <w:r>
        <w:rPr>
          <w:rtl w:val="true"/>
        </w:rPr>
        <w:t>گستره دین</w:t>
      </w:r>
      <w:bookmarkEnd w:id="390"/>
    </w:p>
    <w:p>
      <w:pPr>
        <w:pStyle w:val="Heading3"/>
        <w:numPr>
          <w:ilvl w:val="2"/>
          <w:numId w:val="1"/>
        </w:numPr>
        <w:rPr/>
      </w:pPr>
      <w:bookmarkStart w:id="391" w:name="__RefHeading___Toc628151_1395250215"/>
      <w:bookmarkStart w:id="392" w:name="_Toc159"/>
      <w:bookmarkEnd w:id="391"/>
      <w:r>
        <w:rPr>
          <w:rtl w:val="true"/>
        </w:rPr>
        <w:t>قائده لطف</w:t>
      </w:r>
      <w:bookmarkEnd w:id="392"/>
    </w:p>
    <w:p>
      <w:pPr>
        <w:pStyle w:val="BookText"/>
        <w:rPr/>
      </w:pPr>
      <w:r>
        <w:rPr>
          <w:rFonts w:ascii="IRNazanin" w:hAnsi="IRNazanin" w:eastAsia="IRNazanin"/>
          <w:color w:val="111111"/>
          <w:sz w:val="28"/>
          <w:sz w:val="28"/>
          <w:szCs w:val="28"/>
          <w:rtl w:val="true"/>
          <w:lang w:bidi="fa-IR"/>
        </w:rPr>
        <w:t xml:space="preserve">از مواردی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درباره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معتزله، لطف را بر خداوند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آنان از این وجوب، به معنای حکم شرعی که اصطلاحی فقهی است، نیست، بلکه به این معناست که اگر فاعل، آن را انجام ندهد استحقاق مذمت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تعریف آن بر چند نکته تأکید می‌ورزند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چیزی است که بنده را به اطاعت از خداوند نزدیک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نافرمانی خداوند دور 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نزدیکی و دوری باید با اختیار بنده و بدون هیچ اجباری باشد، و برای این موضوع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به این معنا که چون در دین اجباری نیست، باید بنده از روی اختیار خود، به طاعت خداوند نزدیک و از معصیت خداوند دور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استدلال مزبور مشخص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و ترک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w:t>
      </w:r>
    </w:p>
    <w:p>
      <w:pPr>
        <w:pStyle w:val="Heading3"/>
        <w:numPr>
          <w:ilvl w:val="2"/>
          <w:numId w:val="1"/>
        </w:numPr>
        <w:rPr/>
      </w:pPr>
      <w:bookmarkStart w:id="393" w:name="__RefHeading___Toc628153_1395250215"/>
      <w:bookmarkStart w:id="394" w:name="_Toc160"/>
      <w:bookmarkEnd w:id="393"/>
      <w:r>
        <w:rPr>
          <w:rtl w:val="true"/>
        </w:rPr>
        <w:t>وجوب امر به معروف و نهی از منکر</w:t>
      </w:r>
      <w:bookmarkEnd w:id="394"/>
    </w:p>
    <w:p>
      <w:pPr>
        <w:pStyle w:val="BookText"/>
        <w:rPr/>
      </w:pPr>
      <w:r>
        <w:rPr>
          <w:rFonts w:ascii="IRNazanin" w:hAnsi="IRNazanin" w:eastAsia="IRNazanin"/>
          <w:color w:val="111111"/>
          <w:sz w:val="28"/>
          <w:sz w:val="28"/>
          <w:szCs w:val="28"/>
          <w:rtl w:val="true"/>
          <w:lang w:bidi="fa-IR"/>
        </w:rPr>
        <w:t>یکی از مباحثی که در کتب کلامی به آن پرداخته‌اند، بحث وجوب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نزد معتزله از اصول دین است و آن را در کتب کلامی ذکر می‌کنند، ولی اشاعره آن را از فروع دانسته و آن را در کتب فقهی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علت این‌که معتزله آن را در اصول ذکر کرده‌اند، به دلیل مخالفت اشاعره با دلایل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نیز آن را از فروع دین به حساب آورده و وجوب امر به معروف و نهی از منکر را در کتب فقهی ذکر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گیلانی،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تفتازانی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متکلمان آن است که بحث وجوب امر به معروف و نهی از منکر را با این‌که به مباحث فقهی شبیه‌تر است، در کتب کلامی آورند، و شاید از این جهت شبیه بحث توبه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علمای علم کلام آن را در کتب خود ذکر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توبه باعث دوری انسان از گناه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نظر، مصداق قاعده لطف قرار می‌گیرد که خود مسئله‌ای کلامی است</w:t>
      </w:r>
      <w:r>
        <w:rPr>
          <w:rFonts w:eastAsia="IRNazanin" w:cs="IRNazanin"/>
          <w:color w:val="111111"/>
          <w:sz w:val="28"/>
          <w:szCs w:val="28"/>
          <w:rtl w:val="true"/>
          <w:lang w:bidi="fa-IR"/>
        </w:rPr>
        <w:t>).</w:t>
      </w:r>
      <w:bookmarkStart w:id="395" w:name="pg2643_21825"/>
    </w:p>
    <w:p>
      <w:pPr>
        <w:pStyle w:val="BookText"/>
        <w:rPr/>
      </w:pPr>
      <w:bookmarkEnd w:id="395"/>
      <w:r>
        <w:rPr>
          <w:rFonts w:ascii="IRNazanin" w:hAnsi="IRNazanin" w:eastAsia="IRNazanin"/>
          <w:color w:val="111111"/>
          <w:sz w:val="28"/>
          <w:sz w:val="28"/>
          <w:szCs w:val="28"/>
          <w:rtl w:val="true"/>
          <w:lang w:bidi="fa-IR"/>
        </w:rPr>
        <w:t xml:space="preserve">در مقابلِ کسانی که قائل به وجوب امر به معروف و نهی از منکرند، گروهی قائل به عدم وجوبند و برای این منظور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که می‌گوید در دین هیچ اجباری نیست، و بر این اساس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نوعی اجبار به انجام یا انجام ندادن عمل است و با آیه مذکور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از دو طریق به این اشکال پاسخ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است؛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اکراه و اجبار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استدلال اول که تفتازانی به تبع برخی از مفسران، قائل به نسخ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هجرت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هرگونه اجبار در دین را نفی می‌کند، ولی پس از هجرت و نزول آیات جهاد، این آیه نسخ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احمدبن‌سلیمان،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نسخ آیه، دیگر نمی‌توان برای عدم وجوب امر به معروف و نهی از منکر،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گروه، برخی صاحب‌نظران نسخ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نپذیرفته و چنین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اجباری وجود ندارد، علتی بیان شده و آن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معنا که اگر می‌گوییم در دین اجباری نیست، به سبب روشن بودن حق است و چون حق کاملاً آشکار است، پس نیازی به اجبار برای قبولاندن آن نیست، و این معنا چه پیش از نزول آیات جهاد و چه پس از نزول آن،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هر حال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در هر حال ثابت است و تغییری نکرده، نسخ‌پذیر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اساس، استدلال اول تفتازانی به نسخ آیه، قابل پذیرش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استدلال دوم گفته شده که امر به معروف، امرِ اجباری نیست، چراکه قرآن، اجبار در دین را نفی می‌کند، بلکه امر خداوند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یعنی بنده در برابر امر الهی اختیار دارد و تحذیر یعنی برحذر داشتن که به موجب آن، انسان را از عواقب عملی برحذر می‌دارند که در این صورت، با اختیار او منافاتی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صدر‌المتألهین،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3"/>
        <w:numPr>
          <w:ilvl w:val="2"/>
          <w:numId w:val="1"/>
        </w:numPr>
        <w:rPr/>
      </w:pPr>
      <w:bookmarkStart w:id="396" w:name="__RefHeading___Toc628155_1395250215"/>
      <w:bookmarkStart w:id="397" w:name="_Toc161"/>
      <w:bookmarkEnd w:id="396"/>
      <w:r>
        <w:rPr>
          <w:rtl w:val="true"/>
        </w:rPr>
        <w:t>عدم اجبار در انجام تکالیف</w:t>
      </w:r>
      <w:bookmarkEnd w:id="3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مواردی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در مورد نفی اجبار در انجام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منکر وجوبِ لطف بر خداوند شده‌اند و معتقدند، چنین چیزی از خداوند صادر نشده است، زیرا لطف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واضح و ضروری است که این</w:t>
      </w:r>
      <w:bookmarkStart w:id="398" w:name="pg2643_21827"/>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نیافته است، زیرا ما به وجدان می‌بینیم بندگان گناه می‌کنند و در نتیجه، از اراده قهری خداوند تخلف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لواسانی،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این شبهه آن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به معنای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قهری نیست، چون در جای خود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تکلیف، لطف است، و معنایش آن است که با وجود تکلیف، انسان در معرض اطاعت و دوری از گناه قرار می‌گیرد و تکلیف نه تنها راه لطف خداوند را مسدود نمی‌کند، بلکه نوعی اتمام حجت بر بنده نیز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 اراده تشریعی خداوند دلالت دارد و در جای خود بیان شده تکلیف نه تنها با اراده تشریعی منافاتی ندارد، بلکه بر آن تأکید نیز می‌کند، مگر بنا بر مذهب کسانی که قائل به جبرند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خداوند با اراده تکوینی می‌خواست از گناهان، منع قهری کند و اجبار بر اطاعت کند، امکان تخلف از اراده او نبود، ولی در جای خود بیان شده که این موضوع از خداوند صادر نشده و بلکه ممتنع است و انجام آن از خداوند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آن، اکراه و اجباری از جانب خداوند در انجام واجبات و ترک محرّمات صورت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حسینی‌لواسانی،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399" w:name="__RefHeading___Toc628157_1395250215"/>
      <w:bookmarkStart w:id="400" w:name="_Toc162"/>
      <w:bookmarkEnd w:id="399"/>
      <w:r>
        <w:rPr>
          <w:rtl w:val="true"/>
        </w:rPr>
        <w:t>نفی مغلوبیت خداوند</w:t>
      </w:r>
      <w:bookmarkEnd w:id="400"/>
    </w:p>
    <w:p>
      <w:pPr>
        <w:pStyle w:val="BookText"/>
        <w:rPr/>
      </w:pPr>
      <w:r>
        <w:rPr>
          <w:rFonts w:ascii="IRNazanin" w:hAnsi="IRNazanin" w:eastAsia="IRNazanin"/>
          <w:color w:val="111111"/>
          <w:sz w:val="28"/>
          <w:sz w:val="28"/>
          <w:szCs w:val="28"/>
          <w:rtl w:val="true"/>
          <w:lang w:bidi="fa-IR"/>
        </w:rPr>
        <w:t>یکی از شبهاتی که در راستای اراده و خواست الهی از بندگان مطرح شده،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خداوند از کافران ایمان و از گناه‌کاران اطاعت خواسته است؛ حال اگر کافری ایمان نیاورد و گناه‌کاری اطاعت نکرد، موجب عجز یا مغلوبیت خداوند خواهد شد، چون برخلاف خواست خداوند رفتار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این شبهه در ابتدا لازم است تفاوت بین دو اراده تکوینی و تشریعی بیان شود؛ اراده تکوینی اراده‌ای است که به ایجاد چیزی تعلق پیدا کرده، و این اراده از مراد خداوند تخلف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او چنین است که هر گاه چیزی را اراده کند، تنها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بی‌درنگ موجود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اراده تشریعی اراده‌ای است که مبتنی بر آزمایش و امتحان، و هدایت بندگان به مصالح دنیوی و اخروی آنان است و می‌تواند از مراد الهی با نافرمانی و گناه تخلف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توضیحی که درباره دو نوع از اراده بیان گردید، در جایی که کافری ایمان نیاورد یا گناه‌کاری اطاعت نکرد، ضعف و مغلوبیت خداوند پیش نمی‌آید، زیرا خداوند ایمان و اطاعت را از روی جبر از این دو نمی‌خواهد، بلکه خواست خداوند در این‌جا از روی اختیار بنده است، و</w:t>
      </w:r>
      <w:bookmarkStart w:id="401" w:name="pg2643_21829"/>
    </w:p>
    <w:p>
      <w:pPr>
        <w:pStyle w:val="BookText"/>
        <w:rPr/>
      </w:pPr>
      <w:bookmarkEnd w:id="401"/>
      <w:r>
        <w:rPr>
          <w:rFonts w:ascii="IRNazanin" w:hAnsi="IRNazanin" w:eastAsia="IRNazanin"/>
          <w:color w:val="111111"/>
          <w:sz w:val="28"/>
          <w:sz w:val="28"/>
          <w:szCs w:val="28"/>
          <w:rtl w:val="true"/>
          <w:lang w:bidi="fa-IR"/>
        </w:rPr>
        <w:t xml:space="preserve">خداوند در ایمان و اطاعت، اجباری قرار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خداوند در این‌جا تشریعی است که با اختیار بنده منافاتی ندارد؛ از این رو، با ایمان نیاوردن یا اطاعت نکردن، لازم نمی‌آید خداوند مغلوب شده و کافر غالب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حسینی‌شیرازی،</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Heading3"/>
        <w:numPr>
          <w:ilvl w:val="2"/>
          <w:numId w:val="1"/>
        </w:numPr>
        <w:rPr/>
      </w:pPr>
      <w:bookmarkStart w:id="402" w:name="__RefHeading___Toc628159_1395250215"/>
      <w:bookmarkStart w:id="403" w:name="_Toc163"/>
      <w:bookmarkEnd w:id="402"/>
      <w:r>
        <w:rPr>
          <w:rtl w:val="true"/>
        </w:rPr>
        <w:t>امتحان الهی و اختیار</w:t>
      </w:r>
      <w:bookmarkEnd w:id="403"/>
    </w:p>
    <w:p>
      <w:pPr>
        <w:pStyle w:val="BookText"/>
        <w:rPr/>
      </w:pPr>
      <w:r>
        <w:rPr>
          <w:rFonts w:ascii="IRNazanin" w:hAnsi="IRNazanin" w:eastAsia="IRNazanin"/>
          <w:color w:val="111111"/>
          <w:sz w:val="28"/>
          <w:sz w:val="28"/>
          <w:szCs w:val="28"/>
          <w:rtl w:val="true"/>
          <w:lang w:bidi="fa-IR"/>
        </w:rPr>
        <w:t xml:space="preserve">یکی از موضوعاتی که در راستای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استدلال کرده‌اند، بحث امتحان الهی است؛ با این بیان که خداوند، امرِ ایمان را بر توانایی و آزادی انسان بنا کرده و بر اجبار و تحمیل قرار نداده است، زیرا در صورت اجبار، آزمایش و امتحان الهی بی‌معنا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دنیا ظرفی برای امتحان قرار داده شده و امتحان از کسی به عمل می‌آید که اختیار داشته باشد، نه مانند سایر موجودات طبیعی، آثار و حرکاتش جبری و طبیعی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اساس، هیچ‌کس را از آزادی و اختیار خود منع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هر کس بخواهد ایمان آورد و یا کفر بورزد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 و هر کس می‌خواهد کافر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Heading3"/>
        <w:numPr>
          <w:ilvl w:val="2"/>
          <w:numId w:val="1"/>
        </w:numPr>
        <w:rPr/>
      </w:pPr>
      <w:bookmarkStart w:id="404" w:name="__RefHeading___Toc628161_1395250215"/>
      <w:bookmarkStart w:id="405" w:name="_Toc164"/>
      <w:bookmarkEnd w:id="404"/>
      <w:r>
        <w:rPr>
          <w:rtl w:val="true"/>
        </w:rPr>
        <w:t>عصمت پیامبر</w:t>
      </w:r>
      <w:bookmarkEnd w:id="405"/>
    </w:p>
    <w:p>
      <w:pPr>
        <w:pStyle w:val="BookText"/>
        <w:rPr/>
      </w:pPr>
      <w:r>
        <w:rPr>
          <w:rFonts w:ascii="IRNazanin" w:hAnsi="IRNazanin" w:eastAsia="IRNazanin"/>
          <w:color w:val="111111"/>
          <w:sz w:val="28"/>
          <w:sz w:val="28"/>
          <w:szCs w:val="28"/>
          <w:rtl w:val="true"/>
          <w:lang w:bidi="fa-IR"/>
        </w:rPr>
        <w:t xml:space="preserve">از موارد دیگری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بحث عصمت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و فراموشی و هرچه موجب تنفر انسان است،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ملکه و موهبتی در وجود انسان ِمعصوم است که با آن، گناه و معصیت از او در حالت عمد و فراموشی صادر نمی‌شود، و بر این نکته تأکید کرده‌اند که این گناه نکردن، از روی اختیار و بدون هیچ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نفی این اجبار،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استرآبادی،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استدلال مذکور استفاده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محدوده اعمال است، در نظر گرفته‌اند؛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عمل اختیاری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می‌دانند</w:t>
      </w:r>
      <w:r>
        <w:rPr>
          <w:rFonts w:eastAsia="IRNazanin" w:cs="IRNazanin"/>
          <w:color w:val="111111"/>
          <w:sz w:val="28"/>
          <w:szCs w:val="28"/>
          <w:rtl w:val="true"/>
          <w:lang w:bidi="fa-IR"/>
        </w:rPr>
        <w:t>.</w:t>
      </w:r>
      <w:bookmarkStart w:id="406" w:name="pg2643_21831"/>
    </w:p>
    <w:p>
      <w:pPr>
        <w:pStyle w:val="Heading3"/>
        <w:numPr>
          <w:ilvl w:val="2"/>
          <w:numId w:val="1"/>
        </w:numPr>
        <w:rPr/>
      </w:pPr>
      <w:bookmarkStart w:id="407" w:name="__RefHeading___Toc628163_1395250215"/>
      <w:bookmarkStart w:id="408" w:name="_Toc165"/>
      <w:bookmarkEnd w:id="406"/>
      <w:bookmarkEnd w:id="407"/>
      <w:r>
        <w:rPr>
          <w:rtl w:val="true"/>
        </w:rPr>
        <w:t>وظیفه پیامبر</w:t>
      </w:r>
      <w:bookmarkEnd w:id="408"/>
    </w:p>
    <w:p>
      <w:pPr>
        <w:pStyle w:val="BookText"/>
        <w:rPr/>
      </w:pPr>
      <w:r>
        <w:rPr>
          <w:rFonts w:ascii="IRNazanin" w:hAnsi="IRNazanin" w:eastAsia="IRNazanin"/>
          <w:color w:val="111111"/>
          <w:sz w:val="28"/>
          <w:sz w:val="28"/>
          <w:szCs w:val="28"/>
          <w:rtl w:val="true"/>
          <w:lang w:bidi="fa-IR"/>
        </w:rPr>
        <w:t>بر اساس آیات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دارای وظایفی است؛ از جمله این وظایف، رساندن پیام الهی به مردم است، بدون این‌که تحمیل و اجباری بر مردم در پذیرش و ایمان به رسالت ایشان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آیات متعددی از قرآن قابل استفاده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وظیفه‌ای جز رسانیدن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اعمال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آشکار و آنچه پنهان می‌دارید،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آیات، پیامبران مردم را به پذیرش دعوت خود مجبور نمی‌کنند و به اجبار، مردم را از کفر به ایمان و از معاصی به اطاعت وادار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ضمیمه کردن آیات دیگری از قرآن، به‌خصوص آیه مورد بحث این وظیفه، یعنی ابلاغ بدون اجبار کاملاً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برخی از این بحث، قاعده‌ای استخراج کرده و آن را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بر مردم و عدم اجبار آنان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حسینی‌میلانی،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سیره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خواهیم یافت که آن حضرت مطابق این قاعده رفتار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به سراغ قبایل مختلف عرب می‌رفتند و از آنان می‌خواستند از ایشان حمایت کنند و در مقابل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هیچ‌کدام از شما را مجبور به پذیرش نمی‌کنم، فقط در برابر دشمنان از من حمایت کنید تا بتوانم رسالت الهی را که بر عهده دارم به انجام برسانم؛ گرچه هیچ‌کدام از آنان به حمایت از ایشان حاضر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احمد‌بن‌ابی‌یعقوب،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ضمن این‌که به سیره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اشاره می‌کنند، موضوع کلامی را نیز متفرع بر آن می‌کنند، و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مردمی را که هنوز مسلمان نشده، به اسلام آوردن مجبور کنند تا تعداد مسلمانان و قدرت آنان افزایش پیدا کند؛ در مقابل،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انجام دهم، دیگر استحقاق مدح و ثواب را نخواهند داشت و به قرب الهی نایل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صاحب‌نظران علم کلام تأکید می‌کنند، فردی که دارای تکلیف است باید در انجام عمل اختیار داشته باشد و مجبور نباشد، چون غرض از تکلیف، استحقاق مدح و ثواب است و با اجبار، این استحقاق تحقق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bookmarkStart w:id="409" w:name="pg2643_21833"/>
    </w:p>
    <w:p>
      <w:pPr>
        <w:pStyle w:val="Heading3"/>
        <w:numPr>
          <w:ilvl w:val="2"/>
          <w:numId w:val="1"/>
        </w:numPr>
        <w:rPr/>
      </w:pPr>
      <w:bookmarkStart w:id="410" w:name="__RefHeading___Toc628165_1395250215"/>
      <w:bookmarkStart w:id="411" w:name="_Toc166"/>
      <w:bookmarkEnd w:id="409"/>
      <w:bookmarkEnd w:id="410"/>
      <w:r>
        <w:rPr>
          <w:rtl w:val="true"/>
        </w:rPr>
        <w:t>امامت و گسترش آیین</w:t>
      </w:r>
      <w:bookmarkEnd w:id="411"/>
    </w:p>
    <w:p>
      <w:pPr>
        <w:pStyle w:val="BookText"/>
        <w:rPr/>
      </w:pPr>
      <w:r>
        <w:rPr>
          <w:rFonts w:ascii="IRNazanin" w:hAnsi="IRNazanin" w:eastAsia="IRNazanin"/>
          <w:color w:val="111111"/>
          <w:sz w:val="28"/>
          <w:sz w:val="28"/>
          <w:szCs w:val="28"/>
          <w:rtl w:val="true"/>
          <w:lang w:bidi="fa-IR"/>
        </w:rPr>
        <w:t xml:space="preserve">یکی از مباحثی که در کتب کلامی درباره بحث امامت مطرح کرد‌ه‌اند،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مراتبی از لطف را درباره امام قائل شده و ابراز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وجود امام لطف است، زیرا با وجود اوست که تفرقه بندگان به یک‌پارچگی تبدیل می‌شود؛ ضعیف از قوی و فقیر از غنی می‌تواند دادخواهی کند؛ جهلِ جاهل برطرف و غافل از غفلت بیدار می‌شود؛ و در صورت نبود امام، شریعت نابود و بیشتر احکام دین و ارکان اسلام،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امر به معروف و نهی از منکر و قضاوت تعطیل می‌گردد و فایده مورد انتظار از دین منتفی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فیض‌کاشانی،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موضوع، یکی از تصرفاتی که پیشوای دوازدهم در سایه لطف الهی در زمان ظهور انجام خواهد داد، موضوع گسترش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این سؤال پیش می‌آید که ایشان چگونه اسلام و دین توحیدی را گسترش می‌دهند؟</w:t>
      </w:r>
    </w:p>
    <w:p>
      <w:pPr>
        <w:pStyle w:val="BookText"/>
        <w:rPr/>
      </w:pPr>
      <w:r>
        <w:rPr>
          <w:rFonts w:ascii="IRNazanin" w:hAnsi="IRNazanin" w:eastAsia="IRNazanin"/>
          <w:color w:val="111111"/>
          <w:sz w:val="28"/>
          <w:sz w:val="28"/>
          <w:szCs w:val="28"/>
          <w:rtl w:val="true"/>
          <w:lang w:bidi="fa-IR"/>
        </w:rPr>
        <w:t>ملاصالح مازندرانی، از عالمان قرن دهم، در شرح روایتی درباره شرایط ظهور امام 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در آن به کامل شدن عقل انسان‌ها اشاره دارد،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 شمشیر مردم را به سوی خداوند فرا‌می‌خواند و مخالفان را قلع و قمع می‌کند تا فقط یک دین را در جهان حاکم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رو، این شارح به نوعی به گسترش اسلام با شمشیر در زمان پیشوای دوازدهم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روایتی که به شرح آن می‌پردازد، دلالتی بر این مسئله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صاحب‌نظران معاصر عقیده دارند، گسترش آیین توحید در زمان پیشوای دوازدهم از طریق زور و اجبار صورت نمی‌پذیرد، بلکه از راه تبلیغ صورت می‌گیرد، و برای این موضوع به روش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استدلال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3"/>
        <w:numPr>
          <w:ilvl w:val="2"/>
          <w:numId w:val="1"/>
        </w:numPr>
        <w:rPr/>
      </w:pPr>
      <w:bookmarkStart w:id="412" w:name="__RefHeading___Toc628167_1395250215"/>
      <w:bookmarkStart w:id="413" w:name="_Toc167"/>
      <w:bookmarkEnd w:id="412"/>
      <w:r>
        <w:rPr>
          <w:rtl w:val="true"/>
        </w:rPr>
        <w:t>نفی تقلید در عقاید</w:t>
      </w:r>
      <w:bookmarkEnd w:id="4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استدلال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نفی تقلید در عقاید و اثبات نظری بودن اعتقادات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کسی را نمی‌توان به ایمان آوردن اجبار کرد و هر فردی خود باید راه رسیدن به ایمان را طی کند، زیرا راه درست از راه روشن آشکار شده؛ لذا تقلید کردن در اصول عقاید، نه صحیح است و نه جایز؛ مثلاً اگر کسی به وجود خداوند شک دارد، نمی‌تواند از کسی که معتقد به وجود خداوند است تقلید کند، بلکه لازم است به اندازه قدرت فکری و عقلی خود در آیات آفاقی و انفسی جست‌وجو کند تا به وجود خداوند پی برده و معتقد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حمود،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bookmarkStart w:id="414" w:name="pg2643_21835"/>
    </w:p>
    <w:p>
      <w:pPr>
        <w:pStyle w:val="Heading3"/>
        <w:numPr>
          <w:ilvl w:val="2"/>
          <w:numId w:val="1"/>
        </w:numPr>
        <w:rPr/>
      </w:pPr>
      <w:bookmarkStart w:id="415" w:name="__RefHeading___Toc628169_1395250215"/>
      <w:bookmarkStart w:id="416" w:name="_Toc168"/>
      <w:bookmarkEnd w:id="414"/>
      <w:bookmarkEnd w:id="415"/>
      <w:r>
        <w:rPr>
          <w:rtl w:val="true"/>
        </w:rPr>
        <w:t>آزادی فکر و عقیده</w:t>
      </w:r>
      <w:bookmarkEnd w:id="416"/>
    </w:p>
    <w:p>
      <w:pPr>
        <w:pStyle w:val="BookText"/>
        <w:rPr/>
      </w:pPr>
      <w:r>
        <w:rPr>
          <w:rFonts w:ascii="IRNazanin" w:hAnsi="IRNazanin" w:eastAsia="IRNazanin"/>
          <w:color w:val="111111"/>
          <w:sz w:val="28"/>
          <w:sz w:val="28"/>
          <w:szCs w:val="28"/>
          <w:rtl w:val="true"/>
          <w:lang w:bidi="fa-IR"/>
        </w:rPr>
        <w:t xml:space="preserve">گروهی از صاحب‌نظران بر اساس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قبول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آزادی فکر و عقیده در اسلام شده‌اند؛ بر این اساس می‌گویند، هر انسانی اختیار دارد عقیده یا فکری را که می‌خواهد، برگزیند و دیگران حق ندارند کسی را مجبور به پذیرش اعتقاد یا فکری کنند؛ لذا قرآن، وظیفه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نه اجبار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تذکر ده که تو فقط تذکر‌دهنده‌ای؛ تو سلطه‌گر بر آنان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مجبورشان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جهت، اسلام با صاحبانِ ادیان دیگر با تسامح برخورد می‌کند و برای اقلیت‌های دینی حقوق و آزادی‌هایی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اسلام، مردم را بدون توجیه و ارشاد رها نکرده، بلکه راه درست را از راه انحرافی روشن کرده و با عواملی که مانع تفکر صحیح است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جهل و نادانی، تفتیش عقاید، بسط و گسترش خرافات و دامن زدن به غرایز جنسی و تمایلات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انسان‌ها را به تفکر صحیح برای دست‌یابی به حقیقت فراخوانده و تفکر را برترین عبادت به شمار آورده است، و شاید روشن‌ترین دلیل این باشد که به مشرکان فرصتی می‌دهد تا در میدان جنگ، برای مطالعه اسلام به نزد مسلمانان بیایند و سخن خداوند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یکی از مشرکان از تو پناهندگی بخواهد، به او پناه ده تا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محل امنش برسان، چراکه آن‌ها گروهی نا‌آگاهند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کسانی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آزادی عقیده گرفته‌اند، برخی دیگر از صاحب‌نظران دلالتی برای آیه در این جهت قائل نیستند؛ از جمله علامه طباطبائی چنین استدلال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شویم آیه شریفه بر آزادی عقیده دلالت دارد، تناقض پیش می‌آید، زیرا توحید، اساس تمامی نوامیس و احکام اسلامی است و نمی‌توان از سویی، قانونی تشریع کرد و از سوی دیگر بگوییم، در عمل به قانون آزادید؛ می‌خواهید انجام دهید و اگر نمی‌خواهید انجام ندهید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ذهن انسان پیدا شود، حاصل شدن آن، عمل اختیاری انسان نیست، تا بتوان فلان شخص را از فلان عقیده، منع و یا در عقیده دیگر آزاد گذاشت، بلکه آنچه در مورد عقاید، تحت تکلیف درمی‌آید، لوازم عملی عقیده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دو دیدگاه می‌توان گفت، کسانی که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آزادی عقیده هستند، مقصودشان آزادی تکوینی است که بر اساس آن، انسان را موجودی مختار</w:t>
      </w:r>
      <w:bookmarkStart w:id="417" w:name="pg2643_21837"/>
    </w:p>
    <w:p>
      <w:pPr>
        <w:pStyle w:val="BookText"/>
        <w:rPr/>
      </w:pPr>
      <w:bookmarkEnd w:id="417"/>
      <w:r>
        <w:rPr>
          <w:rFonts w:ascii="IRNazanin" w:hAnsi="IRNazanin" w:eastAsia="IRNazanin"/>
          <w:color w:val="111111"/>
          <w:sz w:val="28"/>
          <w:sz w:val="28"/>
          <w:szCs w:val="28"/>
          <w:rtl w:val="true"/>
          <w:lang w:bidi="fa-IR"/>
        </w:rPr>
        <w:t>می‌بینند، ولی کسانی که دلالتی برای آیه بر موضوع آزادی عقیده قائل نیستند، آن را در مرحله تشریع می‌دانند که در مقام وظیفه، انسان موظف است دین حق را انتخاب کند و عقیده باطل از آنان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418" w:name="__RefHeading___Toc628171_1395250215"/>
      <w:bookmarkStart w:id="419" w:name="_Toc169"/>
      <w:bookmarkEnd w:id="418"/>
      <w:r>
        <w:rPr>
          <w:rtl w:val="true"/>
        </w:rPr>
        <w:t>نفی جبر</w:t>
      </w:r>
      <w:bookmarkEnd w:id="419"/>
    </w:p>
    <w:p>
      <w:pPr>
        <w:pStyle w:val="BookText"/>
        <w:rPr/>
      </w:pPr>
      <w:r>
        <w:rPr>
          <w:rFonts w:ascii="IRNazanin" w:hAnsi="IRNazanin" w:eastAsia="IRNazanin"/>
          <w:color w:val="111111"/>
          <w:sz w:val="28"/>
          <w:sz w:val="28"/>
          <w:szCs w:val="28"/>
          <w:rtl w:val="true"/>
          <w:lang w:bidi="fa-IR"/>
        </w:rPr>
        <w:t xml:space="preserve">یکی از مواردی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برای ردّ کسانی است که قائل به جبرند؛ با این بیان که گروه‌هایی چون اشاعره، جهمیه و مرجئه قائلند خداوند همه‌چیز، اعم از خیر و شر، هدایت و ضلالت و کفر و ایمان را می‌آفریند و تمام افعال انسان مستند به خداوند است و انسان، اراده، قدرت و اختیاری در انجام و ترک اعمال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موسوی‌زنجانی،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کلام کسانی که قائل به جبرند، به آیاتی از قرآن استدلال شده است؛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قبول دین، اکراهی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می‌خواهد کافر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بر اساس چنین آیاتی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بیان دلیل و ارشاد و هدایت بندگان، برای آنان تکالیفی را مقرر داشته و قدرت بر انجام و ترک عمل را نیز به آنان عطا کرده است؛ بنابراین، شیعه امامیه قائل به اختیار انسان‌ها در افعال خود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مستندی برای این موضوع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موسوی‌زنجانی،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درباره افعال انسان قائل به جبرند، به اشاعره و برخی از فرقه‌های کلامی اختصاص ندارند که در گذشته می‌زیسته‌اند، بلکه بسیاری از مکاتب فکری و فلسفی در قرون اخیر نیز به نوعی در نظریات خود قائل به جبرند؛ برای مثال، دورکیم و یا مارکس طرف‌دار اصالت اجتماعی در مقابل اصالت فردی‌اند و قائل به جبر اجتماعی بوده و صریحاً ابراز می‌دارند فرد در جامعه هیچ اختیار و اراده‌ای ندارد و از آزادی برخوردار نیست؛ هرچه فرد دارد، پرتوی از آن چیزی است که جامعه به او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برای پاسخ به این‌گونه نظریات، استدلال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محوری داشته باشد</w:t>
      </w:r>
      <w:r>
        <w:rPr>
          <w:rFonts w:eastAsia="IRNazanin" w:cs="IRNazanin"/>
          <w:color w:val="111111"/>
          <w:sz w:val="28"/>
          <w:szCs w:val="28"/>
          <w:rtl w:val="true"/>
          <w:lang w:bidi="fa-IR"/>
        </w:rPr>
        <w:t>.</w:t>
      </w:r>
      <w:bookmarkStart w:id="420" w:name="pg2643_21839"/>
    </w:p>
    <w:p>
      <w:pPr>
        <w:pStyle w:val="Heading3"/>
        <w:numPr>
          <w:ilvl w:val="2"/>
          <w:numId w:val="1"/>
        </w:numPr>
        <w:rPr/>
      </w:pPr>
      <w:bookmarkStart w:id="421" w:name="__RefHeading___Toc628173_1395250215"/>
      <w:bookmarkStart w:id="422" w:name="_Toc170"/>
      <w:bookmarkEnd w:id="420"/>
      <w:bookmarkEnd w:id="421"/>
      <w:r>
        <w:rPr>
          <w:rtl w:val="true"/>
        </w:rPr>
        <w:t>کثرت گرایی دینی</w:t>
      </w:r>
      <w:bookmarkEnd w:id="422"/>
    </w:p>
    <w:p>
      <w:pPr>
        <w:pStyle w:val="BookText"/>
        <w:rPr/>
      </w:pPr>
      <w:r>
        <w:rPr>
          <w:rFonts w:ascii="IRNazanin" w:hAnsi="IRNazanin" w:eastAsia="IRNazanin"/>
          <w:color w:val="111111"/>
          <w:sz w:val="28"/>
          <w:sz w:val="28"/>
          <w:szCs w:val="28"/>
          <w:rtl w:val="true"/>
          <w:lang w:bidi="fa-IR"/>
        </w:rPr>
        <w:t xml:space="preserve">برخی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اکراه و اجبار در دین را نفی می‌کند،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انسان را ملزم به دین خاصی کرد، بلکه هر دینی از ادیان مختلف را داشته باشد،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حقیقت همان سخنی است که در پلورالیسم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کثرت‌گرایی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قائلند و براساس آن، انسان‌های سعادت‌طلب می‌توانند هر یک از ادیان الهی را که می‌خواهند، برگزینند، به تعالیمش عمل کنند و به حقیقت متعالی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تحقیقات اسلامی،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 آنند که دین، کثرت نمی‌پذیرد و 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یکی است که همانا تسلیم در برابر خداوند است؛ خداوندی که سلطه و حاکمیت مطلق و آفریدگاری از آنِ اوست و پرستش تنها او را می‌سزد؛ اما هر امتی بسته به توانایی و دانایی و عصر و دوره زندگی‌اش، به این دین یگانه فراخوانده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اسلامی، همه شریعت‌های پیشین در روزگار خویش حقانیت داشته‌اند، اما پس از ظهور اسلام، نسخ شده و کنار رفته‌اند و از آن پس، حقانیت تنها از آنِ دین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تحقیقات اسلامی،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423" w:name="__RefHeading___Toc628175_1395250215"/>
      <w:bookmarkStart w:id="424" w:name="_Toc171"/>
      <w:bookmarkEnd w:id="423"/>
      <w:r>
        <w:rPr>
          <w:rtl w:val="true"/>
        </w:rPr>
        <w:t>نتیجه گیری</w:t>
      </w:r>
      <w:bookmarkEnd w:id="42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گستره معنایی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عقاید و اعمال ـ هردو ـ می‌گردد، می‌توان نتیجه گرفت که در مرحله تکوین، هیچ اجباری از سوی دین برای انسان در پذیرش عقیده وجود ندارد؛ از این جهت، انسان‌ها از آزادی تکوینی بهره‌مند خواهند بود و در این راستا وظیفه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ابلاغ بوده و هیچ اجباری از سوی ایشان بر پذیرش اجباری دین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وظیفه درباره جانشینان معصوم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تحقق خواهد داشت، و به ضمیمه تاریخ و سنت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که اسلام به زور شمشیر گسترش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انسان در مرحله تشریع آزاد است که هر دینی را خواست بپذیرد، زیرا انسان وظیفه دارد دین حق را قبول و از عقیده باطل اجتناب کند، زیرا با توجه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 قد تبیّن الرّشد من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بر مردم و عدم اجبار آنان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مسئولیت انتخاب دین را متوجه خود انسان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ملاحظه مجموعه موارد می‌توان نتیجه گرفت، محوری‌ترین موضوع در استدلال‌های کلامی، بحث اختیار در انجام تکالیف و نفی اجبار در عقیده و عمل است</w:t>
      </w:r>
      <w:r>
        <w:rPr>
          <w:rFonts w:eastAsia="IRNazanin" w:cs="IRNazanin"/>
          <w:color w:val="111111"/>
          <w:sz w:val="28"/>
          <w:szCs w:val="28"/>
          <w:rtl w:val="true"/>
          <w:lang w:bidi="fa-IR"/>
        </w:rPr>
        <w:t>.</w:t>
      </w:r>
      <w:bookmarkStart w:id="425" w:name="pg2643_21841"/>
    </w:p>
    <w:p>
      <w:pPr>
        <w:pStyle w:val="Heading3"/>
        <w:numPr>
          <w:ilvl w:val="2"/>
          <w:numId w:val="1"/>
        </w:numPr>
        <w:rPr/>
      </w:pPr>
      <w:bookmarkStart w:id="426" w:name="__RefHeading___Toc628177_1395250215"/>
      <w:bookmarkStart w:id="427" w:name="_Toc172"/>
      <w:bookmarkEnd w:id="425"/>
      <w:bookmarkEnd w:id="426"/>
      <w:r>
        <w:rPr>
          <w:rtl w:val="true"/>
        </w:rPr>
        <w:t>منابع</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اخوان‌الصفا،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رسائل اخوان الصفاء و خلان الوفاء، بی جا، الدار الاسلامیه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محمدجعفر،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البراهین القاطعة فی شرح تجرید العقاید الساطعة، قم، مکتب الاعلام الاسلامی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پژوهشکده تحقیقات اسلامی،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شیعه، قم، زمزم هدایت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تفتازانی، سعدالدین،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المقاصد، قم، الشریف الرضی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محمدعلی،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کشاف اصطلاحات الفنون و العلوم، بیروت، مکتبة لبنان ناشرون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محمد‌بن‌حسن،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إثبات الهداة،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مؤسسة الأعلمی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حسینی‌شیرازی، سید‌محمد،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القول السدید فی شرح التجرید، قم، دار‌الایمان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حسینی‌لواسانی، سید‌حسن،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الأفهام فی علم الکلام، قم، مؤسسة النشر الإسلامی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حسینی‌میلانی،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الغدیر، قم، حقایق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 محمد جمیل،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البهیة فی شرح عقاید الإمامیة، بیروت، مؤسسة الأعلمی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خرازی، سید‌محسن،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بدایة المعارف الالهیة فی شرح عقاید الامامیه، قم، مؤسسة النشر الاسلامی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ابوجعفر،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هدایة الامة إلی معارف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البعثة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خلخالی، سیدمحمدمهدی،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الحاکمیة فی الإسلام، قم، مجمع اندیشه اسلامی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فخرالدین،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مفاتیح الغیب، بیروت، داراحیاء التراث العربی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حسین‌بن‌محمد،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المفردات فی غریب القرآن، بیروت، دارالعلم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رهنمایی، سیداحمد،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روان‌شناختی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اسلام و پژوهش‌های تربیتی،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مفاهیم القرآن، قم، مؤسسه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الأضواء علی عقاید الشیعة الإمامیة، قم، مؤسسه امام 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سیدعبدالاعلی،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مواهب‌الرحمان فی تفسیر‌القرآن، بیروت، مؤسسه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محلاتی،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مشروعیت اجبار در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دو‌فصل‌نامه تربیت اسلامی،</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شبر، سیدعبدالله،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الیقین فی معرفة أصول الدین، قم، انوارالهدی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 قدرت،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مجازات تعزیری برای جرم ارتداد با رویکرد به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رهنمون،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صدر‌المتألهین، محمدبن‌ابراهیم،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الکافی، تهران، مؤسسه مطالعات و تحقیقات فرهنگی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مکتبة النشر الإسلامی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مقالات تأسیسیة فی الفکر الإسلامی، جواد علی کسار، کویت، مؤسسة ام‌القری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احمدبن‌علی،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الاحتجاج، مشهد، المرتضی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فضل‌بن‌حسن،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البیان فی تفسیر القرآن، تهران، ناصرخسرو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محمد‌بن‌جریر،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 دار‌المعرفه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تهران، کتابفروشی مرتضوی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محمدبن‌حسن،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تلخیص المحصل المعروف بنقد المحصل، بیروت، دار‌الاضواء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الاقتصاد فیما یتعلق بالاعتقاد، بیروت، دارالاضواء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حسن‌بن‌یوسف،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أجوبة المسائل المهنائیة، قم، خیام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الألفین، قم، هجرت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المراد فی شرح تجرید الاعتقاد، قم، مؤسسة النشر الإسلامی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الیقین فی أصول الدین، قم، بیدار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قربان‌نیا، ناصر،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جنگ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رواق اندیشه،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کاظمیِ‌شبّر، سید‌عبدالله،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الأصول الأصلیة و القواعد الشرعیة، قم، مکتبه المفید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محمد‌صالح،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الکافی، تهران، دار‌الکتب الإسلامیة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احمدبن‌سلیمان،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حقائق المعرفة فی علم الکلام، صنعاء، مؤسسة الإمام زید‌بن‌علی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بیروت، مؤسسة الوفاء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محمدی‌گیلانی، محمد،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تکملة شوراق الألهام، تهران، مکتب الأعلام الإسلامی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سید‌علی‌خان،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ریاض السالکین، قم، چاپ دفتر انتشارات اسلامی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قاضی نور‌الله،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و ازهاق الباطل، قم، مکتبة آیة‌الله المرعشی‌النجفی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قم، صدرا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الولایة فی القرآن، قم، مدرسة الإمام علی‌بن‌ابی‌طالب</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جهانی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 نسل جوان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موسوی‌زنجانی، سید‌ابراهیم،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 الإمامیة الإثنی عشریه، بیروت، مؤسسۀ الاعلمی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موسوی‌خمینی، روح‌الله،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الصلاة، تهران، مؤسسه تنظیم و نشر آثار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محمد‌حسن،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جواهر الکلام فی شرح شرائع الإسلام، قم، دفتر انتشارات اسلامی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اسحاق،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الیعقوبی، بی جا، دار‌الزهراء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علی‌بن‌احمد،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اسباب نزول القرآن، بیروت، دار‌الکتب العلمیه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منابعی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اند، برگرفته از نرم افزارهای مختلف علوم اسلامی مرکز تحقیقات کامپیوتری علوم اسلامی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است، مجموعه رسائل فلسفی می باشد که توسط انجمنی مخفی در قرن چهارم هجری در بصره وبغداد به نگارش در آمده واین مجموعه رسائل به نام نویسنده و اشخاص معین منتشر نگردیده بلکه به نام انجمن انتشار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دهخدا</w:t>
      </w:r>
      <w:r>
        <w:rPr>
          <w:rFonts w:eastAsia="IRNazanin" w:cs="IRNazanin"/>
          <w:color w:val="111111"/>
          <w:sz w:val="28"/>
          <w:szCs w:val="28"/>
          <w:rtl w:val="true"/>
          <w:lang w:bidi="fa-IR"/>
        </w:rPr>
        <w:t>)</w:t>
      </w:r>
      <w:bookmarkStart w:id="428" w:name="pg2643_21845"/>
    </w:p>
    <w:p>
      <w:pPr>
        <w:pStyle w:val="Heading2"/>
        <w:numPr>
          <w:ilvl w:val="1"/>
          <w:numId w:val="1"/>
        </w:numPr>
        <w:rPr/>
      </w:pPr>
      <w:bookmarkStart w:id="429" w:name="__RefHeading___Toc628179_1395250215"/>
      <w:bookmarkStart w:id="430" w:name="_Toc173"/>
      <w:bookmarkEnd w:id="428"/>
      <w:bookmarkEnd w:id="429"/>
      <w:r>
        <w:rPr>
          <w:rtl w:val="true"/>
        </w:rPr>
        <w:t xml:space="preserve">کلام اجتماعی </w:t>
      </w:r>
      <w:r>
        <w:rPr>
          <w:rtl w:val="true"/>
        </w:rPr>
        <w:t>(</w:t>
      </w:r>
      <w:r>
        <w:rPr>
          <w:rtl w:val="true"/>
        </w:rPr>
        <w:t>چیستی، خاستگاه و روی‌کرد</w:t>
      </w:r>
      <w:r>
        <w:rPr>
          <w:rtl w:val="true"/>
        </w:rPr>
        <w:t>)</w:t>
      </w:r>
      <w:bookmarkEnd w:id="430"/>
    </w:p>
    <w:p>
      <w:pPr>
        <w:pStyle w:val="Heading3"/>
        <w:numPr>
          <w:ilvl w:val="2"/>
          <w:numId w:val="1"/>
        </w:numPr>
        <w:rPr/>
      </w:pPr>
      <w:bookmarkStart w:id="431" w:name="__RefHeading___Toc628181_1395250215"/>
      <w:bookmarkStart w:id="432" w:name="_Toc174"/>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روح الله شاکری زواردهی</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مرضیه عبدلی مسینان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1393/02/21</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1393/03/30</w:t>
      </w:r>
    </w:p>
    <w:p>
      <w:pPr>
        <w:pStyle w:val="Heading3"/>
        <w:numPr>
          <w:ilvl w:val="2"/>
          <w:numId w:val="1"/>
        </w:numPr>
        <w:rPr/>
      </w:pPr>
      <w:bookmarkStart w:id="433" w:name="__RefHeading___Toc628183_1395250215"/>
      <w:bookmarkStart w:id="434" w:name="_Toc175"/>
      <w:bookmarkEnd w:id="433"/>
      <w:r>
        <w:rPr>
          <w:rtl w:val="true"/>
        </w:rPr>
        <w:t>چکیده</w:t>
      </w:r>
      <w:bookmarkEnd w:id="4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الهیات اجتماعیِ اسلامی است که به استنباط، تبیین و دفاع از آموزه‌های اعتقادی و دیدگاه‌های دینی در باب مسائل اجتماعی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در طول تاریخ و در سایه روی‌کرد حداکثری به دین، توجه همه‌جانبه‌ای به حضور دین در تمامی ابعاد زندگی اجتماعی بشر داشته‌اند؛ هرچند میراث اجتماعی آنان در قالب رشته مستقلی گنجانده نشد، چراکه این تحقیقات اجتماعی نخست در اروپا و آمریکا و در واکنش به شرایط اجتماعیِ غرب و مسیحیت، ظهور کرد و پس از آن در سایر سرزمین‌های اسلامی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اجتماعی در مقایسه با علوم اجتماعی دیگر، به دلیل ویژگی‌های ممتاز روش‌شناسی، جهان‌شناسی و انسان‌شناسی، در نظریه‌پردازی برای مسائل جامعه، قابلیت رشد و شکوفایی دارد</w:t>
      </w:r>
      <w:r>
        <w:rPr>
          <w:rFonts w:eastAsia="IRNazanin" w:cs="IRNazanin"/>
          <w:color w:val="111111"/>
          <w:sz w:val="28"/>
          <w:szCs w:val="28"/>
          <w:rtl w:val="true"/>
          <w:lang w:bidi="fa-IR"/>
        </w:rPr>
        <w:t>.</w:t>
      </w:r>
    </w:p>
    <w:p>
      <w:pPr>
        <w:pStyle w:val="Heading3"/>
        <w:numPr>
          <w:ilvl w:val="2"/>
          <w:numId w:val="1"/>
        </w:numPr>
        <w:rPr/>
      </w:pPr>
      <w:bookmarkStart w:id="435" w:name="__RefHeading___Toc628185_1395250215"/>
      <w:bookmarkStart w:id="436" w:name="_Toc176"/>
      <w:bookmarkEnd w:id="435"/>
      <w:r>
        <w:rPr>
          <w:rtl w:val="true"/>
        </w:rPr>
        <w:t>واژگان کلیدی</w:t>
      </w:r>
      <w:bookmarkEnd w:id="43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الهیات، اجتماع، الهیات اجتماعی، کلام اجتماعی</w:t>
      </w:r>
      <w:r>
        <w:rPr>
          <w:rFonts w:eastAsia="IRNazanin" w:cs="IRNazanin"/>
          <w:color w:val="111111"/>
          <w:sz w:val="28"/>
          <w:szCs w:val="28"/>
          <w:rtl w:val="true"/>
          <w:lang w:bidi="fa-IR"/>
        </w:rPr>
        <w:t>.</w:t>
      </w:r>
      <w:bookmarkStart w:id="437" w:name="pg2643_21847"/>
    </w:p>
    <w:p>
      <w:pPr>
        <w:pStyle w:val="Heading3"/>
        <w:numPr>
          <w:ilvl w:val="2"/>
          <w:numId w:val="1"/>
        </w:numPr>
        <w:rPr/>
      </w:pPr>
      <w:bookmarkStart w:id="438" w:name="__RefHeading___Toc628187_1395250215"/>
      <w:bookmarkStart w:id="439" w:name="_Toc177"/>
      <w:bookmarkEnd w:id="437"/>
      <w:bookmarkEnd w:id="438"/>
      <w:r>
        <w:rPr>
          <w:rtl w:val="true"/>
        </w:rPr>
        <w:t>بیان مسئله</w:t>
      </w:r>
      <w:bookmarkEnd w:id="439"/>
    </w:p>
    <w:p>
      <w:pPr>
        <w:pStyle w:val="BookText"/>
        <w:rPr/>
      </w:pPr>
      <w:r>
        <w:rPr>
          <w:rFonts w:ascii="IRNazanin" w:hAnsi="IRNazanin" w:eastAsia="IRNazanin"/>
          <w:color w:val="111111"/>
          <w:sz w:val="28"/>
          <w:sz w:val="28"/>
          <w:szCs w:val="28"/>
          <w:rtl w:val="true"/>
          <w:lang w:bidi="fa-IR"/>
        </w:rPr>
        <w:t>تاریخ حیات بشری، تأثیر مهم و همیشگی آموزه‌ها و تعالیم دینی را در عرصه‌های گوناگون اجتماعی گزارش می‌دهد و دین را قوی‌ترین و کارآمدترین پدیده اجتماعی، که هیچ تمدنی از آن خالی نبوده و بدون آن امکان بقای انسانی ندارد،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آموزه‌های اعتقادی دین و معارف الهی در شکل‌گیری و پویایی تمدن بشر، افزایش شعور اجتماعی، حفظ نوع انسانی، ساختن جامعه‌ای یک‌پارچه و نیز به عنوان مبنای عمل انسان‌ها در جامعه، نقش سازنده و بی‌بدیلی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دین و دنیا در آموزه‌های مسیحی به قدری است که ناگزیر، صورت‌بندی فلسفی مسائل اجتماعی در حیطه تنگِ آموزه‌های مسیحی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نفی دین، تقابل عقل و ایمان، سکولاریزاسیون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نوعی بیان‌گر این فاصله‌اند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آموزه‌های دین اسلام به دلیل جامعیت، جهان‌شمولی و جاودانگی برای تمامی عرصه‌های زندگی بشر، اعم از دنیوی، اخروی، فردی و اجتماعی زبانی گویا و هدایت‌گرند و بی‌تردید، این اعتقادات و باورهای دینی در حل معضلات، بهبود و ارتقای شرایط اجتماعیِ بشر امروز، نقش‌آفرین و راهنما هستند؛ از این رو، بر متألهان و دین‌شناسان لازم است که با ورود به صحنه واقعیت‌های اجتماعی و شناسایی معضلات و با بهره‌گیری هرچه بیشتر از متون نظری و اعتقادی دین، که نقش مبنایی در تغییر کنش و رفتارهای جمعی دارند، به ارائه نظر و راه‌کار صحیح دست یازند و زمینه طرح عملی، پذیرش و جریان این باورها در متن زندگی اجتماعی افراد را فراهم آورند؛ هم‌چنین با ایجاد زمینه مطالعات بین‌رشته‌ای چون کلام اجتماعی، به پویایی، تحول، بسط و توسعه علم کلام کمک کرده و گام‌های ارزش‌مندی در راستای بومی و اسلامی کردن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فرایند کلی اسلامی کردن علوم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مهم، نوشتار حاضر در پی ارائه شناختی اجمالی از کلام اجتماعی در قالب ذکر ویژگی‌ها، روی‌کرد و خاستگاه آن است تا ضمن نشان دادن ظرفیت مباحث کلامی در حوزه مباحث اجتماعی، نقطه آغازی برای ورود متکلمان به عرصه مطالعات اجتماعی و پژوهش‌های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کلام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معارف اعتقادی و دینی باشد</w:t>
      </w:r>
      <w:r>
        <w:rPr>
          <w:rFonts w:eastAsia="IRNazanin" w:cs="IRNazanin"/>
          <w:color w:val="111111"/>
          <w:sz w:val="28"/>
          <w:szCs w:val="28"/>
          <w:rtl w:val="true"/>
          <w:lang w:bidi="fa-IR"/>
        </w:rPr>
        <w:t>.</w:t>
      </w:r>
    </w:p>
    <w:p>
      <w:pPr>
        <w:pStyle w:val="Heading3"/>
        <w:numPr>
          <w:ilvl w:val="2"/>
          <w:numId w:val="1"/>
        </w:numPr>
        <w:rPr/>
      </w:pPr>
      <w:bookmarkStart w:id="440" w:name="__RefHeading___Toc628189_1395250215"/>
      <w:bookmarkStart w:id="441" w:name="_Toc178"/>
      <w:bookmarkEnd w:id="440"/>
      <w:r>
        <w:rPr>
          <w:rtl w:val="true"/>
        </w:rPr>
        <w:t>کلام</w:t>
      </w:r>
      <w:bookmarkEnd w:id="4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علم کلام، تعاریف متعددی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قراملکی،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تعریف‌ها ناظر به موضوعند، برخی دیگر ناظر به غایتند و</w:t>
      </w:r>
      <w:bookmarkStart w:id="442" w:name="pg2643_21849"/>
    </w:p>
    <w:p>
      <w:pPr>
        <w:pStyle w:val="BookText"/>
        <w:rPr/>
      </w:pPr>
      <w:bookmarkEnd w:id="442"/>
      <w:r>
        <w:rPr>
          <w:rFonts w:ascii="IRNazanin" w:hAnsi="IRNazanin" w:eastAsia="IRNazanin"/>
          <w:color w:val="111111"/>
          <w:sz w:val="28"/>
          <w:sz w:val="28"/>
          <w:szCs w:val="28"/>
          <w:rtl w:val="true"/>
          <w:lang w:bidi="fa-IR"/>
        </w:rPr>
        <w:t xml:space="preserve">برخی نیز بر پایه اسلوب و روش ویژه آن علم مطرح شدند؛ البته تعریف به موضوع از آن جهت که جامع‌تر و مانع‌تر است، کامل‌تر نیز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نگارنده، کامل‌ترین تعریف آن است که هر سه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روش و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توجه قرار گرفته باشد؛ از این رو، در تعریف علم کلام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به تبیین، اثبات و دفاع از عقاید دین و یا مذهبی با استفاده از روش‌های گوناگون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و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به پرسش‌ها و شبهات وارده پاسخ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کلام، نام‌های دیگری نیز بر این علم اطلاق می‌گردد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اصول‌الدین، الفقه الأکبر، التوحید و الصفات، اصول العقاید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هم‌چنین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لاهیجی،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مسیحیت معروف بوده و ترجمه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اخیراً در کلام اسلامی نیز رایج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Heading3"/>
        <w:numPr>
          <w:ilvl w:val="2"/>
          <w:numId w:val="1"/>
        </w:numPr>
        <w:rPr/>
      </w:pPr>
      <w:bookmarkStart w:id="443" w:name="__RefHeading___Toc628191_1395250215"/>
      <w:bookmarkStart w:id="444" w:name="_Toc179"/>
      <w:bookmarkEnd w:id="443"/>
      <w:r>
        <w:rPr>
          <w:rtl w:val="true"/>
        </w:rPr>
        <w:t>الهیات</w:t>
      </w:r>
      <w:bookmarkEnd w:id="444"/>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فارسی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موسوی بجنوردی و دیگران،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صدر حاج‌سید‌جوادی و دیگران،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دین‌شناسی، حکمت الهی، علم لاهوت، حکمت لاهوتی، یزدان‌شناسی، الهیات،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بریجانیان،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میشل،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که هیچ‌کدام معنای کامل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با توجه به ریشه این لفظ، مناسب‌ترین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پازوکی،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ادبیات برخی فیلسوفان نخستین، مثل ابن‌سینا </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ناصرخسرو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واژه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theolegia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مرکب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خدا 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گفتار و نظر، مشتق شده است؛ بدین روی، معنای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الهیات در</w:t>
      </w:r>
    </w:p>
    <w:p>
      <w:pPr>
        <w:pStyle w:val="BookText"/>
        <w:rPr/>
      </w:pPr>
      <w:r>
        <w:rPr>
          <w:rFonts w:ascii="IRNazanin" w:hAnsi="IRNazanin" w:eastAsia="IRNazanin"/>
          <w:color w:val="111111"/>
          <w:sz w:val="28"/>
          <w:sz w:val="28"/>
          <w:szCs w:val="28"/>
          <w:rtl w:val="true"/>
          <w:lang w:bidi="fa-IR"/>
        </w:rPr>
        <w:t xml:space="preserve">اصل، گفتار و نظر درباره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شجاعی‌زند،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theolegia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اولین بار در رساله جمهور افلاطون در وصف شاعرانی به کار رفته که تکوین عالم را بر بنیاد وجود خدایان</w:t>
      </w:r>
    </w:p>
    <w:p>
      <w:pPr>
        <w:pStyle w:val="BookText"/>
        <w:rPr/>
      </w:pPr>
      <w:r>
        <w:rPr>
          <w:rFonts w:ascii="IRNazanin" w:hAnsi="IRNazanin" w:eastAsia="IRNazanin"/>
          <w:color w:val="111111"/>
          <w:sz w:val="28"/>
          <w:sz w:val="28"/>
          <w:szCs w:val="28"/>
          <w:rtl w:val="true"/>
          <w:lang w:bidi="fa-IR"/>
        </w:rPr>
        <w:t>یا اوصاف خدایان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از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theolegia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theologike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انتزاع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ریاضی و طبیعی به مثابه اجزای فلسفه نظری، اطلاق کرد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Hastings</w:t>
      </w:r>
      <w:r>
        <w:rPr>
          <w:rFonts w:eastAsia="Times New Roman" w:cs="Times New Roman" w:ascii="Times New Roman" w:hAnsi="Times New Roman"/>
          <w:color w:val="111111"/>
          <w:sz w:val="28"/>
          <w:szCs w:val="28"/>
          <w:rtl w:val="true"/>
          <w:lang w:val="en-US" w:bidi="en-US"/>
        </w:rPr>
        <w:t>).</w:t>
      </w:r>
      <w:bookmarkStart w:id="445" w:name="pg2643_21851"/>
    </w:p>
    <w:p>
      <w:pPr>
        <w:pStyle w:val="Heading3"/>
        <w:numPr>
          <w:ilvl w:val="2"/>
          <w:numId w:val="1"/>
        </w:numPr>
        <w:rPr/>
      </w:pPr>
      <w:bookmarkStart w:id="446" w:name="__RefHeading___Toc628193_1395250215"/>
      <w:bookmarkStart w:id="447" w:name="_Toc180"/>
      <w:bookmarkEnd w:id="445"/>
      <w:bookmarkEnd w:id="446"/>
      <w:r>
        <w:rPr>
          <w:rtl w:val="true"/>
        </w:rPr>
        <w:t>الهیات اجتماعی</w:t>
      </w:r>
      <w:bookmarkEnd w:id="447"/>
    </w:p>
    <w:p>
      <w:pPr>
        <w:pStyle w:val="BookText"/>
        <w:rPr/>
      </w:pPr>
      <w:r>
        <w:rPr>
          <w:rFonts w:ascii="IRNazanin" w:hAnsi="IRNazanin" w:eastAsia="IRNazanin"/>
          <w:color w:val="111111"/>
          <w:sz w:val="28"/>
          <w:sz w:val="28"/>
          <w:szCs w:val="28"/>
          <w:rtl w:val="true"/>
          <w:lang w:bidi="fa-IR"/>
        </w:rPr>
        <w:t xml:space="preserve">الهیات، معنا و اقسام نظری و عملی متعدد و گسترده‌ای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فراتر از علم کلام و علوم اسلامی دیگر است و تنها برخی شاخه‌ها و فروع آن با پاره‌ای از علوم اسلامی، قرابت و تناسب دارد؛ برای مثال، الهیات کتاب مقدس با علوم و معارف قرآنی، الهیات تاریخی با تاریخ علم کلام، الهیات روحانی با تصوف و عرفان اسلامی، الهیات ادبی با اخلاق اسلامی، الهیات عقلی با 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عربی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اسلامی به کار رفته است و نباید آن را با کلام اسلامی یکسان تلقی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علم کلام با مفهومی که دارد، مختص اسلام بوده و سزاوار است کلام به همان صورت اصلی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استعمال و آورده شود، و الهیات نیز به مسیحیت اختصاص دارد که تاکنون معادل دقیقی برای آن در اسلام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رشته الهیات اسلامی که مجموعه‌ای از معارف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تفسیر، کلام، فقه و اخلاق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ترکیبی که وحدت اعتباری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تأسیس کرد که معادل تعریف غربی‌ها از الهیات و مرادف آن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پیشین،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الهیات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معرفتی ترکیبی است که از بخش‌های گوناگونی،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اجتماعی، تفسیر اجتماعی، کلام اجتماعی، فقه اجتماعی و اخلاق اجتماعی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نیز، هم متون دینی مربوط به اصل زندگی اجتماعی انسان است و هم لوازم، عوارض، تبعات و آثار ناشی از 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همسرگزینی، کار و تجارت، دولت و حکومت، تعلیم و تربیت و تبعیض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این رشته، متون دینی درجه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متون دینی درجه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شروح، توضیحات، تفاسیر و استنباط‌های محدثان، مفسران، متکلمان، فقیهان و عالمان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از این رو، حیات جمعی بشر و مسائل مربوط به آن ـ بدان‌گونه که در متون دینی و شیعی ما مطرح است ـ موضوع این رشته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طبعاً دارای وحدت اعتباری و انتزاعی است، نه ذاتی و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بی‌تا،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این رشته، ترکیبی است از روش‌های متداول و مرسوم در دانش‌های حدیث، تفسیر، کلام، فقه و اخلاق که هم به سلسله اسناد متون می‌پردازند و هم به تفسیر و تحلیل محتوای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هدف این دانش نیز همانند علم الهیات، دفاع از آموزه‌ها، مدعیات و تشریفات دینی است؛ یعنی اقناع و توجیه دین‌داران، توضیح، تبیین و تبلیغ مخاطبان و مغلوب کردن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تقی‌زاده‌داوری،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w:t>
      </w:r>
      <w:bookmarkStart w:id="448" w:name="pg2643_21853"/>
    </w:p>
    <w:p>
      <w:pPr>
        <w:pStyle w:val="Heading3"/>
        <w:numPr>
          <w:ilvl w:val="2"/>
          <w:numId w:val="1"/>
        </w:numPr>
        <w:rPr/>
      </w:pPr>
      <w:bookmarkStart w:id="449" w:name="__RefHeading___Toc628195_1395250215"/>
      <w:bookmarkStart w:id="450" w:name="_Toc181"/>
      <w:bookmarkEnd w:id="448"/>
      <w:bookmarkEnd w:id="449"/>
      <w:r>
        <w:rPr>
          <w:rtl w:val="true"/>
        </w:rPr>
        <w:t>کلام اجتماعی</w:t>
      </w:r>
      <w:bookmarkEnd w:id="450"/>
    </w:p>
    <w:p>
      <w:pPr>
        <w:pStyle w:val="BookText"/>
        <w:rPr/>
      </w:pPr>
      <w:r>
        <w:rPr>
          <w:rFonts w:ascii="IRNazanin" w:hAnsi="IRNazanin" w:eastAsia="IRNazanin"/>
          <w:color w:val="111111"/>
          <w:sz w:val="28"/>
          <w:sz w:val="28"/>
          <w:szCs w:val="28"/>
          <w:rtl w:val="true"/>
          <w:lang w:bidi="fa-IR"/>
        </w:rPr>
        <w:t>کلام اجتماعی، یکی از حوزه‌های مطالعاتیِ اندیشه اجتماعی و شاخه‌ای از الهیات اجتماعیِ اسلام است که به تبیین و توضیح آموزه‌های اعتقادی و دیدگاه‌های دینی درباره مسائل اجتماعی پرداخته و از آن‌ها در برابر دیدگاه‌ها و آموزه‌های رقیب دفاع می‌کند؛ در واقع، آن بخش از گزاره‌ها و مسائلی از کلام در سه حوزه خداشناسی، راهنماشناسی و فرجام‌شناسی که پی‌آمدهای مستقیم یا غیرمستقیم بر ابعاد اجتماعی انسان دارد و بر نوع منش و رفتار اجتماعی او و بر نهادهای جامعه اثرگذار است، در محدوده کلام اجتماعی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انگاره، برخی مباحث علم کلام را به چهار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عامه، کلام محض، کلام سیاسی و کلام اخلاقی تقسیم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این نوشتار با توجه به تعریف مختار از کلام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تعریف جامعه و نهادهای اجتماعیِ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آموزش و پرورش، تعلیم و تربیت، اقتصاد، سیاست، دین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آراسته‌خو،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فکوهی،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سیاسی و کلام اخلاقی هر دو از نمونه‌ها و مصادیق کلام اجتماعی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هر گونه بحث از شئون اجتماعی نبوت، امامت، دین، سیاست، حکومت، ایمان و نقش آن در سلامت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کلام اجتماعی جای خواهد گرفت</w:t>
      </w:r>
      <w:r>
        <w:rPr>
          <w:rFonts w:eastAsia="IRNazanin" w:cs="IRNazanin"/>
          <w:color w:val="111111"/>
          <w:sz w:val="28"/>
          <w:szCs w:val="28"/>
          <w:rtl w:val="true"/>
          <w:lang w:bidi="fa-IR"/>
        </w:rPr>
        <w:t>.</w:t>
      </w:r>
    </w:p>
    <w:p>
      <w:pPr>
        <w:pStyle w:val="Heading3"/>
        <w:numPr>
          <w:ilvl w:val="2"/>
          <w:numId w:val="1"/>
        </w:numPr>
        <w:rPr/>
      </w:pPr>
      <w:bookmarkStart w:id="451" w:name="__RefHeading___Toc628197_1395250215"/>
      <w:bookmarkStart w:id="452" w:name="_Toc182"/>
      <w:bookmarkEnd w:id="451"/>
      <w:r>
        <w:rPr>
          <w:rtl w:val="true"/>
        </w:rPr>
        <w:t>ویژگی های کلام اجتماعی در مقایسه با علوم اجتماعی</w:t>
      </w:r>
      <w:bookmarkEnd w:id="452"/>
    </w:p>
    <w:p>
      <w:pPr>
        <w:pStyle w:val="Heading4"/>
        <w:numPr>
          <w:ilvl w:val="3"/>
          <w:numId w:val="1"/>
        </w:numPr>
        <w:rPr/>
      </w:pPr>
      <w:bookmarkStart w:id="453" w:name="__RefHeading___Toc628199_1395250215"/>
      <w:bookmarkStart w:id="454" w:name="_Toc183"/>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 xml:space="preserve">بررسی آرا و اندیشه‌های متکلمان و الهی‌دانان اسلامی در مقایسه با اندیشمندان علوم اجتماعی، از وجود تفاوت اساسی در مبانی و تحلیل‌های آنان خبر می‌دهد؛ تفاوت در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روش‌شناسی، جهان‌شناسی و انسان‌شناسی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تنوع در آرای اجتماعی و تحلیل‌های آنان از پدیده‌های اجتماعی شده است که به اجمال به آن اشاره می‌کنیم</w:t>
      </w:r>
      <w:r>
        <w:rPr>
          <w:rFonts w:eastAsia="IRNazanin" w:cs="IRNazanin"/>
          <w:color w:val="111111"/>
          <w:sz w:val="28"/>
          <w:szCs w:val="28"/>
          <w:rtl w:val="true"/>
          <w:lang w:bidi="fa-IR"/>
        </w:rPr>
        <w:t>:</w:t>
      </w:r>
    </w:p>
    <w:p>
      <w:pPr>
        <w:pStyle w:val="Heading4"/>
        <w:numPr>
          <w:ilvl w:val="3"/>
          <w:numId w:val="1"/>
        </w:numPr>
        <w:rPr/>
      </w:pPr>
      <w:bookmarkStart w:id="455" w:name="__RefHeading___Toc628201_1395250215"/>
      <w:bookmarkStart w:id="456" w:name="_Toc184"/>
      <w:bookmarkEnd w:id="455"/>
      <w:r>
        <w:rPr>
          <w:rtl w:val="true"/>
        </w:rPr>
        <w:t>الف</w:t>
      </w:r>
      <w:r>
        <w:rPr>
          <w:rtl w:val="true"/>
        </w:rPr>
        <w:t xml:space="preserve">) </w:t>
      </w:r>
      <w:r>
        <w:rPr>
          <w:rtl w:val="true"/>
        </w:rPr>
        <w:t>روش شناسی</w:t>
      </w:r>
      <w:bookmarkEnd w:id="4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متکلمانِ مسلمان در کنار روش تجربی، روش تعقلی و وحیانی را نیز دارای اعتبار روایی دانسته و بر همین اساس، در بررسی جامعه و مسائل اجتماعی آن و روی‌کردهای اجتماعی خود، از آن سود جسته‌اند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ربانی‌گلپایگانی،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قراملکی،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مسئله به وضوح در آثار و آرای اندیشمندان اسلامی مشهود است؛ برخلاف اندیشمندان علوم اجتماعی که از علومی چون انسان‌شناسی و تاریخ، که یقینی نیستند،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امزیان،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متکلمی که از روش‌های علوم اجتماعی، مانند کارکردگرایی بهره می‌برد، تفاوت‌های اساسی با آنان دارد؛ برای نمونه، نگاه کارکردی جامعه‌شناسان در اوج</w:t>
      </w:r>
      <w:bookmarkStart w:id="457" w:name="pg2643_21855"/>
    </w:p>
    <w:p>
      <w:pPr>
        <w:pStyle w:val="BookText"/>
        <w:rPr/>
      </w:pPr>
      <w:bookmarkEnd w:id="457"/>
      <w:r>
        <w:rPr>
          <w:rFonts w:ascii="IRNazanin" w:hAnsi="IRNazanin" w:eastAsia="IRNazanin"/>
          <w:color w:val="111111"/>
          <w:sz w:val="28"/>
          <w:sz w:val="28"/>
          <w:szCs w:val="28"/>
          <w:rtl w:val="true"/>
          <w:lang w:bidi="fa-IR"/>
        </w:rPr>
        <w:t>خود، دین را به امری ابزاری و مصرفی فرومی‌کاهد و از ابعاد معرفتی و ماورای دینی غفلت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رادکلیف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مالنیوفسکی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سرچشمه‌های دین کاری نداریم، بلکه تنها با کارکردهای اجتماعی دین و نقش آن‌ها در شکل‌گیری و نگه داشتن نظم اجتماعی سروکار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منطق کارکردیِ کلام اجتماعی، که منطق جدید کارکردی با محوریت متون دینی به‌ویژه قرآن کریم است، پیش‌فرض‌هایی از قبیل نفی شناختاری بودن زبان دینی و نفی نظریه مطابقت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چند ویژگی این روش کارکردی که ملهم از متون دینی است، اشاره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استقلالی به کارکردهای دنیوی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جوادی‌آملی،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مصباح‌یزدی،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جعفری،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حقانیت بر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انسان‌های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نیازهای ثابت انسان و پیش‌گیری از نسبیت‌گرایی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سنت‌های حاکم بر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4"/>
        <w:numPr>
          <w:ilvl w:val="3"/>
          <w:numId w:val="1"/>
        </w:numPr>
        <w:rPr/>
      </w:pPr>
      <w:bookmarkStart w:id="458" w:name="__RefHeading___Toc628203_1395250215"/>
      <w:bookmarkStart w:id="459" w:name="_Toc185"/>
      <w:bookmarkEnd w:id="458"/>
      <w:r>
        <w:rPr>
          <w:rtl w:val="true"/>
        </w:rPr>
        <w:t>ب</w:t>
      </w:r>
      <w:r>
        <w:rPr>
          <w:rtl w:val="true"/>
        </w:rPr>
        <w:t xml:space="preserve">) </w:t>
      </w:r>
      <w:r>
        <w:rPr>
          <w:rtl w:val="true"/>
        </w:rPr>
        <w:t>جهان شناسی</w:t>
      </w:r>
      <w:bookmarkEnd w:id="459"/>
    </w:p>
    <w:p>
      <w:pPr>
        <w:pStyle w:val="BookText"/>
        <w:rPr/>
      </w:pPr>
      <w:r>
        <w:rPr>
          <w:rFonts w:ascii="IRNazanin" w:hAnsi="IRNazanin" w:eastAsia="IRNazanin"/>
          <w:color w:val="111111"/>
          <w:sz w:val="28"/>
          <w:sz w:val="28"/>
          <w:szCs w:val="28"/>
          <w:rtl w:val="true"/>
          <w:lang w:bidi="fa-IR"/>
        </w:rPr>
        <w:t>متفکران مسلمان، جهان‌بینی اسلامی و بر اساس آن، نقش عوامل ماورائی را در جهان و سامان‌دهی آن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این اندیشمندان از آغاز و انجام جهان و عناصر مؤثر و نقش‌آفرینی در آن دارند، به کلی با دیدگاه اکثر صاحب‌نظران جامعه‌شناسی و علوم اجتماعیِ غربی متفاوت است و این تفاوتِ در تفسیر، در تحلیل‌های اجتماعی آن‌ها نیز نمایان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طرز تفکرشان درباره حقیقت زندگی انسان در دنیا این است که صرفاً موجودی هستند مادی و نیز در جهان، اسبابی جز اسباب مادی که یکی پس از دیگری موجود می‌شود و سپس تباه می‌گردد نیست، وقتی می‌خواهند برای اجتماع خود سنت‌هایی مقرر کنند، طوری آن را مقرر می‌کنند که تنها لذایذ و کمالات محسوس و مادی‌شان را تأمین کند؛ اما مردمی که معتقدند عالَم، صنع خداست و علاوه بر اعتقاد به مبدأ، معتقد به معاد هم هستند وقتی می‌خواهند برای زندگی دنیایی خود اساسی بریزند، طوری آن را پایه‌ریزی می‌کنند که هم در دنیا سعادت‌مند باشند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صورت و شکل زندگی، با اختلاف در اصل اعتقادی و طرز تفکر در حقیقت عالم و حقیقت انسانی که جزئی از آن است، گوناگون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bookmarkStart w:id="460" w:name="pg2643_21856"/>
    </w:p>
    <w:p>
      <w:pPr>
        <w:pStyle w:val="Heading4"/>
        <w:numPr>
          <w:ilvl w:val="3"/>
          <w:numId w:val="1"/>
        </w:numPr>
        <w:rPr/>
      </w:pPr>
      <w:bookmarkStart w:id="461" w:name="__RefHeading___Toc628205_1395250215"/>
      <w:bookmarkStart w:id="462" w:name="_Toc186"/>
      <w:bookmarkEnd w:id="460"/>
      <w:bookmarkEnd w:id="461"/>
      <w:r>
        <w:rPr>
          <w:rtl w:val="true"/>
        </w:rPr>
        <w:t>ج</w:t>
      </w:r>
      <w:r>
        <w:rPr>
          <w:rtl w:val="true"/>
        </w:rPr>
        <w:t xml:space="preserve">) </w:t>
      </w:r>
      <w:r>
        <w:rPr>
          <w:rtl w:val="true"/>
        </w:rPr>
        <w:t>انسان شناسی</w:t>
      </w:r>
      <w:bookmarkEnd w:id="462"/>
    </w:p>
    <w:p>
      <w:pPr>
        <w:pStyle w:val="BookText"/>
        <w:rPr/>
      </w:pPr>
      <w:r>
        <w:rPr>
          <w:rFonts w:ascii="IRNazanin" w:hAnsi="IRNazanin" w:eastAsia="IRNazanin"/>
          <w:color w:val="111111"/>
          <w:sz w:val="28"/>
          <w:sz w:val="28"/>
          <w:szCs w:val="28"/>
          <w:rtl w:val="true"/>
          <w:lang w:bidi="fa-IR"/>
        </w:rPr>
        <w:t xml:space="preserve">همه نظام‌های اجتماعی و اخلاقی، در صورتی از پشتوانه لازم برخوردار خواهند بود که به حلّ درست و روشن پاره‌ای از مسائل اساسیِ انسان‌شناختی که مبنای آن نظام‌ها را تشکیل می‌دهد، دست یافته باشند؛ در واقع، دلیل وجودی نظام‌ها و نهادهای اجتماعی، برآوردن نیازهای اساسی انسان است و در صورتی که نیازهای اصیل انسانی از نیازهای کاذب بازشناسی نشود و نظام‌های اجتماعی و اخلاقی بر اساس نیازهای واقعی و اصیل انسان و متناسب با هدف نهایی او پایه‌ریزی نگردد، این نظام‌ها پشتوانه منطقی و معقول نخواهند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قلمرو و سوگیری علوم انسانی و تحقیقات اجتماعی نیز با پاره‌ای از مباحث انسان‌شناسی، پیوندی ناگسستنی دارند؛ برای مثال، اگر در انسان‌شناسی، روح مجردِ انسان را یک‌سره منکر شویم یا پایان زندگانیِ این‌جهانی هر انسان را به معنای پایان یافتن و نیست شدن وی بدانیم، تحقیقات انسانی به سوی ابعاد مادی انسان سوگیری می‌کنند؛ اما اگر روح به منزله عنصر اصلی سازنده هویت انسان مطرح باشد، هم جهت تحقیقات به سوی ابعاد غیرمادی و عناصر ماورایی مؤثر در زندگی انسان و تأثیر و تأثر روح و بدن خواهد بود و هم نوعی تبیین غیرمادی یا آمیخته‌ای از مادی و غیرمادی در علوم انسانی مطرح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مصباح‌یزدی،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متفکران مسلمان، انسان را مرکب از جسم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انسان را همان روح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آن‌ها، انسان موجودی هدف‌مند است که با اراده و اختیار خود می‌تواند به آن هدف، یعنی سعادت دست یابد، یا این‌که از آن هدف دور شود و به بدبختی و شقاوت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دیگر، انسان موجودی راحت‌طلب و زیاده‌خواه است که رفتار او را باید به انضباط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شیوه برای برقراری نظم و کنترل زیاده‌خواهی انسان وجود دارد؛ یکی وضع قوانین و دیگری جامعه‌پذیری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شیوه اول در همه موارد کارآیی ندارد؛ تنها شیوه دوم است که قادر به کنترل کنش‌ها‌ی انسان در ظاهر و باطن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انسان موجودی اجتماعی است و بدون اجتماع قادر نیست به تکامل و اهداف بلند خود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انسانیِ فرد، از درون او و با تحریک</w:t>
      </w:r>
      <w:bookmarkStart w:id="463" w:name="pg2643_21858"/>
    </w:p>
    <w:p>
      <w:pPr>
        <w:pStyle w:val="BookText"/>
        <w:rPr/>
      </w:pPr>
      <w:bookmarkEnd w:id="463"/>
      <w:r>
        <w:rPr>
          <w:rFonts w:ascii="IRNazanin" w:hAnsi="IRNazanin" w:eastAsia="IRNazanin"/>
          <w:color w:val="111111"/>
          <w:sz w:val="28"/>
          <w:sz w:val="28"/>
          <w:szCs w:val="28"/>
          <w:rtl w:val="true"/>
          <w:lang w:bidi="fa-IR"/>
        </w:rPr>
        <w:t>محرک خارجی از قوه به فعل می‌آید؛ البته محرک واقعی و اصیل همانا عنایت الهی است، ولی علل و عوامل مباشر و قریب، اموری دیگرند؛ یعنی بر مبنای صدراییون، هویت انسانی با تأثیر علل و عوامل خارجی از گوهر ذات او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محرک بیرونی می‌تواند فرد دیگر یا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می‌تواند معصوم یا غیرمعصوم، عادل یا غیرعادل و آن جامعه می‌تواند فاضله یا غیرفاضله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متفکران غربی چون دورکیم، انسان موجودی دو‌بعدی است؛ بدن، امیال و اشتها یک بُعد و شخصیت اجتماعی، بُعد دیگر اوست؛ البته بُعد اصیل او، همین شخصیت اجتماعی است، چراکه انسان تنها در بُعد اجتماعی صورت انسانی به خود می‌گیرد و تنها از طریق جامعه، انسان به معنای کامل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کوزر،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انسان نیست، مگر این‌که متمدن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متمدن شدن انسان هم در جامعه و از طریق جامعه صورت می‌گیرد؛ یعنی اگر انسان در جامعه نبود، حیوانی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جامعه است که حیوانیت بشر به مقام انسانی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بر این باور است که انسانِ فردی، انسان تمایلات است؛ از این رو، نخستین ضرورت اخلاق و جامعه، ضرورت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 دارد تحت انضباط نیرویی برتر، مقتدر و شایسته دوست داشتن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 که هم مسلط بر فرد و هم جلب‌کننده اوست، چیزی جز خود جامعه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فطرت، دو‌بعدی دانستن انسان و نقش عوامل روحی در رفتار او، عناصر سازنده شخصیت در دیدگاه متکلمان مسلمان، آزادی و اختیار انسان و چگونگی ایجاد وفاق بین این عناصر، از جمله مبانی انسان‌شناختی متفکران مسلمان است که لوازم خاص خود را در آرای اجتماعی آنان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464" w:name="__RefHeading___Toc628207_1395250215"/>
      <w:bookmarkStart w:id="465" w:name="_Toc187"/>
      <w:bookmarkEnd w:id="464"/>
      <w:r>
        <w:rPr>
          <w:rtl w:val="true"/>
        </w:rPr>
        <w:t>خاستگاه کلام اجتماعی</w:t>
      </w:r>
      <w:bookmarkEnd w:id="46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فرضیه این نوشتار، خاستگاه کلام اجتماعیِ صریح، الهیات اجتماعیِ غرب است؛ از این رو، شایسته است ابتدا سابقه الهیات اجتماعی در غرب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به دو شیوه می‌توان به پیشینه الهیات اجتماعی پرداخت که هر یک از آن‌ها امتیازات خاص خود را دارد؛ شیوه نخست که بر اساس آن می‌توان به بررسی الهیات اجتماعی بدون عنوان پرداخت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اجتماعی ضمنی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Implicit social 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می بریم؛ یعنی می‌توان با محوریتِ مباحث مربوط به مسائل اجتماعی، نظیر سیاست، اقتصاد،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الهیات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بسیاری از الهی‌دانانی که در‌باره این مسائل قلم‌فرسایی کرده‌اند، خودشان</w:t>
      </w:r>
      <w:bookmarkStart w:id="466" w:name="pg2643_21860"/>
    </w:p>
    <w:p>
      <w:pPr>
        <w:pStyle w:val="BookText"/>
        <w:rPr/>
      </w:pPr>
      <w:bookmarkEnd w:id="466"/>
      <w:r>
        <w:rPr>
          <w:rFonts w:ascii="IRNazanin" w:hAnsi="IRNazanin" w:eastAsia="IRNazanin"/>
          <w:color w:val="111111"/>
          <w:sz w:val="28"/>
          <w:sz w:val="28"/>
          <w:szCs w:val="28"/>
          <w:rtl w:val="true"/>
          <w:lang w:bidi="fa-IR"/>
        </w:rPr>
        <w:t>متوجه این عنوان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دوم که بر اساس آن می‌توان به بررسی این نکته پرداخت که چگونه الهی‌دانان پی بردند باید به مسائل اجتماعیِ جوامع مدرن به عنوان بخشی از پژوهش‌های الهیاتی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الهیاتی اجتماعی صریح</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Explicit social 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لنگهاوسن،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467" w:name="__RefHeading___Toc628209_1395250215"/>
      <w:bookmarkStart w:id="468" w:name="_Toc188"/>
      <w:bookmarkEnd w:id="467"/>
      <w:r>
        <w:rPr>
          <w:rtl w:val="true"/>
        </w:rPr>
        <w:t>الهیات اجتماعی غرب</w:t>
      </w:r>
      <w:bookmarkEnd w:id="468"/>
    </w:p>
    <w:p>
      <w:pPr>
        <w:pStyle w:val="BookText"/>
        <w:rPr/>
      </w:pPr>
      <w:r>
        <w:rPr>
          <w:rFonts w:ascii="IRNazanin" w:hAnsi="IRNazanin" w:eastAsia="IRNazanin"/>
          <w:color w:val="111111"/>
          <w:sz w:val="28"/>
          <w:sz w:val="28"/>
          <w:szCs w:val="28"/>
          <w:rtl w:val="true"/>
          <w:lang w:bidi="fa-IR"/>
        </w:rPr>
        <w:t>هم‌زمان با گسترش علوم اجتماعی در قرن نوزدهم، الهی‌دانان در صدد استفاده از شیوه‌های این علوم برای پژوهش درباره نقش مسیحیت در جامعه برآمدند و در این کار، مسیر الهیاتیِ عملی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هنجاری که با تحقیقات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شده بود، ناظر به چگونگی کارکرد کلیسا در جامعه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Hetink,1999: 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واقع، تلاش آشکار و صریح برای بررسی ارتباط مسائل اجتماعی با اصول الهیاتی، کانون توجه اصلی الهی‌دانان قرن نوزدهم گردید؛ گرچه می‌توان الهیات اجتماعی را موضوع ضمنی عمده در دوره نهضت اصلاح دینی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این‌گونه فرضیه‌سازی کرد که الهیات اجتماعی صریح، در قرن نوزدهم در اروپا و آمریکا ظهور کرد که تلاشی بود برای ارائه چشم‌انداز مسیحی درباره مسائلی که جامعه‌شناسان پیش‌تر مطرح کرده بودند</w:t>
      </w:r>
      <w:r>
        <w:rPr>
          <w:rFonts w:eastAsia="IRNazanin" w:cs="IRNazanin"/>
          <w:color w:val="111111"/>
          <w:sz w:val="28"/>
          <w:szCs w:val="28"/>
          <w:rtl w:val="true"/>
          <w:lang w:bidi="fa-IR"/>
        </w:rPr>
        <w:t>.</w:t>
      </w:r>
    </w:p>
    <w:p>
      <w:pPr>
        <w:pStyle w:val="Heading3"/>
        <w:numPr>
          <w:ilvl w:val="2"/>
          <w:numId w:val="1"/>
        </w:numPr>
        <w:rPr/>
      </w:pPr>
      <w:bookmarkStart w:id="469" w:name="__RefHeading___Toc628211_1395250215"/>
      <w:bookmarkStart w:id="470" w:name="_Toc189"/>
      <w:bookmarkEnd w:id="469"/>
      <w:r>
        <w:rPr>
          <w:rtl w:val="true"/>
        </w:rPr>
        <w:t>نهضت اصلاح دین</w:t>
      </w:r>
      <w:bookmarkEnd w:id="470"/>
    </w:p>
    <w:p>
      <w:pPr>
        <w:pStyle w:val="BookText"/>
        <w:rPr/>
      </w:pPr>
      <w:r>
        <w:rPr>
          <w:rFonts w:ascii="IRNazanin" w:hAnsi="IRNazanin" w:eastAsia="IRNazanin"/>
          <w:color w:val="111111"/>
          <w:sz w:val="28"/>
          <w:sz w:val="28"/>
          <w:szCs w:val="28"/>
          <w:rtl w:val="true"/>
          <w:lang w:bidi="fa-IR"/>
        </w:rPr>
        <w:t xml:space="preserve">مارتین لوتر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روحانی اصلاح‌گرای مشهور و پایه‌گذار کلیساهای لوتری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اصلاح دینِ لوتر، حرکتی اجتماعی و سیاسی بود که شعار جنگی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نهضت، کتب مربوط به قانون کلیسای کاتولیک به آتش کشیده شدند، محاکم کلیسایی بسته شدند، صومعه‌ها مصادره و اراضی کلیسا ضبط شدند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Witte, 2004: 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طرف‌داران نهضت اصلاح دین، در واکنش به بی‌قانونی‌ای که با شیوع نهضت اصلاح دین و بسته شدن سازمان‌های مربوط به کلیسا ظهور یافته بود، در صدد بازسازی حقوق مدنی بر اساس برداشت خود از تعالیم دینی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دینی لوتری، از اعتراض الهیاتی به سمت اصلاح قانونی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کالوین </w:t>
      </w:r>
      <w:r>
        <w:rPr>
          <w:rFonts w:eastAsia="IRNazanin" w:cs="IRNazanin"/>
          <w:color w:val="111111"/>
          <w:sz w:val="28"/>
          <w:szCs w:val="28"/>
          <w:rtl w:val="true"/>
          <w:lang w:bidi="fa-IR"/>
        </w:rPr>
        <w:t>(</w:t>
      </w:r>
      <w:r>
        <w:rPr>
          <w:rFonts w:eastAsia="IRNazanin" w:cs="IRNazanin"/>
          <w:color w:val="111111"/>
          <w:sz w:val="28"/>
          <w:szCs w:val="28"/>
          <w:lang w:bidi="fa-IR"/>
        </w:rPr>
        <w:t>1509</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اصلاح‌گرا و الهی‌دان پروتستان فرانسوی است که اندیشه‌هایش نفوذ گسترده‌ای در نهاد کلیسا، جامعه مسیحیت و محافل علمی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دغدغه‌های اجتماعی کالوین که به تعبیر جان هیک، نخستین و بزرگ‌ترین نظام‌ساز الهیاتِ اصلاح شده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Hick,1967,v:3,p:166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یافتن راه‌حل‌هایی برای مسائل اجتماعی گوناگون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bookmarkStart w:id="471" w:name="pg2643_21862"/>
    </w:p>
    <w:p>
      <w:pPr>
        <w:pStyle w:val="BookText"/>
        <w:rPr/>
      </w:pPr>
      <w:bookmarkEnd w:id="471"/>
      <w:r>
        <w:rPr>
          <w:rFonts w:ascii="IRNazanin" w:hAnsi="IRNazanin" w:eastAsia="IRNazanin"/>
          <w:color w:val="111111"/>
          <w:sz w:val="28"/>
          <w:sz w:val="28"/>
          <w:szCs w:val="28"/>
          <w:rtl w:val="true"/>
          <w:lang w:bidi="fa-IR"/>
        </w:rPr>
        <w:t xml:space="preserve">اندیشه‌های او در این زمینه، نگاه مثبت به تشکیل دولتی بود که بر اساس قوانین برآمده از کتاب مقدس به اداره جامعه بپردازد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See: Calvin</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628213_1395250215"/>
      <w:bookmarkStart w:id="473" w:name="_Toc190"/>
      <w:bookmarkEnd w:id="472"/>
      <w:r>
        <w:rPr>
          <w:rtl w:val="true"/>
        </w:rPr>
        <w:t>پارسایی گرایی</w:t>
      </w:r>
      <w:r>
        <w:rPr>
          <w:rtl w:val="true"/>
        </w:rPr>
        <w:t>(</w:t>
      </w:r>
      <w:r>
        <w:rPr/>
        <w:t>pietism</w:t>
      </w:r>
      <w:r>
        <w:rPr>
          <w:rtl w:val="true"/>
        </w:rPr>
        <w:t>)</w:t>
      </w:r>
      <w:bookmarkEnd w:id="473"/>
    </w:p>
    <w:p>
      <w:pPr>
        <w:pStyle w:val="BookText"/>
        <w:rPr/>
      </w:pPr>
      <w:r>
        <w:rPr>
          <w:rFonts w:ascii="IRNazanin" w:hAnsi="IRNazanin" w:eastAsia="IRNazanin"/>
          <w:color w:val="111111"/>
          <w:sz w:val="28"/>
          <w:sz w:val="28"/>
          <w:szCs w:val="28"/>
          <w:rtl w:val="true"/>
          <w:lang w:bidi="fa-IR"/>
        </w:rPr>
        <w:t xml:space="preserve">مهم‌ترین جنبش اصلاحی در پروتستانتنیسم پس از نهضت اصلاح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فیلیپ یاکوپ اسپنسر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Philiph Yakob Spenser, 1635-1705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آگوست ها‌رمن فرانکی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August Hermann Francke, 1663-1727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بنیان‌گذار این جنبش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جنبش با تأکید بر زندگی عبادی آغاز شد، شکل جنبش اصلاحی اجتماعی را نیز به خود گرفت و پارسایی‌گرایان، پیشرفت‌های خوبی در کم کردن گرفتاری فقرا، ایجاد رفاه، تعلیم و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اسپنسر در کتاب خواسته‌ها‌ی پارسایی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Pia Desideria, 1675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نیاز مسیحیت به نفوذ در قلوب مردم تأکید و استدلال کرد که نباید دغدغه چندانی در‌باره عقاید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پارساگرایان نه تنها به ایمان شخصی، بلکه به مسئولیت اجتماعی جامعه مسیحی و خدماتی که شمّاسان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مقامات عالی روحانی در مسیحیت، نظیر کشیش و 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ارائه می‌کردند نیز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اجتماعی، مشخصه کارهای پارسا‌گرایان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پارسایی‌گرایان با طرف‌داران عصر روشنگری در آرمان‌های تساوی‌گرایانه، اشتراک نظر داشتند؛ هرچند ارتباط آن‌ها و اندیشمندان عصر روشنگری غالباً پرتلاطم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See: Sassen, 2008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628215_1395250215"/>
      <w:bookmarkStart w:id="475" w:name="_Toc191"/>
      <w:bookmarkEnd w:id="474"/>
      <w:r>
        <w:rPr>
          <w:rtl w:val="true"/>
        </w:rPr>
        <w:t>جنبش انجیل اجتماعی</w:t>
      </w:r>
      <w:bookmarkEnd w:id="47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آمریکا نیز الهیات اجتماعی پروتستان، عمدتاً از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انجیل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آن‌که این جنبش در چرخشی که الهیات لیبرال در آمریکا به سمت مسائل اجتماعی پیدا کرد، برجسته بود، اعضای آن‌ها تنها الهی‌دانان پروتستانی این عصر نبودند که الهیات اجتماعی را شرح و بسط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نیمه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به گونه‌ای است که می‌توان الهی‌دانان پروتستان لیبرال را به دو دسته تقسیم کرد؛ نخست کسانی که حامی نوعی ایدئالیسم هستند و دوم، کسانی که می‌توان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الهی‌دانان اجتماعی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Social theologians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dorrien, 2003: 12-13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البته در این میان، الهی‌دانانی هم بودند که هر دو نحله را داشتند و نیز الهی‌دانانی که به هیچ‌یک از این دو نحله پای‌بند نبودند، اما با این حال تقسیم مزبور بی‌پایه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انجیل اجتماعی، از میان جریان‌های گوناگون در الهیات مسیحی اواخر قرن نوزدهم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کانون تمرکز خود را پادشاهی خدا و دگرگونی افراد و نیز جامعه قرار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جامعه‌گرایان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امر اثرگذار بودند</w:t>
      </w:r>
      <w:r>
        <w:rPr>
          <w:rFonts w:eastAsia="IRNazanin" w:cs="IRNazanin"/>
          <w:color w:val="111111"/>
          <w:sz w:val="28"/>
          <w:szCs w:val="28"/>
          <w:rtl w:val="true"/>
          <w:lang w:bidi="fa-IR"/>
        </w:rPr>
        <w:t>.</w:t>
      </w:r>
      <w:bookmarkStart w:id="476" w:name="pg2643_21864"/>
    </w:p>
    <w:p>
      <w:pPr>
        <w:pStyle w:val="BookText"/>
        <w:rPr/>
      </w:pPr>
      <w:bookmarkEnd w:id="476"/>
      <w:r>
        <w:rPr>
          <w:rFonts w:ascii="IRNazanin" w:hAnsi="IRNazanin" w:eastAsia="IRNazanin"/>
          <w:color w:val="111111"/>
          <w:sz w:val="28"/>
          <w:sz w:val="28"/>
          <w:szCs w:val="28"/>
          <w:rtl w:val="true"/>
          <w:lang w:bidi="fa-IR"/>
        </w:rPr>
        <w:t>صرف‌نظر از این‌که کسانی با جنبش انجیل اجتماعی موافق بودند یا نه، شکی نیست که این جنبش در تحقق آگاهی به ضرورت پرداختن الهی‌دانان به مسائل اجتماعی، نقش مهمی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عموماً به سه دوره تقسیم شده است؛ در خلال دوره شکل‌گیری، یعنی دهه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ایده‌های اساسی آن با توجه به مباحث جامعه‌گرایان و اصلاح‌گرایان اروپایی معرفی شد، در خلال دهه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پایه‌ریزی شد و بیشتر پذیرای ایده‌ها‌ی جامعه‌گرایان مسیحی شد و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 از اصلاحات پیشرفتی حمایت کرد و مواضع برجسته‌ای در فرقه‌های دینی گوناگون اتخاذ کرد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Kloppenberg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 الهیاتی عمده جنبش انجیل اجتماعی را باید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رواشنباخ</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Ranschenbusch,1977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جست، اما نخستین کاربست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یک کتاب، مربوط به کتابی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Hyde, 1895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هاید به جنبش انجیل اجتماعی و یا راوشنباخ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هاید با عنوان رئوس مطالب الهیات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Outlinesof Social Theology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الهیاتی، بخش انسان‌شناختی و بخش 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نیز متشکل از فصولی است و هاید تبیین می‌کند که کلیسا وظیفه دارد اعضای خود را برای تحقق پادشاهی خدا آماده کند و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امر آن است که کلیسا، الهام‌بخش و هدایت‌بخش خدمات اجتماعی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See:Hyde,1895, 219-220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مرور و بررسی موردی و اجمالی که در این‌جا از الهیات اجتماعی پروتستان ارائه شد، تا حدودی روشن گردید که الهیات اجتماعی صریحِ نخست در اروپا و آمریکا و سپس در ایران و سایر سرزمین‌های اسلامی ظهور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لنگهاوسن،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لنگهاوسن،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477" w:name="__RefHeading___Toc628217_1395250215"/>
      <w:bookmarkStart w:id="478" w:name="_Toc192"/>
      <w:bookmarkEnd w:id="477"/>
      <w:r>
        <w:rPr>
          <w:rtl w:val="true"/>
        </w:rPr>
        <w:t>پیشینه کلام اجتماعی در اسلام</w:t>
      </w:r>
      <w:bookmarkEnd w:id="47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پیشینه کلام اجتماعی نیز چنان‌که درباره الهیات اجتماعی گذشت، باید این نکته مدنظر قرار گیرد که اگر اندیشمندان و متفکران اسلامی و از میان آنان الهی‌دانان اسلامی در زمینه مسائل اجتماعی،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حکومت، اقتصاد،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قلم‌فرسایی کرده‌اند، هیچ‌گاه عنوان خاصی برای آن انتخاب نکرده و توجهی به این مطلب نداشتند که کار و پژوهش آن‌ها در قالب رشته‌ای بگنجد که ممکن است الهیات اجتماعی اسلامی یا کلام اجتماعی نامیده شود و البته سبک، شیوه و نوع مسائلی که به آن‌ها پرداخته شده، در طول زمان متفاوت و فراز و نشیب‌هایی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مباحث مطرح‌شده میان متقدمان، حول محور شئون اجتماعیِ نبوت، امامت، سیاست و حکومت است؛ برای نمونه،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طیفی از مسائل</w:t>
      </w:r>
      <w:bookmarkStart w:id="479" w:name="pg2643_21866"/>
    </w:p>
    <w:p>
      <w:pPr>
        <w:pStyle w:val="BookText"/>
        <w:rPr/>
      </w:pPr>
      <w:bookmarkEnd w:id="479"/>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امامت، عدالت، تقیه، امر به معروف و نهی از منکر، مشارکت در دولت ظالمان و مساعدت با آن‌ها را در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اعتقادیه، تصحیح الأعتقادات الامامیه و اوائل المقالات خود مطرح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مفید، بی تا، 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نخستین و مهم‌ترین نمونه‌ها‌ی مباحث کلام اجتماعیِ صریح را از قرن نوزدهم به بعد تحت تأثیر شرایط اجتماعی غرب، در آثاری از سید‌جمال‌الدین اسد‌آبادی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العروۀ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اقبال لاهوری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فکر دینی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آن در عصر حاضر را نیز می‌توان در آثار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جست‌وجو کرد؛ برای نمونه می‌توان به مباحثی اجتماعی از تفسیر المیزان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و برادری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حیات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علامه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صراحت، به بحث از مسائل اجتماعی می‌پردازد</w:t>
      </w:r>
      <w:r>
        <w:rPr>
          <w:rFonts w:eastAsia="IRNazanin" w:cs="IRNazanin"/>
          <w:color w:val="111111"/>
          <w:sz w:val="28"/>
          <w:szCs w:val="28"/>
          <w:rtl w:val="true"/>
          <w:lang w:bidi="fa-IR"/>
        </w:rPr>
        <w:t>.</w:t>
      </w:r>
    </w:p>
    <w:p>
      <w:pPr>
        <w:pStyle w:val="Heading3"/>
        <w:numPr>
          <w:ilvl w:val="2"/>
          <w:numId w:val="1"/>
        </w:numPr>
        <w:rPr/>
      </w:pPr>
      <w:bookmarkStart w:id="480" w:name="__RefHeading___Toc628219_1395250215"/>
      <w:bookmarkStart w:id="481" w:name="_Toc193"/>
      <w:bookmarkEnd w:id="480"/>
      <w:r>
        <w:rPr>
          <w:rtl w:val="true"/>
        </w:rPr>
        <w:t>رویکردهای کلام اجتماعی</w:t>
      </w:r>
      <w:bookmarkEnd w:id="481"/>
    </w:p>
    <w:p>
      <w:pPr>
        <w:pStyle w:val="Heading4"/>
        <w:numPr>
          <w:ilvl w:val="3"/>
          <w:numId w:val="1"/>
        </w:numPr>
        <w:rPr/>
      </w:pPr>
      <w:bookmarkStart w:id="482" w:name="__RefHeading___Toc628221_1395250215"/>
      <w:bookmarkStart w:id="483" w:name="_Toc194"/>
      <w:bookmarkEnd w:id="482"/>
      <w:r>
        <w:rPr>
          <w:rtl w:val="true"/>
        </w:rPr>
        <w:t>اشاره</w:t>
      </w:r>
      <w:bookmarkEnd w:id="483"/>
    </w:p>
    <w:p>
      <w:pPr>
        <w:pStyle w:val="BookText"/>
        <w:rPr/>
      </w:pPr>
      <w:r>
        <w:rPr>
          <w:rFonts w:ascii="IRNazanin" w:hAnsi="IRNazanin" w:eastAsia="IRNazanin"/>
          <w:color w:val="111111"/>
          <w:sz w:val="28"/>
          <w:sz w:val="28"/>
          <w:szCs w:val="28"/>
          <w:rtl w:val="true"/>
          <w:lang w:bidi="fa-IR"/>
        </w:rPr>
        <w:t>از آن‌جا که آموزه‌های کلام اجتماعی، بخشی از آموزه‌های دین است، دیدگاه‌های اساسی درباره آن نیز مانند روی‌کرد‌های گوناگون درباره دین، به دو دیدگاه مثبت و منفی و در دیدگاه مثبت به دو دیدگاه حداقلی و حداکثری قابل تفکیک است</w:t>
      </w:r>
      <w:r>
        <w:rPr>
          <w:rFonts w:eastAsia="IRNazanin" w:cs="IRNazanin"/>
          <w:color w:val="111111"/>
          <w:sz w:val="28"/>
          <w:szCs w:val="28"/>
          <w:rtl w:val="true"/>
          <w:lang w:bidi="fa-IR"/>
        </w:rPr>
        <w:t>.</w:t>
      </w:r>
    </w:p>
    <w:p>
      <w:pPr>
        <w:pStyle w:val="Heading4"/>
        <w:numPr>
          <w:ilvl w:val="3"/>
          <w:numId w:val="1"/>
        </w:numPr>
        <w:rPr/>
      </w:pPr>
      <w:bookmarkStart w:id="484" w:name="__RefHeading___Toc628223_1395250215"/>
      <w:bookmarkStart w:id="485" w:name="_Toc195"/>
      <w:bookmarkEnd w:id="484"/>
      <w:r>
        <w:rPr>
          <w:rtl w:val="true"/>
        </w:rPr>
        <w:t>الف</w:t>
      </w:r>
      <w:r>
        <w:rPr>
          <w:rtl w:val="true"/>
        </w:rPr>
        <w:t xml:space="preserve">) </w:t>
      </w:r>
      <w:r>
        <w:rPr>
          <w:rtl w:val="true"/>
        </w:rPr>
        <w:t>رویکرد اجتماعی</w:t>
      </w:r>
      <w:bookmarkEnd w:id="485"/>
    </w:p>
    <w:p>
      <w:pPr>
        <w:pStyle w:val="BookText"/>
        <w:rPr/>
      </w:pPr>
      <w:r>
        <w:rPr>
          <w:rFonts w:ascii="IRNazanin" w:hAnsi="IRNazanin" w:eastAsia="IRNazanin"/>
          <w:color w:val="111111"/>
          <w:sz w:val="28"/>
          <w:sz w:val="28"/>
          <w:szCs w:val="28"/>
          <w:rtl w:val="true"/>
          <w:lang w:bidi="fa-IR"/>
        </w:rPr>
        <w:t xml:space="preserve">بر اساس نظریه کمونیستی، نه تنها آموزه‌های دین کارکرد مثبت اجتماعی ندارد، بلکه با افیون کردن ملت ها، بر زندگی انسان تأثیر منفی خواهد داشت؛ چنان‌که کارل مارکس دین را محصول جامعه طبقاتی می داند که طبقه حاکم، آن را اختراع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دین، تریاک و افیون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 هیچ گونه نیاز واقعی برای بشر در‌باره دین قائل نمی شود و هر گونه انتظار درست را نفی می کند، زیرا معتقد است دین واقعیتی ندارد و به جهت توهم بودن آن، فقط به کارکردهای منفی آن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این دیدگاه مستلزم آن است که اجزا و بخش‌های گوناگون دین، از جمله آموزه‌هایی از کلام که مرتبط با اجتماع است، دارای کارکردی منفی و منحط معرفی گردند و</w:t>
      </w:r>
      <w:bookmarkStart w:id="486" w:name="pg2643_21867"/>
    </w:p>
    <w:p>
      <w:pPr>
        <w:pStyle w:val="BookText"/>
        <w:rPr/>
      </w:pPr>
      <w:bookmarkEnd w:id="486"/>
      <w:r>
        <w:rPr>
          <w:rFonts w:ascii="IRNazanin" w:hAnsi="IRNazanin" w:eastAsia="IRNazanin"/>
          <w:color w:val="111111"/>
          <w:sz w:val="28"/>
          <w:sz w:val="28"/>
          <w:szCs w:val="28"/>
          <w:rtl w:val="true"/>
          <w:lang w:bidi="fa-IR"/>
        </w:rPr>
        <w:t>این دید منفی نه تنها در بعد اجتماعی، بلکه در بعد فردی نیز جریان دارد؛ از این رو، پیروان این نظریه با دیدگاه منفی خود، به هیچ روی طرح عنوانی چون کلام اجتماعی را برنمی‌تابند</w:t>
      </w:r>
      <w:r>
        <w:rPr>
          <w:rFonts w:eastAsia="IRNazanin" w:cs="IRNazanin"/>
          <w:color w:val="111111"/>
          <w:sz w:val="28"/>
          <w:szCs w:val="28"/>
          <w:rtl w:val="true"/>
          <w:lang w:bidi="fa-IR"/>
        </w:rPr>
        <w:t>.</w:t>
      </w:r>
    </w:p>
    <w:p>
      <w:pPr>
        <w:pStyle w:val="Heading4"/>
        <w:numPr>
          <w:ilvl w:val="3"/>
          <w:numId w:val="1"/>
        </w:numPr>
        <w:rPr/>
      </w:pPr>
      <w:bookmarkStart w:id="487" w:name="__RefHeading___Toc628225_1395250215"/>
      <w:bookmarkStart w:id="488" w:name="_Toc196"/>
      <w:bookmarkEnd w:id="487"/>
      <w:r>
        <w:rPr>
          <w:rtl w:val="true"/>
        </w:rPr>
        <w:t>ب</w:t>
      </w:r>
      <w:r>
        <w:rPr>
          <w:rtl w:val="true"/>
        </w:rPr>
        <w:t xml:space="preserve">) </w:t>
      </w:r>
      <w:r>
        <w:rPr>
          <w:rtl w:val="true"/>
        </w:rPr>
        <w:t>رویکرد مثبت</w:t>
      </w:r>
      <w:bookmarkEnd w:id="488"/>
    </w:p>
    <w:p>
      <w:pPr>
        <w:pStyle w:val="Heading5"/>
        <w:numPr>
          <w:ilvl w:val="4"/>
          <w:numId w:val="1"/>
        </w:numPr>
        <w:rPr/>
      </w:pPr>
      <w:bookmarkStart w:id="489" w:name="__RefHeading___Toc628227_1395250215"/>
      <w:bookmarkStart w:id="490" w:name="_Toc197"/>
      <w:bookmarkEnd w:id="489"/>
      <w:r>
        <w:rPr>
          <w:rtl w:val="true"/>
        </w:rPr>
        <w:t>اول</w:t>
      </w:r>
      <w:bookmarkEnd w:id="4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مثبتِ حداقلی</w:t>
      </w:r>
    </w:p>
    <w:p>
      <w:pPr>
        <w:pStyle w:val="BookText"/>
        <w:rPr/>
      </w:pPr>
      <w:r>
        <w:rPr>
          <w:rFonts w:ascii="IRNazanin" w:hAnsi="IRNazanin" w:eastAsia="IRNazanin"/>
          <w:color w:val="111111"/>
          <w:sz w:val="28"/>
          <w:sz w:val="28"/>
          <w:szCs w:val="28"/>
          <w:rtl w:val="true"/>
          <w:lang w:bidi="fa-IR"/>
        </w:rPr>
        <w:t>با توجه به آرای متکلمان درباره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بعثت، شئون اجتماعی نبوت و امامت، حکومت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دیدگاه‌هایی چون رویکرد حداقلی و حداکثری را به آنان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اشتراک بین این دو گروه، نگاه مثبت آنان به دین و آموزه‌های اعتقادی است؛ ولی بنا بر دیدگاه حداقلی، گستره و کارآیی دین به حیطه آخرت محدود و تأثیر آن نیز در همان بعد از زندگی انسان است و بنا بر دیدگاه دیگر، آموزه‌های دین قلمرو وسیع‌تری دارد که دنیا و آخرتِ انسان را در رابطه‌ای طولی در بر می‌گیرد که هم بُعد فردی و هم بُعد اجتماعی زندگی بشر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نظریه حداقلی را می‌توان در سه گروه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جداانگاری دین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واژه‌ها‌یی که پس از چالش میان کلیسا و جامعه وارد اندیشه سیاسی غرب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دنیوی‌گرایی و عرفی‌گرایی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است که گاه به نوع خاصی از الهیات یا روحانیون مسیحی اشاره دارد و گاه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ذهن می‌نشاند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Crockett, 2001: 564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تعبیر بسیاری از جامعه‌شناسان، سکولاریسم، گرایش دین‌ستیزانه است و به حذف نقش دین در تمامی حوزه‌های اجتماعی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ویژگی‌های جوامع سکولار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نیاز به نظام‌های فراگیر ارزشی، عدم مشروعیت مذهبی، تبدیل دین به جنبه‌ای از زندگی خصوصی و گزینش فردی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جامعه‌شناسان و روان‌شناسان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امیل دورکیم، جامعه‌شناس معروف فرانسوی، قلمرو دین را در ایجاد تعادل میان حبّ ذات و ازخود‌گذشتگی افراد، منحصر ساخته و بر این باور است که انسجام‌بخشی، انضباط‌بخشی، حیات‌بخشی و خوش‌بختی، بخشی از کارکردهای اصلی و ضروری دین در هر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دین سنتی در جامعه مدرن، قدرت پاسخ‌گویی به نیاز‌های اصلی را ندارد، عصری شدن دین، امری ضروری و تنها راه بقای دین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w:t>
      </w:r>
      <w:bookmarkStart w:id="491" w:name="pg2643_21869"/>
    </w:p>
    <w:p>
      <w:pPr>
        <w:pStyle w:val="BookText"/>
        <w:rPr/>
      </w:pPr>
      <w:bookmarkEnd w:id="491"/>
      <w:r>
        <w:rPr>
          <w:rFonts w:ascii="IRNazanin" w:hAnsi="IRNazanin" w:eastAsia="IRNazanin"/>
          <w:color w:val="111111"/>
          <w:sz w:val="28"/>
          <w:sz w:val="28"/>
          <w:szCs w:val="28"/>
          <w:rtl w:val="true"/>
          <w:lang w:bidi="fa-IR"/>
        </w:rPr>
        <w:t xml:space="preserve">است، باید دین جدیدی پیدا و هم‌سو با تحولات جوامع متحول شود تا به نیاز‌های مستمر و عمیق انسان مدرن، که دین سنتی پاسخ‌گو نبود، پاسخ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کارکرد دین را برقراری آرامش روحی و معنا‌بخشی به زندگی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فروید، دین اگرچه از نادانی و ترس بشر ناشی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کارکرد نظم‌بخشی و انسجام‌بخشی، سه کارکرد دیگر نیز دارد که عبارتنداز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نیرو‌های هراس‌انگیز طبیعت؛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افراد با سختی‌های سرنوشت به ویژه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تسلا‌بخشی در برابر محرومیت و فشارهای ناشی از فرهنگ و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فروید،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روشن‌فکران مذهبی</w:t>
      </w:r>
    </w:p>
    <w:p>
      <w:pPr>
        <w:pStyle w:val="BookText"/>
        <w:rPr/>
      </w:pPr>
      <w:r>
        <w:rPr>
          <w:rFonts w:ascii="IRNazanin" w:hAnsi="IRNazanin" w:eastAsia="IRNazanin"/>
          <w:color w:val="111111"/>
          <w:sz w:val="28"/>
          <w:sz w:val="28"/>
          <w:szCs w:val="28"/>
          <w:rtl w:val="true"/>
          <w:lang w:bidi="fa-IR"/>
        </w:rPr>
        <w:t>بعضی روشن‌فکران مذهبی با تمسک به دلایل عقلی و نقلی، نظریه حداقلیِ دین را پذیرفته‌اند؛ مهندس بازرگان و دکتر سروش معتقدند از دین نباید روش، برنامه، ایدئولوژی و چارچوب‌های مشخص برای زندگی فردی و اجتماعی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منبع نیست؛ فقط داوری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سروش هم‌چنین معتقد است دین، شکل زندگی و محتوای معیشت را به ما نمی‌دهد؛ آنچه دین می‌دهد، تنها محدوده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ـ مانند مهندس بازرگان ـ اعتقاد دارد، جهت‌گیری اصلی دین و دعوت انبیا برای آخرت است، نه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اولاً و بالذات، دین را برای کارهای این‌جهانی و سامان دادن به معیشت درمانده ما در این جهان فرو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دینی علی‌الاصول برای حیات اخروی جهت‌گیری شده‌اند؛ یعنی برای تنظیم معیشت و سعادت اخروی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5"/>
        <w:numPr>
          <w:ilvl w:val="4"/>
          <w:numId w:val="1"/>
        </w:numPr>
        <w:rPr/>
      </w:pPr>
      <w:bookmarkStart w:id="492" w:name="__RefHeading___Toc628229_1395250215"/>
      <w:bookmarkStart w:id="493" w:name="_Toc198"/>
      <w:bookmarkEnd w:id="492"/>
      <w:r>
        <w:rPr>
          <w:rtl w:val="true"/>
        </w:rPr>
        <w:t>دوم</w:t>
      </w:r>
      <w:bookmarkEnd w:id="4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مثبتِ حداکثری</w:t>
      </w:r>
    </w:p>
    <w:p>
      <w:pPr>
        <w:pStyle w:val="BookText"/>
        <w:rPr/>
      </w:pPr>
      <w:r>
        <w:rPr>
          <w:rFonts w:ascii="IRNazanin" w:hAnsi="IRNazanin" w:eastAsia="IRNazanin"/>
          <w:color w:val="111111"/>
          <w:sz w:val="28"/>
          <w:sz w:val="28"/>
          <w:szCs w:val="28"/>
          <w:rtl w:val="true"/>
          <w:lang w:bidi="fa-IR"/>
        </w:rPr>
        <w:t>طبق این دیدگاه، آموزه‌های دین نیز که زبان زنده دین هستند، برای تمامی عرصه‌های زندگی بشر، اعم از دنیوی، اخروی، فردی و اجتماعی زبانی گویا و هدایت‌گرند؛ بنابراین، تمامی رفتارهای فردی و اجتماعی انسان، اعم از رفتارهای روحی، فکری، سیاسی، فرهنگی و اقتصادی قابلیت اتصاف به دین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گستردگی، عرصه فعالیت و کارکرد عقل را تنگ نمی‌کند، بلکه عقل نیز با استمداد از دین، شاخصه‌ها و ملاک‌های رفتارها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ارتکاز عموم مسلمانان از گستره شریعت نیز همین برداشت از جامعیت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چنین روی‌کردی به آموزه‌های دینی، طرح عنوانی چون کلام اجتماعی میسر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کلام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اندیشمندان متقدم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494" w:name="pg2643_21872"/>
    </w:p>
    <w:p>
      <w:pPr>
        <w:pStyle w:val="BookText"/>
        <w:rPr/>
      </w:pPr>
      <w:bookmarkEnd w:id="494"/>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پرداختن به مصادیق شئون اجتماعی دین، مانند شئون اجتماعی نبوت و امامت و ضرورت حکومت توسط امام، بر قبول این دیدگاه صحه گذارده و بزرگانی چون شیخ‌محمود حمصی‌رازی نیز با تصریح بر منتفی بودن دخالت اختصاصی امام در امور دنیوی، بر اجتماعی بودن آموزه‌های دین تأکید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حمصی‌رازی،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اندیشمندان معاصر نیز بزرگانی چون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طباطبائی، شهید مطهری و دیگران هرچند هدف و سخن اصلی و مرکزی دین را آخرت می‌دانند و پردازش دنیا را عَرَضی، اما عرضی که بدون توجه و پرداختن به آن از هدف اصلی بازخواهد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دین، اصلاح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وجودی دین، کمال روحی و جسمی انسان است و سعادت دنیوی و اخروی بشر را تأمین می‌کند و جامعه دینی یعنی جامعه‌ای که هم تربیت مادی دارد و هم تربیت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استاد مطهری در باب نیاز انسان به دین مورد توجه قرار داده، مسئله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تعلیمات پیامبران را مقدمه‌ای برای تحقق دو امر دانسته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خداوند و نزدیک شدن به او و برقراری عدل و قسط در جامعه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نظر هدف، دو مقصد مستقل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نظری و توحید عملیِ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شناخت خدا و سعادت اخروی بشر مربوط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سعادت دنیوی او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توحید اجتماعی است، و توحید نظری و توحید عملیِ فردی، مقدمه لازمِ توحید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نظری مربوط به شناخت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ضرورتی برای انسان نیست که خدا را بشناسد یا نشناسد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نظر به این‌که کمال انسان در توحید اجتماعی است و این امر بدون توحید نظری و توحید عملی فردی میسر نیست، خداوند معرفت خود و پرستش خود را فرض کرده است تا توحید اجتماعی محقق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آموزه های دین و به طور خاص آموزهای اعتقادی، در زندگی اجتماعی انسان و تنظیم روابط او با دیگر مخلوقات خدا، اثرگذار است؛ مهم این است که تأثیر این عقاید در زندگی اجتماعی انسان، شفاف گردد</w:t>
      </w:r>
      <w:r>
        <w:rPr>
          <w:rFonts w:eastAsia="IRNazanin" w:cs="IRNazanin"/>
          <w:color w:val="111111"/>
          <w:sz w:val="28"/>
          <w:szCs w:val="28"/>
          <w:rtl w:val="true"/>
          <w:lang w:bidi="fa-IR"/>
        </w:rPr>
        <w:t>.</w:t>
      </w:r>
    </w:p>
    <w:p>
      <w:pPr>
        <w:pStyle w:val="Heading3"/>
        <w:numPr>
          <w:ilvl w:val="2"/>
          <w:numId w:val="1"/>
        </w:numPr>
        <w:rPr/>
      </w:pPr>
      <w:bookmarkStart w:id="495" w:name="__RefHeading___Toc628231_1395250215"/>
      <w:bookmarkStart w:id="496" w:name="_Toc199"/>
      <w:bookmarkEnd w:id="495"/>
      <w:r>
        <w:rPr>
          <w:rtl w:val="true"/>
        </w:rPr>
        <w:t>نتیجه گیری</w:t>
      </w:r>
      <w:bookmarkEnd w:id="49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آموزه‌های هدایت گر دین اسلام به دلیل جامعیت، جهان‌شمولی، جاودانگی و کمال برای تمامی عرصه‌های زندگی بشر،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اخروی، فردی و اجتماعی زبانی گویا و هدایت‌گرند و</w:t>
      </w:r>
      <w:bookmarkStart w:id="497" w:name="pg2643_21874"/>
    </w:p>
    <w:p>
      <w:pPr>
        <w:pStyle w:val="BookText"/>
        <w:rPr/>
      </w:pPr>
      <w:bookmarkEnd w:id="497"/>
      <w:r>
        <w:rPr>
          <w:rFonts w:ascii="IRNazanin" w:hAnsi="IRNazanin" w:eastAsia="IRNazanin"/>
          <w:color w:val="111111"/>
          <w:sz w:val="28"/>
          <w:sz w:val="28"/>
          <w:szCs w:val="28"/>
          <w:rtl w:val="true"/>
          <w:lang w:bidi="fa-IR"/>
        </w:rPr>
        <w:t xml:space="preserve">بی‌تردید این اعتقادات و باورهای دینی در حل معضلات، بهبود و ارتقای شرایط اجتماعی بشرِ امروز نقش‌آفرین و راهنماست؛ از این رو، در سایه روی‌کرد مثبت و حداکثری به دین و با توجه به تغییر دیدگاه بشر امروز به سمت فایده‌اندیشی و بحران‌ها و مشکلات اجتماعی قرن بیستم، طرح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شاخه‌ای از الهیات اجتماعی اسلام و مرتبط با مباحثی از حیات اجتماعی انسان است، بجا و شایسته می‌نماید؛ لذا بر متکلمان است که با بهره‌گیری هر چه بیشتر از متون کلامی و عقاید دینی و با استخراج، استنباط و تبیین گزاره‌ها‌یی از علم کلام که با اجتماع مرتبط است، زمینه طرح عملی و ورود این باورها و اعتقادات به عرصه واقعیت زندگی اجتماعی انسان‌ها را فراهم آورند و از آن ها در تغییر کنش‌ها و الگوهای رفتار جمعی بهره گیرند</w:t>
      </w:r>
      <w:r>
        <w:rPr>
          <w:rFonts w:eastAsia="IRNazanin" w:cs="IRNazanin"/>
          <w:color w:val="111111"/>
          <w:sz w:val="28"/>
          <w:szCs w:val="28"/>
          <w:rtl w:val="true"/>
          <w:lang w:bidi="fa-IR"/>
        </w:rPr>
        <w:t>.</w:t>
      </w:r>
    </w:p>
    <w:p>
      <w:pPr>
        <w:pStyle w:val="Heading3"/>
        <w:numPr>
          <w:ilvl w:val="2"/>
          <w:numId w:val="1"/>
        </w:numPr>
        <w:rPr/>
      </w:pPr>
      <w:bookmarkStart w:id="498" w:name="__RefHeading___Toc628233_1395250215"/>
      <w:bookmarkStart w:id="499" w:name="_Toc200"/>
      <w:bookmarkEnd w:id="498"/>
      <w:r>
        <w:rPr>
          <w:rtl w:val="true"/>
        </w:rPr>
        <w:t>منابع</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آرون، ریمون،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اساسی در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پرهام، تهران، علمی و فرهنگی،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آراسته‌خو، محمد،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نگرشی بر فرهنگ اصطلاحات علمی ـ اجتماعی، تهران، گستره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امزیان، محمد،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تحقیق علوم اجتماعی از اثبات‌گرایی تا هنجار‌گرایی،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مواری، قم، دانشکده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ابن‌سینا،حسین بن عبدالله،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دانش‌نامه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الهیات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حواشی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معین، تهران، دهخدا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ظهر الاسلام، بیروت، دارالکتب العربی، الطبعۀ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بریجانیان، ماری،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اصطلاحات فلسفه و علوم اسلامی اجتماعی،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 تهران، پژوهشگاه علوم انسانی و مطالعات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پازوکی، شهرام،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بر باب الهیات، ارغنون، ش</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تقی‌زاده‌داوری، محمود،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الهیات اجتماعی شیعه، الهیات اجتماعی،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جوادی‌آملی، عبدالله،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بشر از دین، قم، اسراء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اسلام، تهران، رجاء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دین،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نویسندگان، تهران،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الحمصی‌رازی، سدید‌الدین محمود،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المنقذ من التقلید، قم، مؤسسۀ النشر الاسلامی،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دورکیم، امیل،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 بنیانی حیات دینی،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پرهام، تهران،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ربانی‌گلپایگانی، علی،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درآمدی بر علم کلام، قم، دارالفکر،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السبحانی، الشیخ‌جعفر،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طبقات المتکلمین، قم، مؤسسه الامام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الطبعۀ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مدارا و مدیریت، تهران، صراط،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فربه‌تر از ایدئولوژی، تهران، صراط،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الشافعی، حسن محمود،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المدخل الی دراسه علم الکلام، مصر، مکتبه وهبه، الطبعه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شجاعی‌زند، علیرضا،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جامعه و عرفی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جستارهایی در جامعه‌شناسی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مرکز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حاج سید جوادی، احمد و دیگران،</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دائرةالمعارف تشیع، تهران، دائره المعارف 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فلسفه و روش رئالیسم، قم، صدرا،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مؤسسۀ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محمدبن‌حسن،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تمهید الاصول فی علم الکلام، تهران، دانشگاه تهران،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فروید، زیگموند،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آینده یک پندار،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رضی، تهران، آسیا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فیض‌کاشانی، محمد‌بن‌شاه مرتضی،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الیقین،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استادولی، تهران،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فاضل‌لنکرانی، محمد،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فقه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 خارج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ملکی‌اصفهانی و سعید ملکی‌اصفهانی، قم، مرکز 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فکوهی، ناصر،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انسان‌شناسی شهری، تهران، نی،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قراملکی، احد فرامرز،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هندسه معرفتی کلام جدید، تهران، مؤسسه فرهنگی دانش و اندیشه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کوزر، لوییس،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و اندیشه بزرگان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ثلاثی، تهران، علمی، چاپ سیزدهم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کاشفی، محمدرضا،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مختصات و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پژوهشگاه فرهنگ و اندیشه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 عبدالرزاق،</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گوهر مراد،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قم،سایه،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شوارق الالهام فی شرح تجرید الکلام، قم، مؤسسه الامام صادق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لنگهاوسن،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 اجتماعی پروتستان از آغاز نهضت اصلاح دین تا هگل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الهیات اجتماعی،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الاهیات اجتماعی پروتستان از ظهور جامعه‌گرایی مسیحی در آلمان تا ظهور انجیل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الهیات اجتماعی،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موسوی‌بجنوردی، کاظم و دیگران،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دائرۀ‌المعارف بزرگ اسلامی، تهران، مرکز دائرۀالمعارف بزرگ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نقدی بر مارکسیسم،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مجموعه‌آثار، صدرا،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مقدمه‌ای بر جهان‌بینی اسلامی،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کلیات علوم اسلامی کلام و عرفان، قم،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مصباح‌یزدی، محمدتقی،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انسان‌شناسی در قرآن، 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فتحعلی،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و راهنما‌شناسی،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میشل، توماس،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مسیحیت،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توفیقی، قم، مرکز مطالعات و تحقیقات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محمد‌بن‌محمد،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الأفصاح فی الامامة،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بیروت، دارالمفید، الطبعة الثانیه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النکت الاعتقادیه،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المؤتمر العالمی لالفیۀ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اعتقادات الامامیه،ش</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 المؤتمر العالمی لالفیۀ الشیخ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همیلتون، ملکم،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جامعه‌شناسی دین،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ثلاثی، تهران، تبیان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Calvin, John, 2002, The Tnstitutes of the christian Religion, tr. Henry Beveridge, Grand Rapids: christian clastian classice Ethereal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Crockett, clayton (ed), 2001, Secular Theology, London and New York: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Dorrien, Gary, 2003, the Making of American liberal Theology: Idealism, Reli sm, and modernity, Louisville: Westaminster Tohn knox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Hetinik, Gerben, 1999, practical theology: history, theory, action domains, Grand Rapids: wm. B. Eerdmans publishing 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Hick; John, 1967, “faith” in: The Encyelopedia of philosophy, ed. PAUL Ed wards; New york: ma cmillan. Pub lishing co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Hyde, William Dewitt, 1895,outlines of social Theology,New York: Macmillan. On</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line 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kloppenberg, JamsT, 1986, uncertain Victory: social Democracy and progressivism in European and American Thought, 1870</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new york: oxford univesity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Sassen, Brigitte, 2008, ”18 th. Century German philosophy prior to kant”, The stanford Encyclopedia of philosophy (fall2008 Edittion) Edward N. zalta (ed) stump, Elenore (1998) “Religion, philosophy of” in Routledge Encyclopedia of philosophy, version 1,0, london: Routledge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Witte, John, Jr, 2004, Low and Protestantism: The legal Teachings of the Lutheran Reformation, Cambridge: Cambridge University press</w:t>
      </w:r>
      <w:r>
        <w:rPr>
          <w:rFonts w:eastAsia="Times New Roman" w:cs="Times New Roman" w:ascii="Times New Roman" w:hAnsi="Times New Roman"/>
          <w:color w:val="111111"/>
          <w:sz w:val="28"/>
          <w:szCs w:val="28"/>
          <w:rtl w:val="true"/>
          <w:lang w:val="en-US" w:bidi="en-US"/>
        </w:rPr>
        <w:t>.</w:t>
      </w:r>
      <w:bookmarkStart w:id="500" w:name="pg2643_21880"/>
    </w:p>
    <w:p>
      <w:pPr>
        <w:pStyle w:val="Heading2"/>
        <w:numPr>
          <w:ilvl w:val="1"/>
          <w:numId w:val="1"/>
        </w:numPr>
        <w:rPr/>
      </w:pPr>
      <w:bookmarkStart w:id="501" w:name="__RefHeading___Toc628235_1395250215"/>
      <w:bookmarkStart w:id="502" w:name="_Toc201"/>
      <w:bookmarkEnd w:id="500"/>
      <w:bookmarkEnd w:id="501"/>
      <w:r>
        <w:rPr>
          <w:rtl w:val="true"/>
        </w:rPr>
        <w:t>چکیده عربی مقالات</w:t>
      </w:r>
      <w:bookmarkEnd w:id="502"/>
    </w:p>
    <w:p>
      <w:pPr>
        <w:pStyle w:val="BookText"/>
        <w:rPr/>
      </w:pPr>
      <w:r>
        <w:rPr>
          <w:rFonts w:ascii="IRNazanin" w:hAnsi="IRNazanin" w:eastAsia="IRNazanin"/>
          <w:color w:val="111111"/>
          <w:sz w:val="28"/>
          <w:sz w:val="28"/>
          <w:szCs w:val="28"/>
          <w:rtl w:val="true"/>
          <w:lang w:bidi="fa-IR"/>
        </w:rPr>
        <w:t>خلاصة المقالات باللغة العربیة</w:t>
      </w:r>
    </w:p>
    <w:p>
      <w:pPr>
        <w:pStyle w:val="BookText"/>
        <w:rPr/>
      </w:pPr>
      <w:r>
        <w:rPr>
          <w:rFonts w:ascii="IRNazanin" w:hAnsi="IRNazanin" w:eastAsia="IRNazanin"/>
          <w:color w:val="111111"/>
          <w:sz w:val="28"/>
          <w:sz w:val="28"/>
          <w:szCs w:val="28"/>
          <w:rtl w:val="true"/>
          <w:lang w:bidi="fa-IR"/>
        </w:rPr>
        <w:t>استخدام العقل العملی فی استنباط التعالیم العقیدیة اعتماداً علی النصوص الکلامیة</w:t>
      </w:r>
    </w:p>
    <w:p>
      <w:pPr>
        <w:pStyle w:val="BookText"/>
        <w:rPr/>
      </w:pPr>
      <w:r>
        <w:rPr>
          <w:rFonts w:ascii="IRNazanin" w:hAnsi="IRNazanin" w:eastAsia="IRNazanin"/>
          <w:color w:val="111111"/>
          <w:sz w:val="28"/>
          <w:sz w:val="28"/>
          <w:szCs w:val="28"/>
          <w:rtl w:val="true"/>
          <w:lang w:bidi="fa-IR"/>
        </w:rPr>
        <w:t>رضا برنجکار</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مهدی نصرتیان اهور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علم الکلام من العلوم التی تستعین بالعقل و النقل فی استنباط التعالیم العقائدیة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یؤدی وظائف عدیدة فی نطاق العقائد؛ نظیر الوظائف النظریة و العملیة، والاستنتاجیة و الدفاعیة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 الحاضر یتناول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الوظائف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الوظائف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أهم وظائف العقل العملی فی نطاق الأبحاث الکلامیة هی إثبات حسن الأفعال و قبحها، و بلحاظها یتم استخراج مسائل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سنشیر فی هذه الأسطر الی نماذج تم إثباتها بقاعدة الحسن والقبح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العقل العملی یستنبط أموراً کلامیة عدیدة بالاعتماد علی قاعدة اللطف،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دفع الضرر المحتمل، وجوب شکر المنعم، و تعلیق الواجب علی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العقل، العقل العملی، قاعدة اللطف، الحسن و القبح العقلی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مقارنة آراء الملا صدرا و العلامة الطباطبائی بشأن الإرادة الإلهیة وتقییمهما علی ضوء الروایات</w:t>
      </w:r>
    </w:p>
    <w:p>
      <w:pPr>
        <w:pStyle w:val="BookText"/>
        <w:rPr/>
      </w:pPr>
      <w:r>
        <w:rPr>
          <w:rFonts w:ascii="IRNazanin" w:hAnsi="IRNazanin" w:eastAsia="IRNazanin"/>
          <w:color w:val="111111"/>
          <w:sz w:val="28"/>
          <w:sz w:val="28"/>
          <w:szCs w:val="28"/>
          <w:rtl w:val="true"/>
          <w:lang w:bidi="fa-IR"/>
        </w:rPr>
        <w:t xml:space="preserve">محمدعلی دولت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موسی الملایری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Malayeri50@yahoo.com</w:t>
      </w:r>
    </w:p>
    <w:p>
      <w:pPr>
        <w:pStyle w:val="BookText"/>
        <w:rPr/>
      </w:pPr>
      <w:r>
        <w:rPr>
          <w:rFonts w:ascii="IRNazanin" w:hAnsi="IRNazanin" w:eastAsia="IRNazanin"/>
          <w:color w:val="111111"/>
          <w:sz w:val="28"/>
          <w:sz w:val="28"/>
          <w:szCs w:val="28"/>
          <w:rtl w:val="true"/>
          <w:lang w:bidi="fa-IR"/>
        </w:rPr>
        <w:t>یحاول المقال الحاضر ومن خلال عرض تقریر لآراء الملا صدرا و العلامة الطباطبائی بشأن الإرادة الإلهیة و تقییمهما بشکل دقیق، أن یبین الرأی الأقرب للروایات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الملا صدرا أن الإرادة الالهیة من صفات الذات وهی مساوقة للعلم، بینما یری العلامة الطباطبائی ـ بسبب ضعف الأدلة الفلسفیة لنظریة الملا صدرا و معارضتها للروایات ـ أنها من صفات الفعل وأنها غیر العلم و الحب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استعرض نظریة أخری جعلت الإرادة فیها من صفات الفعل و لوازم القدرة والاختیار الالهی، و علی ضوء هذه النظریة ـ والتی نعتقد أنها مستلهمة من الروایات ـ تکون المشیئة ـ النابعة من الحکمة الالهیة ـ واسطة بین العلم والقدرة الالهیة وبین الإرادة، فالإرادة توجب التقدیر والقضاء الالهی، و بالتالی تحقق الفعل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النظریة موافقة لنظریة العلامة الطباطبائی فی الجهات السلبیة، و تختلف معها فی الجهات الإیجابیة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الارادة الالهیة، الارادة الذاتیة، صفات الأفعال، العلم الالهی، العلم بالنظام الأفضل، القدرة الالهیة، المشیئة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دور المصلحة فی توجیه الآلام الابتدائیة فی النهج الکلامی</w:t>
      </w:r>
    </w:p>
    <w:p>
      <w:pPr>
        <w:pStyle w:val="BookText"/>
        <w:rPr/>
      </w:pPr>
      <w:r>
        <w:rPr>
          <w:rFonts w:ascii="IRNazanin" w:hAnsi="IRNazanin" w:eastAsia="IRNazanin"/>
          <w:color w:val="111111"/>
          <w:sz w:val="28"/>
          <w:sz w:val="28"/>
          <w:szCs w:val="28"/>
          <w:rtl w:val="true"/>
          <w:lang w:bidi="fa-IR"/>
        </w:rPr>
        <w:t>حمیدرضا سروریان</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یلعب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العناوین المقاربة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و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أساسیاً فی توجیه آلام الابتدائیة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تحلیلنا لمفهوم المصلحة فی النهج الکلامی اتضح أن الملحوظ فیه هو المفهوم العام له، والذی أشیر الیه فی الروایات إنما هو مصادیقه،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الأجر، الامتحان الالهی، الکمال البشری، مضاعفة الثواب،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أبدی المتکلمون الاسلامیون بشأن دور المصلحة فی الآلام الابتدائیة أربعة أقوال؛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الفعل الإلهی عین المصلحة ولایمکن تقییمه وفق المعاییر البشریة، کما لایمکن إلزام الله بشیء وأمر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لا دور لها فی حسن الآلام الابتدائیة، وإنما یکفی لحسنها ما یتعقبها من تعویض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المصلحة کافیة لحسن الآلام الابتدائیة، و لا حاجة للتعویض الالهی المتعقب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التعویض الالهی ضروری مضافاً لضرورة المصلحة لأجل تحقق 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ویتمخض من هذه الاقوال قول خامس وهو لزوم اقتران الآلام الابتدائیة بالمصلحة دوماً، علی الرغم من عدم کفایتها فی بعض 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الآلام الابتدائیة، المصلحة، اللطف، الاعتبار، التعویض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الامامة و مسألة البداء</w:t>
      </w:r>
    </w:p>
    <w:p>
      <w:pPr>
        <w:pStyle w:val="BookText"/>
        <w:rPr/>
      </w:pPr>
      <w:r>
        <w:rPr>
          <w:rFonts w:ascii="IRNazanin" w:hAnsi="IRNazanin" w:eastAsia="IRNazanin"/>
          <w:color w:val="111111"/>
          <w:sz w:val="28"/>
          <w:sz w:val="28"/>
          <w:szCs w:val="28"/>
          <w:rtl w:val="true"/>
          <w:lang w:bidi="fa-IR"/>
        </w:rPr>
        <w:t>دراسة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مثل ما بدا فی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فرمانیان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احسان جندقی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لله مثل ما بدا فی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علاقة وثیقة مع أحد العقائد الخاصة بالشیعة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بدراسة سند الحدیث المذکور اتضح أن أغلب أسانیده الواردة فی کتب الحدیث الشیعیة مرسلة أو مقطوعة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السند الوحید الذی یتمتع بالصحة هو ما ورد فی أصل زید النرسی، إلا أن بعض الرجالیین لم یوثقوا زیداً، إلا أن الإمامیة اعتمدوا علی أصل زید لروایة ابن أبی عمیر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نجد فی نص الحدیث المذکور لفظاً دالاً علی إمامة اسماعیل، لکن بسبب تفسیره من قبل الزیدیة وسرایة هذا الفهم لغیرهم من الفرق الاسلامیة وقع النزاع والنقاش فیه علی مدی القرون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وبدراسة مضمون الحدیث توصلنا الی أن هذا الحدیث لا علقة له بتاتاً بإمامة إسماعیل، بل إن الاسماعیلیة أنفسهم لم یعطفوا علیه أنظارهم بسبب مخالفته لمبانیهم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البداء، امامة اسماعیل بن جعفر، الاسماعیلیة، الامامیة، الزیدیة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بیان و نقد الأدلة القرآنیة للمتکلمین فی الاستطاعة الکلامیة</w:t>
      </w:r>
    </w:p>
    <w:p>
      <w:pPr>
        <w:pStyle w:val="BookText"/>
        <w:rPr/>
      </w:pPr>
      <w:r>
        <w:rPr>
          <w:rFonts w:ascii="IRNazanin" w:hAnsi="IRNazanin" w:eastAsia="IRNazanin"/>
          <w:color w:val="111111"/>
          <w:sz w:val="28"/>
          <w:sz w:val="28"/>
          <w:szCs w:val="28"/>
          <w:rtl w:val="true"/>
          <w:lang w:bidi="fa-IR"/>
        </w:rPr>
        <w:t>جعفر رحیمی</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حاول کل من القائلین بالاستطاعة مع الفعل و الاستطاعة قبل الفعل أن یثبت رأیه من خلال الاستدالال بآیات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المقال الحاضر وبنهج وصفی تحلیلی ـ ومن خلال الاعتماد علی کلمات المتکلمین ـ دراسة الأدلة القرآنیة لهذه الأقوال وتقییمها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 متکلموا المعتزلة علی آیات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أَلْقِ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الظاهرة فی وجود القدرة قبل الاستطاعة مما أدی لقولهم بالاستطاعة قبل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أهل الحدیث والاشاعرة بجواز التکلیف بما لا یطاق اعتماداً علی آیات نظیر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اسْتَطَعْنا لَخَرَجْنا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قالوا بأن الاستطاعة مع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وافقهم فی ذلک الماتریدی، سوی فی التکلیف فیما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الامامیة فقد وافق بعض متکلمیهم القول الأول وبعضهم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یبدو فی النظر أن القرآن لم یصرح بشیء من القولین، وأن استدلال المتکلمین بالآیات الکریمة مقرون بتحمیل المعنی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الاستطاعة الکلامیة، الادلة القرآنیة للاستطاعة، المعتزلة، الاشاعرة، الشیعة، الماتریدیة، اهل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مواطن الاستدلال التفسیری الکلامی بالآیة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الفانی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محمدحسین رجبی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درسنا فی المقال الحاضر أهم الموارد التی استدل بها علماء الکلام بالآیة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وانتهینا الی أنه تم الاستدلال بها فی موردین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الأفعال الالهیة نظیر قاعدة اللطف، وتشریع القوانین و التکالیف بشرط الاختیار، وکذلک الامتحان الالهی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بالانسان ـ أعم من المعصوم و غیره ـ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 واجبات النبی فیما یتعلق بالمعصومین علیهم السلام؛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التقلید فی العقائد، حریة الاعتقاد، وأخیراً دققنا النظر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التکثر الدینی ونفی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أفکار وآراء الفرق المختلفة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توصلنا الیه من الأبحاث المذکورة هو أن أهم الأبحاث وأکثرها محوریة فی هذا النطاق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الجبر وإثبات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ضوئه تقوم الأبحاث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الدین، الاختیار، نفی الجبر، التکالیف، حریة العقیدة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الکلام الاجتماعی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ماهیته، أصوله، 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الله الشاکری الزواردهی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مرضیه عبدلی المسینان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من الالهیات الاجتماعیة الاسلامیة، و یتولی استنتاج المعارف العقائدیة والآراء الدینیة فی باب المسائل الاجتماعیة، والدفاع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اهتم المتکلمون الاسلامیون علی مدی التاریخ وبنهج الاهتمام الواسع بالدین ومحاولة تفعیله فی شتی مجالات الحیاة، علی الرغم من أن تراثهم الاجتماعی لم یتأطر بقالب معین، وذلک أن هذه الأبحاث الاجتماعیة برزت فی اوربا وامریکا، وعلی أثر ردود الفعل للقضایا الاجتماعیة فی الغرب وعند المسیح، ثم انتشرت فی البلاد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الاجتماعی بالقیاس مع العلوم الاجتماعیة الاخری یتمتع بقابلیة التطور والترقی فی مجال التنظیر للمسائل الاجتماعیة بسببب ما یتمتع به من خصائص نظیر المنهجیة والعلم بالکونیات والعلم بالانسان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الألفاظ المحوریة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الالهیات، الاجتماع، الالهیات الاجتماعیة، الکلام الاجتماعی</w:t>
      </w:r>
      <w:bookmarkStart w:id="503" w:name="pg2643_21894"/>
    </w:p>
    <w:p>
      <w:pPr>
        <w:pStyle w:val="BookText"/>
        <w:rPr/>
      </w:pPr>
      <w:bookmarkEnd w:id="503"/>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4" w:name="__RefHeading___Toc628237_1395250215"/>
      <w:bookmarkStart w:id="505" w:name="_Toc202"/>
      <w:bookmarkEnd w:id="504"/>
      <w:r>
        <w:rPr>
          <w:rtl w:val="true"/>
        </w:rPr>
        <w:t>چکیده انگلیسی مقالات</w:t>
      </w:r>
      <w:bookmarkEnd w:id="505"/>
    </w:p>
    <w:p>
      <w:pPr>
        <w:pStyle w:val="BookText"/>
        <w:rPr/>
      </w:pPr>
      <w:r>
        <w:rPr>
          <w:rFonts w:eastAsia="Times New Roman" w:cs="Times New Roman" w:ascii="Times New Roman" w:hAnsi="Times New Roman"/>
          <w:color w:val="111111"/>
          <w:sz w:val="28"/>
          <w:szCs w:val="28"/>
          <w:lang w:val="en-US" w:bidi="en-US"/>
        </w:rPr>
        <w:t>p:1</w:t>
      </w:r>
    </w:p>
    <w:p>
      <w:pPr>
        <w:pStyle w:val="BookText"/>
        <w:rPr/>
      </w:pPr>
      <w:r>
        <w:rPr>
          <w:rFonts w:eastAsia="Times New Roman" w:cs="Times New Roman" w:ascii="Times New Roman" w:hAnsi="Times New Roman"/>
          <w:color w:val="111111"/>
          <w:sz w:val="28"/>
          <w:szCs w:val="28"/>
          <w:lang w:val="en-US" w:bidi="en-US"/>
        </w:rPr>
        <w:t>Tahqīqāt-e Kalāmi</w:t>
      </w:r>
    </w:p>
    <w:p>
      <w:pPr>
        <w:pStyle w:val="BookText"/>
        <w:rPr/>
      </w:pPr>
      <w:r>
        <w:rPr>
          <w:rFonts w:eastAsia="Times New Roman" w:cs="Times New Roman" w:ascii="Times New Roman" w:hAnsi="Times New Roman"/>
          <w:color w:val="111111"/>
          <w:sz w:val="28"/>
          <w:szCs w:val="28"/>
          <w:lang w:val="en-US" w:bidi="en-US"/>
        </w:rPr>
        <w:t>Islamic Theology Studies</w:t>
      </w:r>
    </w:p>
    <w:p>
      <w:pPr>
        <w:pStyle w:val="BookText"/>
        <w:rPr/>
      </w:pPr>
      <w:r>
        <w:rPr>
          <w:rFonts w:eastAsia="Times New Roman" w:cs="Times New Roman" w:ascii="Times New Roman" w:hAnsi="Times New Roman"/>
          <w:color w:val="111111"/>
          <w:sz w:val="28"/>
          <w:szCs w:val="28"/>
          <w:lang w:val="en-US" w:bidi="en-US"/>
        </w:rPr>
        <w:t>An Academic Quarterly</w:t>
      </w:r>
    </w:p>
    <w:p>
      <w:pPr>
        <w:pStyle w:val="BookText"/>
        <w:rPr/>
      </w:pPr>
      <w:r>
        <w:rPr>
          <w:rFonts w:eastAsia="Times New Roman" w:cs="Times New Roman" w:ascii="Times New Roman" w:hAnsi="Times New Roman"/>
          <w:color w:val="111111"/>
          <w:sz w:val="28"/>
          <w:szCs w:val="28"/>
          <w:lang w:val="en-US" w:bidi="en-US"/>
        </w:rPr>
        <w:t>Islamic Theology Association</w:t>
      </w:r>
    </w:p>
    <w:p>
      <w:pPr>
        <w:pStyle w:val="BookText"/>
        <w:rPr/>
      </w:pPr>
      <w:r>
        <w:rPr>
          <w:rFonts w:eastAsia="Times New Roman" w:cs="Times New Roman" w:ascii="Times New Roman" w:hAnsi="Times New Roman"/>
          <w:color w:val="111111"/>
          <w:sz w:val="28"/>
          <w:szCs w:val="28"/>
          <w:lang w:val="en-US" w:bidi="en-US"/>
        </w:rPr>
        <w:t>Islamic Seminary (Hawza) of Qum</w:t>
      </w:r>
    </w:p>
    <w:p>
      <w:pPr>
        <w:pStyle w:val="BookText"/>
        <w:rPr/>
      </w:pPr>
      <w:r>
        <w:rPr>
          <w:rFonts w:eastAsia="Times New Roman" w:cs="Times New Roman" w:ascii="Times New Roman" w:hAnsi="Times New Roman"/>
          <w:color w:val="111111"/>
          <w:sz w:val="28"/>
          <w:szCs w:val="28"/>
          <w:lang w:val="en-US" w:bidi="en-US"/>
        </w:rPr>
        <w:t>Vol.2, No.5, Summer 2014</w:t>
      </w:r>
    </w:p>
    <w:p>
      <w:pPr>
        <w:pStyle w:val="BookText"/>
        <w:rPr/>
      </w:pPr>
      <w:r>
        <w:rPr>
          <w:rFonts w:eastAsia="Times New Roman" w:cs="Times New Roman" w:ascii="Times New Roman" w:hAnsi="Times New Roman"/>
          <w:color w:val="111111"/>
          <w:sz w:val="28"/>
          <w:szCs w:val="28"/>
          <w:lang w:val="en-US" w:bidi="en-US"/>
        </w:rPr>
        <w:t>Proprietor: Islamic Theology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Qum Seminary (Hawza)</w:t>
      </w:r>
    </w:p>
    <w:p>
      <w:pPr>
        <w:pStyle w:val="BookText"/>
        <w:rPr/>
      </w:pPr>
      <w:r>
        <w:rPr>
          <w:rFonts w:eastAsia="Times New Roman" w:cs="Times New Roman" w:ascii="Times New Roman" w:hAnsi="Times New Roman"/>
          <w:color w:val="111111"/>
          <w:sz w:val="28"/>
          <w:szCs w:val="28"/>
          <w:lang w:val="en-US" w:bidi="en-US"/>
        </w:rPr>
        <w:t>Manager: Hadi Sadeqi</w:t>
      </w:r>
    </w:p>
    <w:p>
      <w:pPr>
        <w:pStyle w:val="BookText"/>
        <w:rPr/>
      </w:pPr>
      <w:r>
        <w:rPr>
          <w:rFonts w:eastAsia="Times New Roman" w:cs="Times New Roman" w:ascii="Times New Roman" w:hAnsi="Times New Roman"/>
          <w:color w:val="111111"/>
          <w:sz w:val="28"/>
          <w:szCs w:val="28"/>
          <w:lang w:val="en-US" w:bidi="en-US"/>
        </w:rPr>
        <w:t>Editor-in-Cheif: Reza Berenjkar</w:t>
      </w:r>
    </w:p>
    <w:p>
      <w:pPr>
        <w:pStyle w:val="BookText"/>
        <w:rPr/>
      </w:pPr>
      <w:r>
        <w:rPr>
          <w:rFonts w:eastAsia="Times New Roman" w:cs="Times New Roman" w:ascii="Times New Roman" w:hAnsi="Times New Roman"/>
          <w:color w:val="111111"/>
          <w:sz w:val="28"/>
          <w:szCs w:val="28"/>
          <w:lang w:val="en-US" w:bidi="en-US"/>
        </w:rPr>
        <w:t>Editorial Manager: Mousa Eshkevari</w:t>
      </w:r>
    </w:p>
    <w:p>
      <w:pPr>
        <w:pStyle w:val="BookText"/>
        <w:rPr/>
      </w:pPr>
      <w:r>
        <w:rPr>
          <w:rFonts w:eastAsia="Times New Roman" w:cs="Times New Roman" w:ascii="Times New Roman" w:hAnsi="Times New Roman"/>
          <w:color w:val="111111"/>
          <w:sz w:val="28"/>
          <w:szCs w:val="28"/>
          <w:lang w:val="en-US" w:bidi="en-US"/>
        </w:rPr>
        <w:t>Editor: Ramin Babagolzadeh</w:t>
      </w:r>
    </w:p>
    <w:p>
      <w:pPr>
        <w:pStyle w:val="BookText"/>
        <w:rPr/>
      </w:pPr>
      <w:r>
        <w:rPr>
          <w:rFonts w:eastAsia="Times New Roman" w:cs="Times New Roman" w:ascii="Times New Roman" w:hAnsi="Times New Roman"/>
          <w:color w:val="111111"/>
          <w:sz w:val="28"/>
          <w:szCs w:val="28"/>
          <w:lang w:val="en-US" w:bidi="en-US"/>
        </w:rPr>
        <w:t>Translated to Arabic by: Heidar Masjedi</w:t>
      </w:r>
    </w:p>
    <w:p>
      <w:pPr>
        <w:pStyle w:val="BookText"/>
        <w:rPr/>
      </w:pPr>
      <w:r>
        <w:rPr>
          <w:rFonts w:eastAsia="Times New Roman" w:cs="Times New Roman" w:ascii="Times New Roman" w:hAnsi="Times New Roman"/>
          <w:color w:val="111111"/>
          <w:sz w:val="28"/>
          <w:szCs w:val="28"/>
          <w:lang w:val="en-US" w:bidi="en-US"/>
        </w:rPr>
        <w:t>Translated to English by: Seyed MohammadAli Razavi</w:t>
      </w:r>
    </w:p>
    <w:p>
      <w:pPr>
        <w:pStyle w:val="BookText"/>
        <w:rPr/>
      </w:pPr>
      <w:r>
        <w:rPr>
          <w:rFonts w:eastAsia="Times New Roman" w:cs="Times New Roman" w:ascii="Times New Roman" w:hAnsi="Times New Roman"/>
          <w:color w:val="111111"/>
          <w:sz w:val="28"/>
          <w:szCs w:val="28"/>
          <w:lang w:val="en-US" w:bidi="en-US"/>
        </w:rPr>
        <w:t>Layout: Masoumeh Norouzi</w:t>
      </w:r>
    </w:p>
    <w:p>
      <w:pPr>
        <w:pStyle w:val="BookText"/>
        <w:rPr/>
      </w:pPr>
      <w:r>
        <w:rPr>
          <w:rFonts w:eastAsia="Times New Roman" w:cs="Times New Roman" w:ascii="Times New Roman" w:hAnsi="Times New Roman"/>
          <w:color w:val="111111"/>
          <w:sz w:val="28"/>
          <w:szCs w:val="28"/>
          <w:lang w:val="en-US" w:bidi="en-US"/>
        </w:rPr>
        <w:t>ISSN: 2345-3788</w:t>
      </w:r>
    </w:p>
    <w:p>
      <w:pPr>
        <w:pStyle w:val="BookText"/>
        <w:rPr/>
      </w:pPr>
      <w:r>
        <w:rPr>
          <w:rFonts w:eastAsia="Times New Roman" w:cs="Times New Roman" w:ascii="Times New Roman" w:hAnsi="Times New Roman"/>
          <w:color w:val="111111"/>
          <w:sz w:val="28"/>
          <w:szCs w:val="28"/>
          <w:lang w:val="en-US" w:bidi="en-US"/>
        </w:rPr>
        <w:t>Address: Islamic Theology Association, Islamic</w:t>
      </w:r>
    </w:p>
    <w:p>
      <w:pPr>
        <w:pStyle w:val="BookText"/>
        <w:rPr/>
      </w:pPr>
      <w:r>
        <w:rPr>
          <w:rFonts w:eastAsia="Times New Roman" w:cs="Times New Roman" w:ascii="Times New Roman" w:hAnsi="Times New Roman"/>
          <w:color w:val="111111"/>
          <w:sz w:val="28"/>
          <w:szCs w:val="28"/>
          <w:lang w:val="en-US" w:bidi="en-US"/>
        </w:rPr>
        <w:t>Seminary (Hawza), First Left Alley, Alley No.2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Jomhoori Eslami Boulevard, Qum, Iran</w:t>
      </w:r>
    </w:p>
    <w:p>
      <w:pPr>
        <w:pStyle w:val="BookText"/>
        <w:rPr/>
      </w:pPr>
      <w:r>
        <w:rPr>
          <w:rFonts w:eastAsia="Times New Roman" w:cs="Times New Roman" w:ascii="Times New Roman" w:hAnsi="Times New Roman"/>
          <w:color w:val="111111"/>
          <w:sz w:val="28"/>
          <w:szCs w:val="28"/>
          <w:lang w:val="en-US" w:bidi="en-US"/>
        </w:rPr>
        <w:t>PO Box: 3765-133</w:t>
      </w:r>
    </w:p>
    <w:p>
      <w:pPr>
        <w:pStyle w:val="BookText"/>
        <w:rPr/>
      </w:pPr>
      <w:r>
        <w:rPr>
          <w:rFonts w:eastAsia="Times New Roman" w:cs="Times New Roman" w:ascii="Times New Roman" w:hAnsi="Times New Roman"/>
          <w:color w:val="111111"/>
          <w:sz w:val="28"/>
          <w:szCs w:val="28"/>
          <w:lang w:val="en-US" w:bidi="en-US"/>
        </w:rPr>
        <w:t>Telephon: 0098-25-32928546</w:t>
      </w:r>
    </w:p>
    <w:p>
      <w:pPr>
        <w:pStyle w:val="BookText"/>
        <w:rPr/>
      </w:pPr>
      <w:r>
        <w:rPr>
          <w:rFonts w:eastAsia="Times New Roman" w:cs="Times New Roman" w:ascii="Times New Roman" w:hAnsi="Times New Roman"/>
          <w:color w:val="111111"/>
          <w:sz w:val="28"/>
          <w:szCs w:val="28"/>
          <w:lang w:val="en-US" w:bidi="en-US"/>
        </w:rPr>
        <w:t>Tsms: 30007227007705</w:t>
      </w:r>
    </w:p>
    <w:p>
      <w:pPr>
        <w:pStyle w:val="BookText"/>
        <w:rPr/>
      </w:pPr>
      <w:r>
        <w:rPr>
          <w:rFonts w:eastAsia="Times New Roman" w:cs="Times New Roman" w:ascii="Times New Roman" w:hAnsi="Times New Roman"/>
          <w:color w:val="111111"/>
          <w:sz w:val="28"/>
          <w:szCs w:val="28"/>
          <w:lang w:val="en-US" w:bidi="en-US"/>
        </w:rPr>
        <w:t>Site: www.tkalam.ir / www.ikq.ir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Info@Tkalam.ir / Info@Ikq.ir</w:t>
      </w:r>
    </w:p>
    <w:p>
      <w:pPr>
        <w:pStyle w:val="BookText"/>
        <w:rPr/>
      </w:pPr>
      <w:r>
        <w:rPr>
          <w:rFonts w:eastAsia="Times New Roman" w:cs="Times New Roman" w:ascii="Times New Roman" w:hAnsi="Times New Roman"/>
          <w:color w:val="111111"/>
          <w:sz w:val="28"/>
          <w:szCs w:val="28"/>
          <w:lang w:val="en-US" w:bidi="en-US"/>
        </w:rPr>
        <w:t>p: 2</w:t>
      </w:r>
    </w:p>
    <w:p>
      <w:pPr>
        <w:pStyle w:val="BookText"/>
        <w:rPr/>
      </w:pPr>
      <w:r>
        <w:rPr>
          <w:rFonts w:ascii="IRNazanin" w:hAnsi="IRNazanin" w:eastAsia="IRNazanin"/>
          <w:color w:val="111111"/>
          <w:sz w:val="28"/>
          <w:sz w:val="28"/>
          <w:szCs w:val="28"/>
          <w:rtl w:val="true"/>
          <w:lang w:bidi="fa-IR"/>
        </w:rPr>
        <w:t>فرم اشتراک فصلنامه علمی پژوهشی</w:t>
      </w:r>
    </w:p>
    <w:p>
      <w:pPr>
        <w:pStyle w:val="BookText"/>
        <w:rPr/>
      </w:pPr>
      <w:r>
        <w:rPr>
          <w:rFonts w:ascii="IRNazanin" w:hAnsi="IRNazanin" w:eastAsia="IRNazanin"/>
          <w:color w:val="111111"/>
          <w:sz w:val="28"/>
          <w:sz w:val="28"/>
          <w:szCs w:val="28"/>
          <w:rtl w:val="true"/>
          <w:lang w:bidi="fa-IR"/>
        </w:rPr>
        <w:t>استاد و پژوهشگر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تمایل به خرید و مطالعه مداوم و منظم فصلنامه علمی‌ـ پژوهشی تحقیقات کلامی، که حاوی تتبع، یافته ها، دیدگاه ها و نظریات علمی اساتید، طلاب و دانشجویان گرامی است، فرم زیر را تکمیل و به نشانی دفتر مجله؛ قم، بلوار امین، ابتدای بلوار جمهوری اسلامی، کوچه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فرعی اول سمت چپ، ساختمان انجمن های علمی حوزه، طبقه دوم، انجمن کلام اسلامی حوزه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37165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پلاک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لطفاً 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فصلنامه علمی‌ـ پژوهشی تحقیقات کلامی را از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نشانی بالا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اشتراک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ساله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در سال</w:t>
      </w:r>
      <w:r>
        <w:rPr>
          <w:rFonts w:eastAsia="IRNazanin" w:cs="IRNazanin"/>
          <w:color w:val="111111"/>
          <w:sz w:val="28"/>
          <w:szCs w:val="28"/>
          <w:rtl w:val="true"/>
          <w:lang w:bidi="fa-IR"/>
        </w:rPr>
        <w:t xml:space="preserve">) </w:t>
      </w:r>
      <w:r>
        <w:rPr>
          <w:rFonts w:eastAsia="IRNazanin" w:cs="IRNazanin"/>
          <w:color w:val="111111"/>
          <w:sz w:val="28"/>
          <w:szCs w:val="28"/>
          <w:lang w:bidi="fa-IR"/>
        </w:rPr>
        <w:t>320/000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 شماره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مبالغ مربوط به حق اشتراک مجلات درخواستی را به حساب شماره </w:t>
      </w:r>
      <w:r>
        <w:rPr>
          <w:rFonts w:eastAsia="IRNazanin" w:cs="IRNazanin"/>
          <w:color w:val="111111"/>
          <w:sz w:val="28"/>
          <w:szCs w:val="28"/>
          <w:lang w:bidi="fa-IR"/>
        </w:rPr>
        <w:t>0109412598008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ملی ایران به نام مجله علمی پژوهشی تحقیقات کلامی واریز و اصل فیش بانکی را به پیوست این فرم ارسال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اطلاع ثانوی هزینه ارسال فصلنامه بر عهده انجمن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اشتراک در فصلنامه، از طریق سایت مجله </w:t>
      </w:r>
      <w:r>
        <w:rPr>
          <w:rFonts w:eastAsia="Times New Roman" w:cs="Times New Roman" w:ascii="Times New Roman" w:hAnsi="Times New Roman"/>
          <w:color w:val="111111"/>
          <w:sz w:val="28"/>
          <w:szCs w:val="28"/>
          <w:lang w:val="en-US" w:bidi="en-US"/>
        </w:rPr>
        <w:t>www.Tkalam.ir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توانید اقدام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p:3</w:t>
      </w:r>
    </w:p>
    <w:p>
      <w:pPr>
        <w:pStyle w:val="BookText"/>
        <w:rPr/>
      </w:pPr>
      <w:r>
        <w:rPr>
          <w:rFonts w:eastAsia="Times New Roman" w:cs="Times New Roman" w:ascii="Times New Roman" w:hAnsi="Times New Roman"/>
          <w:color w:val="111111"/>
          <w:sz w:val="28"/>
          <w:szCs w:val="28"/>
          <w:lang w:val="en-US" w:bidi="en-US"/>
        </w:rPr>
        <w:t>Abstracts</w:t>
      </w:r>
    </w:p>
    <w:p>
      <w:pPr>
        <w:pStyle w:val="BookText"/>
        <w:rPr/>
      </w:pPr>
      <w:r>
        <w:rPr>
          <w:rFonts w:eastAsia="Times New Roman" w:cs="Times New Roman" w:ascii="Times New Roman" w:hAnsi="Times New Roman"/>
          <w:color w:val="111111"/>
          <w:sz w:val="28"/>
          <w:szCs w:val="28"/>
          <w:lang w:val="en-US" w:bidi="en-US"/>
        </w:rPr>
        <w:t>Applying Practical Reason to Deduction of Theological Teachings, Based on the Theological Texts</w:t>
      </w:r>
    </w:p>
    <w:p>
      <w:pPr>
        <w:pStyle w:val="BookText"/>
        <w:rPr/>
      </w:pPr>
      <w:r>
        <w:rPr>
          <w:rFonts w:eastAsia="Times New Roman" w:cs="Times New Roman" w:ascii="Times New Roman" w:hAnsi="Times New Roman"/>
          <w:color w:val="111111"/>
          <w:sz w:val="28"/>
          <w:szCs w:val="28"/>
          <w:lang w:val="en-US" w:bidi="en-US"/>
        </w:rPr>
        <w:t>Reza Berenjkar</w:t>
      </w:r>
    </w:p>
    <w:p>
      <w:pPr>
        <w:pStyle w:val="BookText"/>
        <w:rPr/>
      </w:pPr>
      <w:r>
        <w:rPr>
          <w:rFonts w:eastAsia="Times New Roman" w:cs="Times New Roman" w:ascii="Times New Roman" w:hAnsi="Times New Roman"/>
          <w:color w:val="111111"/>
          <w:sz w:val="28"/>
          <w:szCs w:val="28"/>
          <w:lang w:val="en-US" w:bidi="en-US"/>
        </w:rPr>
        <w:t>Mahdi Nosratian Ahvar</w:t>
      </w:r>
    </w:p>
    <w:p>
      <w:pPr>
        <w:pStyle w:val="BookText"/>
        <w:rPr/>
      </w:pPr>
      <w:r>
        <w:rPr>
          <w:rFonts w:eastAsia="Times New Roman" w:cs="Times New Roman" w:ascii="Times New Roman" w:hAnsi="Times New Roman"/>
          <w:color w:val="111111"/>
          <w:sz w:val="28"/>
          <w:szCs w:val="28"/>
          <w:lang w:val="en-US" w:bidi="en-US"/>
        </w:rPr>
        <w:t>Islamic theology is one of the Islamic sciences that enjoys both a source of intellect and hadith while deduction of Islamic theological teachings. Intellect has a variety of functions in the field of Islamic theology: theoretical, experimental, analytical and defensive function. The present article is concerned with the "practical function". Proof of good and evil actions is among the most important functions of practical intellect in the field of Islamic theology. In this regard a variety of issues is extracted from it. There are some examples in this paper that are proved through the rule of rational good and evil. The practical intellect also extracts various theological issues according to the rule of grace, avoidance of probable losses, obligatory gratitude to the divine bounteousness, and dependence of incumbent things on recommended ones</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Intellect, Practical Intellect, Rule of Grace, Rational Good and Evil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p:4</w:t>
      </w:r>
    </w:p>
    <w:p>
      <w:pPr>
        <w:pStyle w:val="BookText"/>
        <w:rPr/>
      </w:pPr>
      <w:r>
        <w:rPr>
          <w:rFonts w:eastAsia="Times New Roman" w:cs="Times New Roman" w:ascii="Times New Roman" w:hAnsi="Times New Roman"/>
          <w:color w:val="111111"/>
          <w:sz w:val="28"/>
          <w:szCs w:val="28"/>
          <w:lang w:val="en-US" w:bidi="en-US"/>
        </w:rPr>
        <w:t>Comparison of Mulla Sadra’s View and Allameh Tabatabai’s about the Will of God</w:t>
      </w:r>
    </w:p>
    <w:p>
      <w:pPr>
        <w:pStyle w:val="BookText"/>
        <w:rPr/>
      </w:pPr>
      <w:r>
        <w:rPr>
          <w:rFonts w:eastAsia="Times New Roman" w:cs="Times New Roman" w:ascii="Times New Roman" w:hAnsi="Times New Roman"/>
          <w:color w:val="111111"/>
          <w:sz w:val="28"/>
          <w:szCs w:val="28"/>
          <w:lang w:val="en-US" w:bidi="en-US"/>
        </w:rPr>
        <w:t>Evaluation of Two Views According to Traditions</w:t>
      </w:r>
    </w:p>
    <w:p>
      <w:pPr>
        <w:pStyle w:val="BookText"/>
        <w:rPr/>
      </w:pPr>
      <w:r>
        <w:rPr>
          <w:rFonts w:eastAsia="Times New Roman" w:cs="Times New Roman" w:ascii="Times New Roman" w:hAnsi="Times New Roman"/>
          <w:color w:val="111111"/>
          <w:sz w:val="28"/>
          <w:szCs w:val="28"/>
          <w:lang w:val="en-US" w:bidi="en-US"/>
        </w:rPr>
        <w:t>Mohammad Ali Dolat</w:t>
      </w:r>
    </w:p>
    <w:p>
      <w:pPr>
        <w:pStyle w:val="BookText"/>
        <w:rPr/>
      </w:pPr>
      <w:r>
        <w:rPr>
          <w:rFonts w:eastAsia="Times New Roman" w:cs="Times New Roman" w:ascii="Times New Roman" w:hAnsi="Times New Roman"/>
          <w:color w:val="111111"/>
          <w:sz w:val="28"/>
          <w:szCs w:val="28"/>
          <w:lang w:val="en-US" w:bidi="en-US"/>
        </w:rPr>
        <w:t>Musa Malayeri</w:t>
      </w:r>
    </w:p>
    <w:p>
      <w:pPr>
        <w:pStyle w:val="BookText"/>
        <w:rPr/>
      </w:pPr>
      <w:r>
        <w:rPr>
          <w:rFonts w:eastAsia="Times New Roman" w:cs="Times New Roman" w:ascii="Times New Roman" w:hAnsi="Times New Roman"/>
          <w:color w:val="111111"/>
          <w:sz w:val="28"/>
          <w:szCs w:val="28"/>
          <w:lang w:val="en-US" w:bidi="en-US"/>
        </w:rPr>
        <w:t>After evaluating and presenting an exact report of Mulla Sadra’s view and Allameh Tabatabai’s one about the will of God, the authors of the paper try to offer a theory closer to traditions. Mulla Sadra considers the will of God as the attribute of the essence and tantamount to the knowledge of the best order. Allameh Tabatabai, due to the philosophical weakness of the Mulla Sadra’s theory and also due to its conflict with traditions that regard the will of God as created, attribute of action and other than the knowledge and love of God, has offered another theory that considers the will of God as attribute of action and a prerequisite for the God's power. According to the third theory, which we think is concluded by the hadith, the divine providence, which is derived from divine wisdom, goes between the knowledge and power and the will of God. As a result the will of God brings about fate and destiny and consequently causes the external realization of an action. From a negative point of view, this theory is in consistent with the Allameh Tabatabai’s theory but is in contrary to it from a positive point of 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The Will of God, the Attribute of the Essence, Divine Knowledge, Knowledge of the Best Order, God's Power, the Divine Providence</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p:5</w:t>
      </w:r>
    </w:p>
    <w:p>
      <w:pPr>
        <w:pStyle w:val="BookText"/>
        <w:rPr/>
      </w:pPr>
      <w:r>
        <w:rPr>
          <w:rFonts w:eastAsia="Times New Roman" w:cs="Times New Roman" w:ascii="Times New Roman" w:hAnsi="Times New Roman"/>
          <w:color w:val="111111"/>
          <w:sz w:val="28"/>
          <w:szCs w:val="28"/>
          <w:lang w:val="en-US" w:bidi="en-US"/>
        </w:rPr>
        <w:t>Role of Interest (Grace and Credit) in Explaining the Initial Pains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Theological Approach</w:t>
      </w:r>
    </w:p>
    <w:p>
      <w:pPr>
        <w:pStyle w:val="BookText"/>
        <w:rPr/>
      </w:pPr>
      <w:r>
        <w:rPr>
          <w:rFonts w:eastAsia="Times New Roman" w:cs="Times New Roman" w:ascii="Times New Roman" w:hAnsi="Times New Roman"/>
          <w:color w:val="111111"/>
          <w:sz w:val="28"/>
          <w:szCs w:val="28"/>
          <w:lang w:val="en-US" w:bidi="en-US"/>
        </w:rPr>
        <w:t>Hamid Reza Soroorian</w:t>
      </w:r>
    </w:p>
    <w:p>
      <w:pPr>
        <w:pStyle w:val="BookText"/>
        <w:rPr/>
      </w:pPr>
      <w:r>
        <w:rPr>
          <w:rFonts w:eastAsia="Times New Roman" w:cs="Times New Roman" w:ascii="Times New Roman" w:hAnsi="Times New Roman"/>
          <w:color w:val="111111"/>
          <w:sz w:val="28"/>
          <w:szCs w:val="28"/>
          <w:lang w:val="en-US" w:bidi="en-US"/>
        </w:rPr>
        <w:t>The concept of "interest" and some terms like grace and credit play a pivotal role in explaining the initial pains. In analyzing the concept of interest in theological approach, the overall concept is intended while in verses of the Quran and hadith is mostly pointed to the examples of interest such as reward, God’s trial, perfection, and so on. Islamic theologians expressed four views about the role of interest in goodness of initial pains. According to the first view, divine action is deemed the same as interest which can not be measured by the yardstick of human reasoning and nothing be required of God as well. The second view says that the interest has no role in goodness of initial pains and God’s compensation is enough for its goodness. The third view says that the interest is deemed a sufficient condition for goodness of initial pains and does not require compensation. The third view deems God’s compensation necessary in spite of necessity of interest for goodness of initial pains. As a result of these challenges the author of the present paper concludes the fifth view saying that the constant accompaniment of interest is a requisite for all initial pains, although it is not enough in some initial pains</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Initial Pains, Interest, Grace, Learning, Compensation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p:6</w:t>
      </w:r>
    </w:p>
    <w:p>
      <w:pPr>
        <w:pStyle w:val="BookText"/>
        <w:rPr/>
      </w:pPr>
      <w:r>
        <w:rPr>
          <w:rFonts w:eastAsia="Times New Roman" w:cs="Times New Roman" w:ascii="Times New Roman" w:hAnsi="Times New Roman"/>
          <w:color w:val="111111"/>
          <w:sz w:val="28"/>
          <w:szCs w:val="28"/>
          <w:lang w:val="en-US" w:bidi="en-US"/>
        </w:rPr>
        <w:t>Imamat and Bada: Analysis of a Hadith</w:t>
      </w:r>
    </w:p>
    <w:p>
      <w:pPr>
        <w:pStyle w:val="BookText"/>
        <w:rPr/>
      </w:pPr>
      <w:r>
        <w:rPr>
          <w:rFonts w:eastAsia="Times New Roman" w:cs="Times New Roman" w:ascii="Times New Roman" w:hAnsi="Times New Roman"/>
          <w:color w:val="111111"/>
          <w:sz w:val="28"/>
          <w:szCs w:val="28"/>
          <w:lang w:val="en-US" w:bidi="en-US"/>
        </w:rPr>
        <w:t>Mahdi Farmanian</w:t>
      </w:r>
    </w:p>
    <w:p>
      <w:pPr>
        <w:pStyle w:val="BookText"/>
        <w:rPr/>
      </w:pPr>
      <w:r>
        <w:rPr>
          <w:rFonts w:eastAsia="Times New Roman" w:cs="Times New Roman" w:ascii="Times New Roman" w:hAnsi="Times New Roman"/>
          <w:color w:val="111111"/>
          <w:sz w:val="28"/>
          <w:szCs w:val="28"/>
          <w:lang w:val="en-US" w:bidi="en-US"/>
        </w:rPr>
        <w:t>Ehsan Jandaqi</w:t>
      </w:r>
    </w:p>
    <w:p>
      <w:pPr>
        <w:pStyle w:val="BookText"/>
        <w:rPr/>
      </w:pPr>
      <w:r>
        <w:rPr>
          <w:rFonts w:eastAsia="Times New Roman" w:cs="Times New Roman" w:ascii="Times New Roman" w:hAnsi="Times New Roman"/>
          <w:color w:val="111111"/>
          <w:sz w:val="28"/>
          <w:szCs w:val="28"/>
          <w:lang w:val="en-US" w:bidi="en-US"/>
        </w:rPr>
        <w:t>The present paper is concerned with a hdith on the issue of Bada: “Allah never had Bada in anything like he had in the case of Ismail”. This hadith has a firm relation to an exclusive belief to the Shia, i.e. Bada. An investigation of the chain of documents suggests that the tradition is mostly seen in Imami sources with a mursal or maqtu chain. Zaid Nursi’s Asl is the only reliable document but some rijal scholars have rejected his own reliability. Since Ibn Abi Umayr has quoted from Nursi’s Asl, Imami Shia have accepted it. No word in this hadith suggests the Imamat of Ismail [son of Imam Jafar Sadiq (a.s)]. But due to Zaidi’s intentional interpretation of the hadith and using this interpretation by other Islamic sects, it has historically been a matter of dispute. The content analysis of the hadith suggests the fact that this tradition has no relation to the Imamat of Ismail and even Ismailis themselves did not pay much attention to it for the contradiction between this hadith and the principles of their faith</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Bda’, Imamat, Ismailiyya, Twelver Shia, Zaidiyya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p:7</w:t>
      </w:r>
    </w:p>
    <w:p>
      <w:pPr>
        <w:pStyle w:val="BookText"/>
        <w:rPr/>
      </w:pPr>
      <w:r>
        <w:rPr>
          <w:rFonts w:eastAsia="Times New Roman" w:cs="Times New Roman" w:ascii="Times New Roman" w:hAnsi="Times New Roman"/>
          <w:color w:val="111111"/>
          <w:sz w:val="28"/>
          <w:szCs w:val="28"/>
          <w:lang w:val="en-US" w:bidi="en-US"/>
        </w:rPr>
        <w:t>Explanation and Criticism of Theologian’s Quranic</w:t>
      </w:r>
    </w:p>
    <w:p>
      <w:pPr>
        <w:pStyle w:val="BookText"/>
        <w:rPr/>
      </w:pPr>
      <w:r>
        <w:rPr>
          <w:rFonts w:eastAsia="Times New Roman" w:cs="Times New Roman" w:ascii="Times New Roman" w:hAnsi="Times New Roman"/>
          <w:color w:val="111111"/>
          <w:sz w:val="28"/>
          <w:szCs w:val="28"/>
          <w:lang w:val="en-US" w:bidi="en-US"/>
        </w:rPr>
        <w:t>Reasons for Kalam Competency</w:t>
      </w:r>
    </w:p>
    <w:p>
      <w:pPr>
        <w:pStyle w:val="BookText"/>
        <w:rPr/>
      </w:pPr>
      <w:r>
        <w:rPr>
          <w:rFonts w:eastAsia="Times New Roman" w:cs="Times New Roman" w:ascii="Times New Roman" w:hAnsi="Times New Roman"/>
          <w:color w:val="111111"/>
          <w:sz w:val="28"/>
          <w:szCs w:val="28"/>
          <w:lang w:val="en-US" w:bidi="en-US"/>
        </w:rPr>
        <w:t>Jafar Rahimi</w:t>
      </w:r>
    </w:p>
    <w:p>
      <w:pPr>
        <w:pStyle w:val="BookText"/>
        <w:rPr/>
      </w:pPr>
      <w:r>
        <w:rPr>
          <w:rFonts w:eastAsia="Times New Roman" w:cs="Times New Roman" w:ascii="Times New Roman" w:hAnsi="Times New Roman"/>
          <w:color w:val="111111"/>
          <w:sz w:val="28"/>
          <w:szCs w:val="28"/>
          <w:lang w:val="en-US" w:bidi="en-US"/>
        </w:rPr>
        <w:t>Each of the proponents of kalam competency theory have cited the Quran to prove their theory whether the competency is with action or before action. This article, a descriptive study based on the work of theologians, has a critical view of the theologian’s Quranic reasons in a variety of theological schools. Mutazili theologians cite the Quran 7:117 as their reason for accepting the competency before action. Citing the Quran 9:42 Ahl al-Hadith and Ashaira accepted the competency with action. They were followed by Maturidies except in unbearable obligation. Imami theologians have accepted both of them. It seems that there is no explicit mention of the two theories in the Quran and theologians have imposed their interpretations on the verses of the Quran</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Kalam Competency, Theologian’s Quranic Reasons, Mu'tazilah, Ash'ari, Shia, Maturidiyah, Ahl al-Hadith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p:8</w:t>
      </w:r>
    </w:p>
    <w:p>
      <w:pPr>
        <w:pStyle w:val="BookText"/>
        <w:rPr/>
      </w:pPr>
      <w:r>
        <w:rPr>
          <w:rFonts w:eastAsia="Times New Roman" w:cs="Times New Roman" w:ascii="Times New Roman" w:hAnsi="Times New Roman"/>
          <w:color w:val="111111"/>
          <w:sz w:val="28"/>
          <w:szCs w:val="28"/>
          <w:lang w:val="en-US" w:bidi="en-US"/>
        </w:rPr>
        <w:t>Cases of Exegetical and Theological Reasoning Based</w:t>
      </w:r>
    </w:p>
    <w:p>
      <w:pPr>
        <w:pStyle w:val="BookText"/>
        <w:rPr/>
      </w:pPr>
      <w:r>
        <w:rPr>
          <w:rFonts w:eastAsia="Times New Roman" w:cs="Times New Roman" w:ascii="Times New Roman" w:hAnsi="Times New Roman"/>
          <w:color w:val="111111"/>
          <w:sz w:val="28"/>
          <w:szCs w:val="28"/>
          <w:lang w:val="en-US" w:bidi="en-US"/>
        </w:rPr>
        <w:t>on the Quran 2:256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There shall be no Compulsion in [Acceptance of] the Religion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Mahdi Fani</w:t>
      </w:r>
    </w:p>
    <w:p>
      <w:pPr>
        <w:pStyle w:val="BookText"/>
        <w:rPr/>
      </w:pPr>
      <w:r>
        <w:rPr>
          <w:rFonts w:eastAsia="Times New Roman" w:cs="Times New Roman" w:ascii="Times New Roman" w:hAnsi="Times New Roman"/>
          <w:color w:val="111111"/>
          <w:sz w:val="28"/>
          <w:szCs w:val="28"/>
          <w:lang w:val="en-US" w:bidi="en-US"/>
        </w:rPr>
        <w:t>Mohammad Hossein Rajabi</w:t>
      </w:r>
    </w:p>
    <w:p>
      <w:pPr>
        <w:pStyle w:val="BookText"/>
        <w:rPr/>
      </w:pPr>
      <w:r>
        <w:rPr>
          <w:rFonts w:eastAsia="Times New Roman" w:cs="Times New Roman" w:ascii="Times New Roman" w:hAnsi="Times New Roman"/>
          <w:color w:val="111111"/>
          <w:sz w:val="28"/>
          <w:szCs w:val="28"/>
          <w:lang w:val="en-US" w:bidi="en-US"/>
        </w:rPr>
        <w:t>This paper deals with the most important cases in which scholars of theology have cited the Quran 2:256 as their proof. The noble verse has been cited in two cases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case of acts of God, such as rule of grace, legislation and obligations in case of free will and divine trial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case of human beings (whether they Infallible Imams or other people); including discussion of the Infallibility of Imams and the Prophet’s duty as well as issues such as the denial of imitation, freedom of thought and conscience for all human beings. Finally, this paper deals with the "Religious Pluralism and Rejection of Determinism " that is concerned with the opinions and views of various theological schools of thought (old and new). It can be concluded that the most important issue in this regard is the " Rejection of Determinism and Acceptance of Free Will" that according to it other forms of reasoning take shape</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Religion, Free Will, Rejection of Force, Obligations, Freedom of Conscience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p:9</w:t>
      </w:r>
    </w:p>
    <w:p>
      <w:pPr>
        <w:pStyle w:val="BookText"/>
        <w:rPr/>
      </w:pPr>
      <w:r>
        <w:rPr>
          <w:rFonts w:eastAsia="Times New Roman" w:cs="Times New Roman" w:ascii="Times New Roman" w:hAnsi="Times New Roman"/>
          <w:color w:val="111111"/>
          <w:sz w:val="28"/>
          <w:szCs w:val="28"/>
          <w:lang w:val="en-US" w:bidi="en-US"/>
        </w:rPr>
        <w:t>Social Theology (Nature, Origin, Approach)</w:t>
      </w:r>
    </w:p>
    <w:p>
      <w:pPr>
        <w:pStyle w:val="BookText"/>
        <w:rPr/>
      </w:pPr>
      <w:r>
        <w:rPr>
          <w:rFonts w:eastAsia="Times New Roman" w:cs="Times New Roman" w:ascii="Times New Roman" w:hAnsi="Times New Roman"/>
          <w:color w:val="111111"/>
          <w:sz w:val="28"/>
          <w:szCs w:val="28"/>
          <w:lang w:val="en-US" w:bidi="en-US"/>
        </w:rPr>
        <w:t>Ruhollah Shakeri Zavardehi</w:t>
      </w:r>
    </w:p>
    <w:p>
      <w:pPr>
        <w:pStyle w:val="BookText"/>
        <w:rPr/>
      </w:pPr>
      <w:r>
        <w:rPr>
          <w:rFonts w:eastAsia="Times New Roman" w:cs="Times New Roman" w:ascii="Times New Roman" w:hAnsi="Times New Roman"/>
          <w:color w:val="111111"/>
          <w:sz w:val="28"/>
          <w:szCs w:val="28"/>
          <w:lang w:val="en-US" w:bidi="en-US"/>
        </w:rPr>
        <w:t>Marziyeh Abdoli Masinan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Social Theology" is a branch of Islamic Social Sciences, which is concerned with deduction, explanation and defense of Islamic teachings and views on social issues. Islamic theologians throughout history and in light of the maximal approach to religion have paid attention to all aspects of religion in all aspects of human social life there, even though their social heritage was not included in a separate field. Social researches first popped in Europe and America in response to social conditions of the West and Christianity and then appeared in other Islamic lands. Social theology in comparison with other social sciences, due to the distinctive features of the methodology, cosmology and anthropology, has the ability to develop and flourish in theorizing the problems of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Theology, Kalam, Social, Social Theology, Social Kalam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دانشگاه تهران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کلام امامیه دانشگاه قرآن و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Dolat1364@yahoo.com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دانشگاه آزاد اسلامی واحد تهران و دانشیار گروه کلام دانشگاه قرآن و حدیث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الَّذی خَلَقَ سَبعَ سَماواتٍ وَ مِنَ الاَرضِ مِثلَهُنَّ یَتَنَزَّلُ الاَمرُ بَینَهُنَّ لِتَعلَموا اَنَّ اللهَ عَلی کُلِّ شَیءٍ قَدیرٌ وَ اَنَّ اللهَ قَد اَحاطَ بِکُلِّ شَیءٍ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کسی است که هفت آسمان را آفرید و زمین را نیز مانند آن‌ها قرار داد؛ اراده و فرمان الهی در میان آن‌ها فرود می‌آید تا بدانید که خداوند بر همه‌چیز تواناست و علم خداوند به همه‌چیز احاطه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میان تمام اسمای الهی، نه برای تخصیص، بلکه برای این است که این دو اسم، منشأ دیگر اسما و صفات الهی‌اند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غایت انسان در بُعد شناختی اش، شناخت اسما و صفات خداوند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طباطبائی،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را به اخلاق الهی بیارایید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اراده تشریعیِ خداوند درباره امور گوناگون، در فقه مطرح می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الْمَشِیَّةُ وَ الإِرَادَةُ مِنْ صِفَاتِ الأَفْعَالِ فَمَنْ زَعَمَ أَنَّ اللَّهَ لَمْ‌یَزَلْ مُرِیداً شَائِیاً فَلَیْسَ بِمُوَحِّدٍ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مشیت و اراده از صفات افعال است؛ هر کس بپندارد که خداوند همواره مُرید و شائی بوده است، موحد نیست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الْمَشِیَّةُ وَ الإِرَادَةُ مِنْ صِفَاتِ الأَفْعَالِ فَمَنْ زَعَمَ أَنَّ اللَّهَ لَمْ‌یَزَلْ مُرِیداً شَائِیاً فَلَیْسَ بِمُوَحِّدٍ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مشیت و اراده از صفات افعال است؛ هر کس بپندارد که خداوند همواره مُرید و شائی بوده است، موحد نیست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صَفْوَانَ بْنِ یَحْیَی قَالَ قُلْتُ لأَبِی‌ا‌لْحَسَنِ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أَخْبِرْنِی عَنِ الإِرَادَةِ مِنَ اللَّهِ وَ مِنَ الْخَلْقِ قَالَ فَقَالَ الإِرَادَةُ مِنَ الْخَلْقِ الضَّمِیرُ وَ مَا یَبْدُو لَهُمْ بَعْدَ ذَلِکَ مِنَ الْفِعْلِ وَ أَمَّا مِنَ اللَّهِ تَعَالَی فَإِرَادَتُهُ إِحْدَاثُهُ لاغَیْرُ ذَلِکَ لأَنَّهُ لایُرَوِّی وَ لایَهُمُّ وَ لایَتَفَکَّرُ وَ هَذِهِ الصِّفَاتُ مَنْفِیَّةٌ عَنْهُ وَ هِیَ صِفَاتُ الْخَلْقِ فَإِرَادَةُ اللّهِ الْفِعْلُ لا غَیْرُ ذَلِکَ یَقُولُ لَهُ کُنْ فَیَکُونُ بِلا لَفْظٍ وَ لانُطْقٍ بِلِسَانٍ وَ لا هِمَّةٍ وَ لا تَفَکُّرٍ وَ لا کَیْفَ لِذَلِکَ کَمَا أَنَّهُ لا کَیْفَ 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بَانَ مِنَ الْخَلْقِ فَلا شَیْ‌ءَ کَمِثْلِهِ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 کسی است که با آفریدگان کاملاً مباینت دارد؛ به همین دلیل، هیچ چیزی مانند او نیست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لَمْ‌یَخْلُ مِنْهُ مَکَانٌ فَیُدْرَکَ بِأَیْنِیَّةٍ وَ لا لَهُ شِبْهُ مِثَالٍ فَیُوصَفَ بِکَیْفِیَّةٍ وَ لَمْ‌یَغِبْ عَنْ عِلْمِهِ شَیْ‌ءٌ فَیُعْلَمَ بِحَیْثِیَّةٍ مُبَایِنٌ لِجَمِیعِ مَا أَحْدَثَ فِی الصِّفَاتِ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هیچ مکانی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نیست تا به وسیله مکان‌مند بودن ادراک شود، هیچ شبیهی ندارد تا به وسیله کیفیت مورد توصیف قرار بگیرد و هیچ چیزی از علم او غایب نیست تا به وسیله حیثیتی، آن‌ها مورد علم او قرار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تمام امور حادث در صفات، مباین است</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بُکَیْرِ بْنِ أَعْیَنَ قَالَ قُلْتُ لأَبِی‌عَبْدِاللّهِ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عِلْمُ اللّهِ وَ مَشِیئَتُهُ هُمَا مُخْتَلِفَانِ أَوْ مُتَّفِقَانِ؟ فَقَالَ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لَیْسَ هُوَ الْمَشِیئَةَ أَلا تَرَی أَنَّکَ تَقُولُ سَأَفْعَلُ کَذَا إِنْ شَاءَ اللّهُ وَ لا تَقُولُ سَأَفْعَلُ کَذَا إِنْ عَلِمَ اللّهُ فَقَوْلُکَ إِنْ شَاءَ اللّهُ دَلِیلٌ عَلَی أَنَّهُ لَمْ یَشَأْ فَإِذَا شَاءَ کَانَ الَّذِی شَاءَ کَمَا شَاءَ وَ عِلْمُ اللّهِ السَّابِقُ لِلْمَشِیئَةِ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عَاصِمِ بْنِ حُمَیْدٍ عَنْ أَبِی‌عَبْدِاللَّهِ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لَمْ‌یَزَلِ اللَّهُ مُرِیداً؟ قَالَ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الْمُرِیدَ لایَکُونُ إِلا لِمُرَادٍ مَعَهُ؛ لَمْ‌یَزَلِ اللَّهُ عَالِماً قَادِراً ثُمَّ أَرَادَ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أَبِی‌بَصِیرٍ قَالَ قُلْتُ لأَبِی‌عَبْدِاللَّهِ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شَاءَ وَ أَرَادَ وَ قَدَّرَ وَ قَضَی؟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أَحَبَّ؟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شَاءَ وَ أَرَادَ وَ قَدَّرَ وَ قَضَی وَ لَمْ‌یُحِبَّ؟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خَرَجَ إِلَیْنَا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فُضَیْلِ بْنِ یَسَارٍ قَالَ سَمِعْتُ أَبَاعَبْدِاللَّهِ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شَاءَ وَ أَرَادَ وَ لَمْ‌یُحِبَّ وَ لَمْ‌یَرْضَ؛ شَاءَ أَنْ لایَکُونَ شَیْ‌ءٌ إِلا بِعِلْمِهِ وَ أَرَادَ مِثْلَ ذَلِکَ وَ لَمْ‌یُحِبَّ أَنْ یُقَالَ ثَالِثُ ثَلاثَةٍ وَ لَمْ‌یَرْضَ لِعِبادِهِ الْکُفْرَ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لایَکُونُ شَیْ‌ءٌ فِی الأَرْضِ وَ لا فِی السَّمَاءِ إِلا بِهَذِهِ الْخِصَالِ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بِمَشِیئَةٍ وَ إِرَادَةٍ وَ قَدَرٍ وَ قَضَاءٍ وَ إِذْنٍ وَ کِتَابٍ وَ أَجَلٍ؛ فَمَنْ زَعَمَ أَنَّهُ یَقْدِرُ عَلَی نَقْضِ وَاحِدَةٍ فَقَدْ کَفَرَ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الْعَالِمُ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کَیْفَ عِلْمُ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شَاءَ وَ أَرَادَ وَ قَدَّرَ وَ قَضَی وَ أَمْضَی فَأَمْضَی مَا قَضَی وَ قَضَی مَا قَدَّرَ وَ قَدَّرَ مَا أَرَادَ فَبِعِلْمِهِ کَانَتِ الْمَشِیئَةُ وَ بِمَشِیئَتِهِ کَانَتِ الإِرَادَةُ وَ بِإِرَادَتِهِ کَانَ التَّقْدِیرُ وَ بِتَقْدِیرِهِ کَانَ الْقَضَاءُ وَ بِقَضَائِهِ کَانَ الإِمْضَاءُ وَ الْعِلْمُ مُتَقَدِّمٌ عَلَی الْمَشِیئَةِ وَ الْمَشِیئَةُ ثَانِیَةٌ وَ الإِرَادَةُ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فَبِالْعِلْمِ عَلِمَ الأَشْیَاءَ قَبْلَ کَوْنِهَا وَ بِالْمَشِیئَةِ عَرَّفَ صِفَاتِهَا وَ حُدُودَهَا وَ أَنْشَأَهَا قَبْلَ إِظْهَارِهَا وَ بِالإِرَادَةِ مَیَّزَ أَنْفُسَهَا فِی أَلْوَانها وَ صِفَاتِهَا وَ بِالتَّقْدِیرِ قَدَّرَ أَقْوَاتَهَا وَ عَرَّفَ أَوَّلَهَا وَ آخِرَهَا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الْمَشِیئَةُ مُحْدَثَةٌ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مشیّت خدا تعلق بگیرد، همه کسانی که در زمین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می‌شوند؛ آیا تو می‌خواهی آن‌ها را با اکراه، به قبولِ ایمان وادار کنی؟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لِنَفْسٍ أَن تُؤْمِنَ إِلا بِإِذْنِ اللّهِ وَ یجَْعَلُ الرِّجْسَ عَلیَ الَّذِینَ لا یَعْقِلُونَ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أَبِی‌الْحَسَنِ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إِرَادَتَیْنِ وَ مَشِیئَتَیْنِ إِرَادَةَ حَتْمٍ وَ إِرَادَةَ عَزْمٍ یَنْهَی وَ هُوَ یَشَاءُ وَ یَأْمُرُ وَ هُوَ لا یَشَاءُ أَوَ مَا رَأَیْتَ أَنَّهُ نَهَی آدَمَ وَ زَوْجَتَهُ أَنْ یَأْکُلا مِنَ الشَّجَرَةِ وَ شَاءَ ذَلِکَ وَ لَوْ لَمْ‌یَشَأْ أَنْ یَأْکُلا لَمَا غَلَبَتْ مَشِیئَتُهُمَا مَشِیئَةَ اللّهِ تَعَالَی وَ أَمَرَ إِبْرَاهِیمَ أَنْ یَذْبَحَ إِسْحَاقَ وَ لَمْ‌یَشَأْ أَنْ یَذْبَحَهُ وَ لَوْ شَاءَ لَمَا غَلَبَتْ مَشِیئَةُ إِبْرَاهِیمَ مَشِیئَةَ اللّهِ تَعَالَی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أَبِی‌عَبْدِ‌اللَّهِ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الْمَشِیئَةَ بِنَفْسِهَا ثُمَّ خَلَقَ الأَشْیَاءَ بِالْمَشِیئَةِ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یُونُسَ بْنِ عَبْدِ‌الرَّحْمَنِ قَالَ قَالَ لِی أَبُو‌الْحَسَنِ الرِّضَا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یُونُسُ تَعْلَمُ مَا الْمَشِیئَةُ؟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الذِّکْرُ الأَوَّلُ؛ فَتَعْلَمُ مَا الإِرَادَةُ؟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الْعَزِیمَةُ عَلَی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یُونُسَ عَنْ أَبِی‌الْحَسَنِ 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 قُلْتُ لا یَکُونُ إِلا مَا شَاءَ اللَّهُ وَ أَرَادَ وَ قَدَّرَ وَ 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شَاءَ؟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فَمَا مَعْنَی أَرَادَ؟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الثُّبُوتُ عَلَیْهِ</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أَرَادُواْ الْخُرُوجَ لأَعَدُّواْ لَهُ عُدَّةً وَ لکِن کَرِهَ اللّهُ انبِعَاثَهُمْ فَثَبَّطَهُمْ وَ قِیلَ اقْعُدُواْ مَعَ الْقاعِدِینَ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آن‌ها واقعاً اراده داشتند برای جهاد خارج شوند، تجهیزاتی برای آن فراهم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این است که خدا از حرکت آن‌ها کراهت داشت؛ لذا آن‌ها را از جهاد بازداشت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آنان چنین ابلاغ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کودکان، پیران و بیماران بنشینید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معارف اسلامی دانشگاه تبریز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آلام ابتدایی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تعبیر کلامی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برای این دسته آلام در لسان آیات و روایات،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آلام غیراستحقاقی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مناسب‌تر باشد، زیرا از آیات وروایات به دست می‌آید که آلامِ وارد‌شده بر انسان‌ها دو دسته‌اند؛ برخی استحقاقی که نتیجه عملکرد خود انسان است، و برخی غیراستحقاقی که مورد بحث این نوشتار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ادیان و مذاهب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دانشگاه ادیان و مذاهب</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عیون اخبار الرضا ذیل حدیث جابر؛ همچنین از منابع معاصر مراجعه نمایید به مسائل الامامه اثر ناشی اکبر، بحث شیعیان پس از شهادت امام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اما باید گفت؛ از بهترین منابع باید از آثاری چون مقتضب‌الاثر از ابن‌عیاش جوهری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کفایۀالاثر از خزاز قمی نام برد که در آن‌ها کوشیده شده است تا نص بر اسامی و ترتیب ائمه را از منابع گوناگون شیعه و اهل‌سنت گرد آورند</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در رجال خویش درباره اصل زید نرسی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اخبرنا احمد بن علی بن نوح السیرافی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احمد الصفوانی،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ابراهیم بن هاشم عن ابیه عن ابن‌ابی‌عمیر عن زید النرسی بکتابه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نیز درباره سلسله راویان این اصل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المفید، عن ابن‌قولویه عن ابی‌القاسم جعفر بن محمد العلوی الموسوی عن عبیدالله بن احمد بن نهیک عن ابن‌ابی‌عمیر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مجلسی طریق دیگری برای این اصل برمی‌شمارد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الشیخ ابومحمد هارون بن موسی التعلکبری، قال حدثنا ابوالعباس احمد بن محمد بن سعید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عبدالله العلوی ابوعبدالله المحمدی،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ابی‌عمیر، عن زید النرسی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مشاهده می‌گردد، تمام سلسله راویان این اصل از ثقات امامیه، بلکه از بزرگ‌ترین ایشان هستند و تعدد طُرق، نشانه از اشتهار این اصل نزد بزرگان امامیه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بحرالعلوم،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الستۀ عشر،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بن‌قاسم‌بن‌اسحاق‌بن‌عبدالله بن‌جعفر‌بن‌ابی‌طالب که محضر چهار امام معصوم را درک کرده و رجال‌شناسان شیعه او را ثقه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طوسی،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علامه حلی،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تستری،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رجال کشی بر اساس برخی روایات مروی از وی، نسبت ارتفاع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داده شده، اما بسیاری از بزرگان شیعه این اظهار نظر کشی را نپذیرفته و بر توثیق او تأکید داشته‌اند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امین،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خویی،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 در اثبات موروثی بودن امامت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جَعَلَهَا کَلِمَةً بَاقِیَةً فِی عَقِبِهِ لَعَلَّهُمْ یَرْجِعُونَ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استناد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یمنی،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اسماعیلی در این زمینه حدیثی از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داعی ادریس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روت الشیعه و غیرها عن الامام الصادق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الامامة محصورة فی ولده دون ولد الحسن و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الامامة صارت للحسین بعد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فی والد الحسین أصلیة تمشی قدماً قدما و لاتمشی الی الوراء و لاترجع القهقری؛ و هی بالنص من امام علی 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ادریس،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امامیه نیز از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هم‌چنین در جریان جانشینی امام حسن عسگری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به این نکته اشاره و در استناد حدیثی آن، احادیثی را ذکر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اشعری،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بتوان شهرستانی را اسماعیلی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فرمانیان،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رجال شیعه، اقوال متفاوتی درباره معلی بن‌خنیس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طوسی،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همو،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ابن‌شهرآشوب، بی‌تا،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 را بگیر و از آتش نجاتم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شما چه کسی بر ما امام است؟ در این هنگام امام کاظم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وارد شده،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صاحبکم فتمسک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از متن حدیث برمی‌آید، این حدیث بعد از تولد امام کاظم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نقل گردیده؛ یعنی در زمانی که حدود سه دهه از تولد اسماعیل بن‌جعفر، فرزند ارشد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گذشته است و با توجه به تأکید منابع روایی درباره این‌که فیض بن‌مختار، نخستین کسی بوده است که از او حدیثی درباره امامت موسی‌بن‌جعفر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نقل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شاید بتوان گفت، مدت نسبتاً طولانی که امام صادق</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برای خود جانشین تعیین نفرمودند، خود یکی از عوامل و انگیزه‌های مدعیان امامت اسماعیل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باور اسماعیلیه، امامان به دو دسته تقسیم می‌شوند؛ امام مستودع که امامت به امانت به او گذاشته شده است و قابل انتقال به نسل او نیست و امام مستقر که از تمام امتیازات امامت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فلسفه وجودی امام مستودع که به تعبیری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حفاظتی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دوره‌ای که جان امام در خطر است، امام واقعی مستور باقی می‌ماند و افراد دیگری در نقش امام ظاهر می‌شوند و شهادت را به جان می‌خرند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تامر،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نصیری،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فرَق اسماعیلیه حسن بن‌علی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محمد‌بن‌حنفیه و موسی بن‌جعفر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امام مستودع شناخته شده‌اند؛ البته در بین فرق اسماعیلیه در سلسله امامان مستودع، اختلافات فراوانی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دیگر منابع امامیه نیز تأکید شده است که بداء به برخی امور، مانند آنچه پیامبران به تبلیغ آن مأمور شده‌اند، راه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پس از بیان روایاتی درباره تأخیر و تقدیم وعده الهی و بحث در عدم امتناع آن به شرطی که مصلحت تأخیر و تقدیم متجدد نشود، و تقسیم گفته‌های انبیا و اولیا به دو گونه قابل تغییر و تغییرناپذیر، به استناد حدیثی ناظر بر دو مرحله یا دو گونه علم برای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چنین آورده که آنچه درباره تقدیم و تأخیر یا تغییر در اجل‌ها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دعا و یا انجام فعلی خاص از سوی انسان، گفته شده، در ارتباط با همین دو گونه علم برای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خداوند به هر دو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 مقرر سابق و تغییر 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است، ولی ممتنع نیست که یکی از این دو امر معلوم به شرط، و دیگری بلاشرط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شاید بتوان گفت، بداء نزد امامیه همان نسخ است نزد عامه در تمام آنچه نسخ در آن‌ها 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می‌توان گفت، بداء تغییر شروط حدوث واقعه‌ای است و ممتنع نیست که از افعال خدا چیزی بر ما ظاهر گردد که خلافش را گمان می‌بردیم؛ یعنی شروط آن فعل و حادثه را نمی‌دانستیم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بیش از اقرار به این‌که خلق، امر، محو و اثبات به دست اوست، حق تعالی را بزرگ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بداء در واقع ظهور امر است و اعتقاد بزرگان امامیه به آن نه از راه تحلیل عقلی، بلکه از راه نقل و سمع صورت می‌بندد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ما آن را بداء می‌خوانیم، فیض و رحمت واسعة حق است که هر آنی به طوری تجلی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ابن‌بابویه،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دانشگاه ادیان و مذاهب، و پژوهشگر پژوهشگاه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کلام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چیزهایی است که گوش من از شنیدنش ابا 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 مُسْتَطِیعُونَ لِلْفِعْلِ وَقْتَ الْفِعْلِ مع‌الفعل إِذَا فَعَلُوا ذَلِکَ الْفِعْلَ فَإِذَا لَمْ یَفْعَلُوهُ فِی مُلْکِهِ لَمْ‌یَکُونُوا مُسْتَطِیعِینَ أَنْ یَفْعَلُوا فِعْلاً لَمْ یَفْعَلُوهُ لأَنَّ اللَّهَ عَزَّ وَ جَلَّ أَعَزُّ مِنْ أَنْ یُضَادَّهُ فِی مُلْکِهِ أَحَدٌ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تفصیلی استطاعت در اندیشه شیعه امامیه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علوم پزشکی شهید بهشتی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امام حسین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قربان‌نیا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شهباز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پردیس فارابی قم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 پژوه سطح سوم فلسفه اسلامی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بروفسور فی جامعة طهران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فی مرکز أبحاث القرآن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معهد کلام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ـ جامعة القرآن والحدیث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کلام الامامیة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Dolat1364@yahoo.com</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مساعد فی الجامعة الاسلامیة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طهران، و کذلک فی جامعة القرآن و الحدیث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مساعد فی قسم المعارف الاسلامیة فی جامعة تبریز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مساعد فی جامعة الأدیان والمذاهب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جامعة الأدیان والمذاهب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جامعة الأدیان والمذاهب، وباحث فی مرکز أبحاث القرآن والحدیث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 دکتوراه فی جامعة القرآن والحدیث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مساعد فی جامعة الامام الحسین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استاذ مساعد فی جامعة طهران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فردیس الفارابی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ماجستیر فی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التعرف علی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طالب فی المستوی الثالث للفلسفة الاسلامیة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image" Target="media/image2.jpeg"/><Relationship Id="rId147" Type="http://schemas.openxmlformats.org/officeDocument/2006/relationships/image" Target="media/image2.jpeg"/><Relationship Id="rId148" Type="http://schemas.openxmlformats.org/officeDocument/2006/relationships/footer" Target="footer141.xml"/><Relationship Id="rId149" Type="http://schemas.openxmlformats.org/officeDocument/2006/relationships/footnotes" Target="footnotes.xml"/><Relationship Id="rId150" Type="http://schemas.openxmlformats.org/officeDocument/2006/relationships/numbering" Target="numbering.xml"/><Relationship Id="rId151" Type="http://schemas.openxmlformats.org/officeDocument/2006/relationships/fontTable" Target="fontTable.xml"/><Relationship Id="rId152" Type="http://schemas.openxmlformats.org/officeDocument/2006/relationships/settings" Target="settings.xml"/><Relationship Id="rId1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45513</Words>
  <Characters>196894</Characters>
  <CharactersWithSpaces>240746</CharactersWithSpaces>
  <Paragraphs>1575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2026-08-17T12:06:10Z</dcterms:created>
  <dc:creator>ghaemiyeh.com</dc:creator>
  <dc:description/>
  <dc:language>en-US</dc:language>
  <cp:lastModifiedBy/>
  <dcterms:modified xsi:type="dcterms:W3CDTF">2026-08-17T15:36:15Z</dcterms:modified>
  <cp:revision>1</cp:revision>
  <dc:subject/>
  <dc:title>فصلنامه تحقیقات کلامی شماره 5</dc:title>
</cp:coreProperties>
</file>

<file path=docProps/custom.xml><?xml version="1.0" encoding="utf-8"?>
<Properties xmlns="http://schemas.openxmlformats.org/officeDocument/2006/custom-properties" xmlns:vt="http://schemas.openxmlformats.org/officeDocument/2006/docPropsVTypes"/>
</file>